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AS FILED WITH THE SECURITIES AND EXCHANGE COMMISSION ON OCTOBER 4, 2002</w:t>
      </w:r>
    </w:p>
    <w:p>
      <w:pPr>
        <w:spacing w:after="0" w:line="360"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REGISTRATION NO. 333-97953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SECURITIES AND EXCHANGE COMMISSION</w:t>
      </w:r>
    </w:p>
    <w:p>
      <w:pPr>
        <w:ind w:left="2720"/>
        <w:spacing w:after="0"/>
        <w:rPr>
          <w:sz w:val="20"/>
          <w:szCs w:val="20"/>
          <w:color w:val="auto"/>
        </w:rPr>
      </w:pPr>
      <w:r>
        <w:rPr>
          <w:rFonts w:ascii="Courier New" w:cs="Courier New" w:eastAsia="Courier New" w:hAnsi="Courier New"/>
          <w:sz w:val="16"/>
          <w:szCs w:val="16"/>
          <w:color w:val="auto"/>
        </w:rPr>
        <w:t>WASHINGTON, D.C. 20549</w:t>
      </w:r>
    </w:p>
    <w:p>
      <w:pPr>
        <w:ind w:left="2720"/>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AMENDMENT NO. 2</w:t>
      </w:r>
    </w:p>
    <w:p>
      <w:pPr>
        <w:spacing w:after="0" w:line="179" w:lineRule="exact"/>
        <w:rPr>
          <w:sz w:val="24"/>
          <w:szCs w:val="24"/>
          <w:color w:val="auto"/>
        </w:rPr>
      </w:pPr>
    </w:p>
    <w:p>
      <w:pPr>
        <w:jc w:val="center"/>
        <w:ind w:right="4020"/>
        <w:spacing w:after="0"/>
        <w:rPr>
          <w:sz w:val="20"/>
          <w:szCs w:val="20"/>
          <w:color w:val="auto"/>
        </w:rPr>
      </w:pPr>
      <w:r>
        <w:rPr>
          <w:rFonts w:ascii="Courier New" w:cs="Courier New" w:eastAsia="Courier New" w:hAnsi="Courier New"/>
          <w:sz w:val="16"/>
          <w:szCs w:val="16"/>
          <w:color w:val="auto"/>
        </w:rPr>
        <w:t>TO</w:t>
      </w:r>
    </w:p>
    <w:p>
      <w:pPr>
        <w:jc w:val="center"/>
        <w:ind w:right="4020"/>
        <w:spacing w:after="0"/>
        <w:rPr>
          <w:sz w:val="20"/>
          <w:szCs w:val="20"/>
          <w:color w:val="auto"/>
        </w:rPr>
      </w:pPr>
      <w:r>
        <w:rPr>
          <w:rFonts w:ascii="Courier New" w:cs="Courier New" w:eastAsia="Courier New" w:hAnsi="Courier New"/>
          <w:sz w:val="16"/>
          <w:szCs w:val="16"/>
          <w:color w:val="auto"/>
        </w:rPr>
        <w:t>FORM S-4</w:t>
      </w:r>
    </w:p>
    <w:p>
      <w:pPr>
        <w:jc w:val="center"/>
        <w:ind w:right="4120"/>
        <w:spacing w:after="0" w:line="237" w:lineRule="auto"/>
        <w:rPr>
          <w:sz w:val="20"/>
          <w:szCs w:val="20"/>
          <w:color w:val="auto"/>
        </w:rPr>
      </w:pPr>
      <w:r>
        <w:rPr>
          <w:rFonts w:ascii="Courier New" w:cs="Courier New" w:eastAsia="Courier New" w:hAnsi="Courier New"/>
          <w:sz w:val="16"/>
          <w:szCs w:val="16"/>
          <w:color w:val="auto"/>
        </w:rPr>
        <w:t>REGISTRATION STATEMENT UNDER THE SECURITIES ACT OF 1933</w:t>
      </w:r>
    </w:p>
    <w:p>
      <w:pPr>
        <w:jc w:val="center"/>
        <w:ind w:right="4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4020"/>
        <w:spacing w:after="0"/>
        <w:rPr>
          <w:sz w:val="20"/>
          <w:szCs w:val="20"/>
          <w:color w:val="auto"/>
        </w:rPr>
      </w:pPr>
      <w:r>
        <w:rPr>
          <w:rFonts w:ascii="Courier New" w:cs="Courier New" w:eastAsia="Courier New" w:hAnsi="Courier New"/>
          <w:sz w:val="16"/>
          <w:szCs w:val="16"/>
          <w:color w:val="auto"/>
        </w:rPr>
        <w:t>AT&amp;T CORP.</w:t>
      </w:r>
    </w:p>
    <w:p>
      <w:pPr>
        <w:jc w:val="center"/>
        <w:ind w:right="4020"/>
        <w:spacing w:after="0"/>
        <w:rPr>
          <w:sz w:val="20"/>
          <w:szCs w:val="20"/>
          <w:color w:val="auto"/>
        </w:rPr>
      </w:pPr>
      <w:r>
        <w:rPr>
          <w:rFonts w:ascii="Courier New" w:cs="Courier New" w:eastAsia="Courier New" w:hAnsi="Courier New"/>
          <w:sz w:val="16"/>
          <w:szCs w:val="16"/>
          <w:color w:val="auto"/>
        </w:rPr>
        <w:t>AND THE ADDITIONAL REGISTRANTS LISTED ON THE FOLLOWING PAGES</w:t>
      </w:r>
    </w:p>
    <w:p>
      <w:pPr>
        <w:sectPr>
          <w:pgSz w:w="11900" w:h="16849" w:orient="portrait"/>
          <w:cols w:equalWidth="0" w:num="1">
            <w:col w:w="11520"/>
          </w:cols>
          <w:pgMar w:left="240" w:top="774" w:right="139" w:bottom="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0"/>
        <w:spacing w:after="0"/>
        <w:rPr>
          <w:sz w:val="20"/>
          <w:szCs w:val="20"/>
          <w:color w:val="auto"/>
        </w:rPr>
      </w:pPr>
      <w:r>
        <w:rPr>
          <w:rFonts w:ascii="Courier New" w:cs="Courier New" w:eastAsia="Courier New" w:hAnsi="Courier New"/>
          <w:sz w:val="16"/>
          <w:szCs w:val="16"/>
          <w:color w:val="auto"/>
        </w:rPr>
        <w:t>NEW YORK</w:t>
      </w:r>
    </w:p>
    <w:p>
      <w:pPr>
        <w:spacing w:after="0" w:line="4"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(State or other jurisdiction of</w:t>
      </w:r>
    </w:p>
    <w:p>
      <w:pPr>
        <w:spacing w:after="0" w:line="10"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4811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Industrial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13-4924710</w:t>
      </w: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6" w:lineRule="exact"/>
        <w:rPr>
          <w:sz w:val="24"/>
          <w:szCs w:val="24"/>
          <w:color w:val="auto"/>
        </w:rPr>
      </w:pPr>
    </w:p>
    <w:p>
      <w:pPr>
        <w:sectPr>
          <w:pgSz w:w="11900" w:h="16849" w:orient="portrait"/>
          <w:cols w:equalWidth="0" w:num="3">
            <w:col w:w="3680" w:space="720"/>
            <w:col w:w="3780" w:space="720"/>
            <w:col w:w="2620"/>
          </w:cols>
          <w:pgMar w:left="240" w:top="774" w:right="139" w:bottom="0" w:gutter="0" w:footer="0" w:header="0"/>
          <w:type w:val="continuous"/>
        </w:sectPr>
      </w:pPr>
    </w:p>
    <w:p>
      <w:pPr>
        <w:spacing w:after="0" w:line="160" w:lineRule="exact"/>
        <w:rPr>
          <w:sz w:val="24"/>
          <w:szCs w:val="24"/>
          <w:color w:val="auto"/>
        </w:rPr>
      </w:pPr>
    </w:p>
    <w:p>
      <w:pPr>
        <w:jc w:val="center"/>
        <w:ind w:right="4020"/>
        <w:spacing w:after="0"/>
        <w:rPr>
          <w:sz w:val="20"/>
          <w:szCs w:val="20"/>
          <w:color w:val="auto"/>
        </w:rPr>
      </w:pPr>
      <w:r>
        <w:rPr>
          <w:rFonts w:ascii="Courier New" w:cs="Courier New" w:eastAsia="Courier New" w:hAnsi="Courier New"/>
          <w:sz w:val="16"/>
          <w:szCs w:val="16"/>
          <w:color w:val="auto"/>
        </w:rPr>
        <w:t>900 ROUTES 202/206 NORTH</w:t>
      </w:r>
    </w:p>
    <w:p>
      <w:pPr>
        <w:jc w:val="center"/>
        <w:ind w:right="4020"/>
        <w:spacing w:after="0"/>
        <w:rPr>
          <w:sz w:val="20"/>
          <w:szCs w:val="20"/>
          <w:color w:val="auto"/>
        </w:rPr>
      </w:pPr>
      <w:r>
        <w:rPr>
          <w:rFonts w:ascii="Courier New" w:cs="Courier New" w:eastAsia="Courier New" w:hAnsi="Courier New"/>
          <w:sz w:val="16"/>
          <w:szCs w:val="16"/>
          <w:color w:val="auto"/>
        </w:rPr>
        <w:t>BEDMINSTER, NJ 07921</w:t>
      </w:r>
    </w:p>
    <w:p>
      <w:pPr>
        <w:jc w:val="center"/>
        <w:ind w:right="4020"/>
        <w:spacing w:after="0" w:line="237" w:lineRule="auto"/>
        <w:rPr>
          <w:sz w:val="20"/>
          <w:szCs w:val="20"/>
          <w:color w:val="auto"/>
        </w:rPr>
      </w:pPr>
      <w:r>
        <w:rPr>
          <w:rFonts w:ascii="Courier New" w:cs="Courier New" w:eastAsia="Courier New" w:hAnsi="Courier New"/>
          <w:sz w:val="16"/>
          <w:szCs w:val="16"/>
          <w:color w:val="auto"/>
        </w:rPr>
        <w:t>(908) 221-2000</w:t>
      </w:r>
    </w:p>
    <w:p>
      <w:pPr>
        <w:jc w:val="center"/>
        <w:ind w:right="4100"/>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4100"/>
        <w:spacing w:after="0" w:line="238" w:lineRule="auto"/>
        <w:rPr>
          <w:sz w:val="20"/>
          <w:szCs w:val="20"/>
          <w:color w:val="auto"/>
        </w:rPr>
      </w:pPr>
      <w:r>
        <w:rPr>
          <w:rFonts w:ascii="Courier New" w:cs="Courier New" w:eastAsia="Courier New" w:hAnsi="Courier New"/>
          <w:sz w:val="16"/>
          <w:szCs w:val="16"/>
          <w:color w:val="auto"/>
        </w:rPr>
        <w:t>registrant's principal executive offices)</w:t>
      </w:r>
    </w:p>
    <w:p>
      <w:pPr>
        <w:jc w:val="center"/>
        <w:ind w:right="4020"/>
        <w:spacing w:after="0"/>
        <w:rPr>
          <w:sz w:val="20"/>
          <w:szCs w:val="20"/>
          <w:color w:val="auto"/>
        </w:rPr>
      </w:pPr>
      <w:r>
        <w:rPr>
          <w:rFonts w:ascii="Courier New" w:cs="Courier New" w:eastAsia="Courier New" w:hAnsi="Courier New"/>
          <w:sz w:val="16"/>
          <w:szCs w:val="16"/>
          <w:color w:val="auto"/>
        </w:rPr>
        <w:t>ROBERT S. FEIT</w:t>
      </w:r>
    </w:p>
    <w:p>
      <w:pPr>
        <w:jc w:val="center"/>
        <w:ind w:right="4100"/>
        <w:spacing w:after="0" w:line="238" w:lineRule="auto"/>
        <w:rPr>
          <w:sz w:val="20"/>
          <w:szCs w:val="20"/>
          <w:color w:val="auto"/>
        </w:rPr>
      </w:pPr>
      <w:r>
        <w:rPr>
          <w:rFonts w:ascii="Courier New" w:cs="Courier New" w:eastAsia="Courier New" w:hAnsi="Courier New"/>
          <w:sz w:val="16"/>
          <w:szCs w:val="16"/>
          <w:color w:val="auto"/>
        </w:rPr>
        <w:t>VICE PRESIDENT -- LAW AND SECRETARY</w:t>
      </w:r>
    </w:p>
    <w:p>
      <w:pPr>
        <w:jc w:val="center"/>
        <w:ind w:right="4020"/>
        <w:spacing w:after="0"/>
        <w:rPr>
          <w:sz w:val="20"/>
          <w:szCs w:val="20"/>
          <w:color w:val="auto"/>
        </w:rPr>
      </w:pPr>
      <w:r>
        <w:rPr>
          <w:rFonts w:ascii="Courier New" w:cs="Courier New" w:eastAsia="Courier New" w:hAnsi="Courier New"/>
          <w:sz w:val="16"/>
          <w:szCs w:val="16"/>
          <w:color w:val="auto"/>
        </w:rPr>
        <w:t>AT&amp;T CORP.</w:t>
      </w:r>
    </w:p>
    <w:p>
      <w:pPr>
        <w:jc w:val="center"/>
        <w:ind w:right="4020"/>
        <w:spacing w:after="0" w:line="237" w:lineRule="auto"/>
        <w:rPr>
          <w:sz w:val="20"/>
          <w:szCs w:val="20"/>
          <w:color w:val="auto"/>
        </w:rPr>
      </w:pPr>
      <w:r>
        <w:rPr>
          <w:rFonts w:ascii="Courier New" w:cs="Courier New" w:eastAsia="Courier New" w:hAnsi="Courier New"/>
          <w:sz w:val="16"/>
          <w:szCs w:val="16"/>
          <w:color w:val="auto"/>
        </w:rPr>
        <w:t>900 ROUTES 202/206 NORTH</w:t>
      </w:r>
    </w:p>
    <w:p>
      <w:pPr>
        <w:jc w:val="center"/>
        <w:ind w:right="4020"/>
        <w:spacing w:after="0"/>
        <w:rPr>
          <w:sz w:val="20"/>
          <w:szCs w:val="20"/>
          <w:color w:val="auto"/>
        </w:rPr>
      </w:pPr>
      <w:r>
        <w:rPr>
          <w:rFonts w:ascii="Courier New" w:cs="Courier New" w:eastAsia="Courier New" w:hAnsi="Courier New"/>
          <w:sz w:val="16"/>
          <w:szCs w:val="16"/>
          <w:color w:val="auto"/>
        </w:rPr>
        <w:t>BEDMINSTER, NJ 07921</w:t>
      </w:r>
    </w:p>
    <w:p>
      <w:pPr>
        <w:jc w:val="center"/>
        <w:ind w:right="4020"/>
        <w:spacing w:after="0" w:line="238" w:lineRule="auto"/>
        <w:rPr>
          <w:sz w:val="20"/>
          <w:szCs w:val="20"/>
          <w:color w:val="auto"/>
        </w:rPr>
      </w:pPr>
      <w:r>
        <w:rPr>
          <w:rFonts w:ascii="Courier New" w:cs="Courier New" w:eastAsia="Courier New" w:hAnsi="Courier New"/>
          <w:sz w:val="16"/>
          <w:szCs w:val="16"/>
          <w:color w:val="auto"/>
        </w:rPr>
        <w:t>(908) 221-2000</w:t>
      </w:r>
    </w:p>
    <w:p>
      <w:pPr>
        <w:spacing w:after="0" w:line="4" w:lineRule="exact"/>
        <w:rPr>
          <w:sz w:val="24"/>
          <w:szCs w:val="24"/>
          <w:color w:val="auto"/>
        </w:rPr>
      </w:pPr>
    </w:p>
    <w:p>
      <w:pPr>
        <w:jc w:val="center"/>
        <w:ind w:right="4020"/>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5" w:lineRule="exact"/>
        <w:rPr>
          <w:sz w:val="24"/>
          <w:szCs w:val="24"/>
          <w:color w:val="auto"/>
        </w:rPr>
      </w:pPr>
    </w:p>
    <w:p>
      <w:pPr>
        <w:jc w:val="center"/>
        <w:ind w:right="4100"/>
        <w:spacing w:after="0"/>
        <w:rPr>
          <w:sz w:val="20"/>
          <w:szCs w:val="20"/>
          <w:color w:val="auto"/>
        </w:rPr>
      </w:pPr>
      <w:r>
        <w:rPr>
          <w:rFonts w:ascii="Courier New" w:cs="Courier New" w:eastAsia="Courier New" w:hAnsi="Courier New"/>
          <w:sz w:val="16"/>
          <w:szCs w:val="16"/>
          <w:color w:val="auto"/>
        </w:rPr>
        <w:t>of agent for service)</w:t>
      </w:r>
    </w:p>
    <w:p>
      <w:pPr>
        <w:jc w:val="center"/>
        <w:ind w:right="4100"/>
        <w:spacing w:after="0"/>
        <w:rPr>
          <w:sz w:val="20"/>
          <w:szCs w:val="20"/>
          <w:color w:val="auto"/>
        </w:rPr>
      </w:pPr>
      <w:r>
        <w:rPr>
          <w:rFonts w:ascii="Courier New" w:cs="Courier New" w:eastAsia="Courier New" w:hAnsi="Courier New"/>
          <w:sz w:val="16"/>
          <w:szCs w:val="16"/>
          <w:color w:val="auto"/>
        </w:rPr>
        <w:t>---------------------</w:t>
      </w:r>
    </w:p>
    <w:p>
      <w:pPr>
        <w:sectPr>
          <w:pgSz w:w="11900" w:h="16849" w:orient="portrait"/>
          <w:cols w:equalWidth="0" w:num="1">
            <w:col w:w="11520"/>
          </w:cols>
          <w:pgMar w:left="240" w:top="774" w:right="139" w:bottom="0"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COPIES TO:</w:t>
            </w:r>
          </w:p>
        </w:tc>
        <w:tc>
          <w:tcPr>
            <w:tcW w:w="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ARTHUR</w:t>
            </w:r>
          </w:p>
        </w:tc>
        <w:tc>
          <w:tcPr>
            <w:tcW w:w="1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 BLOCK, ESQ.</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BRUCE</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K. DALLAS, ESQ.</w:t>
            </w:r>
          </w:p>
        </w:tc>
        <w:tc>
          <w:tcPr>
            <w:tcW w:w="3100" w:type="dxa"/>
            <w:vAlign w:val="bottom"/>
            <w:gridSpan w:val="3"/>
          </w:tcPr>
          <w:p>
            <w:pPr>
              <w:jc w:val="right"/>
              <w:ind w:right="442"/>
              <w:spacing w:after="0"/>
              <w:rPr>
                <w:sz w:val="20"/>
                <w:szCs w:val="20"/>
                <w:color w:val="auto"/>
              </w:rPr>
            </w:pPr>
            <w:r>
              <w:rPr>
                <w:rFonts w:ascii="Courier New" w:cs="Courier New" w:eastAsia="Courier New" w:hAnsi="Courier New"/>
                <w:sz w:val="16"/>
                <w:szCs w:val="16"/>
                <w:color w:val="auto"/>
              </w:rPr>
              <w:t>STEVEN A. ROSENBLUM, ESQ.</w:t>
            </w:r>
          </w:p>
        </w:tc>
        <w:tc>
          <w:tcPr>
            <w:tcW w:w="940" w:type="dxa"/>
            <w:vAlign w:val="bottom"/>
          </w:tcPr>
          <w:p>
            <w:pPr>
              <w:ind w:left="520"/>
              <w:spacing w:after="0"/>
              <w:rPr>
                <w:sz w:val="20"/>
                <w:szCs w:val="20"/>
                <w:color w:val="auto"/>
              </w:rPr>
            </w:pPr>
            <w:r>
              <w:rPr>
                <w:rFonts w:ascii="Courier New" w:cs="Courier New" w:eastAsia="Courier New" w:hAnsi="Courier New"/>
                <w:sz w:val="16"/>
                <w:szCs w:val="16"/>
                <w:color w:val="auto"/>
              </w:rPr>
              <w:t>JOHN</w:t>
            </w:r>
          </w:p>
        </w:tc>
        <w:tc>
          <w:tcPr>
            <w:tcW w:w="1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 TEHAN, ESQ.</w:t>
            </w:r>
          </w:p>
        </w:tc>
      </w:tr>
      <w:tr>
        <w:trPr>
          <w:trHeight w:val="180"/>
        </w:trPr>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VICE</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PRESIDENT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DAVIS</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POLK &amp; WARDWELL</w:t>
            </w:r>
          </w:p>
        </w:tc>
        <w:tc>
          <w:tcPr>
            <w:tcW w:w="310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rPr>
              <w:t>STEPHANIE J. SELIGMAN, ESQ.</w:t>
            </w:r>
          </w:p>
        </w:tc>
        <w:tc>
          <w:tcPr>
            <w:tcW w:w="940" w:type="dxa"/>
            <w:vAlign w:val="bottom"/>
          </w:tcPr>
          <w:p>
            <w:pPr>
              <w:ind w:left="520"/>
              <w:spacing w:after="0"/>
              <w:rPr>
                <w:sz w:val="20"/>
                <w:szCs w:val="20"/>
                <w:color w:val="auto"/>
              </w:rPr>
            </w:pPr>
            <w:r>
              <w:rPr>
                <w:rFonts w:ascii="Courier New" w:cs="Courier New" w:eastAsia="Courier New" w:hAnsi="Courier New"/>
                <w:sz w:val="16"/>
                <w:szCs w:val="16"/>
                <w:color w:val="auto"/>
              </w:rPr>
              <w:t>RISE</w:t>
            </w:r>
          </w:p>
        </w:tc>
        <w:tc>
          <w:tcPr>
            <w:tcW w:w="1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 NORMAN, ESQ.</w:t>
            </w: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AT&amp;T COMCAST</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CORPORATION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1600</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EL CAMINO REAL</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WACHTELL,</w:t>
            </w:r>
          </w:p>
        </w:tc>
        <w:tc>
          <w:tcPr>
            <w:tcW w:w="2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LIPTON, ROSEN &amp; KATZ</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SIMPSON</w:t>
            </w:r>
          </w:p>
        </w:tc>
        <w:tc>
          <w:tcPr>
            <w:tcW w:w="17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THACHER &amp; BARTLETT</w:t>
            </w:r>
          </w:p>
        </w:tc>
      </w:tr>
      <w:tr>
        <w:trPr>
          <w:trHeight w:val="180"/>
        </w:trPr>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1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MARKET STREET</w:t>
            </w: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MENLO PARK, CALIFORNIA 94025</w:t>
            </w:r>
          </w:p>
        </w:tc>
        <w:tc>
          <w:tcPr>
            <w:tcW w:w="310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rPr>
              <w:t>51 WEST 52ND STREET</w:t>
            </w:r>
          </w:p>
        </w:tc>
        <w:tc>
          <w:tcPr>
            <w:tcW w:w="266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425 LEXINGTON AVENUE</w:t>
            </w:r>
          </w:p>
        </w:tc>
      </w:tr>
      <w:tr>
        <w:trPr>
          <w:trHeight w:val="180"/>
        </w:trPr>
        <w:tc>
          <w:tcPr>
            <w:tcW w:w="3040" w:type="dxa"/>
            <w:vAlign w:val="bottom"/>
            <w:gridSpan w:val="3"/>
          </w:tcPr>
          <w:p>
            <w:pPr>
              <w:spacing w:after="0"/>
              <w:rPr>
                <w:sz w:val="20"/>
                <w:szCs w:val="20"/>
                <w:color w:val="auto"/>
              </w:rPr>
            </w:pPr>
            <w:r>
              <w:rPr>
                <w:rFonts w:ascii="Courier New" w:cs="Courier New" w:eastAsia="Courier New" w:hAnsi="Courier New"/>
                <w:sz w:val="16"/>
                <w:szCs w:val="16"/>
                <w:color w:val="auto"/>
                <w:w w:val="98"/>
              </w:rPr>
              <w:t>PHILADELPHIA, PENNSYLVANIA 19102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TEL:</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(650)</w:t>
            </w:r>
          </w:p>
        </w:tc>
        <w:tc>
          <w:tcPr>
            <w:tcW w:w="130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8"/>
              </w:rPr>
              <w:t>752-2000</w:t>
            </w:r>
          </w:p>
        </w:tc>
        <w:tc>
          <w:tcPr>
            <w:tcW w:w="3100" w:type="dxa"/>
            <w:vAlign w:val="bottom"/>
            <w:gridSpan w:val="3"/>
          </w:tcPr>
          <w:p>
            <w:pPr>
              <w:jc w:val="right"/>
              <w:ind w:right="442"/>
              <w:spacing w:after="0"/>
              <w:rPr>
                <w:sz w:val="20"/>
                <w:szCs w:val="20"/>
                <w:color w:val="auto"/>
              </w:rPr>
            </w:pPr>
            <w:r>
              <w:rPr>
                <w:rFonts w:ascii="Courier New" w:cs="Courier New" w:eastAsia="Courier New" w:hAnsi="Courier New"/>
                <w:sz w:val="16"/>
                <w:szCs w:val="16"/>
                <w:color w:val="auto"/>
              </w:rPr>
              <w:t>NEW YORK, NEW YORK 10019</w:t>
            </w:r>
          </w:p>
        </w:tc>
        <w:tc>
          <w:tcPr>
            <w:tcW w:w="266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NEW YORK, NEW YORK 10017</w:t>
            </w: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TEL: (215)</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665-1700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FAX:</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(650)</w:t>
            </w:r>
          </w:p>
        </w:tc>
        <w:tc>
          <w:tcPr>
            <w:tcW w:w="130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8"/>
              </w:rPr>
              <w:t>752-2111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TEL:</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6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403-1000</w:t>
            </w:r>
          </w:p>
        </w:tc>
        <w:tc>
          <w:tcPr>
            <w:tcW w:w="940" w:type="dxa"/>
            <w:vAlign w:val="bottom"/>
          </w:tcPr>
          <w:p>
            <w:pPr>
              <w:ind w:left="520"/>
              <w:spacing w:after="0"/>
              <w:rPr>
                <w:sz w:val="20"/>
                <w:szCs w:val="20"/>
                <w:color w:val="auto"/>
              </w:rPr>
            </w:pPr>
            <w:r>
              <w:rPr>
                <w:rFonts w:ascii="Courier New" w:cs="Courier New" w:eastAsia="Courier New" w:hAnsi="Courier New"/>
                <w:sz w:val="16"/>
                <w:szCs w:val="16"/>
                <w:color w:val="auto"/>
              </w:rPr>
              <w:t>TEL:</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455-2000</w:t>
            </w:r>
          </w:p>
        </w:tc>
      </w:tr>
      <w:tr>
        <w:trPr>
          <w:trHeight w:val="180"/>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FAX: (215)</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981-7790</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FAX:</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6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403-2000</w:t>
            </w:r>
          </w:p>
        </w:tc>
        <w:tc>
          <w:tcPr>
            <w:tcW w:w="940" w:type="dxa"/>
            <w:vAlign w:val="bottom"/>
          </w:tcPr>
          <w:p>
            <w:pPr>
              <w:ind w:left="520"/>
              <w:spacing w:after="0"/>
              <w:rPr>
                <w:sz w:val="20"/>
                <w:szCs w:val="20"/>
                <w:color w:val="auto"/>
              </w:rPr>
            </w:pPr>
            <w:r>
              <w:rPr>
                <w:rFonts w:ascii="Courier New" w:cs="Courier New" w:eastAsia="Courier New" w:hAnsi="Courier New"/>
                <w:sz w:val="16"/>
                <w:szCs w:val="16"/>
                <w:color w:val="auto"/>
              </w:rPr>
              <w:t>FAX:</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455-2502</w:t>
            </w:r>
          </w:p>
        </w:tc>
      </w:tr>
    </w:tbl>
    <w:p>
      <w:pPr>
        <w:spacing w:after="0" w:line="360"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right="4780" w:firstLine="375"/>
        <w:spacing w:after="0" w:line="254" w:lineRule="auto"/>
        <w:rPr>
          <w:sz w:val="20"/>
          <w:szCs w:val="20"/>
          <w:color w:val="auto"/>
        </w:rPr>
      </w:pPr>
      <w:r>
        <w:rPr>
          <w:rFonts w:ascii="Courier New" w:cs="Courier New" w:eastAsia="Courier New" w:hAnsi="Courier New"/>
          <w:sz w:val="15"/>
          <w:szCs w:val="15"/>
          <w:color w:val="auto"/>
        </w:rPr>
        <w:t>APPROXIMATE DATE OF COMMENCEMENT OF PROPOSED SALE TO THE PUBLIC: As promptly as possible upon effectiveness of this Registration Statement.</w:t>
      </w:r>
    </w:p>
    <w:p>
      <w:pPr>
        <w:spacing w:after="0" w:line="1" w:lineRule="exact"/>
        <w:rPr>
          <w:sz w:val="24"/>
          <w:szCs w:val="24"/>
          <w:color w:val="auto"/>
        </w:rPr>
      </w:pPr>
    </w:p>
    <w:p>
      <w:pPr>
        <w:ind w:right="4120" w:firstLine="375"/>
        <w:spacing w:after="0" w:line="237"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4" w:lineRule="exact"/>
        <w:rPr>
          <w:sz w:val="24"/>
          <w:szCs w:val="24"/>
          <w:color w:val="auto"/>
        </w:rPr>
      </w:pPr>
    </w:p>
    <w:p>
      <w:pPr>
        <w:ind w:right="4200" w:firstLine="375"/>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w:t>
      </w:r>
    </w:p>
    <w:p>
      <w:pPr>
        <w:spacing w:after="0" w:line="6" w:lineRule="exact"/>
        <w:rPr>
          <w:sz w:val="24"/>
          <w:szCs w:val="24"/>
          <w:color w:val="auto"/>
        </w:rPr>
      </w:pPr>
    </w:p>
    <w:p>
      <w:pPr>
        <w:ind w:right="4300" w:firstLine="375"/>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 ----------</w:t>
      </w:r>
    </w:p>
    <w:p>
      <w:pPr>
        <w:spacing w:after="0" w:line="1"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CALCULATION OF REGISTRATION FEE</w:t>
      </w:r>
    </w:p>
    <w:p>
      <w:pPr>
        <w:spacing w:after="0" w:line="360" w:lineRule="exact"/>
        <w:rPr>
          <w:sz w:val="24"/>
          <w:szCs w:val="24"/>
          <w:color w:val="auto"/>
        </w:rPr>
      </w:pPr>
    </w:p>
    <w:p>
      <w:pPr>
        <w:ind w:left="220" w:hanging="181"/>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center"/>
        <w:ind w:left="40" w:right="6700" w:firstLine="141"/>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TITLE OF EACH CLASS OF PROPOSED MAXIMUM AMOUNT OF SECURITIES TO BE REGISTERED(1) AGGREGATE OFFERING PRICE(2) REGISTRATION FEE(2)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---------------- 7.00% Broadband Exchange Notes Due</w:t>
      </w:r>
    </w:p>
    <w:p>
      <w:pPr>
        <w:ind w:left="40"/>
        <w:spacing w:after="0"/>
        <w:rPr>
          <w:sz w:val="20"/>
          <w:szCs w:val="20"/>
          <w:color w:val="auto"/>
        </w:rPr>
      </w:pPr>
      <w:r>
        <w:rPr>
          <w:rFonts w:ascii="Courier New" w:cs="Courier New" w:eastAsia="Courier New" w:hAnsi="Courier New"/>
          <w:sz w:val="16"/>
          <w:szCs w:val="16"/>
          <w:color w:val="auto"/>
        </w:rPr>
        <w:t>May 15, 2005(3)... - ------------------------------</w:t>
      </w:r>
    </w:p>
    <w:p>
      <w:pPr>
        <w:ind w:left="180"/>
        <w:spacing w:after="0" w:line="238" w:lineRule="auto"/>
        <w:rPr>
          <w:sz w:val="20"/>
          <w:szCs w:val="20"/>
          <w:color w:val="auto"/>
        </w:rPr>
      </w:pPr>
      <w:r>
        <w:rPr>
          <w:rFonts w:ascii="Courier New" w:cs="Courier New" w:eastAsia="Courier New" w:hAnsi="Courier New"/>
          <w:sz w:val="16"/>
          <w:szCs w:val="16"/>
          <w:color w:val="auto"/>
        </w:rPr>
        <w:t>----------------------- 7.50% Broadband Exchange</w:t>
      </w:r>
    </w:p>
    <w:p>
      <w:pPr>
        <w:ind w:left="40"/>
        <w:spacing w:after="0"/>
        <w:rPr>
          <w:sz w:val="20"/>
          <w:szCs w:val="20"/>
          <w:color w:val="auto"/>
        </w:rPr>
      </w:pPr>
      <w:r>
        <w:rPr>
          <w:rFonts w:ascii="Courier New" w:cs="Courier New" w:eastAsia="Courier New" w:hAnsi="Courier New"/>
          <w:sz w:val="16"/>
          <w:szCs w:val="16"/>
          <w:color w:val="auto"/>
        </w:rPr>
        <w:t>Notes Due June 1, 2006(3)... - --------------------</w:t>
      </w:r>
    </w:p>
    <w:p>
      <w:pPr>
        <w:ind w:left="140"/>
        <w:spacing w:after="0" w:line="238" w:lineRule="auto"/>
        <w:rPr>
          <w:sz w:val="20"/>
          <w:szCs w:val="20"/>
          <w:color w:val="auto"/>
        </w:rPr>
      </w:pPr>
      <w:r>
        <w:rPr>
          <w:rFonts w:ascii="Courier New" w:cs="Courier New" w:eastAsia="Courier New" w:hAnsi="Courier New"/>
          <w:sz w:val="16"/>
          <w:szCs w:val="16"/>
          <w:color w:val="auto"/>
        </w:rPr>
        <w:t>--------------------------------- 7.75% Broadband</w:t>
      </w:r>
    </w:p>
    <w:p>
      <w:pPr>
        <w:ind w:left="1160"/>
        <w:spacing w:after="0"/>
        <w:rPr>
          <w:sz w:val="20"/>
          <w:szCs w:val="20"/>
          <w:color w:val="auto"/>
        </w:rPr>
      </w:pPr>
      <w:r>
        <w:rPr>
          <w:rFonts w:ascii="Courier New" w:cs="Courier New" w:eastAsia="Courier New" w:hAnsi="Courier New"/>
          <w:sz w:val="16"/>
          <w:szCs w:val="16"/>
          <w:color w:val="auto"/>
        </w:rPr>
        <w:t>Exchange Notes Due March 1,</w:t>
      </w:r>
    </w:p>
    <w:p>
      <w:pPr>
        <w:sectPr>
          <w:pgSz w:w="11900" w:h="16849" w:orient="portrait"/>
          <w:cols w:equalWidth="0" w:num="1">
            <w:col w:w="11520"/>
          </w:cols>
          <w:pgMar w:left="240" w:top="774" w:right="139" w:bottom="0" w:gutter="0" w:footer="0" w:header="0"/>
          <w:type w:val="continuous"/>
        </w:sectPr>
      </w:pPr>
    </w:p>
    <w:bookmarkStart w:id="1" w:name="page2"/>
    <w:bookmarkEnd w:id="1"/>
    <w:p>
      <w:pPr>
        <w:ind w:left="4"/>
        <w:spacing w:after="0"/>
        <w:rPr>
          <w:sz w:val="20"/>
          <w:szCs w:val="20"/>
          <w:color w:val="auto"/>
        </w:rPr>
      </w:pPr>
      <w:r>
        <w:rPr>
          <w:rFonts w:ascii="Courier New" w:cs="Courier New" w:eastAsia="Courier New" w:hAnsi="Courier New"/>
          <w:sz w:val="16"/>
          <w:szCs w:val="16"/>
          <w:color w:val="auto"/>
        </w:rPr>
        <w:t>2007(3).............................................</w:t>
      </w:r>
    </w:p>
    <w:p>
      <w:pPr>
        <w:ind w:left="224" w:hanging="181"/>
        <w:spacing w:after="0"/>
        <w:tabs>
          <w:tab w:leader="none" w:pos="22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404" w:right="5499" w:hanging="1267"/>
        <w:spacing w:after="0" w:line="236" w:lineRule="auto"/>
        <w:tabs>
          <w:tab w:leader="none" w:pos="606"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6.00% Broadband Exchange Notes Due March 15, $3,461,586,125 $79,963</w:t>
      </w:r>
    </w:p>
    <w:p>
      <w:pPr>
        <w:ind w:left="4"/>
        <w:spacing w:after="0"/>
        <w:rPr>
          <w:sz w:val="20"/>
          <w:szCs w:val="20"/>
          <w:color w:val="auto"/>
        </w:rPr>
      </w:pPr>
      <w:r>
        <w:rPr>
          <w:rFonts w:ascii="Courier New" w:cs="Courier New" w:eastAsia="Courier New" w:hAnsi="Courier New"/>
          <w:sz w:val="16"/>
          <w:szCs w:val="16"/>
          <w:color w:val="auto"/>
        </w:rPr>
        <w:t>2009(3).............................................</w:t>
      </w:r>
    </w:p>
    <w:p>
      <w:pPr>
        <w:ind w:left="224" w:hanging="181"/>
        <w:spacing w:after="0" w:line="237" w:lineRule="auto"/>
        <w:tabs>
          <w:tab w:leader="none" w:pos="22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304" w:right="5539" w:hanging="2120"/>
        <w:spacing w:after="0" w:line="236" w:lineRule="auto"/>
        <w:tabs>
          <w:tab w:leader="none" w:pos="66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8.125% Broadband Exchange Notes Due January 15,</w:t>
      </w:r>
    </w:p>
    <w:p>
      <w:pPr>
        <w:ind w:left="4"/>
        <w:spacing w:after="0"/>
        <w:rPr>
          <w:sz w:val="20"/>
          <w:szCs w:val="20"/>
          <w:color w:val="auto"/>
        </w:rPr>
      </w:pPr>
      <w:r>
        <w:rPr>
          <w:rFonts w:ascii="Courier New" w:cs="Courier New" w:eastAsia="Courier New" w:hAnsi="Courier New"/>
          <w:sz w:val="16"/>
          <w:szCs w:val="16"/>
          <w:color w:val="auto"/>
        </w:rPr>
        <w:t>2022(3).............................................</w:t>
      </w:r>
    </w:p>
    <w:p>
      <w:pPr>
        <w:ind w:left="224" w:hanging="181"/>
        <w:spacing w:after="0" w:line="237" w:lineRule="auto"/>
        <w:tabs>
          <w:tab w:leader="none" w:pos="2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4" w:right="5339" w:firstLine="133"/>
        <w:spacing w:after="0" w:line="254" w:lineRule="auto"/>
        <w:tabs>
          <w:tab w:leader="none" w:pos="6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8.125% Broadband Exchange Notes Due July 15, 2024(3).............................................</w:t>
      </w:r>
    </w:p>
    <w:p>
      <w:pPr>
        <w:ind w:left="224" w:hanging="181"/>
        <w:spacing w:after="0"/>
        <w:tabs>
          <w:tab w:leader="none" w:pos="2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both"/>
        <w:ind w:left="4" w:right="5339" w:firstLine="43"/>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---- 8.35% Broadband Exchange Notes Due January 15, 2025(3).............................................</w:t>
      </w:r>
    </w:p>
    <w:p>
      <w:pPr>
        <w:ind w:left="224" w:hanging="181"/>
        <w:spacing w:after="0"/>
        <w:tabs>
          <w:tab w:leader="none" w:pos="2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344" w:right="5499" w:hanging="2207"/>
        <w:spacing w:after="0" w:line="236" w:lineRule="auto"/>
        <w:tabs>
          <w:tab w:leader="none" w:pos="608"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8.625% Broadband Exchange Notes Due December 1,</w:t>
      </w:r>
    </w:p>
    <w:p>
      <w:pPr>
        <w:ind w:left="4"/>
        <w:spacing w:after="0"/>
        <w:rPr>
          <w:sz w:val="20"/>
          <w:szCs w:val="20"/>
          <w:color w:val="auto"/>
        </w:rPr>
      </w:pPr>
      <w:r>
        <w:rPr>
          <w:rFonts w:ascii="Courier New" w:cs="Courier New" w:eastAsia="Courier New" w:hAnsi="Courier New"/>
          <w:sz w:val="16"/>
          <w:szCs w:val="16"/>
          <w:color w:val="auto"/>
        </w:rPr>
        <w:t>2031(3).............................................</w:t>
      </w:r>
    </w:p>
    <w:p>
      <w:pPr>
        <w:ind w:left="224" w:hanging="181"/>
        <w:spacing w:after="0" w:line="237" w:lineRule="auto"/>
        <w:tabs>
          <w:tab w:leader="none" w:pos="22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line="237" w:lineRule="auto"/>
        <w:rPr>
          <w:sz w:val="20"/>
          <w:szCs w:val="20"/>
          <w:color w:val="auto"/>
        </w:rPr>
      </w:pPr>
      <w:r>
        <w:rPr>
          <w:rFonts w:ascii="Courier New" w:cs="Courier New" w:eastAsia="Courier New" w:hAnsi="Courier New"/>
          <w:sz w:val="16"/>
          <w:szCs w:val="16"/>
          <w:color w:val="auto"/>
        </w:rPr>
        <w:t>----------------------------- New Broadband Notes</w:t>
      </w:r>
    </w:p>
    <w:p>
      <w:pPr>
        <w:jc w:val="center"/>
        <w:ind w:right="5355"/>
        <w:spacing w:after="0"/>
        <w:rPr>
          <w:sz w:val="20"/>
          <w:szCs w:val="20"/>
          <w:color w:val="auto"/>
        </w:rPr>
      </w:pPr>
      <w:r>
        <w:rPr>
          <w:rFonts w:ascii="Courier New" w:cs="Courier New" w:eastAsia="Courier New" w:hAnsi="Courier New"/>
          <w:sz w:val="16"/>
          <w:szCs w:val="16"/>
          <w:color w:val="auto"/>
        </w:rPr>
        <w:t>issued upon exchange of the -- --</w:t>
      </w:r>
    </w:p>
    <w:p>
      <w:pPr>
        <w:ind w:left="4"/>
        <w:spacing w:after="0" w:line="238" w:lineRule="auto"/>
        <w:rPr>
          <w:sz w:val="20"/>
          <w:szCs w:val="20"/>
          <w:color w:val="auto"/>
        </w:rPr>
      </w:pPr>
      <w:r>
        <w:rPr>
          <w:rFonts w:ascii="Courier New" w:cs="Courier New" w:eastAsia="Courier New" w:hAnsi="Courier New"/>
          <w:sz w:val="16"/>
          <w:szCs w:val="16"/>
          <w:color w:val="auto"/>
        </w:rPr>
        <w:t>foregoing(4)........................................</w:t>
      </w:r>
    </w:p>
    <w:p>
      <w:pPr>
        <w:ind w:left="224" w:hanging="181"/>
        <w:spacing w:after="0"/>
        <w:tabs>
          <w:tab w:leader="none" w:pos="22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line="237" w:lineRule="auto"/>
        <w:rPr>
          <w:sz w:val="20"/>
          <w:szCs w:val="20"/>
          <w:color w:val="auto"/>
        </w:rPr>
      </w:pPr>
      <w:r>
        <w:rPr>
          <w:rFonts w:ascii="Courier New" w:cs="Courier New" w:eastAsia="Courier New" w:hAnsi="Courier New"/>
          <w:sz w:val="16"/>
          <w:szCs w:val="16"/>
          <w:color w:val="auto"/>
        </w:rPr>
        <w:t>----------------------------- Guarantees of the New</w:t>
      </w:r>
    </w:p>
    <w:p>
      <w:pPr>
        <w:ind w:left="44"/>
        <w:spacing w:after="0"/>
        <w:rPr>
          <w:sz w:val="20"/>
          <w:szCs w:val="20"/>
          <w:color w:val="auto"/>
        </w:rPr>
      </w:pPr>
      <w:r>
        <w:rPr>
          <w:rFonts w:ascii="Courier New" w:cs="Courier New" w:eastAsia="Courier New" w:hAnsi="Courier New"/>
          <w:sz w:val="16"/>
          <w:szCs w:val="16"/>
          <w:color w:val="auto"/>
        </w:rPr>
        <w:t>Broadband Notes(4)............. -- -- - -----------</w:t>
      </w:r>
    </w:p>
    <w:p>
      <w:pPr>
        <w:ind w:left="44"/>
        <w:spacing w:after="0" w:line="238" w:lineRule="auto"/>
        <w:rPr>
          <w:sz w:val="20"/>
          <w:szCs w:val="20"/>
          <w:color w:val="auto"/>
        </w:rPr>
      </w:pPr>
      <w:r>
        <w:rPr>
          <w:rFonts w:ascii="Courier New" w:cs="Courier New" w:eastAsia="Courier New" w:hAnsi="Courier New"/>
          <w:sz w:val="16"/>
          <w:szCs w:val="16"/>
          <w:color w:val="auto"/>
        </w:rPr>
        <w:t>---------------------------------------------------</w:t>
      </w:r>
    </w:p>
    <w:p>
      <w:pPr>
        <w:ind w:left="44"/>
        <w:spacing w:after="0"/>
        <w:rPr>
          <w:sz w:val="20"/>
          <w:szCs w:val="20"/>
          <w:color w:val="auto"/>
        </w:rPr>
      </w:pPr>
      <w:r>
        <w:rPr>
          <w:rFonts w:ascii="Courier New" w:cs="Courier New" w:eastAsia="Courier New" w:hAnsi="Courier New"/>
          <w:sz w:val="16"/>
          <w:szCs w:val="16"/>
          <w:color w:val="auto"/>
        </w:rPr>
        <w:t>---------------------------------------------------</w:t>
      </w:r>
    </w:p>
    <w:p>
      <w:pPr>
        <w:ind w:left="284"/>
        <w:spacing w:after="0" w:line="238" w:lineRule="auto"/>
        <w:rPr>
          <w:sz w:val="20"/>
          <w:szCs w:val="20"/>
          <w:color w:val="auto"/>
        </w:rPr>
      </w:pPr>
      <w:r>
        <w:rPr>
          <w:rFonts w:ascii="Courier New" w:cs="Courier New" w:eastAsia="Courier New" w:hAnsi="Courier New"/>
          <w:sz w:val="16"/>
          <w:szCs w:val="16"/>
          <w:color w:val="auto"/>
        </w:rPr>
        <w:t>---------------- New Notes Due 2004 (Series 1)</w:t>
      </w:r>
    </w:p>
    <w:p>
      <w:pPr>
        <w:ind w:left="44"/>
        <w:spacing w:after="0"/>
        <w:rPr>
          <w:sz w:val="20"/>
          <w:szCs w:val="20"/>
          <w:color w:val="auto"/>
        </w:rPr>
      </w:pPr>
      <w:r>
        <w:rPr>
          <w:rFonts w:ascii="Courier New" w:cs="Courier New" w:eastAsia="Courier New" w:hAnsi="Courier New"/>
          <w:sz w:val="16"/>
          <w:szCs w:val="16"/>
          <w:color w:val="auto"/>
        </w:rPr>
        <w:t>(5)..................... - ------------------------</w:t>
      </w:r>
    </w:p>
    <w:p>
      <w:pPr>
        <w:ind w:left="364"/>
        <w:spacing w:after="0" w:line="237" w:lineRule="auto"/>
        <w:rPr>
          <w:sz w:val="20"/>
          <w:szCs w:val="20"/>
          <w:color w:val="auto"/>
        </w:rPr>
      </w:pPr>
      <w:r>
        <w:rPr>
          <w:rFonts w:ascii="Courier New" w:cs="Courier New" w:eastAsia="Courier New" w:hAnsi="Courier New"/>
          <w:sz w:val="16"/>
          <w:szCs w:val="16"/>
          <w:color w:val="auto"/>
        </w:rPr>
        <w:t>----------------------------- New Notes 2004</w:t>
      </w:r>
    </w:p>
    <w:p>
      <w:pPr>
        <w:ind w:left="44"/>
        <w:spacing w:after="0"/>
        <w:rPr>
          <w:sz w:val="20"/>
          <w:szCs w:val="20"/>
          <w:color w:val="auto"/>
        </w:rPr>
      </w:pPr>
      <w:r>
        <w:rPr>
          <w:rFonts w:ascii="Courier New" w:cs="Courier New" w:eastAsia="Courier New" w:hAnsi="Courier New"/>
          <w:sz w:val="16"/>
          <w:szCs w:val="16"/>
          <w:color w:val="auto"/>
        </w:rPr>
        <w:t>(Series 2)(5)......................... - ----------</w:t>
      </w:r>
    </w:p>
    <w:p>
      <w:pPr>
        <w:ind w:left="224"/>
        <w:spacing w:after="0" w:line="238" w:lineRule="auto"/>
        <w:rPr>
          <w:sz w:val="20"/>
          <w:szCs w:val="20"/>
          <w:color w:val="auto"/>
        </w:rPr>
      </w:pPr>
      <w:r>
        <w:rPr>
          <w:rFonts w:ascii="Courier New" w:cs="Courier New" w:eastAsia="Courier New" w:hAnsi="Courier New"/>
          <w:sz w:val="16"/>
          <w:szCs w:val="16"/>
          <w:color w:val="auto"/>
        </w:rPr>
        <w:t>------------------------------------------- New</w:t>
      </w:r>
    </w:p>
    <w:p>
      <w:pPr>
        <w:jc w:val="center"/>
        <w:ind w:right="5355"/>
        <w:spacing w:after="0"/>
        <w:rPr>
          <w:sz w:val="20"/>
          <w:szCs w:val="20"/>
          <w:color w:val="auto"/>
        </w:rPr>
      </w:pPr>
      <w:r>
        <w:rPr>
          <w:rFonts w:ascii="Courier New" w:cs="Courier New" w:eastAsia="Courier New" w:hAnsi="Courier New"/>
          <w:sz w:val="16"/>
          <w:szCs w:val="16"/>
          <w:color w:val="auto"/>
        </w:rPr>
        <w:t>Medium-Term Notes, Series A Due May 15,</w:t>
      </w:r>
    </w:p>
    <w:p>
      <w:pPr>
        <w:ind w:left="4"/>
        <w:spacing w:after="0" w:line="238" w:lineRule="auto"/>
        <w:rPr>
          <w:sz w:val="20"/>
          <w:szCs w:val="20"/>
          <w:color w:val="auto"/>
        </w:rPr>
      </w:pPr>
      <w:r>
        <w:rPr>
          <w:rFonts w:ascii="Courier New" w:cs="Courier New" w:eastAsia="Courier New" w:hAnsi="Courier New"/>
          <w:sz w:val="16"/>
          <w:szCs w:val="16"/>
          <w:color w:val="auto"/>
        </w:rPr>
        <w:t>2025(5).............................................</w:t>
      </w:r>
    </w:p>
    <w:p>
      <w:pPr>
        <w:ind w:left="224" w:hanging="181"/>
        <w:spacing w:after="0"/>
        <w:tabs>
          <w:tab w:leader="none" w:pos="22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584" w:right="5539" w:hanging="1400"/>
        <w:spacing w:after="0" w:line="236" w:lineRule="auto"/>
        <w:tabs>
          <w:tab w:leader="none" w:pos="646"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Medium-Term Notes, Series A Due May 15, $4,399,431,530 N/A</w:t>
      </w:r>
    </w:p>
    <w:p>
      <w:pPr>
        <w:ind w:left="4"/>
        <w:spacing w:after="0"/>
        <w:rPr>
          <w:sz w:val="20"/>
          <w:szCs w:val="20"/>
          <w:color w:val="auto"/>
        </w:rPr>
      </w:pPr>
      <w:r>
        <w:rPr>
          <w:rFonts w:ascii="Courier New" w:cs="Courier New" w:eastAsia="Courier New" w:hAnsi="Courier New"/>
          <w:sz w:val="16"/>
          <w:szCs w:val="16"/>
          <w:color w:val="auto"/>
        </w:rPr>
        <w:t>2025(5).............................................</w:t>
      </w:r>
    </w:p>
    <w:p>
      <w:pPr>
        <w:ind w:left="224" w:hanging="181"/>
        <w:spacing w:after="0" w:line="237" w:lineRule="auto"/>
        <w:tabs>
          <w:tab w:leader="none" w:pos="22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064" w:hanging="473"/>
        <w:spacing w:after="0"/>
        <w:tabs>
          <w:tab w:leader="none" w:pos="2064"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Notes Due</w:t>
      </w:r>
    </w:p>
    <w:p>
      <w:pPr>
        <w:ind w:left="44"/>
        <w:spacing w:after="0" w:line="237" w:lineRule="auto"/>
        <w:rPr>
          <w:sz w:val="20"/>
          <w:szCs w:val="20"/>
          <w:color w:val="auto"/>
        </w:rPr>
      </w:pPr>
      <w:r>
        <w:rPr>
          <w:rFonts w:ascii="Courier New" w:cs="Courier New" w:eastAsia="Courier New" w:hAnsi="Courier New"/>
          <w:sz w:val="16"/>
          <w:szCs w:val="16"/>
          <w:color w:val="auto"/>
        </w:rPr>
        <w:t>2013(5)................................ - ---------</w:t>
      </w:r>
    </w:p>
    <w:p>
      <w:pPr>
        <w:ind w:left="184"/>
        <w:spacing w:after="0"/>
        <w:rPr>
          <w:sz w:val="20"/>
          <w:szCs w:val="20"/>
          <w:color w:val="auto"/>
        </w:rPr>
      </w:pPr>
      <w:r>
        <w:rPr>
          <w:rFonts w:ascii="Courier New" w:cs="Courier New" w:eastAsia="Courier New" w:hAnsi="Courier New"/>
          <w:sz w:val="16"/>
          <w:szCs w:val="16"/>
          <w:color w:val="auto"/>
        </w:rPr>
        <w:t>-------------------------------------------- FRN</w:t>
      </w:r>
    </w:p>
    <w:p>
      <w:pPr>
        <w:ind w:left="44"/>
        <w:spacing w:after="0" w:line="238" w:lineRule="auto"/>
        <w:rPr>
          <w:sz w:val="20"/>
          <w:szCs w:val="20"/>
          <w:color w:val="auto"/>
        </w:rPr>
      </w:pPr>
      <w:r>
        <w:rPr>
          <w:rFonts w:ascii="Courier New" w:cs="Courier New" w:eastAsia="Courier New" w:hAnsi="Courier New"/>
          <w:sz w:val="16"/>
          <w:szCs w:val="16"/>
          <w:color w:val="auto"/>
        </w:rPr>
        <w:t>Medium-Term Notes, Series A Due 2054(5).......... -</w:t>
      </w:r>
    </w:p>
    <w:p>
      <w:pPr>
        <w:ind w:left="44"/>
        <w:spacing w:after="0"/>
        <w:rPr>
          <w:sz w:val="20"/>
          <w:szCs w:val="20"/>
          <w:color w:val="auto"/>
        </w:rPr>
      </w:pPr>
      <w:r>
        <w:rPr>
          <w:rFonts w:ascii="Courier New" w:cs="Courier New" w:eastAsia="Courier New" w:hAnsi="Courier New"/>
          <w:sz w:val="16"/>
          <w:szCs w:val="16"/>
          <w:color w:val="auto"/>
        </w:rPr>
        <w:t>---------------------------------------------------</w:t>
      </w:r>
    </w:p>
    <w:p>
      <w:pPr>
        <w:ind w:left="44"/>
        <w:spacing w:after="0" w:line="238" w:lineRule="auto"/>
        <w:rPr>
          <w:sz w:val="20"/>
          <w:szCs w:val="20"/>
          <w:color w:val="auto"/>
        </w:rPr>
      </w:pPr>
      <w:r>
        <w:rPr>
          <w:rFonts w:ascii="Courier New" w:cs="Courier New" w:eastAsia="Courier New" w:hAnsi="Courier New"/>
          <w:sz w:val="16"/>
          <w:szCs w:val="16"/>
          <w:color w:val="auto"/>
        </w:rPr>
        <w:t>---------------------------------------------------</w:t>
      </w:r>
    </w:p>
    <w:p>
      <w:pPr>
        <w:ind w:left="1164"/>
        <w:spacing w:after="0"/>
        <w:rPr>
          <w:sz w:val="20"/>
          <w:szCs w:val="20"/>
          <w:color w:val="auto"/>
        </w:rPr>
      </w:pPr>
      <w:r>
        <w:rPr>
          <w:rFonts w:ascii="Courier New" w:cs="Courier New" w:eastAsia="Courier New" w:hAnsi="Courier New"/>
          <w:sz w:val="16"/>
          <w:szCs w:val="16"/>
          <w:color w:val="auto"/>
        </w:rPr>
        <w:t>---------------------------</w:t>
      </w:r>
    </w:p>
    <w:p>
      <w:pPr>
        <w:ind w:left="84"/>
        <w:spacing w:after="0" w:line="237" w:lineRule="auto"/>
        <w:rPr>
          <w:sz w:val="20"/>
          <w:szCs w:val="20"/>
          <w:color w:val="auto"/>
        </w:rPr>
      </w:pPr>
      <w:r>
        <w:rPr>
          <w:rFonts w:ascii="Courier New" w:cs="Courier New" w:eastAsia="Courier New" w:hAnsi="Courier New"/>
          <w:sz w:val="16"/>
          <w:szCs w:val="16"/>
          <w:color w:val="auto"/>
        </w:rPr>
        <w:t>TOTAL.............................................</w:t>
      </w:r>
    </w:p>
    <w:p>
      <w:pPr>
        <w:ind w:left="44"/>
        <w:spacing w:after="0"/>
        <w:rPr>
          <w:sz w:val="20"/>
          <w:szCs w:val="20"/>
          <w:color w:val="auto"/>
        </w:rPr>
      </w:pPr>
      <w:r>
        <w:rPr>
          <w:rFonts w:ascii="Courier New" w:cs="Courier New" w:eastAsia="Courier New" w:hAnsi="Courier New"/>
          <w:sz w:val="16"/>
          <w:szCs w:val="16"/>
          <w:color w:val="auto"/>
        </w:rPr>
        <w:t>$7,861,017,655 $79,963 - --------------------------</w:t>
      </w:r>
    </w:p>
    <w:p>
      <w:pPr>
        <w:ind w:left="44"/>
        <w:spacing w:after="0" w:line="238" w:lineRule="auto"/>
        <w:rPr>
          <w:sz w:val="20"/>
          <w:szCs w:val="20"/>
          <w:color w:val="auto"/>
        </w:rPr>
      </w:pPr>
      <w:r>
        <w:rPr>
          <w:rFonts w:ascii="Courier New" w:cs="Courier New" w:eastAsia="Courier New" w:hAnsi="Courier New"/>
          <w:sz w:val="16"/>
          <w:szCs w:val="16"/>
          <w:color w:val="auto"/>
        </w:rPr>
        <w:t>---------------------------------------------------</w:t>
      </w:r>
    </w:p>
    <w:p>
      <w:pPr>
        <w:ind w:left="44"/>
        <w:spacing w:after="0"/>
        <w:rPr>
          <w:sz w:val="20"/>
          <w:szCs w:val="20"/>
          <w:color w:val="auto"/>
        </w:rPr>
      </w:pPr>
      <w:r>
        <w:rPr>
          <w:rFonts w:ascii="Courier New" w:cs="Courier New" w:eastAsia="Courier New" w:hAnsi="Courier New"/>
          <w:sz w:val="16"/>
          <w:szCs w:val="16"/>
          <w:color w:val="auto"/>
        </w:rPr>
        <w:t>---------------------------------------------------</w:t>
      </w:r>
    </w:p>
    <w:p>
      <w:pPr>
        <w:ind w:left="2384"/>
        <w:spacing w:after="0" w:line="238"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384" w:right="2719" w:hanging="384"/>
        <w:spacing w:after="0" w:line="238"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relates to an exchange offer for certain outstanding securities of AT&amp;T Corp. ("AT&amp;T"). The securities registered hereby to be initially issued in the exchange offer will have identical terms, including as to maturity and interest rate, as the securities tendered in the exchange offer, except that (a) those securities issued in the exchange offer and identified in note (3) will be co-obligations of AT&amp;T and AT&amp;T Broadband Corp. ("Broadband") and mandatorily exchanged upon completion of the AT&amp;T Comcast transaction (as described herein) for New Broadband Notes with the terms, including as to interest rate and maturity, as described herein, and (b) those securities issued in the exchange offer and identified in note (5) will provide for a change in interest rate and/or maturity date, as described herein, upon completion of the AT&amp;T Comcast transaction.</w:t>
      </w:r>
    </w:p>
    <w:p>
      <w:pPr>
        <w:spacing w:after="0" w:line="188" w:lineRule="exact"/>
        <w:rPr>
          <w:rFonts w:ascii="Courier New" w:cs="Courier New" w:eastAsia="Courier New" w:hAnsi="Courier New"/>
          <w:sz w:val="16"/>
          <w:szCs w:val="16"/>
          <w:color w:val="auto"/>
        </w:rPr>
      </w:pPr>
    </w:p>
    <w:p>
      <w:pPr>
        <w:ind w:left="384" w:right="2719" w:hanging="384"/>
        <w:spacing w:after="0" w:line="255" w:lineRule="auto"/>
        <w:tabs>
          <w:tab w:leader="none" w:pos="38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fee paid herewith (to be deducted from AT&amp;T Corp.'s account) was calculated pursuant to Rule 457(f) based on the average of the high and low prices reported on the New York Stock Exchange as of September 30, 2002 of $869,162,625 of additional securities to be cancelled in the exchange as a result of an increase in the previously estimated percentage to 65% from the 50% proration percentage previously estimated. The registration fee previously paid was calculated pursuant to Rule 457(f) based on the average of the high and low prices reported on the New York Stock Exchange as of August 6, 2002 of the securities to be cancelled in the exchange (after giving effect to proration) which are listed on the New York Stock Exchange and the average of the bid and asked price for the other securities to be cancelled in the exchange, and was estimated solely for the purpose of calculating the amount of the registration fee. In addition, this registration statement includes such presently indeterminable principal amount of New Broadband Notes (consisting of Notes Due 2013 and Notes Due 2022) as may be issuable upon mandatory exchange of the securities identified in note (3) upon completion of the AT&amp;T Comcast transaction.</w:t>
      </w:r>
    </w:p>
    <w:p>
      <w:pPr>
        <w:spacing w:after="0" w:line="177" w:lineRule="exact"/>
        <w:rPr>
          <w:rFonts w:ascii="Courier New" w:cs="Courier New" w:eastAsia="Courier New" w:hAnsi="Courier New"/>
          <w:sz w:val="15"/>
          <w:szCs w:val="15"/>
          <w:color w:val="auto"/>
        </w:rPr>
      </w:pPr>
    </w:p>
    <w:p>
      <w:pPr>
        <w:ind w:left="384" w:right="2899" w:hanging="384"/>
        <w:spacing w:after="0" w:line="263" w:lineRule="auto"/>
        <w:tabs>
          <w:tab w:leader="none" w:pos="38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securities will be co-obligations of AT&amp;T and Broadband, mandatorily exchangeable upon completion of the AT&amp;T Comcast transaction for the New</w:t>
      </w:r>
    </w:p>
    <w:p>
      <w:pPr>
        <w:sectPr>
          <w:pgSz w:w="11900" w:h="16838" w:orient="portrait"/>
          <w:cols w:equalWidth="0" w:num="1">
            <w:col w:w="10223"/>
          </w:cols>
          <w:pgMar w:left="236" w:top="137" w:right="1440" w:bottom="0" w:gutter="0" w:footer="0" w:header="0"/>
        </w:sectPr>
      </w:pPr>
    </w:p>
    <w:bookmarkStart w:id="2" w:name="page3"/>
    <w:bookmarkEnd w:id="2"/>
    <w:p>
      <w:pPr>
        <w:ind w:left="384" w:right="2819"/>
        <w:spacing w:after="0" w:line="237" w:lineRule="auto"/>
        <w:rPr>
          <w:sz w:val="20"/>
          <w:szCs w:val="20"/>
          <w:color w:val="auto"/>
        </w:rPr>
      </w:pPr>
      <w:r>
        <w:rPr>
          <w:rFonts w:ascii="Courier New" w:cs="Courier New" w:eastAsia="Courier New" w:hAnsi="Courier New"/>
          <w:sz w:val="16"/>
          <w:szCs w:val="16"/>
          <w:color w:val="auto"/>
        </w:rPr>
        <w:t>Broadband Notes, which will be obligations only of Broadband and which will be fully and unconditionally guaranteed by Comcast Cable Communications, Inc., AT&amp;T Comcast Corporation, MediaOne Group, Inc. and AT&amp;T Broadband, LLC.</w:t>
      </w:r>
    </w:p>
    <w:p>
      <w:pPr>
        <w:spacing w:after="0" w:line="6" w:lineRule="exact"/>
        <w:rPr>
          <w:sz w:val="20"/>
          <w:szCs w:val="20"/>
          <w:color w:val="auto"/>
        </w:rPr>
      </w:pPr>
    </w:p>
    <w:p>
      <w:pPr>
        <w:ind w:left="384" w:right="2999" w:hanging="384"/>
        <w:spacing w:after="0" w:line="237"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registration fee is payable in connection with the New Broadband Notes pursuant to Rule 457(i) or in connection with the Guarantees pursuant to Rule 457(n).</w:t>
      </w:r>
    </w:p>
    <w:p>
      <w:pPr>
        <w:ind w:left="384" w:hanging="384"/>
        <w:spacing w:after="0"/>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securities will be obligations only of AT&amp;T.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HEREBY AMEND THIS REGISTRATION STATEMENT ON SUCH DATE OR</w:t>
      </w:r>
    </w:p>
    <w:p>
      <w:pPr>
        <w:spacing w:after="0" w:line="3"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8" w:lineRule="exact"/>
        <w:rPr>
          <w:sz w:val="20"/>
          <w:szCs w:val="20"/>
          <w:color w:val="auto"/>
        </w:rPr>
      </w:pPr>
    </w:p>
    <w:p>
      <w:pPr>
        <w:ind w:left="184" w:hanging="184"/>
        <w:spacing w:after="0"/>
        <w:tabs>
          <w:tab w:leader="none" w:pos="18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3"/>
          </w:cols>
          <w:pgMar w:left="236" w:top="142" w:right="1440" w:bottom="1440" w:gutter="0" w:footer="0" w:header="0"/>
        </w:sectPr>
      </w:pPr>
    </w:p>
    <w:bookmarkStart w:id="3" w:name="page4"/>
    <w:bookmarkEnd w:id="3"/>
    <w:p>
      <w:pPr>
        <w:spacing w:after="0" w:line="71" w:lineRule="exact"/>
        <w:rPr>
          <w:sz w:val="20"/>
          <w:szCs w:val="20"/>
          <w:color w:val="auto"/>
        </w:rPr>
      </w:pPr>
    </w:p>
    <w:p>
      <w:pPr>
        <w:ind w:left="184" w:hanging="184"/>
        <w:spacing w:after="0"/>
        <w:tabs>
          <w:tab w:leader="none" w:pos="1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6"/>
          <w:szCs w:val="16"/>
          <w:color w:val="auto"/>
        </w:rPr>
        <w:t>ADDITIONAL REGISTRANTS</w:t>
      </w:r>
    </w:p>
    <w:p>
      <w:pPr>
        <w:spacing w:after="0" w:line="179"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6"/>
          <w:szCs w:val="16"/>
          <w:color w:val="auto"/>
        </w:rPr>
        <w:t>AT&amp;T BROADBAND CORP.</w:t>
      </w:r>
    </w:p>
    <w:p>
      <w:pPr>
        <w:jc w:val="center"/>
        <w:ind w:right="393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0"/>
          <w:szCs w:val="20"/>
          <w:color w:val="auto"/>
        </w:rPr>
      </w:pPr>
    </w:p>
    <w:p>
      <w:pPr>
        <w:spacing w:after="0" w:line="339" w:lineRule="exact"/>
        <w:rPr>
          <w:sz w:val="20"/>
          <w:szCs w:val="20"/>
          <w:color w:val="auto"/>
        </w:rPr>
      </w:pPr>
    </w:p>
    <w:tbl>
      <w:tblPr>
        <w:tblLayout w:type="fixed"/>
        <w:tblInd w:w="104" w:type="dxa"/>
        <w:tblCellMar>
          <w:top w:w="0" w:type="dxa"/>
          <w:left w:w="0" w:type="dxa"/>
          <w:bottom w:w="0" w:type="dxa"/>
          <w:right w:w="0" w:type="dxa"/>
        </w:tblCellMar>
      </w:tblPr>
      <w:tr>
        <w:trPr>
          <w:trHeight w:val="181"/>
        </w:trPr>
        <w:tc>
          <w:tcPr>
            <w:tcW w:w="4360" w:type="dxa"/>
            <w:vAlign w:val="bottom"/>
          </w:tcPr>
          <w:p>
            <w:pPr>
              <w:jc w:val="center"/>
              <w:ind w:right="742"/>
              <w:spacing w:after="0"/>
              <w:rPr>
                <w:sz w:val="20"/>
                <w:szCs w:val="20"/>
                <w:color w:val="auto"/>
              </w:rPr>
            </w:pPr>
            <w:r>
              <w:rPr>
                <w:rFonts w:ascii="Courier New" w:cs="Courier New" w:eastAsia="Courier New" w:hAnsi="Courier New"/>
                <w:sz w:val="16"/>
                <w:szCs w:val="16"/>
                <w:color w:val="auto"/>
                <w:w w:val="96"/>
              </w:rPr>
              <w:t>DELAWARE</w:t>
            </w:r>
          </w:p>
        </w:tc>
        <w:tc>
          <w:tcPr>
            <w:tcW w:w="328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4841</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04-3592397</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(State or other jurisdiction of</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8"/>
              </w:rPr>
              <w:t>(Primary Standard Industrial</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Classification Code Number)</w:t>
            </w:r>
          </w:p>
        </w:tc>
        <w:tc>
          <w:tcPr>
            <w:tcW w:w="3700" w:type="dxa"/>
            <w:vAlign w:val="bottom"/>
          </w:tcPr>
          <w:p>
            <w:pPr>
              <w:spacing w:after="0"/>
              <w:rPr>
                <w:sz w:val="15"/>
                <w:szCs w:val="15"/>
                <w:color w:val="auto"/>
              </w:rPr>
            </w:pPr>
          </w:p>
        </w:tc>
      </w:tr>
      <w:tr>
        <w:trPr>
          <w:trHeight w:val="54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188 INVERNESS DRIVE WEST</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8"/>
              </w:rPr>
              <w:t>ENGLEWOOD, COLORADO 80112</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(303) 858-3000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(Address, including zip code, and telephone number, including area code, of</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registrant's principal executive offices)</w:t>
            </w:r>
          </w:p>
        </w:tc>
        <w:tc>
          <w:tcPr>
            <w:tcW w:w="3700" w:type="dxa"/>
            <w:vAlign w:val="bottom"/>
          </w:tcPr>
          <w:p>
            <w:pPr>
              <w:spacing w:after="0"/>
              <w:rPr>
                <w:sz w:val="15"/>
                <w:szCs w:val="15"/>
                <w:color w:val="auto"/>
              </w:rPr>
            </w:pPr>
          </w:p>
        </w:tc>
      </w:tr>
      <w:tr>
        <w:trPr>
          <w:trHeight w:val="361"/>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ROBERT S. FEIT</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VICE PRESIDENT AND ASSISTANT SECRETARY</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C/O AT&amp;T CORP.</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900 ROUTES 202/206 NORTH</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BEDMINSTER, NEW JERSEY 07921</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(908) 221-2000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(Name, address, including zip code, and telephone number, including area code,</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of agent for service)</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6"/>
              </w:rPr>
              <w:t>MEDIAONE GROUP, INC.</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(Exact name of registrant as specified in its charter)</w:t>
            </w:r>
          </w:p>
        </w:tc>
        <w:tc>
          <w:tcPr>
            <w:tcW w:w="3700" w:type="dxa"/>
            <w:vAlign w:val="bottom"/>
          </w:tcPr>
          <w:p>
            <w:pPr>
              <w:spacing w:after="0"/>
              <w:rPr>
                <w:sz w:val="15"/>
                <w:szCs w:val="15"/>
                <w:color w:val="auto"/>
              </w:rPr>
            </w:pPr>
          </w:p>
        </w:tc>
      </w:tr>
      <w:tr>
        <w:trPr>
          <w:trHeight w:val="721"/>
        </w:trPr>
        <w:tc>
          <w:tcPr>
            <w:tcW w:w="4360" w:type="dxa"/>
            <w:vAlign w:val="bottom"/>
          </w:tcPr>
          <w:p>
            <w:pPr>
              <w:jc w:val="center"/>
              <w:ind w:right="742"/>
              <w:spacing w:after="0"/>
              <w:rPr>
                <w:sz w:val="20"/>
                <w:szCs w:val="20"/>
                <w:color w:val="auto"/>
              </w:rPr>
            </w:pPr>
            <w:r>
              <w:rPr>
                <w:rFonts w:ascii="Courier New" w:cs="Courier New" w:eastAsia="Courier New" w:hAnsi="Courier New"/>
                <w:sz w:val="16"/>
                <w:szCs w:val="16"/>
                <w:color w:val="auto"/>
                <w:w w:val="96"/>
              </w:rPr>
              <w:t>DELAWARE</w:t>
            </w:r>
          </w:p>
        </w:tc>
        <w:tc>
          <w:tcPr>
            <w:tcW w:w="328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4841</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84-0926774</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(State or other jurisdiction of</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8"/>
              </w:rPr>
              <w:t>(Primary Standard Industrial</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Classification Code Number)</w:t>
            </w:r>
          </w:p>
        </w:tc>
        <w:tc>
          <w:tcPr>
            <w:tcW w:w="3700" w:type="dxa"/>
            <w:vAlign w:val="bottom"/>
          </w:tcPr>
          <w:p>
            <w:pPr>
              <w:spacing w:after="0"/>
              <w:rPr>
                <w:sz w:val="15"/>
                <w:szCs w:val="15"/>
                <w:color w:val="auto"/>
              </w:rPr>
            </w:pPr>
          </w:p>
        </w:tc>
      </w:tr>
      <w:tr>
        <w:trPr>
          <w:trHeight w:val="54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188 INVERNESS DRIVE WEST</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8"/>
              </w:rPr>
              <w:t>ENGLEWOOD, COLORADO 80112</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(303) 858-3000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(Address, including zip code, and telephone number, including area code, of</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registrant's principal executive offices)</w:t>
            </w:r>
          </w:p>
        </w:tc>
        <w:tc>
          <w:tcPr>
            <w:tcW w:w="3700" w:type="dxa"/>
            <w:vAlign w:val="bottom"/>
          </w:tcPr>
          <w:p>
            <w:pPr>
              <w:spacing w:after="0"/>
              <w:rPr>
                <w:sz w:val="15"/>
                <w:szCs w:val="15"/>
                <w:color w:val="auto"/>
              </w:rPr>
            </w:pPr>
          </w:p>
        </w:tc>
      </w:tr>
      <w:tr>
        <w:trPr>
          <w:trHeight w:val="361"/>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ROBERT S. FEIT</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7"/>
              </w:rPr>
              <w:t>AT&amp;T CORP.</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900 ROUTES 202/206 NORTH</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6"/>
              </w:rPr>
              <w:t>BEDMINSTER, NJ 07921</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(908) 221-2000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(Name, address, including zip code, and telephone number, including area code,</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of agent for service)</w:t>
            </w:r>
          </w:p>
        </w:tc>
        <w:tc>
          <w:tcPr>
            <w:tcW w:w="3700" w:type="dxa"/>
            <w:vAlign w:val="bottom"/>
          </w:tcPr>
          <w:p>
            <w:pPr>
              <w:spacing w:after="0"/>
              <w:rPr>
                <w:sz w:val="15"/>
                <w:szCs w:val="15"/>
                <w:color w:val="auto"/>
              </w:rPr>
            </w:pPr>
          </w:p>
        </w:tc>
      </w:tr>
      <w:tr>
        <w:trPr>
          <w:trHeight w:val="361"/>
        </w:trPr>
        <w:tc>
          <w:tcPr>
            <w:tcW w:w="7640" w:type="dxa"/>
            <w:vAlign w:val="bottom"/>
            <w:gridSpan w:val="2"/>
          </w:tcPr>
          <w:p>
            <w:pPr>
              <w:jc w:val="center"/>
              <w:ind w:right="342"/>
              <w:spacing w:after="0"/>
              <w:rPr>
                <w:sz w:val="20"/>
                <w:szCs w:val="20"/>
                <w:color w:val="auto"/>
              </w:rPr>
            </w:pPr>
            <w:r>
              <w:rPr>
                <w:rFonts w:ascii="Courier New" w:cs="Courier New" w:eastAsia="Courier New" w:hAnsi="Courier New"/>
                <w:sz w:val="16"/>
                <w:szCs w:val="16"/>
                <w:color w:val="auto"/>
                <w:w w:val="97"/>
              </w:rPr>
              <w:t>AT&amp;T BROADBAND, LLC</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(Exact name of registrant as specified in its charter)</w:t>
            </w:r>
          </w:p>
        </w:tc>
        <w:tc>
          <w:tcPr>
            <w:tcW w:w="3700" w:type="dxa"/>
            <w:vAlign w:val="bottom"/>
          </w:tcPr>
          <w:p>
            <w:pPr>
              <w:spacing w:after="0"/>
              <w:rPr>
                <w:sz w:val="15"/>
                <w:szCs w:val="15"/>
                <w:color w:val="auto"/>
              </w:rPr>
            </w:pPr>
          </w:p>
        </w:tc>
      </w:tr>
      <w:tr>
        <w:trPr>
          <w:trHeight w:val="721"/>
        </w:trPr>
        <w:tc>
          <w:tcPr>
            <w:tcW w:w="4360" w:type="dxa"/>
            <w:vAlign w:val="bottom"/>
          </w:tcPr>
          <w:p>
            <w:pPr>
              <w:jc w:val="center"/>
              <w:ind w:right="742"/>
              <w:spacing w:after="0"/>
              <w:rPr>
                <w:sz w:val="20"/>
                <w:szCs w:val="20"/>
                <w:color w:val="auto"/>
              </w:rPr>
            </w:pPr>
            <w:r>
              <w:rPr>
                <w:rFonts w:ascii="Courier New" w:cs="Courier New" w:eastAsia="Courier New" w:hAnsi="Courier New"/>
                <w:sz w:val="16"/>
                <w:szCs w:val="16"/>
                <w:color w:val="auto"/>
                <w:w w:val="96"/>
              </w:rPr>
              <w:t>DELAWARE</w:t>
            </w:r>
          </w:p>
        </w:tc>
        <w:tc>
          <w:tcPr>
            <w:tcW w:w="328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4841</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84-1260157</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(State or other jurisdiction of</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8"/>
              </w:rPr>
              <w:t>(Primary Standard Industrial</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Classification Code Number)</w:t>
            </w:r>
          </w:p>
        </w:tc>
        <w:tc>
          <w:tcPr>
            <w:tcW w:w="3700" w:type="dxa"/>
            <w:vAlign w:val="bottom"/>
          </w:tcPr>
          <w:p>
            <w:pPr>
              <w:spacing w:after="0"/>
              <w:rPr>
                <w:sz w:val="15"/>
                <w:szCs w:val="15"/>
                <w:color w:val="auto"/>
              </w:rPr>
            </w:pPr>
          </w:p>
        </w:tc>
      </w:tr>
      <w:tr>
        <w:trPr>
          <w:trHeight w:val="54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188 INVERNESS DRIVE WEST</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8"/>
              </w:rPr>
              <w:t>ENGLEWOOD, COLORADO 80112</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(303) 858-3000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(Address, including zip code, and telephone number, including area code, of</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registrant's principal executive offices)</w:t>
            </w:r>
          </w:p>
        </w:tc>
        <w:tc>
          <w:tcPr>
            <w:tcW w:w="3700" w:type="dxa"/>
            <w:vAlign w:val="bottom"/>
          </w:tcPr>
          <w:p>
            <w:pPr>
              <w:spacing w:after="0"/>
              <w:rPr>
                <w:sz w:val="15"/>
                <w:szCs w:val="15"/>
                <w:color w:val="auto"/>
              </w:rPr>
            </w:pPr>
          </w:p>
        </w:tc>
      </w:tr>
      <w:tr>
        <w:trPr>
          <w:trHeight w:val="361"/>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ROBERT S. FEIT</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7"/>
              </w:rPr>
              <w:t>AT&amp;T CORP.</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900 ROUTES 202/206 NORTH</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6"/>
              </w:rPr>
              <w:t>BEDMINSTER, NJ 07921</w:t>
            </w:r>
          </w:p>
        </w:tc>
        <w:tc>
          <w:tcPr>
            <w:tcW w:w="3700" w:type="dxa"/>
            <w:vAlign w:val="bottom"/>
          </w:tcPr>
          <w:p>
            <w:pPr>
              <w:spacing w:after="0"/>
              <w:rPr>
                <w:sz w:val="15"/>
                <w:szCs w:val="15"/>
                <w:color w:val="auto"/>
              </w:rPr>
            </w:pPr>
          </w:p>
        </w:tc>
      </w:tr>
      <w:tr>
        <w:trPr>
          <w:trHeight w:val="180"/>
        </w:trPr>
        <w:tc>
          <w:tcPr>
            <w:tcW w:w="4360" w:type="dxa"/>
            <w:vAlign w:val="bottom"/>
          </w:tcPr>
          <w:p>
            <w:pPr>
              <w:jc w:val="center"/>
              <w:ind w:left="2862"/>
              <w:spacing w:after="0"/>
              <w:rPr>
                <w:sz w:val="20"/>
                <w:szCs w:val="20"/>
                <w:color w:val="auto"/>
              </w:rPr>
            </w:pPr>
            <w:r>
              <w:rPr>
                <w:rFonts w:ascii="Courier New" w:cs="Courier New" w:eastAsia="Courier New" w:hAnsi="Courier New"/>
                <w:sz w:val="16"/>
                <w:szCs w:val="16"/>
                <w:color w:val="auto"/>
                <w:w w:val="96"/>
              </w:rPr>
              <w:t>(908) 221-2000</w:t>
            </w:r>
          </w:p>
        </w:tc>
        <w:tc>
          <w:tcPr>
            <w:tcW w:w="32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(Name, address, including zip code, and telephone number, including area code,</w:t>
            </w:r>
          </w:p>
        </w:tc>
        <w:tc>
          <w:tcPr>
            <w:tcW w:w="3700" w:type="dxa"/>
            <w:vAlign w:val="bottom"/>
          </w:tcPr>
          <w:p>
            <w:pPr>
              <w:spacing w:after="0"/>
              <w:rPr>
                <w:sz w:val="15"/>
                <w:szCs w:val="15"/>
                <w:color w:val="auto"/>
              </w:rPr>
            </w:pPr>
          </w:p>
        </w:tc>
      </w:tr>
      <w:tr>
        <w:trPr>
          <w:trHeight w:val="180"/>
        </w:trPr>
        <w:tc>
          <w:tcPr>
            <w:tcW w:w="7640" w:type="dxa"/>
            <w:vAlign w:val="bottom"/>
            <w:gridSpan w:val="2"/>
          </w:tcPr>
          <w:p>
            <w:pPr>
              <w:jc w:val="center"/>
              <w:ind w:right="362"/>
              <w:spacing w:after="0"/>
              <w:rPr>
                <w:sz w:val="20"/>
                <w:szCs w:val="20"/>
                <w:color w:val="auto"/>
              </w:rPr>
            </w:pPr>
            <w:r>
              <w:rPr>
                <w:rFonts w:ascii="Courier New" w:cs="Courier New" w:eastAsia="Courier New" w:hAnsi="Courier New"/>
                <w:sz w:val="16"/>
                <w:szCs w:val="16"/>
                <w:color w:val="auto"/>
                <w:w w:val="97"/>
              </w:rPr>
              <w:t>of agent for service)</w:t>
            </w:r>
          </w:p>
        </w:tc>
        <w:tc>
          <w:tcPr>
            <w:tcW w:w="3700" w:type="dxa"/>
            <w:vAlign w:val="bottom"/>
          </w:tcPr>
          <w:p>
            <w:pPr>
              <w:spacing w:after="0"/>
              <w:rPr>
                <w:sz w:val="15"/>
                <w:szCs w:val="15"/>
                <w:color w:val="auto"/>
              </w:rPr>
            </w:pPr>
          </w:p>
        </w:tc>
      </w:tr>
      <w:tr>
        <w:trPr>
          <w:trHeight w:val="361"/>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8"/>
              </w:rPr>
              <w:t>AT&amp;T COMCAST CORPORATION</w:t>
            </w:r>
          </w:p>
        </w:tc>
        <w:tc>
          <w:tcPr>
            <w:tcW w:w="3700" w:type="dxa"/>
            <w:vAlign w:val="bottom"/>
          </w:tcPr>
          <w:p>
            <w:pPr>
              <w:spacing w:after="0"/>
              <w:rPr>
                <w:sz w:val="24"/>
                <w:szCs w:val="24"/>
                <w:color w:val="auto"/>
              </w:rPr>
            </w:pPr>
          </w:p>
        </w:tc>
      </w:tr>
      <w:tr>
        <w:trPr>
          <w:trHeight w:val="180"/>
        </w:trPr>
        <w:tc>
          <w:tcPr>
            <w:tcW w:w="7640" w:type="dxa"/>
            <w:vAlign w:val="bottom"/>
            <w:gridSpan w:val="2"/>
          </w:tcPr>
          <w:p>
            <w:pPr>
              <w:jc w:val="center"/>
              <w:ind w:right="262"/>
              <w:spacing w:after="0"/>
              <w:rPr>
                <w:sz w:val="20"/>
                <w:szCs w:val="20"/>
                <w:color w:val="auto"/>
              </w:rPr>
            </w:pPr>
            <w:r>
              <w:rPr>
                <w:rFonts w:ascii="Courier New" w:cs="Courier New" w:eastAsia="Courier New" w:hAnsi="Courier New"/>
                <w:sz w:val="16"/>
                <w:szCs w:val="16"/>
                <w:color w:val="auto"/>
                <w:w w:val="97"/>
              </w:rPr>
              <w:t>(Exact name of registrant as specified in its charter)</w:t>
            </w:r>
          </w:p>
        </w:tc>
        <w:tc>
          <w:tcPr>
            <w:tcW w:w="3700" w:type="dxa"/>
            <w:vAlign w:val="bottom"/>
          </w:tcPr>
          <w:p>
            <w:pPr>
              <w:spacing w:after="0"/>
              <w:rPr>
                <w:sz w:val="15"/>
                <w:szCs w:val="15"/>
                <w:color w:val="auto"/>
              </w:rPr>
            </w:pPr>
          </w:p>
        </w:tc>
      </w:tr>
      <w:tr>
        <w:trPr>
          <w:trHeight w:val="721"/>
        </w:trPr>
        <w:tc>
          <w:tcPr>
            <w:tcW w:w="4360" w:type="dxa"/>
            <w:vAlign w:val="bottom"/>
          </w:tcPr>
          <w:p>
            <w:pPr>
              <w:jc w:val="center"/>
              <w:ind w:right="742"/>
              <w:spacing w:after="0"/>
              <w:rPr>
                <w:sz w:val="20"/>
                <w:szCs w:val="20"/>
                <w:color w:val="auto"/>
              </w:rPr>
            </w:pPr>
            <w:r>
              <w:rPr>
                <w:rFonts w:ascii="Courier New" w:cs="Courier New" w:eastAsia="Courier New" w:hAnsi="Courier New"/>
                <w:sz w:val="16"/>
                <w:szCs w:val="16"/>
                <w:color w:val="auto"/>
                <w:w w:val="98"/>
              </w:rPr>
              <w:t>PENNSYLVANIA</w:t>
            </w:r>
          </w:p>
        </w:tc>
        <w:tc>
          <w:tcPr>
            <w:tcW w:w="3280" w:type="dxa"/>
            <w:vAlign w:val="bottom"/>
          </w:tcPr>
          <w:p>
            <w:pPr>
              <w:jc w:val="right"/>
              <w:ind w:right="1662"/>
              <w:spacing w:after="0"/>
              <w:rPr>
                <w:sz w:val="20"/>
                <w:szCs w:val="20"/>
                <w:color w:val="auto"/>
              </w:rPr>
            </w:pPr>
            <w:r>
              <w:rPr>
                <w:rFonts w:ascii="Courier New" w:cs="Courier New" w:eastAsia="Courier New" w:hAnsi="Courier New"/>
                <w:sz w:val="16"/>
                <w:szCs w:val="16"/>
                <w:color w:val="auto"/>
              </w:rPr>
              <w:t>4841</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27-0000798</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(State or other jurisdiction of</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8"/>
              </w:rPr>
              <w:t>(Primary Standard Industrial</w:t>
            </w:r>
          </w:p>
        </w:tc>
        <w:tc>
          <w:tcPr>
            <w:tcW w:w="37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0"/>
        </w:trPr>
        <w:tc>
          <w:tcPr>
            <w:tcW w:w="4360" w:type="dxa"/>
            <w:vAlign w:val="bottom"/>
          </w:tcPr>
          <w:p>
            <w:pPr>
              <w:ind w:left="360"/>
              <w:spacing w:after="0"/>
              <w:rPr>
                <w:sz w:val="20"/>
                <w:szCs w:val="20"/>
                <w:color w:val="auto"/>
              </w:rPr>
            </w:pPr>
            <w:r>
              <w:rPr>
                <w:rFonts w:ascii="Courier New" w:cs="Courier New" w:eastAsia="Courier New" w:hAnsi="Courier New"/>
                <w:sz w:val="16"/>
                <w:szCs w:val="16"/>
                <w:color w:val="auto"/>
              </w:rPr>
              <w:t>incorporation or organization)</w:t>
            </w:r>
          </w:p>
        </w:tc>
        <w:tc>
          <w:tcPr>
            <w:tcW w:w="3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Classification Code Number)</w:t>
            </w:r>
          </w:p>
        </w:tc>
        <w:tc>
          <w:tcPr>
            <w:tcW w:w="3700" w:type="dxa"/>
            <w:vAlign w:val="bottom"/>
          </w:tcPr>
          <w:p>
            <w:pPr>
              <w:spacing w:after="0"/>
              <w:rPr>
                <w:sz w:val="15"/>
                <w:szCs w:val="15"/>
                <w:color w:val="auto"/>
              </w:rPr>
            </w:pPr>
          </w:p>
        </w:tc>
      </w:tr>
    </w:tbl>
    <w:p>
      <w:pPr>
        <w:spacing w:after="0" w:line="360"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1500 MARKET STREET</w:t>
      </w:r>
    </w:p>
    <w:p>
      <w:pPr>
        <w:ind w:left="1964"/>
        <w:spacing w:after="0"/>
        <w:rPr>
          <w:sz w:val="20"/>
          <w:szCs w:val="20"/>
          <w:color w:val="auto"/>
        </w:rPr>
      </w:pPr>
      <w:r>
        <w:rPr>
          <w:rFonts w:ascii="Courier New" w:cs="Courier New" w:eastAsia="Courier New" w:hAnsi="Courier New"/>
          <w:sz w:val="16"/>
          <w:szCs w:val="16"/>
          <w:color w:val="auto"/>
        </w:rPr>
        <w:t>PHILADELPHIA, PENNSYLVANIA 19102-2148</w:t>
      </w:r>
    </w:p>
    <w:p>
      <w:pPr>
        <w:sectPr>
          <w:pgSz w:w="11900" w:h="16909" w:orient="portrait"/>
          <w:cols w:equalWidth="0" w:num="1">
            <w:col w:w="11444"/>
          </w:cols>
          <w:pgMar w:left="236" w:top="654" w:right="219" w:bottom="0" w:gutter="0" w:footer="0" w:header="0"/>
        </w:sectPr>
      </w:pPr>
    </w:p>
    <w:bookmarkStart w:id="4" w:name="page5"/>
    <w:bookmarkEnd w:id="4"/>
    <w:p>
      <w:pPr>
        <w:jc w:val="center"/>
        <w:ind w:right="3936"/>
        <w:spacing w:after="0"/>
        <w:rPr>
          <w:sz w:val="20"/>
          <w:szCs w:val="20"/>
          <w:color w:val="auto"/>
        </w:rPr>
      </w:pPr>
      <w:r>
        <w:rPr>
          <w:rFonts w:ascii="Courier New" w:cs="Courier New" w:eastAsia="Courier New" w:hAnsi="Courier New"/>
          <w:sz w:val="16"/>
          <w:szCs w:val="16"/>
          <w:color w:val="auto"/>
        </w:rPr>
        <w:t>(215) 665-1700</w:t>
      </w:r>
    </w:p>
    <w:p>
      <w:pPr>
        <w:jc w:val="center"/>
        <w:ind w:right="4016"/>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4016"/>
        <w:spacing w:after="0" w:line="237"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80"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ARTHUR R. BLOCK, ESQ.</w:t>
      </w:r>
    </w:p>
    <w:p>
      <w:pPr>
        <w:ind w:left="2724"/>
        <w:spacing w:after="0"/>
        <w:rPr>
          <w:sz w:val="20"/>
          <w:szCs w:val="20"/>
          <w:color w:val="auto"/>
        </w:rPr>
      </w:pPr>
      <w:r>
        <w:rPr>
          <w:rFonts w:ascii="Courier New" w:cs="Courier New" w:eastAsia="Courier New" w:hAnsi="Courier New"/>
          <w:sz w:val="16"/>
          <w:szCs w:val="16"/>
          <w:color w:val="auto"/>
        </w:rPr>
        <w:t>SENIOR VICE PRESIDENT</w:t>
      </w:r>
    </w:p>
    <w:p>
      <w:pPr>
        <w:ind w:left="2624"/>
        <w:spacing w:after="0" w:line="237" w:lineRule="auto"/>
        <w:rPr>
          <w:sz w:val="20"/>
          <w:szCs w:val="20"/>
          <w:color w:val="auto"/>
        </w:rPr>
      </w:pPr>
      <w:r>
        <w:rPr>
          <w:rFonts w:ascii="Courier New" w:cs="Courier New" w:eastAsia="Courier New" w:hAnsi="Courier New"/>
          <w:sz w:val="16"/>
          <w:szCs w:val="16"/>
          <w:color w:val="auto"/>
        </w:rPr>
        <w:t>AT&amp;T COMCAST CORPORATION</w:t>
      </w:r>
    </w:p>
    <w:p>
      <w:pPr>
        <w:ind w:left="2904"/>
        <w:spacing w:after="0"/>
        <w:rPr>
          <w:sz w:val="20"/>
          <w:szCs w:val="20"/>
          <w:color w:val="auto"/>
        </w:rPr>
      </w:pPr>
      <w:r>
        <w:rPr>
          <w:rFonts w:ascii="Courier New" w:cs="Courier New" w:eastAsia="Courier New" w:hAnsi="Courier New"/>
          <w:sz w:val="16"/>
          <w:szCs w:val="16"/>
          <w:color w:val="auto"/>
        </w:rPr>
        <w:t>1500 MARKET STREET</w:t>
      </w:r>
    </w:p>
    <w:p>
      <w:pPr>
        <w:jc w:val="center"/>
        <w:ind w:right="4016"/>
        <w:spacing w:after="0" w:line="238" w:lineRule="auto"/>
        <w:rPr>
          <w:sz w:val="20"/>
          <w:szCs w:val="20"/>
          <w:color w:val="auto"/>
        </w:rPr>
      </w:pPr>
      <w:r>
        <w:rPr>
          <w:rFonts w:ascii="Courier New" w:cs="Courier New" w:eastAsia="Courier New" w:hAnsi="Courier New"/>
          <w:sz w:val="16"/>
          <w:szCs w:val="16"/>
          <w:color w:val="auto"/>
        </w:rPr>
        <w:t>PHILADELPHIA, PENNSYLVANIA 19102-2148</w:t>
      </w:r>
    </w:p>
    <w:p>
      <w:pPr>
        <w:jc w:val="center"/>
        <w:ind w:right="3936"/>
        <w:spacing w:after="0"/>
        <w:rPr>
          <w:sz w:val="20"/>
          <w:szCs w:val="20"/>
          <w:color w:val="auto"/>
        </w:rPr>
      </w:pPr>
      <w:r>
        <w:rPr>
          <w:rFonts w:ascii="Courier New" w:cs="Courier New" w:eastAsia="Courier New" w:hAnsi="Courier New"/>
          <w:sz w:val="16"/>
          <w:szCs w:val="16"/>
          <w:color w:val="auto"/>
        </w:rPr>
        <w:t>(215) 665-1700</w:t>
      </w:r>
    </w:p>
    <w:p>
      <w:pPr>
        <w:spacing w:after="0" w:line="4"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5" w:lineRule="exact"/>
        <w:rPr>
          <w:sz w:val="20"/>
          <w:szCs w:val="20"/>
          <w:color w:val="auto"/>
        </w:rPr>
      </w:pPr>
    </w:p>
    <w:p>
      <w:pPr>
        <w:jc w:val="center"/>
        <w:ind w:right="4016"/>
        <w:spacing w:after="0"/>
        <w:rPr>
          <w:sz w:val="20"/>
          <w:szCs w:val="20"/>
          <w:color w:val="auto"/>
        </w:rPr>
      </w:pPr>
      <w:r>
        <w:rPr>
          <w:rFonts w:ascii="Courier New" w:cs="Courier New" w:eastAsia="Courier New" w:hAnsi="Courier New"/>
          <w:sz w:val="16"/>
          <w:szCs w:val="16"/>
          <w:color w:val="auto"/>
        </w:rPr>
        <w:t>of agent for service)</w:t>
      </w:r>
    </w:p>
    <w:p>
      <w:pPr>
        <w:spacing w:after="0" w:line="200" w:lineRule="exact"/>
        <w:rPr>
          <w:sz w:val="20"/>
          <w:szCs w:val="20"/>
          <w:color w:val="auto"/>
        </w:rPr>
      </w:pPr>
    </w:p>
    <w:p>
      <w:pPr>
        <w:spacing w:after="0" w:line="340" w:lineRule="exact"/>
        <w:rPr>
          <w:sz w:val="20"/>
          <w:szCs w:val="20"/>
          <w:color w:val="auto"/>
        </w:rPr>
      </w:pPr>
    </w:p>
    <w:p>
      <w:pPr>
        <w:jc w:val="center"/>
        <w:ind w:right="3936"/>
        <w:spacing w:after="0"/>
        <w:rPr>
          <w:sz w:val="20"/>
          <w:szCs w:val="20"/>
          <w:color w:val="auto"/>
        </w:rPr>
      </w:pPr>
      <w:r>
        <w:rPr>
          <w:rFonts w:ascii="Courier New" w:cs="Courier New" w:eastAsia="Courier New" w:hAnsi="Courier New"/>
          <w:sz w:val="16"/>
          <w:szCs w:val="16"/>
          <w:color w:val="auto"/>
        </w:rPr>
        <w:t>COMCAST CABLE COMMUNICATIONS, INC.</w:t>
      </w:r>
    </w:p>
    <w:p>
      <w:pPr>
        <w:jc w:val="center"/>
        <w:ind w:right="393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444"/>
          </w:cols>
          <w:pgMar w:left="236" w:top="137" w:right="2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4841</w:t>
      </w:r>
    </w:p>
    <w:p>
      <w:pPr>
        <w:spacing w:after="0" w:line="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(Primary Standard Industrial</w:t>
      </w:r>
    </w:p>
    <w:p>
      <w:pPr>
        <w:spacing w:after="0" w:line="1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23-2175755</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(I.R.S. Employer Identification No.)</w:t>
      </w:r>
    </w:p>
    <w:p>
      <w:pPr>
        <w:spacing w:after="0" w:line="386" w:lineRule="exact"/>
        <w:rPr>
          <w:sz w:val="20"/>
          <w:szCs w:val="20"/>
          <w:color w:val="auto"/>
        </w:rPr>
      </w:pPr>
    </w:p>
    <w:p>
      <w:pPr>
        <w:sectPr>
          <w:pgSz w:w="11900" w:h="16838" w:orient="portrait"/>
          <w:cols w:equalWidth="0" w:num="3">
            <w:col w:w="3784" w:space="720"/>
            <w:col w:w="2840" w:space="720"/>
            <w:col w:w="3380"/>
          </w:cols>
          <w:pgMar w:left="236" w:top="137" w:right="219" w:bottom="1440" w:gutter="0" w:footer="0" w:header="0"/>
          <w:type w:val="continuous"/>
        </w:sectPr>
      </w:pPr>
    </w:p>
    <w:p>
      <w:pPr>
        <w:spacing w:after="0" w:line="160"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1500 MARKET STREET</w:t>
      </w:r>
    </w:p>
    <w:p>
      <w:pPr>
        <w:jc w:val="center"/>
        <w:ind w:right="4036"/>
        <w:spacing w:after="0"/>
        <w:rPr>
          <w:sz w:val="20"/>
          <w:szCs w:val="20"/>
          <w:color w:val="auto"/>
        </w:rPr>
      </w:pPr>
      <w:r>
        <w:rPr>
          <w:rFonts w:ascii="Courier New" w:cs="Courier New" w:eastAsia="Courier New" w:hAnsi="Courier New"/>
          <w:sz w:val="16"/>
          <w:szCs w:val="16"/>
          <w:color w:val="auto"/>
        </w:rPr>
        <w:t>PHILADELPHIA, PENNSYLVANIA 19102-2148</w:t>
      </w:r>
    </w:p>
    <w:p>
      <w:pPr>
        <w:jc w:val="center"/>
        <w:ind w:right="3936"/>
        <w:spacing w:after="0" w:line="237" w:lineRule="auto"/>
        <w:rPr>
          <w:sz w:val="20"/>
          <w:szCs w:val="20"/>
          <w:color w:val="auto"/>
        </w:rPr>
      </w:pPr>
      <w:r>
        <w:rPr>
          <w:rFonts w:ascii="Courier New" w:cs="Courier New" w:eastAsia="Courier New" w:hAnsi="Courier New"/>
          <w:sz w:val="16"/>
          <w:szCs w:val="16"/>
          <w:color w:val="auto"/>
        </w:rPr>
        <w:t>(215) 665-1700</w:t>
      </w:r>
    </w:p>
    <w:p>
      <w:pPr>
        <w:jc w:val="center"/>
        <w:ind w:right="4036"/>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4036"/>
        <w:spacing w:after="0" w:line="238"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8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STANLEY L. WANG</w:t>
      </w:r>
    </w:p>
    <w:p>
      <w:pPr>
        <w:ind w:left="2624"/>
        <w:spacing w:after="0"/>
        <w:rPr>
          <w:sz w:val="20"/>
          <w:szCs w:val="20"/>
          <w:color w:val="auto"/>
        </w:rPr>
      </w:pPr>
      <w:r>
        <w:rPr>
          <w:rFonts w:ascii="Courier New" w:cs="Courier New" w:eastAsia="Courier New" w:hAnsi="Courier New"/>
          <w:sz w:val="16"/>
          <w:szCs w:val="16"/>
          <w:color w:val="auto"/>
        </w:rPr>
        <w:t>EXECUTIVE VICE PRESIDENT</w:t>
      </w:r>
    </w:p>
    <w:p>
      <w:pPr>
        <w:ind w:left="2904"/>
        <w:spacing w:after="0" w:line="237" w:lineRule="auto"/>
        <w:rPr>
          <w:sz w:val="20"/>
          <w:szCs w:val="20"/>
          <w:color w:val="auto"/>
        </w:rPr>
      </w:pPr>
      <w:r>
        <w:rPr>
          <w:rFonts w:ascii="Courier New" w:cs="Courier New" w:eastAsia="Courier New" w:hAnsi="Courier New"/>
          <w:sz w:val="16"/>
          <w:szCs w:val="16"/>
          <w:color w:val="auto"/>
        </w:rPr>
        <w:t>1500 MARKET STREET</w:t>
      </w:r>
    </w:p>
    <w:p>
      <w:pPr>
        <w:jc w:val="center"/>
        <w:ind w:right="4036"/>
        <w:spacing w:after="0"/>
        <w:rPr>
          <w:sz w:val="20"/>
          <w:szCs w:val="20"/>
          <w:color w:val="auto"/>
        </w:rPr>
      </w:pPr>
      <w:r>
        <w:rPr>
          <w:rFonts w:ascii="Courier New" w:cs="Courier New" w:eastAsia="Courier New" w:hAnsi="Courier New"/>
          <w:sz w:val="16"/>
          <w:szCs w:val="16"/>
          <w:color w:val="auto"/>
        </w:rPr>
        <w:t>PHILADELPHIA, PENNSYLVANIA 19102-2148</w:t>
      </w:r>
    </w:p>
    <w:p>
      <w:pPr>
        <w:jc w:val="center"/>
        <w:ind w:right="3936"/>
        <w:spacing w:after="0" w:line="238" w:lineRule="auto"/>
        <w:rPr>
          <w:sz w:val="20"/>
          <w:szCs w:val="20"/>
          <w:color w:val="auto"/>
        </w:rPr>
      </w:pPr>
      <w:r>
        <w:rPr>
          <w:rFonts w:ascii="Courier New" w:cs="Courier New" w:eastAsia="Courier New" w:hAnsi="Courier New"/>
          <w:sz w:val="16"/>
          <w:szCs w:val="16"/>
          <w:color w:val="auto"/>
        </w:rPr>
        <w:t>(215) 665-1700</w:t>
      </w:r>
    </w:p>
    <w:p>
      <w:pPr>
        <w:jc w:val="center"/>
        <w:ind w:right="3936"/>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jc w:val="center"/>
        <w:ind w:right="4036"/>
        <w:spacing w:after="0" w:line="238" w:lineRule="auto"/>
        <w:rPr>
          <w:sz w:val="20"/>
          <w:szCs w:val="20"/>
          <w:color w:val="auto"/>
        </w:rPr>
      </w:pPr>
      <w:r>
        <w:rPr>
          <w:rFonts w:ascii="Courier New" w:cs="Courier New" w:eastAsia="Courier New" w:hAnsi="Courier New"/>
          <w:sz w:val="16"/>
          <w:szCs w:val="16"/>
          <w:color w:val="auto"/>
        </w:rPr>
        <w:t>of agent for service)</w:t>
      </w:r>
    </w:p>
    <w:p>
      <w:pPr>
        <w:spacing w:after="0" w:line="185" w:lineRule="exact"/>
        <w:rPr>
          <w:sz w:val="20"/>
          <w:szCs w:val="20"/>
          <w:color w:val="auto"/>
        </w:rPr>
      </w:pPr>
    </w:p>
    <w:p>
      <w:pPr>
        <w:ind w:left="184" w:hanging="184"/>
        <w:spacing w:after="0"/>
        <w:tabs>
          <w:tab w:leader="none" w:pos="1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444"/>
          </w:cols>
          <w:pgMar w:left="236" w:top="137" w:right="219" w:bottom="1440" w:gutter="0" w:footer="0" w:header="0"/>
          <w:type w:val="continuous"/>
        </w:sectPr>
      </w:pPr>
    </w:p>
    <w:bookmarkStart w:id="5" w:name="page6"/>
    <w:bookmarkEnd w:id="5"/>
    <w:p>
      <w:pPr>
        <w:spacing w:after="0" w:line="8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200" w:lineRule="exact"/>
        <w:rPr>
          <w:sz w:val="20"/>
          <w:szCs w:val="20"/>
          <w:color w:val="auto"/>
        </w:rPr>
      </w:pPr>
    </w:p>
    <w:p>
      <w:pPr>
        <w:spacing w:after="0" w:line="343"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PRELIMINARY PROSPECTUS DATED OCTOBER 4, 2002</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AT&amp;T CORP.</w:t>
      </w:r>
    </w:p>
    <w:p>
      <w:pPr>
        <w:ind w:left="2900"/>
        <w:spacing w:after="0"/>
        <w:rPr>
          <w:sz w:val="20"/>
          <w:szCs w:val="20"/>
          <w:color w:val="auto"/>
        </w:rPr>
      </w:pPr>
      <w:r>
        <w:rPr>
          <w:rFonts w:ascii="Courier New" w:cs="Courier New" w:eastAsia="Courier New" w:hAnsi="Courier New"/>
          <w:sz w:val="16"/>
          <w:szCs w:val="16"/>
          <w:color w:val="auto"/>
        </w:rPr>
        <w:t>OFFER TO EXCHANGE</w:t>
      </w:r>
    </w:p>
    <w:p>
      <w:pPr>
        <w:spacing w:after="0" w:line="184"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We are making this exchange offer in connection with the planned combination of Comcast Corporation and our broadband business. The offer involves two kinds of exchanges. The following table identifies which of our notes are eligible for which kind of exchange and sets forth other important economic terms of the exchange offer:</w:t>
      </w:r>
    </w:p>
    <w:p>
      <w:pPr>
        <w:spacing w:after="0" w:line="363"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6"/>
          <w:szCs w:val="16"/>
          <w:color w:val="auto"/>
        </w:rPr>
        <w:t>PRORATION EXCHANGE CREDIT CUSIP NO.</w:t>
      </w:r>
    </w:p>
    <w:p>
      <w:pPr>
        <w:jc w:val="center"/>
        <w:ind w:right="6659"/>
        <w:spacing w:after="0"/>
        <w:rPr>
          <w:sz w:val="20"/>
          <w:szCs w:val="20"/>
          <w:color w:val="auto"/>
        </w:rPr>
      </w:pPr>
      <w:r>
        <w:rPr>
          <w:rFonts w:ascii="Courier New" w:cs="Courier New" w:eastAsia="Courier New" w:hAnsi="Courier New"/>
          <w:sz w:val="16"/>
          <w:szCs w:val="16"/>
          <w:color w:val="auto"/>
        </w:rPr>
        <w:t>PERCENTAGE SPREAD SPREAD --------- --</w:t>
      </w:r>
    </w:p>
    <w:p>
      <w:pPr>
        <w:ind w:left="180"/>
        <w:spacing w:after="0" w:line="237" w:lineRule="auto"/>
        <w:rPr>
          <w:sz w:val="20"/>
          <w:szCs w:val="20"/>
          <w:color w:val="auto"/>
        </w:rPr>
      </w:pPr>
      <w:r>
        <w:rPr>
          <w:rFonts w:ascii="Courier New" w:cs="Courier New" w:eastAsia="Courier New" w:hAnsi="Courier New"/>
          <w:sz w:val="16"/>
          <w:szCs w:val="16"/>
          <w:color w:val="auto"/>
        </w:rPr>
        <w:t>-------- -------- ------ BROADBAND</w:t>
      </w:r>
    </w:p>
    <w:p>
      <w:pPr>
        <w:jc w:val="center"/>
        <w:ind w:right="6659"/>
        <w:spacing w:after="0"/>
        <w:rPr>
          <w:sz w:val="20"/>
          <w:szCs w:val="20"/>
          <w:color w:val="auto"/>
        </w:rPr>
      </w:pPr>
      <w:r>
        <w:rPr>
          <w:rFonts w:ascii="Courier New" w:cs="Courier New" w:eastAsia="Courier New" w:hAnsi="Courier New"/>
          <w:sz w:val="16"/>
          <w:szCs w:val="16"/>
          <w:color w:val="auto"/>
        </w:rPr>
        <w:t>ELIGIBLE NOTES NEW BROADBAND NOTES</w:t>
      </w:r>
    </w:p>
    <w:p>
      <w:pPr>
        <w:ind w:left="700"/>
        <w:spacing w:after="0" w:line="238" w:lineRule="auto"/>
        <w:rPr>
          <w:sz w:val="20"/>
          <w:szCs w:val="20"/>
          <w:color w:val="auto"/>
        </w:rPr>
      </w:pPr>
      <w:r>
        <w:rPr>
          <w:rFonts w:ascii="Courier New" w:cs="Courier New" w:eastAsia="Courier New" w:hAnsi="Courier New"/>
          <w:sz w:val="16"/>
          <w:szCs w:val="16"/>
          <w:color w:val="auto"/>
        </w:rPr>
        <w:t>7.00% Notes Due May 15,</w:t>
      </w:r>
    </w:p>
    <w:p>
      <w:pPr>
        <w:ind w:left="80"/>
        <w:spacing w:after="0"/>
        <w:rPr>
          <w:sz w:val="20"/>
          <w:szCs w:val="20"/>
          <w:color w:val="auto"/>
        </w:rPr>
      </w:pPr>
      <w:r>
        <w:rPr>
          <w:rFonts w:ascii="Courier New" w:cs="Courier New" w:eastAsia="Courier New" w:hAnsi="Courier New"/>
          <w:sz w:val="16"/>
          <w:szCs w:val="16"/>
          <w:color w:val="auto"/>
        </w:rPr>
        <w:t>2005............ 001957AS8 65% 2.85%</w:t>
      </w:r>
    </w:p>
    <w:p>
      <w:pPr>
        <w:ind w:left="1080"/>
        <w:spacing w:after="0" w:line="238" w:lineRule="auto"/>
        <w:rPr>
          <w:sz w:val="20"/>
          <w:szCs w:val="20"/>
          <w:color w:val="auto"/>
        </w:rPr>
      </w:pPr>
      <w:r>
        <w:rPr>
          <w:rFonts w:ascii="Courier New" w:cs="Courier New" w:eastAsia="Courier New" w:hAnsi="Courier New"/>
          <w:sz w:val="16"/>
          <w:szCs w:val="16"/>
          <w:color w:val="auto"/>
        </w:rPr>
        <w:t>7.50% Notes Due</w:t>
      </w:r>
    </w:p>
    <w:p>
      <w:pPr>
        <w:ind w:left="180"/>
        <w:spacing w:after="0"/>
        <w:rPr>
          <w:sz w:val="20"/>
          <w:szCs w:val="20"/>
          <w:color w:val="auto"/>
        </w:rPr>
      </w:pPr>
      <w:r>
        <w:rPr>
          <w:rFonts w:ascii="Courier New" w:cs="Courier New" w:eastAsia="Courier New" w:hAnsi="Courier New"/>
          <w:sz w:val="16"/>
          <w:szCs w:val="16"/>
          <w:color w:val="auto"/>
        </w:rPr>
        <w:t>2006.................... 001957AP4</w:t>
      </w:r>
    </w:p>
    <w:p>
      <w:pPr>
        <w:ind w:left="180"/>
        <w:spacing w:after="0" w:line="237" w:lineRule="auto"/>
        <w:rPr>
          <w:sz w:val="20"/>
          <w:szCs w:val="20"/>
          <w:color w:val="auto"/>
        </w:rPr>
      </w:pPr>
      <w:r>
        <w:rPr>
          <w:rFonts w:ascii="Courier New" w:cs="Courier New" w:eastAsia="Courier New" w:hAnsi="Courier New"/>
          <w:sz w:val="16"/>
          <w:szCs w:val="16"/>
          <w:color w:val="auto"/>
        </w:rPr>
        <w:t>65% 3.40% 7.75% Notes Due March 1,</w:t>
      </w:r>
    </w:p>
    <w:p>
      <w:pPr>
        <w:ind w:left="140"/>
        <w:spacing w:after="0"/>
        <w:rPr>
          <w:sz w:val="20"/>
          <w:szCs w:val="20"/>
          <w:color w:val="auto"/>
        </w:rPr>
      </w:pPr>
      <w:r>
        <w:rPr>
          <w:rFonts w:ascii="Courier New" w:cs="Courier New" w:eastAsia="Courier New" w:hAnsi="Courier New"/>
          <w:sz w:val="16"/>
          <w:szCs w:val="16"/>
          <w:color w:val="auto"/>
        </w:rPr>
        <w:t>2007........... 001957AR0 65% 3.40%</w:t>
      </w:r>
    </w:p>
    <w:p>
      <w:pPr>
        <w:ind w:left="880"/>
        <w:spacing w:after="0" w:line="238" w:lineRule="auto"/>
        <w:rPr>
          <w:sz w:val="20"/>
          <w:szCs w:val="20"/>
          <w:color w:val="auto"/>
        </w:rPr>
      </w:pPr>
      <w:r>
        <w:rPr>
          <w:rFonts w:ascii="Courier New" w:cs="Courier New" w:eastAsia="Courier New" w:hAnsi="Courier New"/>
          <w:sz w:val="16"/>
          <w:szCs w:val="16"/>
          <w:color w:val="auto"/>
        </w:rPr>
        <w:t>Notes Due March 15,</w:t>
      </w:r>
    </w:p>
    <w:p>
      <w:pPr>
        <w:ind w:left="180"/>
        <w:spacing w:after="0"/>
        <w:rPr>
          <w:sz w:val="20"/>
          <w:szCs w:val="20"/>
          <w:color w:val="auto"/>
        </w:rPr>
      </w:pPr>
      <w:r>
        <w:rPr>
          <w:rFonts w:ascii="Courier New" w:cs="Courier New" w:eastAsia="Courier New" w:hAnsi="Courier New"/>
          <w:sz w:val="16"/>
          <w:szCs w:val="16"/>
          <w:color w:val="auto"/>
        </w:rPr>
        <w:t>2013.................. 4.35% 6.00%</w:t>
      </w:r>
    </w:p>
    <w:p>
      <w:pPr>
        <w:ind w:left="180"/>
        <w:spacing w:after="0" w:line="238" w:lineRule="auto"/>
        <w:rPr>
          <w:sz w:val="20"/>
          <w:szCs w:val="20"/>
          <w:color w:val="auto"/>
        </w:rPr>
      </w:pPr>
      <w:r>
        <w:rPr>
          <w:rFonts w:ascii="Courier New" w:cs="Courier New" w:eastAsia="Courier New" w:hAnsi="Courier New"/>
          <w:sz w:val="16"/>
          <w:szCs w:val="16"/>
          <w:color w:val="auto"/>
        </w:rPr>
        <w:t>Notes Due 2009....................</w:t>
      </w:r>
    </w:p>
    <w:p>
      <w:pPr>
        <w:ind w:left="40"/>
        <w:spacing w:after="0"/>
        <w:rPr>
          <w:sz w:val="20"/>
          <w:szCs w:val="20"/>
          <w:color w:val="auto"/>
        </w:rPr>
      </w:pPr>
      <w:r>
        <w:rPr>
          <w:rFonts w:ascii="Courier New" w:cs="Courier New" w:eastAsia="Courier New" w:hAnsi="Courier New"/>
          <w:sz w:val="16"/>
          <w:szCs w:val="16"/>
          <w:color w:val="auto"/>
        </w:rPr>
        <w:t>001957AV1 65% 2.65% 8.125% Debentures</w:t>
      </w:r>
    </w:p>
    <w:p>
      <w:pPr>
        <w:ind w:left="1080"/>
        <w:spacing w:after="0" w:line="237" w:lineRule="auto"/>
        <w:rPr>
          <w:sz w:val="20"/>
          <w:szCs w:val="20"/>
          <w:color w:val="auto"/>
        </w:rPr>
      </w:pPr>
      <w:r>
        <w:rPr>
          <w:rFonts w:ascii="Courier New" w:cs="Courier New" w:eastAsia="Courier New" w:hAnsi="Courier New"/>
          <w:sz w:val="16"/>
          <w:szCs w:val="16"/>
          <w:color w:val="auto"/>
        </w:rPr>
        <w:t>Due January 15,</w:t>
      </w:r>
    </w:p>
    <w:p>
      <w:pPr>
        <w:spacing w:after="0"/>
        <w:rPr>
          <w:sz w:val="20"/>
          <w:szCs w:val="20"/>
          <w:color w:val="auto"/>
        </w:rPr>
      </w:pPr>
      <w:r>
        <w:rPr>
          <w:rFonts w:ascii="Courier New" w:cs="Courier New" w:eastAsia="Courier New" w:hAnsi="Courier New"/>
          <w:sz w:val="16"/>
          <w:szCs w:val="16"/>
          <w:color w:val="auto"/>
        </w:rPr>
        <w:t>2022..................................</w:t>
      </w:r>
    </w:p>
    <w:p>
      <w:pPr>
        <w:ind w:left="40"/>
        <w:spacing w:after="0" w:line="238" w:lineRule="auto"/>
        <w:rPr>
          <w:sz w:val="20"/>
          <w:szCs w:val="20"/>
          <w:color w:val="auto"/>
        </w:rPr>
      </w:pPr>
      <w:r>
        <w:rPr>
          <w:rFonts w:ascii="Courier New" w:cs="Courier New" w:eastAsia="Courier New" w:hAnsi="Courier New"/>
          <w:sz w:val="16"/>
          <w:szCs w:val="16"/>
          <w:color w:val="auto"/>
        </w:rPr>
        <w:t>001957AJ8 65% 3.15% 8.125% Debentures</w:t>
      </w:r>
    </w:p>
    <w:p>
      <w:pPr>
        <w:ind w:left="80"/>
        <w:spacing w:after="0"/>
        <w:rPr>
          <w:sz w:val="20"/>
          <w:szCs w:val="20"/>
          <w:color w:val="auto"/>
        </w:rPr>
      </w:pPr>
      <w:r>
        <w:rPr>
          <w:rFonts w:ascii="Courier New" w:cs="Courier New" w:eastAsia="Courier New" w:hAnsi="Courier New"/>
          <w:sz w:val="16"/>
          <w:szCs w:val="16"/>
          <w:color w:val="auto"/>
        </w:rPr>
        <w:t>Due July 15, 2024..... 001957AK5 65%</w:t>
      </w:r>
    </w:p>
    <w:p>
      <w:pPr>
        <w:ind w:left="560"/>
        <w:spacing w:after="0" w:line="238" w:lineRule="auto"/>
        <w:rPr>
          <w:sz w:val="20"/>
          <w:szCs w:val="20"/>
          <w:color w:val="auto"/>
        </w:rPr>
      </w:pPr>
      <w:r>
        <w:rPr>
          <w:rFonts w:ascii="Courier New" w:cs="Courier New" w:eastAsia="Courier New" w:hAnsi="Courier New"/>
          <w:sz w:val="16"/>
          <w:szCs w:val="16"/>
          <w:color w:val="auto"/>
        </w:rPr>
        <w:t>3.20% 8.35% Debentures Due</w:t>
      </w:r>
    </w:p>
    <w:p>
      <w:pPr>
        <w:ind w:left="220"/>
        <w:spacing w:after="0"/>
        <w:rPr>
          <w:sz w:val="20"/>
          <w:szCs w:val="20"/>
          <w:color w:val="auto"/>
        </w:rPr>
      </w:pPr>
      <w:r>
        <w:rPr>
          <w:rFonts w:ascii="Courier New" w:cs="Courier New" w:eastAsia="Courier New" w:hAnsi="Courier New"/>
          <w:sz w:val="16"/>
          <w:szCs w:val="16"/>
          <w:color w:val="auto"/>
        </w:rPr>
        <w:t>2025............... 001957AQ2 65%</w:t>
      </w:r>
    </w:p>
    <w:p>
      <w:pPr>
        <w:ind w:left="460"/>
        <w:spacing w:after="0" w:line="237" w:lineRule="auto"/>
        <w:rPr>
          <w:sz w:val="20"/>
          <w:szCs w:val="20"/>
          <w:color w:val="auto"/>
        </w:rPr>
      </w:pPr>
      <w:r>
        <w:rPr>
          <w:rFonts w:ascii="Courier New" w:cs="Courier New" w:eastAsia="Courier New" w:hAnsi="Courier New"/>
          <w:sz w:val="16"/>
          <w:szCs w:val="16"/>
          <w:color w:val="auto"/>
        </w:rPr>
        <w:t>3.35% Notes Due November 15,</w:t>
      </w:r>
    </w:p>
    <w:p>
      <w:pPr>
        <w:ind w:left="280"/>
        <w:spacing w:after="0"/>
        <w:rPr>
          <w:sz w:val="20"/>
          <w:szCs w:val="20"/>
          <w:color w:val="auto"/>
        </w:rPr>
      </w:pPr>
      <w:r>
        <w:rPr>
          <w:rFonts w:ascii="Courier New" w:cs="Courier New" w:eastAsia="Courier New" w:hAnsi="Courier New"/>
          <w:sz w:val="16"/>
          <w:szCs w:val="16"/>
          <w:color w:val="auto"/>
        </w:rPr>
        <w:t>2022............... 4.40% 8.625%</w:t>
      </w:r>
    </w:p>
    <w:p>
      <w:pPr>
        <w:ind w:left="560"/>
        <w:spacing w:after="0" w:line="238" w:lineRule="auto"/>
        <w:rPr>
          <w:sz w:val="20"/>
          <w:szCs w:val="20"/>
          <w:color w:val="auto"/>
        </w:rPr>
      </w:pPr>
      <w:r>
        <w:rPr>
          <w:rFonts w:ascii="Courier New" w:cs="Courier New" w:eastAsia="Courier New" w:hAnsi="Courier New"/>
          <w:sz w:val="16"/>
          <w:szCs w:val="16"/>
          <w:color w:val="auto"/>
        </w:rPr>
        <w:t>Debentures Due December 1,</w:t>
      </w:r>
    </w:p>
    <w:p>
      <w:pPr>
        <w:spacing w:after="0"/>
        <w:rPr>
          <w:sz w:val="20"/>
          <w:szCs w:val="20"/>
          <w:color w:val="auto"/>
        </w:rPr>
      </w:pPr>
      <w:r>
        <w:rPr>
          <w:rFonts w:ascii="Courier New" w:cs="Courier New" w:eastAsia="Courier New" w:hAnsi="Courier New"/>
          <w:sz w:val="16"/>
          <w:szCs w:val="16"/>
          <w:color w:val="auto"/>
        </w:rPr>
        <w:t>2031..................................</w:t>
      </w:r>
    </w:p>
    <w:p>
      <w:pPr>
        <w:ind w:left="880"/>
        <w:spacing w:after="0" w:line="238" w:lineRule="auto"/>
        <w:rPr>
          <w:sz w:val="20"/>
          <w:szCs w:val="20"/>
          <w:color w:val="auto"/>
        </w:rPr>
      </w:pPr>
      <w:r>
        <w:rPr>
          <w:rFonts w:ascii="Courier New" w:cs="Courier New" w:eastAsia="Courier New" w:hAnsi="Courier New"/>
          <w:sz w:val="16"/>
          <w:szCs w:val="16"/>
          <w:color w:val="auto"/>
        </w:rPr>
        <w:t>001957AL3 65% 3.35%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CUSIP NO. --------- AT&amp;T ELIGIBLE</w:t>
      </w:r>
    </w:p>
    <w:p>
      <w:pPr>
        <w:jc w:val="center"/>
        <w:ind w:right="6759"/>
        <w:spacing w:after="0"/>
        <w:rPr>
          <w:sz w:val="20"/>
          <w:szCs w:val="20"/>
          <w:color w:val="auto"/>
        </w:rPr>
      </w:pPr>
      <w:r>
        <w:rPr>
          <w:rFonts w:ascii="Courier New" w:cs="Courier New" w:eastAsia="Courier New" w:hAnsi="Courier New"/>
          <w:sz w:val="16"/>
          <w:szCs w:val="16"/>
          <w:color w:val="auto"/>
        </w:rPr>
        <w:t>NOTES NEW AT&amp;T NOTES 5.625% Notes</w:t>
      </w:r>
    </w:p>
    <w:p>
      <w:pPr>
        <w:jc w:val="center"/>
        <w:ind w:right="6759"/>
        <w:spacing w:after="0" w:line="237" w:lineRule="auto"/>
        <w:rPr>
          <w:sz w:val="20"/>
          <w:szCs w:val="20"/>
          <w:color w:val="auto"/>
        </w:rPr>
      </w:pPr>
      <w:r>
        <w:rPr>
          <w:rFonts w:ascii="Courier New" w:cs="Courier New" w:eastAsia="Courier New" w:hAnsi="Courier New"/>
          <w:sz w:val="16"/>
          <w:szCs w:val="16"/>
          <w:color w:val="auto"/>
        </w:rPr>
        <w:t>Due</w:t>
      </w:r>
    </w:p>
    <w:p>
      <w:pPr>
        <w:jc w:val="center"/>
        <w:ind w:right="6759"/>
        <w:spacing w:after="0"/>
        <w:rPr>
          <w:sz w:val="20"/>
          <w:szCs w:val="20"/>
          <w:color w:val="auto"/>
        </w:rPr>
      </w:pPr>
      <w:r>
        <w:rPr>
          <w:rFonts w:ascii="Courier New" w:cs="Courier New" w:eastAsia="Courier New" w:hAnsi="Courier New"/>
          <w:sz w:val="16"/>
          <w:szCs w:val="16"/>
          <w:color w:val="auto"/>
        </w:rPr>
        <w:t>2004................................</w:t>
      </w:r>
    </w:p>
    <w:p>
      <w:pPr>
        <w:jc w:val="center"/>
        <w:ind w:right="6759"/>
        <w:spacing w:after="0" w:line="238" w:lineRule="auto"/>
        <w:rPr>
          <w:sz w:val="20"/>
          <w:szCs w:val="20"/>
          <w:color w:val="auto"/>
        </w:rPr>
      </w:pPr>
      <w:r>
        <w:rPr>
          <w:rFonts w:ascii="Courier New" w:cs="Courier New" w:eastAsia="Courier New" w:hAnsi="Courier New"/>
          <w:sz w:val="16"/>
          <w:szCs w:val="16"/>
          <w:color w:val="auto"/>
        </w:rPr>
        <w:t>001957AU3......... 6.375% Notes Due</w:t>
      </w:r>
    </w:p>
    <w:p>
      <w:pPr>
        <w:jc w:val="center"/>
        <w:ind w:right="6759"/>
        <w:spacing w:after="0"/>
        <w:rPr>
          <w:sz w:val="20"/>
          <w:szCs w:val="20"/>
          <w:color w:val="auto"/>
        </w:rPr>
      </w:pPr>
      <w:r>
        <w:rPr>
          <w:rFonts w:ascii="Courier New" w:cs="Courier New" w:eastAsia="Courier New" w:hAnsi="Courier New"/>
          <w:sz w:val="16"/>
          <w:szCs w:val="16"/>
          <w:color w:val="auto"/>
        </w:rPr>
        <w:t>March 15, 2004 6.75% Notes Due</w:t>
      </w:r>
    </w:p>
    <w:p>
      <w:pPr>
        <w:spacing w:after="0" w:line="4"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5"/>
          <w:szCs w:val="15"/>
          <w:color w:val="auto"/>
        </w:rPr>
        <w:t>2004.................................</w:t>
      </w:r>
    </w:p>
    <w:p>
      <w:pPr>
        <w:spacing w:after="0" w:line="5"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001957AM1......... 7.50% Notes Due</w:t>
      </w:r>
    </w:p>
    <w:p>
      <w:pPr>
        <w:jc w:val="center"/>
        <w:ind w:right="6759"/>
        <w:spacing w:after="0"/>
        <w:rPr>
          <w:sz w:val="20"/>
          <w:szCs w:val="20"/>
          <w:color w:val="auto"/>
        </w:rPr>
      </w:pPr>
      <w:r>
        <w:rPr>
          <w:rFonts w:ascii="Courier New" w:cs="Courier New" w:eastAsia="Courier New" w:hAnsi="Courier New"/>
          <w:sz w:val="16"/>
          <w:szCs w:val="16"/>
          <w:color w:val="auto"/>
        </w:rPr>
        <w:t>April 1, 2004 7.75% Medium-Term</w:t>
      </w:r>
    </w:p>
    <w:p>
      <w:pPr>
        <w:jc w:val="center"/>
        <w:ind w:right="6759"/>
        <w:spacing w:after="0" w:line="237" w:lineRule="auto"/>
        <w:rPr>
          <w:sz w:val="20"/>
          <w:szCs w:val="20"/>
          <w:color w:val="auto"/>
        </w:rPr>
      </w:pPr>
      <w:r>
        <w:rPr>
          <w:rFonts w:ascii="Courier New" w:cs="Courier New" w:eastAsia="Courier New" w:hAnsi="Courier New"/>
          <w:sz w:val="16"/>
          <w:szCs w:val="16"/>
          <w:color w:val="auto"/>
        </w:rPr>
        <w:t>Notes, Series A Due May 15, 2025...</w:t>
      </w:r>
    </w:p>
    <w:p>
      <w:pPr>
        <w:jc w:val="center"/>
        <w:ind w:right="6759"/>
        <w:spacing w:after="0"/>
        <w:rPr>
          <w:sz w:val="20"/>
          <w:szCs w:val="20"/>
          <w:color w:val="auto"/>
        </w:rPr>
      </w:pPr>
      <w:r>
        <w:rPr>
          <w:rFonts w:ascii="Courier New" w:cs="Courier New" w:eastAsia="Courier New" w:hAnsi="Courier New"/>
          <w:sz w:val="16"/>
          <w:szCs w:val="16"/>
          <w:color w:val="auto"/>
        </w:rPr>
        <w:t>00206QAP9......... 8.35% Medium-Term</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20" w:type="dxa"/>
            <w:vAlign w:val="bottom"/>
          </w:tcPr>
          <w:p>
            <w:pPr>
              <w:jc w:val="right"/>
              <w:spacing w:after="0"/>
              <w:rPr>
                <w:sz w:val="20"/>
                <w:szCs w:val="20"/>
                <w:color w:val="auto"/>
              </w:rPr>
            </w:pPr>
            <w:r>
              <w:rPr>
                <w:rFonts w:ascii="Courier New" w:cs="Courier New" w:eastAsia="Courier New" w:hAnsi="Courier New"/>
                <w:sz w:val="13"/>
                <w:szCs w:val="13"/>
                <w:color w:val="auto"/>
                <w:w w:val="71"/>
              </w:rPr>
              <w:t>00206QAN4.........</w:t>
            </w:r>
          </w:p>
        </w:tc>
        <w:tc>
          <w:tcPr>
            <w:tcW w:w="240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96"/>
              </w:rPr>
              <w:t>8.60% Medium-Term</w:t>
            </w:r>
          </w:p>
        </w:tc>
      </w:tr>
      <w:tr>
        <w:trPr>
          <w:trHeight w:val="180"/>
        </w:trPr>
        <w:tc>
          <w:tcPr>
            <w:tcW w:w="24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Notes, Series A Due May</w:t>
            </w:r>
          </w:p>
        </w:tc>
        <w:tc>
          <w:tcPr>
            <w:tcW w:w="960" w:type="dxa"/>
            <w:vAlign w:val="bottom"/>
          </w:tcPr>
          <w:p>
            <w:pPr>
              <w:ind w:left="20"/>
              <w:spacing w:after="0"/>
              <w:rPr>
                <w:sz w:val="20"/>
                <w:szCs w:val="20"/>
                <w:color w:val="auto"/>
              </w:rPr>
            </w:pPr>
            <w:r>
              <w:rPr>
                <w:rFonts w:ascii="Courier New" w:cs="Courier New" w:eastAsia="Courier New" w:hAnsi="Courier New"/>
                <w:sz w:val="16"/>
                <w:szCs w:val="16"/>
                <w:color w:val="auto"/>
              </w:rPr>
              <w:t>15, 2025</w:t>
            </w:r>
          </w:p>
        </w:tc>
      </w:tr>
      <w:tr>
        <w:trPr>
          <w:trHeight w:val="180"/>
        </w:trPr>
        <w:tc>
          <w:tcPr>
            <w:tcW w:w="10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w w:val="97"/>
              </w:rPr>
              <w:t>6.50% Notes Due</w:t>
            </w:r>
          </w:p>
        </w:tc>
        <w:tc>
          <w:tcPr>
            <w:tcW w:w="960" w:type="dxa"/>
            <w:vAlign w:val="bottom"/>
          </w:tcPr>
          <w:p>
            <w:pPr>
              <w:spacing w:after="0"/>
              <w:rPr>
                <w:sz w:val="15"/>
                <w:szCs w:val="15"/>
                <w:color w:val="auto"/>
              </w:rPr>
            </w:pP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2029.................................</w:t>
            </w:r>
          </w:p>
        </w:tc>
        <w:tc>
          <w:tcPr>
            <w:tcW w:w="960" w:type="dxa"/>
            <w:vAlign w:val="bottom"/>
          </w:tcPr>
          <w:p>
            <w:pPr>
              <w:spacing w:after="0"/>
              <w:rPr>
                <w:sz w:val="15"/>
                <w:szCs w:val="15"/>
                <w:color w:val="auto"/>
              </w:rPr>
            </w:pPr>
          </w:p>
        </w:tc>
      </w:tr>
      <w:tr>
        <w:trPr>
          <w:trHeight w:val="180"/>
        </w:trPr>
        <w:tc>
          <w:tcPr>
            <w:tcW w:w="1020" w:type="dxa"/>
            <w:vAlign w:val="bottom"/>
          </w:tcPr>
          <w:p>
            <w:pPr>
              <w:jc w:val="right"/>
              <w:spacing w:after="0"/>
              <w:rPr>
                <w:sz w:val="20"/>
                <w:szCs w:val="20"/>
                <w:color w:val="auto"/>
              </w:rPr>
            </w:pPr>
            <w:r>
              <w:rPr>
                <w:rFonts w:ascii="Courier New" w:cs="Courier New" w:eastAsia="Courier New" w:hAnsi="Courier New"/>
                <w:sz w:val="13"/>
                <w:szCs w:val="13"/>
                <w:color w:val="auto"/>
                <w:w w:val="71"/>
              </w:rPr>
              <w:t>001957AW9.........</w:t>
            </w:r>
          </w:p>
        </w:tc>
        <w:tc>
          <w:tcPr>
            <w:tcW w:w="1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6.50%</w:t>
            </w:r>
          </w:p>
        </w:tc>
        <w:tc>
          <w:tcPr>
            <w:tcW w:w="960" w:type="dxa"/>
            <w:vAlign w:val="bottom"/>
          </w:tcPr>
          <w:p>
            <w:pPr>
              <w:ind w:left="20"/>
              <w:spacing w:after="0"/>
              <w:rPr>
                <w:sz w:val="20"/>
                <w:szCs w:val="20"/>
                <w:color w:val="auto"/>
              </w:rPr>
            </w:pPr>
            <w:r>
              <w:rPr>
                <w:rFonts w:ascii="Courier New" w:cs="Courier New" w:eastAsia="Courier New" w:hAnsi="Courier New"/>
                <w:sz w:val="16"/>
                <w:szCs w:val="16"/>
                <w:color w:val="auto"/>
              </w:rPr>
              <w:t>Notes Due</w:t>
            </w:r>
          </w:p>
        </w:tc>
      </w:tr>
    </w:tbl>
    <w:p>
      <w:pPr>
        <w:jc w:val="center"/>
        <w:ind w:right="6759"/>
        <w:spacing w:after="0"/>
        <w:rPr>
          <w:sz w:val="20"/>
          <w:szCs w:val="20"/>
          <w:color w:val="auto"/>
        </w:rPr>
      </w:pPr>
      <w:r>
        <w:rPr>
          <w:rFonts w:ascii="Courier New" w:cs="Courier New" w:eastAsia="Courier New" w:hAnsi="Courier New"/>
          <w:sz w:val="16"/>
          <w:szCs w:val="16"/>
          <w:color w:val="auto"/>
        </w:rPr>
        <w:t>March 15, 2013 FRN Medium-Term</w:t>
      </w:r>
    </w:p>
    <w:p>
      <w:pPr>
        <w:jc w:val="center"/>
        <w:ind w:right="6759"/>
        <w:spacing w:after="0" w:line="237" w:lineRule="auto"/>
        <w:rPr>
          <w:sz w:val="20"/>
          <w:szCs w:val="20"/>
          <w:color w:val="auto"/>
        </w:rPr>
      </w:pPr>
      <w:r>
        <w:rPr>
          <w:rFonts w:ascii="Courier New" w:cs="Courier New" w:eastAsia="Courier New" w:hAnsi="Courier New"/>
          <w:sz w:val="16"/>
          <w:szCs w:val="16"/>
          <w:color w:val="auto"/>
        </w:rPr>
        <w:t>Notes, Series A Due 2054 FRN Medium-</w:t>
      </w:r>
    </w:p>
    <w:p>
      <w:pPr>
        <w:jc w:val="center"/>
        <w:ind w:right="6759"/>
        <w:spacing w:after="0"/>
        <w:rPr>
          <w:sz w:val="20"/>
          <w:szCs w:val="20"/>
          <w:color w:val="auto"/>
        </w:rPr>
      </w:pPr>
      <w:r>
        <w:rPr>
          <w:rFonts w:ascii="Courier New" w:cs="Courier New" w:eastAsia="Courier New" w:hAnsi="Courier New"/>
          <w:sz w:val="16"/>
          <w:szCs w:val="16"/>
          <w:color w:val="auto"/>
        </w:rPr>
        <w:t>Term Notes, Series A Due 2054</w:t>
      </w:r>
    </w:p>
    <w:p>
      <w:pPr>
        <w:ind w:left="220"/>
        <w:spacing w:after="0" w:line="238" w:lineRule="auto"/>
        <w:rPr>
          <w:sz w:val="20"/>
          <w:szCs w:val="20"/>
          <w:color w:val="auto"/>
        </w:rPr>
      </w:pPr>
      <w:r>
        <w:rPr>
          <w:rFonts w:ascii="Courier New" w:cs="Courier New" w:eastAsia="Courier New" w:hAnsi="Courier New"/>
          <w:sz w:val="16"/>
          <w:szCs w:val="16"/>
          <w:color w:val="auto"/>
        </w:rPr>
        <w:t>............. 00206QAE4.........</w:t>
      </w:r>
    </w:p>
    <w:p>
      <w:pPr>
        <w:jc w:val="center"/>
        <w:ind w:right="6759"/>
        <w:spacing w:after="0"/>
        <w:rPr>
          <w:sz w:val="20"/>
          <w:szCs w:val="20"/>
          <w:color w:val="auto"/>
        </w:rPr>
      </w:pPr>
      <w:r>
        <w:rPr>
          <w:rFonts w:ascii="Courier New" w:cs="Courier New" w:eastAsia="Courier New" w:hAnsi="Courier New"/>
          <w:sz w:val="16"/>
          <w:szCs w:val="16"/>
          <w:color w:val="auto"/>
        </w:rPr>
        <w:t>(spread over commercial paper:</w:t>
      </w:r>
    </w:p>
    <w:p>
      <w:pPr>
        <w:jc w:val="center"/>
        <w:ind w:right="6759"/>
        <w:spacing w:after="0" w:line="238" w:lineRule="auto"/>
        <w:rPr>
          <w:sz w:val="20"/>
          <w:szCs w:val="20"/>
          <w:color w:val="auto"/>
        </w:rPr>
      </w:pPr>
      <w:r>
        <w:rPr>
          <w:rFonts w:ascii="Courier New" w:cs="Courier New" w:eastAsia="Courier New" w:hAnsi="Courier New"/>
          <w:sz w:val="16"/>
          <w:szCs w:val="16"/>
          <w:color w:val="auto"/>
        </w:rPr>
        <w:t>-.15%) (spread over commercial</w:t>
      </w:r>
    </w:p>
    <w:p>
      <w:pPr>
        <w:jc w:val="center"/>
        <w:ind w:right="6759"/>
        <w:spacing w:after="0"/>
        <w:rPr>
          <w:sz w:val="20"/>
          <w:szCs w:val="20"/>
          <w:color w:val="auto"/>
        </w:rPr>
      </w:pPr>
      <w:r>
        <w:rPr>
          <w:rFonts w:ascii="Courier New" w:cs="Courier New" w:eastAsia="Courier New" w:hAnsi="Courier New"/>
          <w:sz w:val="16"/>
          <w:szCs w:val="16"/>
          <w:color w:val="auto"/>
        </w:rPr>
        <w:t>paper: +.45%)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In the first kind of exchange, we are offering to exchange Broadband Eligible Notes for notes that, upon completion of the AT&amp;T Comcast transaction, will become New Broadband Notes. The New Broadband Notes will be obligations of AT&amp;T Broadband Corp. and will be fully and unconditionally guaranteed by AT&amp;T Comcast Corporation and the other cable guarantors described in this prospectus. We will announce the exchange ratios and interest rates for the New Broadband Notes by press release two business days prior to the expiration of the exchange offer. The exchange ratios and interest rates will be based upon spreads over</w:t>
      </w:r>
    </w:p>
    <w:p>
      <w:pPr>
        <w:sectPr>
          <w:pgSz w:w="11900" w:h="16919" w:orient="portrait"/>
          <w:cols w:equalWidth="0" w:num="1">
            <w:col w:w="10219"/>
          </w:cols>
          <w:pgMar w:left="240" w:top="8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the relevant reference U.S. Treasury rates as described in this prospectus.</w:t>
      </w:r>
    </w:p>
    <w:p>
      <w:pPr>
        <w:spacing w:after="0" w:line="36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In the second kind of exchange, we are offering to exchange AT&amp;T Eligible Notes for New AT&amp;T Notes. The New AT&amp;T Notes will remain solely our obligations and, upon completion of the AT&amp;T Comcast transaction, will have the revised terms described in this prospectus, including the revised maturity date and/or interest rates set forth in the table above.</w:t>
      </w:r>
    </w:p>
    <w:p>
      <w:pPr>
        <w:spacing w:after="0" w:line="18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To participate in either kind of exchange, you must consent to an amendment to the terms of your original notes to the extent your notes are accepted for exchange. This amendment will provide, among other things, that in the AT&amp;T Comcast transaction, neither AT&amp;T Comcast Corporation nor any of its affiliates needs to assume our obligations on the original notes. The amendment will amend any series of notes so long as more than 50% by principal amount of that series consents. THE TERMS OF AND THE LIQUIDITY OF THE TRADING MARKET FOR YOUR ORIGINAL NOTES MAY BE AFFECTED BY THE EXCHANGE OFFER EVEN IF YOU DO NOT PARTICIPATE.</w:t>
      </w:r>
    </w:p>
    <w:p>
      <w:pPr>
        <w:spacing w:after="0" w:line="354" w:lineRule="exact"/>
        <w:rPr>
          <w:sz w:val="20"/>
          <w:szCs w:val="20"/>
          <w:color w:val="auto"/>
        </w:rPr>
      </w:pPr>
    </w:p>
    <w:p>
      <w:pPr>
        <w:ind w:right="2819" w:firstLine="375"/>
        <w:spacing w:after="0" w:line="256" w:lineRule="auto"/>
        <w:rPr>
          <w:sz w:val="20"/>
          <w:szCs w:val="20"/>
          <w:color w:val="auto"/>
        </w:rPr>
      </w:pPr>
      <w:r>
        <w:rPr>
          <w:rFonts w:ascii="Courier New" w:cs="Courier New" w:eastAsia="Courier New" w:hAnsi="Courier New"/>
          <w:sz w:val="15"/>
          <w:szCs w:val="15"/>
          <w:color w:val="auto"/>
        </w:rPr>
        <w:t>We will not accept any notes of a series unless more than 50% of the principal amount of that series of notes has been validly tendered and not withdrawn by the applicable expiration date. If more than the proration percentage of any series of Broadband Eligible Notes is tendered and not withdrawn by the applicable expiration date, notes of that series will be accepted for exchange on a prorated basis. The exchange offer for AT&amp;T Eligible Notes is for all notes and is not subject to proration. The exchange offer is subject to significant conditions that are described in this prospectus.</w:t>
      </w:r>
    </w:p>
    <w:p>
      <w:pPr>
        <w:spacing w:after="0" w:line="200" w:lineRule="exact"/>
        <w:rPr>
          <w:sz w:val="20"/>
          <w:szCs w:val="20"/>
          <w:color w:val="auto"/>
        </w:rPr>
      </w:pPr>
    </w:p>
    <w:p>
      <w:pPr>
        <w:spacing w:after="0" w:line="33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EXCHANGE OFFER WILL EXPIRE AT 12:00 MIDNIGHT, NEW YORK CITY TIME, ON NOVEMBER 1, 2002 UNLESS EXTENDED AS TO ANY SERIES OF ELIGIBLE NOTES IN OUR DISCRETION. YOU MAY WITHDRAW ANY NOTES TENDERED UNTIL THE EXPIRATION OF THE EXCHANGE OFFER FOR THAT SERIES OF NOTES. THE EXCHANGE OFFER IS DESCRIBED IN DETAIL IN THIS PROSPECTUS AND WE URGE YOU TO READ IT CAREFULLY, INCLUDING THE RISK FACTORS STARTING ON PAGE 45. NEITHER THE BOARD OF DIRECTORS OF AT&amp;T NOR ANY OTHER PERSON IS MAKING ANY RECOMMENDATION AS TO WHETHER YOU SHOULD TENDER ELIGIBLE NOTES IN THE EXCHANGE OFFER.</w:t>
      </w:r>
    </w:p>
    <w:p>
      <w:pPr>
        <w:spacing w:after="0" w:line="366"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SECURITIES TO BE ISSUED IN CONNECTION WITH THE EXCHANGE OFFER OR DETERMINED IF THIS PROSPECTUS IS ACCURATE OR COMPLETE. ANY REPRESENTATION TO THE CONTRARY IS A CRIMINAL OFFENSE.</w:t>
      </w:r>
    </w:p>
    <w:p>
      <w:pPr>
        <w:spacing w:after="0" w:line="16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Dealer Managers for the exchange offer are, in alphabetical order, as</w:t>
      </w:r>
    </w:p>
    <w:p>
      <w:pPr>
        <w:jc w:val="center"/>
        <w:ind w:right="2719"/>
        <w:spacing w:after="0"/>
        <w:rPr>
          <w:sz w:val="20"/>
          <w:szCs w:val="20"/>
          <w:color w:val="auto"/>
        </w:rPr>
      </w:pPr>
      <w:r>
        <w:rPr>
          <w:rFonts w:ascii="Courier New" w:cs="Courier New" w:eastAsia="Courier New" w:hAnsi="Courier New"/>
          <w:sz w:val="16"/>
          <w:szCs w:val="16"/>
          <w:color w:val="auto"/>
        </w:rPr>
        <w:t>follows:</w:t>
      </w:r>
    </w:p>
    <w:p>
      <w:pPr>
        <w:sectPr>
          <w:pgSz w:w="11900" w:h="16838" w:orient="portrait"/>
          <w:cols w:equalWidth="0" w:num="1">
            <w:col w:w="10219"/>
          </w:cols>
          <w:pgMar w:left="240" w:top="137" w:right="1440" w:bottom="1440" w:gutter="0" w:footer="0" w:header="0"/>
        </w:sectPr>
      </w:pPr>
    </w:p>
    <w:p>
      <w:pPr>
        <w:spacing w:after="0" w:line="184" w:lineRule="exact"/>
        <w:rPr>
          <w:sz w:val="20"/>
          <w:szCs w:val="20"/>
          <w:color w:val="auto"/>
        </w:rPr>
      </w:pPr>
    </w:p>
    <w:p>
      <w:pPr>
        <w:jc w:val="center"/>
        <w:spacing w:after="0" w:line="236" w:lineRule="auto"/>
        <w:rPr>
          <w:sz w:val="20"/>
          <w:szCs w:val="20"/>
          <w:color w:val="auto"/>
        </w:rPr>
      </w:pPr>
      <w:r>
        <w:rPr>
          <w:rFonts w:ascii="Courier New" w:cs="Courier New" w:eastAsia="Courier New" w:hAnsi="Courier New"/>
          <w:sz w:val="16"/>
          <w:szCs w:val="16"/>
          <w:color w:val="auto"/>
        </w:rPr>
        <w:t>CREDIT SUISSE FIRST BOSTON JPMORGAN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SECURITIES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MERRILL LYNCH &amp; CO.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MORGAN STANLEY</w:t>
      </w:r>
    </w:p>
    <w:p>
      <w:pPr>
        <w:spacing w:after="0" w:line="179" w:lineRule="exact"/>
        <w:rPr>
          <w:sz w:val="20"/>
          <w:szCs w:val="20"/>
          <w:color w:val="auto"/>
        </w:rPr>
      </w:pPr>
    </w:p>
    <w:p>
      <w:pPr>
        <w:sectPr>
          <w:pgSz w:w="11900" w:h="16838" w:orient="portrait"/>
          <w:cols w:equalWidth="0" w:num="3">
            <w:col w:w="2440" w:space="180"/>
            <w:col w:w="2280" w:space="720"/>
            <w:col w:w="4599"/>
          </w:cols>
          <w:pgMar w:left="240" w:top="137" w:right="1440"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This prospectus is dated</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noteholders on or about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2002, and is first being mailed to</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 2002.</w:t>
      </w:r>
    </w:p>
    <w:p>
      <w:pPr>
        <w:sectPr>
          <w:pgSz w:w="11900" w:h="16838" w:orient="portrait"/>
          <w:cols w:equalWidth="0" w:num="2">
            <w:col w:w="3740" w:space="280"/>
            <w:col w:w="6199"/>
          </w:cols>
          <w:pgMar w:left="240" w:top="137" w:right="1440" w:bottom="1440" w:gutter="0" w:footer="0" w:header="0"/>
          <w:type w:val="continuous"/>
        </w:sectPr>
      </w:pPr>
    </w:p>
    <w:bookmarkStart w:id="7" w:name="page8"/>
    <w:bookmarkEnd w:id="7"/>
    <w:p>
      <w:pPr>
        <w:ind w:right="2719"/>
        <w:spacing w:after="0" w:line="254" w:lineRule="auto"/>
        <w:rPr>
          <w:sz w:val="20"/>
          <w:szCs w:val="20"/>
          <w:color w:val="auto"/>
        </w:rPr>
      </w:pPr>
      <w:r>
        <w:rPr>
          <w:rFonts w:ascii="Courier New" w:cs="Courier New" w:eastAsia="Courier New" w:hAnsi="Courier New"/>
          <w:sz w:val="15"/>
          <w:szCs w:val="15"/>
          <w:color w:val="auto"/>
        </w:rPr>
        <w:t>This illustration consists of two diagrams. The first diagram is a simplified diagram of the proposed AT&amp;T Comcast transaction. The right side of the diagram shows that AT&amp;T will spin off its broadband business, referred to as "AT&amp;T Broadband Group," to a newly formed company, AT&amp;T Broadband Corp., referred to as "Broadband," and that Broadband Acquisition Corp., a wholly owned subsidiary of AT&amp;T Comcast Corporation, referred to as "AT&amp;T Comcast," will merge with and into Broadband, with Broadband continuing as the surviving corporation and a wholly owned subsidiary of AT&amp;T Comcast. The left side of the diagram shows that Comcast Acquisition Corp., a wholly owned subsidiary of AT&amp;T Comcast, will merge with and into Comcast Corporation, with Comcast Corporation continuing as the surviving corporation and a wholly owned subsidiary of AT&amp;T Comcast.</w:t>
      </w:r>
    </w:p>
    <w:p>
      <w:pPr>
        <w:spacing w:after="0" w:line="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second diagram is a simplified diagram of the corporate structure of AT&amp;T Comcast, and the primary obligors and guarantors of the New Broadband Notes, assuming the AT&amp;T Comcast transaction is completed. The diagram shows AT&amp;T Comcast, which will guarantee the New Broadband Notes, and two of its subsidiaries, Broadband, which will be the issuer of the New Broadband Notes, and Comcast Corporation. The diagram shows two subsidiaries of Broadband, MediaOne Group, Inc., referred to as "MediaOne," and AT&amp;T Broadband, LLC, formerly known as Tele-Communications, Inc. and referred to as "TCI," each of which will guarantee the New Broadband Notes, as well as an additional Broadband subsidiary named AT&amp;T Broadband Overseas, and that MediaOne and TCI will have various operating subsidiaries. The diagram also shows Comcast Cable Communications, Inc., referred to as "Comcast Cable," which will guarantee the New Broadband Notes, and that Comcast Cable will have various operating subsidiaries. The diagram shows that Comcast Corporation will also have various non-cable subsidiaries.</w:t>
      </w:r>
    </w:p>
    <w:p>
      <w:pPr>
        <w:sectPr>
          <w:pgSz w:w="11900" w:h="16838" w:orient="portrait"/>
          <w:cols w:equalWidth="0" w:num="1">
            <w:col w:w="10219"/>
          </w:cols>
          <w:pgMar w:left="240" w:top="659" w:right="1440" w:bottom="1440" w:gutter="0" w:footer="0" w:header="0"/>
        </w:sectPr>
      </w:pPr>
    </w:p>
    <w:bookmarkStart w:id="8" w:name="page9"/>
    <w:bookmarkEnd w:id="8"/>
    <w:p>
      <w:pPr>
        <w:spacing w:after="0" w:line="70" w:lineRule="exact"/>
        <w:rPr>
          <w:sz w:val="20"/>
          <w:szCs w:val="20"/>
          <w:color w:val="auto"/>
        </w:rPr>
      </w:pPr>
    </w:p>
    <w:p>
      <w:pPr>
        <w:jc w:val="right"/>
        <w:ind w:right="5719"/>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QUESTIONS AND ANSWERS ABOUT THE EXCHANGE</w:t>
      </w:r>
    </w:p>
    <w:p>
      <w:pPr>
        <w:ind w:left="180"/>
        <w:spacing w:after="0"/>
        <w:tabs>
          <w:tab w:leader="dot" w:pos="41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6"/>
          <w:szCs w:val="16"/>
          <w:color w:val="auto"/>
        </w:rPr>
        <w:t>1</w:t>
      </w:r>
    </w:p>
    <w:p>
      <w:pPr>
        <w:spacing w:after="0" w:line="237" w:lineRule="auto"/>
        <w:tabs>
          <w:tab w:leader="dot" w:pos="4100" w:val="left"/>
        </w:tabs>
        <w:rPr>
          <w:sz w:val="20"/>
          <w:szCs w:val="20"/>
          <w:color w:val="auto"/>
        </w:rPr>
      </w:pPr>
      <w:r>
        <w:rPr>
          <w:rFonts w:ascii="Courier New" w:cs="Courier New" w:eastAsia="Courier New" w:hAnsi="Courier New"/>
          <w:sz w:val="16"/>
          <w:szCs w:val="16"/>
          <w:color w:val="auto"/>
        </w:rPr>
        <w:t>SUMMARY</w:t>
      </w:r>
      <w:r>
        <w:rPr>
          <w:sz w:val="20"/>
          <w:szCs w:val="20"/>
          <w:color w:val="auto"/>
        </w:rPr>
        <w:tab/>
      </w:r>
      <w:r>
        <w:rPr>
          <w:rFonts w:ascii="Courier New" w:cs="Courier New" w:eastAsia="Courier New" w:hAnsi="Courier New"/>
          <w:sz w:val="16"/>
          <w:szCs w:val="16"/>
          <w:color w:val="auto"/>
        </w:rPr>
        <w:t>5</w:t>
      </w:r>
    </w:p>
    <w:p>
      <w:pPr>
        <w:ind w:left="180"/>
        <w:spacing w:after="0"/>
        <w:tabs>
          <w:tab w:leader="dot" w:pos="4100" w:val="left"/>
        </w:tabs>
        <w:rPr>
          <w:sz w:val="20"/>
          <w:szCs w:val="20"/>
          <w:color w:val="auto"/>
        </w:rPr>
      </w:pPr>
      <w:r>
        <w:rPr>
          <w:rFonts w:ascii="Courier New" w:cs="Courier New" w:eastAsia="Courier New" w:hAnsi="Courier New"/>
          <w:sz w:val="16"/>
          <w:szCs w:val="16"/>
          <w:color w:val="auto"/>
        </w:rPr>
        <w:t>The AT&amp;T Comcast Transaction</w:t>
      </w:r>
      <w:r>
        <w:rPr>
          <w:sz w:val="20"/>
          <w:szCs w:val="20"/>
          <w:color w:val="auto"/>
        </w:rPr>
        <w:tab/>
      </w:r>
      <w:r>
        <w:rPr>
          <w:rFonts w:ascii="Courier New" w:cs="Courier New" w:eastAsia="Courier New" w:hAnsi="Courier New"/>
          <w:sz w:val="16"/>
          <w:szCs w:val="16"/>
          <w:color w:val="auto"/>
        </w:rPr>
        <w:t>5</w:t>
      </w:r>
    </w:p>
    <w:p>
      <w:pPr>
        <w:ind w:left="180"/>
        <w:spacing w:after="0" w:line="238" w:lineRule="auto"/>
        <w:tabs>
          <w:tab w:leader="dot" w:pos="4100" w:val="left"/>
        </w:tabs>
        <w:rPr>
          <w:sz w:val="20"/>
          <w:szCs w:val="20"/>
          <w:color w:val="auto"/>
        </w:rPr>
      </w:pPr>
      <w:r>
        <w:rPr>
          <w:rFonts w:ascii="Courier New" w:cs="Courier New" w:eastAsia="Courier New" w:hAnsi="Courier New"/>
          <w:sz w:val="16"/>
          <w:szCs w:val="16"/>
          <w:color w:val="auto"/>
        </w:rPr>
        <w:t>The Exchange Offer</w:t>
      </w:r>
      <w:r>
        <w:rPr>
          <w:sz w:val="20"/>
          <w:szCs w:val="20"/>
          <w:color w:val="auto"/>
        </w:rPr>
        <w:tab/>
      </w:r>
      <w:r>
        <w:rPr>
          <w:rFonts w:ascii="Courier New" w:cs="Courier New" w:eastAsia="Courier New" w:hAnsi="Courier New"/>
          <w:sz w:val="16"/>
          <w:szCs w:val="16"/>
          <w:color w:val="auto"/>
        </w:rPr>
        <w:t>5</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The Companies</w:t>
      </w:r>
      <w:r>
        <w:rPr>
          <w:sz w:val="20"/>
          <w:szCs w:val="20"/>
          <w:color w:val="auto"/>
        </w:rPr>
        <w:tab/>
      </w:r>
      <w:r>
        <w:rPr>
          <w:rFonts w:ascii="Courier New" w:cs="Courier New" w:eastAsia="Courier New" w:hAnsi="Courier New"/>
          <w:sz w:val="16"/>
          <w:szCs w:val="16"/>
          <w:color w:val="auto"/>
        </w:rPr>
        <w:t>10</w:t>
      </w:r>
    </w:p>
    <w:p>
      <w:pPr>
        <w:ind w:left="180"/>
        <w:spacing w:after="0" w:line="238" w:lineRule="auto"/>
        <w:rPr>
          <w:sz w:val="20"/>
          <w:szCs w:val="20"/>
          <w:color w:val="auto"/>
        </w:rPr>
      </w:pPr>
      <w:r>
        <w:rPr>
          <w:rFonts w:ascii="Courier New" w:cs="Courier New" w:eastAsia="Courier New" w:hAnsi="Courier New"/>
          <w:sz w:val="16"/>
          <w:szCs w:val="16"/>
          <w:color w:val="auto"/>
        </w:rPr>
        <w:t>Description of the Broadband Exchange</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12</w:t>
      </w:r>
    </w:p>
    <w:p>
      <w:pPr>
        <w:ind w:left="180"/>
        <w:spacing w:after="0" w:line="237" w:lineRule="auto"/>
        <w:rPr>
          <w:sz w:val="20"/>
          <w:szCs w:val="20"/>
          <w:color w:val="auto"/>
        </w:rPr>
      </w:pPr>
      <w:r>
        <w:rPr>
          <w:rFonts w:ascii="Courier New" w:cs="Courier New" w:eastAsia="Courier New" w:hAnsi="Courier New"/>
          <w:sz w:val="16"/>
          <w:szCs w:val="16"/>
          <w:color w:val="auto"/>
        </w:rPr>
        <w:t>Description of the New Broadband Notes</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and the Cable Guarantees</w:t>
      </w:r>
      <w:r>
        <w:rPr>
          <w:sz w:val="20"/>
          <w:szCs w:val="20"/>
          <w:color w:val="auto"/>
        </w:rPr>
        <w:tab/>
      </w:r>
      <w:r>
        <w:rPr>
          <w:rFonts w:ascii="Courier New" w:cs="Courier New" w:eastAsia="Courier New" w:hAnsi="Courier New"/>
          <w:sz w:val="16"/>
          <w:szCs w:val="16"/>
          <w:color w:val="auto"/>
        </w:rPr>
        <w:t>12</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Description of the New AT&amp;T Notes</w:t>
      </w:r>
      <w:r>
        <w:rPr>
          <w:sz w:val="20"/>
          <w:szCs w:val="20"/>
          <w:color w:val="auto"/>
        </w:rPr>
        <w:tab/>
      </w:r>
      <w:r>
        <w:rPr>
          <w:rFonts w:ascii="Courier New" w:cs="Courier New" w:eastAsia="Courier New" w:hAnsi="Courier New"/>
          <w:sz w:val="16"/>
          <w:szCs w:val="16"/>
          <w:color w:val="auto"/>
        </w:rPr>
        <w:t>14</w:t>
      </w:r>
    </w:p>
    <w:p>
      <w:pPr>
        <w:ind w:left="180"/>
        <w:spacing w:after="0"/>
        <w:rPr>
          <w:sz w:val="20"/>
          <w:szCs w:val="20"/>
          <w:color w:val="auto"/>
        </w:rPr>
      </w:pPr>
      <w:r>
        <w:rPr>
          <w:rFonts w:ascii="Courier New" w:cs="Courier New" w:eastAsia="Courier New" w:hAnsi="Courier New"/>
          <w:sz w:val="16"/>
          <w:szCs w:val="16"/>
          <w:color w:val="auto"/>
        </w:rPr>
        <w:t>United States Federal Income Tax</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Consequences</w:t>
      </w:r>
      <w:r>
        <w:rPr>
          <w:sz w:val="20"/>
          <w:szCs w:val="20"/>
          <w:color w:val="auto"/>
        </w:rPr>
        <w:tab/>
      </w:r>
      <w:r>
        <w:rPr>
          <w:rFonts w:ascii="Courier New" w:cs="Courier New" w:eastAsia="Courier New" w:hAnsi="Courier New"/>
          <w:sz w:val="16"/>
          <w:szCs w:val="16"/>
          <w:color w:val="auto"/>
        </w:rPr>
        <w:t>15</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The Dealer Managers</w:t>
      </w:r>
      <w:r>
        <w:rPr>
          <w:sz w:val="20"/>
          <w:szCs w:val="20"/>
          <w:color w:val="auto"/>
        </w:rPr>
        <w:tab/>
      </w:r>
      <w:r>
        <w:rPr>
          <w:rFonts w:ascii="Courier New" w:cs="Courier New" w:eastAsia="Courier New" w:hAnsi="Courier New"/>
          <w:sz w:val="16"/>
          <w:szCs w:val="16"/>
          <w:color w:val="auto"/>
        </w:rPr>
        <w:t>16</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The Information Agent</w:t>
      </w:r>
      <w:r>
        <w:rPr>
          <w:sz w:val="20"/>
          <w:szCs w:val="20"/>
          <w:color w:val="auto"/>
        </w:rPr>
        <w:tab/>
      </w:r>
      <w:r>
        <w:rPr>
          <w:rFonts w:ascii="Courier New" w:cs="Courier New" w:eastAsia="Courier New" w:hAnsi="Courier New"/>
          <w:sz w:val="16"/>
          <w:szCs w:val="16"/>
          <w:color w:val="auto"/>
        </w:rPr>
        <w:t>16</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The Exchange Agent</w:t>
      </w:r>
      <w:r>
        <w:rPr>
          <w:sz w:val="20"/>
          <w:szCs w:val="20"/>
          <w:color w:val="auto"/>
        </w:rPr>
        <w:tab/>
      </w:r>
      <w:r>
        <w:rPr>
          <w:rFonts w:ascii="Courier New" w:cs="Courier New" w:eastAsia="Courier New" w:hAnsi="Courier New"/>
          <w:sz w:val="16"/>
          <w:szCs w:val="16"/>
          <w:color w:val="auto"/>
        </w:rPr>
        <w:t>16</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The Luxembourg Exchange Agent</w:t>
      </w:r>
      <w:r>
        <w:rPr>
          <w:sz w:val="20"/>
          <w:szCs w:val="20"/>
          <w:color w:val="auto"/>
        </w:rPr>
        <w:tab/>
      </w:r>
      <w:r>
        <w:rPr>
          <w:rFonts w:ascii="Courier New" w:cs="Courier New" w:eastAsia="Courier New" w:hAnsi="Courier New"/>
          <w:sz w:val="16"/>
          <w:szCs w:val="16"/>
          <w:color w:val="auto"/>
        </w:rPr>
        <w:t>16</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Retail Solicitation Fee</w:t>
      </w:r>
      <w:r>
        <w:rPr>
          <w:sz w:val="20"/>
          <w:szCs w:val="20"/>
          <w:color w:val="auto"/>
        </w:rPr>
        <w:tab/>
      </w:r>
      <w:r>
        <w:rPr>
          <w:rFonts w:ascii="Courier New" w:cs="Courier New" w:eastAsia="Courier New" w:hAnsi="Courier New"/>
          <w:sz w:val="16"/>
          <w:szCs w:val="16"/>
          <w:color w:val="auto"/>
        </w:rPr>
        <w:t>17</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Recent Developments</w:t>
      </w:r>
      <w:r>
        <w:rPr>
          <w:sz w:val="20"/>
          <w:szCs w:val="20"/>
          <w:color w:val="auto"/>
        </w:rPr>
        <w:tab/>
      </w:r>
      <w:r>
        <w:rPr>
          <w:rFonts w:ascii="Courier New" w:cs="Courier New" w:eastAsia="Courier New" w:hAnsi="Courier New"/>
          <w:sz w:val="16"/>
          <w:szCs w:val="16"/>
          <w:color w:val="auto"/>
        </w:rPr>
        <w:t>17</w:t>
      </w:r>
    </w:p>
    <w:p>
      <w:pPr>
        <w:spacing w:after="0"/>
        <w:tabs>
          <w:tab w:leader="dot" w:pos="4000" w:val="left"/>
        </w:tabs>
        <w:rPr>
          <w:sz w:val="20"/>
          <w:szCs w:val="20"/>
          <w:color w:val="auto"/>
        </w:rPr>
      </w:pPr>
      <w:r>
        <w:rPr>
          <w:rFonts w:ascii="Courier New" w:cs="Courier New" w:eastAsia="Courier New" w:hAnsi="Courier New"/>
          <w:sz w:val="16"/>
          <w:szCs w:val="16"/>
          <w:color w:val="auto"/>
        </w:rPr>
        <w:t>SELECTED FINANCIAL DATA OF AT&amp;T</w:t>
      </w:r>
      <w:r>
        <w:rPr>
          <w:sz w:val="20"/>
          <w:szCs w:val="20"/>
          <w:color w:val="auto"/>
        </w:rPr>
        <w:tab/>
      </w:r>
      <w:r>
        <w:rPr>
          <w:rFonts w:ascii="Courier New" w:cs="Courier New" w:eastAsia="Courier New" w:hAnsi="Courier New"/>
          <w:sz w:val="16"/>
          <w:szCs w:val="16"/>
          <w:color w:val="auto"/>
        </w:rPr>
        <w:t>18</w:t>
      </w:r>
    </w:p>
    <w:p>
      <w:pPr>
        <w:spacing w:after="0" w:line="237" w:lineRule="auto"/>
        <w:rPr>
          <w:sz w:val="20"/>
          <w:szCs w:val="20"/>
          <w:color w:val="auto"/>
        </w:rPr>
      </w:pPr>
      <w:r>
        <w:rPr>
          <w:rFonts w:ascii="Courier New" w:cs="Courier New" w:eastAsia="Courier New" w:hAnsi="Courier New"/>
          <w:sz w:val="16"/>
          <w:szCs w:val="16"/>
          <w:color w:val="auto"/>
        </w:rPr>
        <w:t>SUMMARY PRO FORMA COMBINED CONDENSED</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FINANCIAL INFORMATION OF AT&amp;T</w:t>
      </w:r>
      <w:r>
        <w:rPr>
          <w:sz w:val="20"/>
          <w:szCs w:val="20"/>
          <w:color w:val="auto"/>
        </w:rPr>
        <w:tab/>
      </w:r>
      <w:r>
        <w:rPr>
          <w:rFonts w:ascii="Courier New" w:cs="Courier New" w:eastAsia="Courier New" w:hAnsi="Courier New"/>
          <w:sz w:val="16"/>
          <w:szCs w:val="16"/>
          <w:color w:val="auto"/>
        </w:rPr>
        <w:t>21</w:t>
      </w:r>
    </w:p>
    <w:p>
      <w:pPr>
        <w:spacing w:after="0" w:line="238" w:lineRule="auto"/>
        <w:rPr>
          <w:sz w:val="20"/>
          <w:szCs w:val="20"/>
          <w:color w:val="auto"/>
        </w:rPr>
      </w:pPr>
      <w:r>
        <w:rPr>
          <w:rFonts w:ascii="Courier New" w:cs="Courier New" w:eastAsia="Courier New" w:hAnsi="Courier New"/>
          <w:sz w:val="16"/>
          <w:szCs w:val="16"/>
          <w:color w:val="auto"/>
        </w:rPr>
        <w:t>SELECTED FINANCIAL DATA OF AT&amp;T</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BROADBAND GROUP</w:t>
      </w:r>
      <w:r>
        <w:rPr>
          <w:sz w:val="20"/>
          <w:szCs w:val="20"/>
          <w:color w:val="auto"/>
        </w:rPr>
        <w:tab/>
      </w:r>
      <w:r>
        <w:rPr>
          <w:rFonts w:ascii="Courier New" w:cs="Courier New" w:eastAsia="Courier New" w:hAnsi="Courier New"/>
          <w:sz w:val="16"/>
          <w:szCs w:val="16"/>
          <w:color w:val="auto"/>
        </w:rPr>
        <w:t>22</w:t>
      </w:r>
    </w:p>
    <w:p>
      <w:pPr>
        <w:spacing w:after="0" w:line="238" w:lineRule="auto"/>
        <w:tabs>
          <w:tab w:leader="dot" w:pos="4000" w:val="left"/>
        </w:tabs>
        <w:rPr>
          <w:sz w:val="20"/>
          <w:szCs w:val="20"/>
          <w:color w:val="auto"/>
        </w:rPr>
      </w:pPr>
      <w:r>
        <w:rPr>
          <w:rFonts w:ascii="Courier New" w:cs="Courier New" w:eastAsia="Courier New" w:hAnsi="Courier New"/>
          <w:sz w:val="16"/>
          <w:szCs w:val="16"/>
          <w:color w:val="auto"/>
        </w:rPr>
        <w:t>SELECTED FINANCIAL DATA OF BROADBAND</w:t>
      </w:r>
      <w:r>
        <w:rPr>
          <w:sz w:val="20"/>
          <w:szCs w:val="20"/>
          <w:color w:val="auto"/>
        </w:rPr>
        <w:tab/>
      </w:r>
      <w:r>
        <w:rPr>
          <w:rFonts w:ascii="Courier New" w:cs="Courier New" w:eastAsia="Courier New" w:hAnsi="Courier New"/>
          <w:sz w:val="16"/>
          <w:szCs w:val="16"/>
          <w:color w:val="auto"/>
        </w:rPr>
        <w:t>23</w:t>
      </w:r>
    </w:p>
    <w:p>
      <w:pPr>
        <w:spacing w:after="0"/>
        <w:rPr>
          <w:sz w:val="20"/>
          <w:szCs w:val="20"/>
          <w:color w:val="auto"/>
        </w:rPr>
      </w:pPr>
      <w:r>
        <w:rPr>
          <w:rFonts w:ascii="Courier New" w:cs="Courier New" w:eastAsia="Courier New" w:hAnsi="Courier New"/>
          <w:sz w:val="16"/>
          <w:szCs w:val="16"/>
          <w:color w:val="auto"/>
        </w:rPr>
        <w:t>UNAUDITED PRO FORMA COMBINED CONDENSED</w:t>
      </w:r>
    </w:p>
    <w:p>
      <w:pPr>
        <w:ind w:left="180"/>
        <w:spacing w:after="0" w:line="237" w:lineRule="auto"/>
        <w:rPr>
          <w:sz w:val="20"/>
          <w:szCs w:val="20"/>
          <w:color w:val="auto"/>
        </w:rPr>
      </w:pPr>
      <w:r>
        <w:rPr>
          <w:rFonts w:ascii="Courier New" w:cs="Courier New" w:eastAsia="Courier New" w:hAnsi="Courier New"/>
          <w:sz w:val="16"/>
          <w:szCs w:val="16"/>
          <w:color w:val="auto"/>
        </w:rPr>
        <w:t>FINANCIAL STATEMENTS OF AT&amp;T COMCAST</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CORPORATION</w:t>
      </w:r>
      <w:r>
        <w:rPr>
          <w:sz w:val="20"/>
          <w:szCs w:val="20"/>
          <w:color w:val="auto"/>
        </w:rPr>
        <w:tab/>
      </w:r>
      <w:r>
        <w:rPr>
          <w:rFonts w:ascii="Courier New" w:cs="Courier New" w:eastAsia="Courier New" w:hAnsi="Courier New"/>
          <w:sz w:val="16"/>
          <w:szCs w:val="16"/>
          <w:color w:val="auto"/>
        </w:rPr>
        <w:t>24</w:t>
      </w:r>
    </w:p>
    <w:p>
      <w:pPr>
        <w:spacing w:after="0" w:line="238" w:lineRule="auto"/>
        <w:tabs>
          <w:tab w:leader="dot" w:pos="4000" w:val="left"/>
        </w:tabs>
        <w:rPr>
          <w:sz w:val="20"/>
          <w:szCs w:val="20"/>
          <w:color w:val="auto"/>
        </w:rPr>
      </w:pPr>
      <w:r>
        <w:rPr>
          <w:rFonts w:ascii="Courier New" w:cs="Courier New" w:eastAsia="Courier New" w:hAnsi="Courier New"/>
          <w:sz w:val="16"/>
          <w:szCs w:val="16"/>
          <w:color w:val="auto"/>
        </w:rPr>
        <w:t>SELECTED FINANCIAL DATA OF COMCAST</w:t>
      </w:r>
      <w:r>
        <w:rPr>
          <w:sz w:val="20"/>
          <w:szCs w:val="20"/>
          <w:color w:val="auto"/>
        </w:rPr>
        <w:tab/>
      </w:r>
      <w:r>
        <w:rPr>
          <w:rFonts w:ascii="Courier New" w:cs="Courier New" w:eastAsia="Courier New" w:hAnsi="Courier New"/>
          <w:sz w:val="16"/>
          <w:szCs w:val="16"/>
          <w:color w:val="auto"/>
        </w:rPr>
        <w:t>34</w:t>
      </w:r>
    </w:p>
    <w:p>
      <w:pPr>
        <w:spacing w:after="0"/>
        <w:rPr>
          <w:sz w:val="20"/>
          <w:szCs w:val="20"/>
          <w:color w:val="auto"/>
        </w:rPr>
      </w:pPr>
      <w:r>
        <w:rPr>
          <w:rFonts w:ascii="Courier New" w:cs="Courier New" w:eastAsia="Courier New" w:hAnsi="Courier New"/>
          <w:sz w:val="16"/>
          <w:szCs w:val="16"/>
          <w:color w:val="auto"/>
        </w:rPr>
        <w:t>SELECTED FINANCIAL DATA OF COMCAST</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CABLE</w:t>
      </w:r>
      <w:r>
        <w:rPr>
          <w:sz w:val="20"/>
          <w:szCs w:val="20"/>
          <w:color w:val="auto"/>
        </w:rPr>
        <w:tab/>
      </w:r>
      <w:r>
        <w:rPr>
          <w:rFonts w:ascii="Courier New" w:cs="Courier New" w:eastAsia="Courier New" w:hAnsi="Courier New"/>
          <w:sz w:val="16"/>
          <w:szCs w:val="16"/>
          <w:color w:val="auto"/>
        </w:rPr>
        <w:t>37</w:t>
      </w:r>
    </w:p>
    <w:p>
      <w:pPr>
        <w:spacing w:after="0"/>
        <w:tabs>
          <w:tab w:leader="dot" w:pos="4000" w:val="left"/>
        </w:tabs>
        <w:rPr>
          <w:sz w:val="20"/>
          <w:szCs w:val="20"/>
          <w:color w:val="auto"/>
        </w:rPr>
      </w:pPr>
      <w:r>
        <w:rPr>
          <w:rFonts w:ascii="Courier New" w:cs="Courier New" w:eastAsia="Courier New" w:hAnsi="Courier New"/>
          <w:sz w:val="16"/>
          <w:szCs w:val="16"/>
          <w:color w:val="auto"/>
        </w:rPr>
        <w:t>RATIOS OF EARNINGS TO FIXED CHARGES</w:t>
      </w:r>
      <w:r>
        <w:rPr>
          <w:sz w:val="20"/>
          <w:szCs w:val="20"/>
          <w:color w:val="auto"/>
        </w:rPr>
        <w:tab/>
      </w:r>
      <w:r>
        <w:rPr>
          <w:rFonts w:ascii="Courier New" w:cs="Courier New" w:eastAsia="Courier New" w:hAnsi="Courier New"/>
          <w:sz w:val="16"/>
          <w:szCs w:val="16"/>
          <w:color w:val="auto"/>
        </w:rPr>
        <w:t>39</w:t>
      </w:r>
    </w:p>
    <w:p>
      <w:pPr>
        <w:spacing w:after="0" w:line="237" w:lineRule="auto"/>
        <w:rPr>
          <w:sz w:val="20"/>
          <w:szCs w:val="20"/>
          <w:color w:val="auto"/>
        </w:rPr>
      </w:pPr>
      <w:r>
        <w:rPr>
          <w:rFonts w:ascii="Courier New" w:cs="Courier New" w:eastAsia="Courier New" w:hAnsi="Courier New"/>
          <w:sz w:val="16"/>
          <w:szCs w:val="16"/>
          <w:color w:val="auto"/>
        </w:rPr>
        <w:t>PRO FORMA RATIO OF EARNINGS TO FIXED</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CHARGES</w:t>
      </w:r>
      <w:r>
        <w:rPr>
          <w:sz w:val="20"/>
          <w:szCs w:val="20"/>
          <w:color w:val="auto"/>
        </w:rPr>
        <w:tab/>
      </w:r>
      <w:r>
        <w:rPr>
          <w:rFonts w:ascii="Courier New" w:cs="Courier New" w:eastAsia="Courier New" w:hAnsi="Courier New"/>
          <w:sz w:val="16"/>
          <w:szCs w:val="16"/>
          <w:color w:val="auto"/>
        </w:rPr>
        <w:t>40</w:t>
      </w:r>
    </w:p>
    <w:p>
      <w:pPr>
        <w:spacing w:after="0" w:line="238" w:lineRule="auto"/>
        <w:tabs>
          <w:tab w:leader="dot" w:pos="4000" w:val="left"/>
        </w:tabs>
        <w:rPr>
          <w:sz w:val="20"/>
          <w:szCs w:val="20"/>
          <w:color w:val="auto"/>
        </w:rPr>
      </w:pPr>
      <w:r>
        <w:rPr>
          <w:rFonts w:ascii="Courier New" w:cs="Courier New" w:eastAsia="Courier New" w:hAnsi="Courier New"/>
          <w:sz w:val="16"/>
          <w:szCs w:val="16"/>
          <w:color w:val="auto"/>
        </w:rPr>
        <w:t>MARKETS AND MARKET PRICES</w:t>
      </w:r>
      <w:r>
        <w:rPr>
          <w:sz w:val="20"/>
          <w:szCs w:val="20"/>
          <w:color w:val="auto"/>
        </w:rPr>
        <w:tab/>
      </w:r>
      <w:r>
        <w:rPr>
          <w:rFonts w:ascii="Courier New" w:cs="Courier New" w:eastAsia="Courier New" w:hAnsi="Courier New"/>
          <w:sz w:val="16"/>
          <w:szCs w:val="16"/>
          <w:color w:val="auto"/>
        </w:rPr>
        <w:t>40</w:t>
      </w:r>
    </w:p>
    <w:p>
      <w:pPr>
        <w:spacing w:after="0"/>
        <w:tabs>
          <w:tab w:leader="dot" w:pos="400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45</w:t>
      </w:r>
    </w:p>
    <w:p>
      <w:pPr>
        <w:ind w:left="180"/>
        <w:spacing w:after="0" w:line="238" w:lineRule="auto"/>
        <w:rPr>
          <w:sz w:val="20"/>
          <w:szCs w:val="20"/>
          <w:color w:val="auto"/>
        </w:rPr>
      </w:pPr>
      <w:r>
        <w:rPr>
          <w:rFonts w:ascii="Courier New" w:cs="Courier New" w:eastAsia="Courier New" w:hAnsi="Courier New"/>
          <w:sz w:val="16"/>
          <w:szCs w:val="16"/>
          <w:color w:val="auto"/>
        </w:rPr>
        <w:t>Risks Relating to the Exchange</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6"/>
          <w:szCs w:val="16"/>
          <w:color w:val="auto"/>
        </w:rPr>
        <w:t>45</w:t>
      </w:r>
    </w:p>
    <w:p>
      <w:pPr>
        <w:ind w:left="180"/>
        <w:spacing w:after="0" w:line="237" w:lineRule="auto"/>
        <w:rPr>
          <w:sz w:val="20"/>
          <w:szCs w:val="20"/>
          <w:color w:val="auto"/>
        </w:rPr>
      </w:pPr>
      <w:r>
        <w:rPr>
          <w:rFonts w:ascii="Courier New" w:cs="Courier New" w:eastAsia="Courier New" w:hAnsi="Courier New"/>
          <w:sz w:val="16"/>
          <w:szCs w:val="16"/>
          <w:color w:val="auto"/>
        </w:rPr>
        <w:t>Risks Relating to the AT&amp;T Comcast</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Transaction</w:t>
      </w:r>
      <w:r>
        <w:rPr>
          <w:sz w:val="20"/>
          <w:szCs w:val="20"/>
          <w:color w:val="auto"/>
        </w:rPr>
        <w:tab/>
      </w:r>
      <w:r>
        <w:rPr>
          <w:rFonts w:ascii="Courier New" w:cs="Courier New" w:eastAsia="Courier New" w:hAnsi="Courier New"/>
          <w:sz w:val="16"/>
          <w:szCs w:val="16"/>
          <w:color w:val="auto"/>
        </w:rPr>
        <w:t>47</w:t>
      </w:r>
    </w:p>
    <w:p>
      <w:pPr>
        <w:ind w:left="180"/>
        <w:spacing w:after="0" w:line="238" w:lineRule="auto"/>
        <w:rPr>
          <w:sz w:val="20"/>
          <w:szCs w:val="20"/>
          <w:color w:val="auto"/>
        </w:rPr>
      </w:pPr>
      <w:r>
        <w:rPr>
          <w:rFonts w:ascii="Courier New" w:cs="Courier New" w:eastAsia="Courier New" w:hAnsi="Courier New"/>
          <w:sz w:val="16"/>
          <w:szCs w:val="16"/>
          <w:color w:val="auto"/>
        </w:rPr>
        <w:t>Risks For AT&amp;T Relating to the AT&amp;T</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Comcast Transaction</w:t>
      </w:r>
      <w:r>
        <w:rPr>
          <w:sz w:val="20"/>
          <w:szCs w:val="20"/>
          <w:color w:val="auto"/>
        </w:rPr>
        <w:tab/>
      </w:r>
      <w:r>
        <w:rPr>
          <w:rFonts w:ascii="Courier New" w:cs="Courier New" w:eastAsia="Courier New" w:hAnsi="Courier New"/>
          <w:sz w:val="16"/>
          <w:szCs w:val="16"/>
          <w:color w:val="auto"/>
        </w:rPr>
        <w:t>51</w:t>
      </w:r>
    </w:p>
    <w:p>
      <w:pPr>
        <w:ind w:left="180"/>
        <w:spacing w:after="0" w:line="238" w:lineRule="auto"/>
        <w:rPr>
          <w:sz w:val="20"/>
          <w:szCs w:val="20"/>
          <w:color w:val="auto"/>
        </w:rPr>
      </w:pPr>
      <w:r>
        <w:rPr>
          <w:rFonts w:ascii="Courier New" w:cs="Courier New" w:eastAsia="Courier New" w:hAnsi="Courier New"/>
          <w:sz w:val="16"/>
          <w:szCs w:val="16"/>
          <w:color w:val="auto"/>
        </w:rPr>
        <w:t>Risks Relating to the Business of AT&amp;T</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Comcast</w:t>
      </w:r>
      <w:r>
        <w:rPr>
          <w:sz w:val="20"/>
          <w:szCs w:val="20"/>
          <w:color w:val="auto"/>
        </w:rPr>
        <w:tab/>
      </w:r>
      <w:r>
        <w:rPr>
          <w:rFonts w:ascii="Courier New" w:cs="Courier New" w:eastAsia="Courier New" w:hAnsi="Courier New"/>
          <w:sz w:val="16"/>
          <w:szCs w:val="16"/>
          <w:color w:val="auto"/>
        </w:rPr>
        <w:t>52</w:t>
      </w:r>
    </w:p>
    <w:p>
      <w:pPr>
        <w:ind w:left="180"/>
        <w:spacing w:after="0" w:line="237" w:lineRule="auto"/>
        <w:rPr>
          <w:sz w:val="20"/>
          <w:szCs w:val="20"/>
          <w:color w:val="auto"/>
        </w:rPr>
      </w:pPr>
      <w:r>
        <w:rPr>
          <w:rFonts w:ascii="Courier New" w:cs="Courier New" w:eastAsia="Courier New" w:hAnsi="Courier New"/>
          <w:sz w:val="16"/>
          <w:szCs w:val="16"/>
          <w:color w:val="auto"/>
        </w:rPr>
        <w:t>Risks Relating to AT&amp;T's Credit</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Rating</w:t>
      </w:r>
      <w:r>
        <w:rPr>
          <w:sz w:val="20"/>
          <w:szCs w:val="20"/>
          <w:color w:val="auto"/>
        </w:rPr>
        <w:tab/>
      </w:r>
      <w:r>
        <w:rPr>
          <w:rFonts w:ascii="Courier New" w:cs="Courier New" w:eastAsia="Courier New" w:hAnsi="Courier New"/>
          <w:sz w:val="16"/>
          <w:szCs w:val="16"/>
          <w:color w:val="auto"/>
        </w:rPr>
        <w:t>58</w:t>
      </w:r>
    </w:p>
    <w:p>
      <w:pPr>
        <w:ind w:left="180"/>
        <w:spacing w:after="0" w:line="238" w:lineRule="auto"/>
        <w:rPr>
          <w:sz w:val="20"/>
          <w:szCs w:val="20"/>
          <w:color w:val="auto"/>
        </w:rPr>
      </w:pPr>
      <w:r>
        <w:rPr>
          <w:rFonts w:ascii="Courier New" w:cs="Courier New" w:eastAsia="Courier New" w:hAnsi="Courier New"/>
          <w:sz w:val="16"/>
          <w:szCs w:val="16"/>
          <w:color w:val="auto"/>
        </w:rPr>
        <w:t>Risks Relating to the Businesses of</w:t>
      </w:r>
    </w:p>
    <w:p>
      <w:pPr>
        <w:ind w:left="460"/>
        <w:spacing w:after="0"/>
        <w:rPr>
          <w:sz w:val="20"/>
          <w:szCs w:val="20"/>
          <w:color w:val="auto"/>
        </w:rPr>
      </w:pPr>
      <w:r>
        <w:rPr>
          <w:rFonts w:ascii="Courier New" w:cs="Courier New" w:eastAsia="Courier New" w:hAnsi="Courier New"/>
          <w:sz w:val="16"/>
          <w:szCs w:val="16"/>
          <w:color w:val="auto"/>
        </w:rPr>
        <w:t>AT&amp;T Consumer Services Group and</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AT&amp;T Business Services Group</w:t>
      </w:r>
      <w:r>
        <w:rPr>
          <w:sz w:val="20"/>
          <w:szCs w:val="20"/>
          <w:color w:val="auto"/>
        </w:rPr>
        <w:tab/>
      </w:r>
      <w:r>
        <w:rPr>
          <w:rFonts w:ascii="Courier New" w:cs="Courier New" w:eastAsia="Courier New" w:hAnsi="Courier New"/>
          <w:sz w:val="16"/>
          <w:szCs w:val="16"/>
          <w:color w:val="auto"/>
        </w:rPr>
        <w:t>59</w:t>
      </w:r>
    </w:p>
    <w:p>
      <w:pPr>
        <w:spacing w:after="0"/>
        <w:tabs>
          <w:tab w:leader="dot" w:pos="4000" w:val="left"/>
        </w:tabs>
        <w:rPr>
          <w:sz w:val="20"/>
          <w:szCs w:val="20"/>
          <w:color w:val="auto"/>
        </w:rPr>
      </w:pPr>
      <w:r>
        <w:rPr>
          <w:rFonts w:ascii="Courier New" w:cs="Courier New" w:eastAsia="Courier New" w:hAnsi="Courier New"/>
          <w:sz w:val="16"/>
          <w:szCs w:val="16"/>
          <w:color w:val="auto"/>
        </w:rPr>
        <w:t>DESCRIPTION OF THE EXCHANGE OFFER</w:t>
      </w:r>
      <w:r>
        <w:rPr>
          <w:sz w:val="20"/>
          <w:szCs w:val="20"/>
          <w:color w:val="auto"/>
        </w:rPr>
        <w:tab/>
      </w:r>
      <w:r>
        <w:rPr>
          <w:rFonts w:ascii="Courier New" w:cs="Courier New" w:eastAsia="Courier New" w:hAnsi="Courier New"/>
          <w:sz w:val="16"/>
          <w:szCs w:val="16"/>
          <w:color w:val="auto"/>
        </w:rPr>
        <w:t>67</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Purpose of the Exchange Offer</w:t>
      </w:r>
      <w:r>
        <w:rPr>
          <w:sz w:val="20"/>
          <w:szCs w:val="20"/>
          <w:color w:val="auto"/>
        </w:rPr>
        <w:tab/>
      </w:r>
      <w:r>
        <w:rPr>
          <w:rFonts w:ascii="Courier New" w:cs="Courier New" w:eastAsia="Courier New" w:hAnsi="Courier New"/>
          <w:sz w:val="16"/>
          <w:szCs w:val="16"/>
          <w:color w:val="auto"/>
        </w:rPr>
        <w:t>67</w:t>
      </w:r>
    </w:p>
    <w:p>
      <w:pPr>
        <w:ind w:left="180"/>
        <w:spacing w:after="0"/>
        <w:rPr>
          <w:sz w:val="20"/>
          <w:szCs w:val="20"/>
          <w:color w:val="auto"/>
        </w:rPr>
      </w:pPr>
      <w:r>
        <w:rPr>
          <w:rFonts w:ascii="Courier New" w:cs="Courier New" w:eastAsia="Courier New" w:hAnsi="Courier New"/>
          <w:sz w:val="16"/>
          <w:szCs w:val="16"/>
          <w:color w:val="auto"/>
        </w:rPr>
        <w:t>Terms of the Exchange Offer; Period</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for Tendering</w:t>
      </w:r>
      <w:r>
        <w:rPr>
          <w:sz w:val="20"/>
          <w:szCs w:val="20"/>
          <w:color w:val="auto"/>
        </w:rPr>
        <w:tab/>
      </w:r>
      <w:r>
        <w:rPr>
          <w:rFonts w:ascii="Courier New" w:cs="Courier New" w:eastAsia="Courier New" w:hAnsi="Courier New"/>
          <w:sz w:val="16"/>
          <w:szCs w:val="16"/>
          <w:color w:val="auto"/>
        </w:rPr>
        <w:t>67</w:t>
      </w:r>
    </w:p>
    <w:p>
      <w:pPr>
        <w:ind w:left="180"/>
        <w:spacing w:after="0"/>
        <w:rPr>
          <w:sz w:val="20"/>
          <w:szCs w:val="20"/>
          <w:color w:val="auto"/>
        </w:rPr>
      </w:pPr>
      <w:r>
        <w:rPr>
          <w:rFonts w:ascii="Courier New" w:cs="Courier New" w:eastAsia="Courier New" w:hAnsi="Courier New"/>
          <w:sz w:val="16"/>
          <w:szCs w:val="16"/>
          <w:color w:val="auto"/>
        </w:rPr>
        <w:t>Important Reservation of Rights</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Regarding the Exchange Offer</w:t>
      </w:r>
      <w:r>
        <w:rPr>
          <w:sz w:val="20"/>
          <w:szCs w:val="20"/>
          <w:color w:val="auto"/>
        </w:rPr>
        <w:tab/>
      </w:r>
      <w:r>
        <w:rPr>
          <w:rFonts w:ascii="Courier New" w:cs="Courier New" w:eastAsia="Courier New" w:hAnsi="Courier New"/>
          <w:sz w:val="16"/>
          <w:szCs w:val="16"/>
          <w:color w:val="auto"/>
        </w:rPr>
        <w:t>69</w:t>
      </w:r>
    </w:p>
    <w:p>
      <w:pPr>
        <w:ind w:left="180"/>
        <w:spacing w:after="0"/>
        <w:rPr>
          <w:sz w:val="20"/>
          <w:szCs w:val="20"/>
          <w:color w:val="auto"/>
        </w:rPr>
      </w:pPr>
      <w:r>
        <w:rPr>
          <w:rFonts w:ascii="Courier New" w:cs="Courier New" w:eastAsia="Courier New" w:hAnsi="Courier New"/>
          <w:sz w:val="16"/>
          <w:szCs w:val="16"/>
          <w:color w:val="auto"/>
        </w:rPr>
        <w:t>Exchange Ratio for the New Broadband</w:t>
      </w:r>
    </w:p>
    <w:p>
      <w:pPr>
        <w:ind w:left="460"/>
        <w:spacing w:after="0" w:line="237" w:lineRule="auto"/>
        <w:tabs>
          <w:tab w:leader="dot" w:pos="40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69</w:t>
      </w:r>
    </w:p>
    <w:p>
      <w:pPr>
        <w:ind w:left="180"/>
        <w:spacing w:after="0"/>
        <w:rPr>
          <w:sz w:val="20"/>
          <w:szCs w:val="20"/>
          <w:color w:val="auto"/>
        </w:rPr>
      </w:pPr>
      <w:r>
        <w:rPr>
          <w:rFonts w:ascii="Courier New" w:cs="Courier New" w:eastAsia="Courier New" w:hAnsi="Courier New"/>
          <w:sz w:val="16"/>
          <w:szCs w:val="16"/>
          <w:color w:val="auto"/>
        </w:rPr>
        <w:t>Interest Rate for the New Broadband</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72</w:t>
      </w:r>
    </w:p>
    <w:p>
      <w:pPr>
        <w:ind w:left="180"/>
        <w:spacing w:after="0"/>
        <w:rPr>
          <w:sz w:val="20"/>
          <w:szCs w:val="20"/>
          <w:color w:val="auto"/>
        </w:rPr>
      </w:pPr>
      <w:r>
        <w:rPr>
          <w:rFonts w:ascii="Courier New" w:cs="Courier New" w:eastAsia="Courier New" w:hAnsi="Courier New"/>
          <w:sz w:val="16"/>
          <w:szCs w:val="16"/>
          <w:color w:val="auto"/>
        </w:rPr>
        <w:t>Other Terms of the Broadband Exchange</w:t>
      </w:r>
    </w:p>
    <w:p>
      <w:pPr>
        <w:ind w:left="460"/>
        <w:spacing w:after="0" w:line="238" w:lineRule="auto"/>
        <w:rPr>
          <w:sz w:val="20"/>
          <w:szCs w:val="20"/>
          <w:color w:val="auto"/>
        </w:rPr>
      </w:pPr>
      <w:r>
        <w:rPr>
          <w:rFonts w:ascii="Courier New" w:cs="Courier New" w:eastAsia="Courier New" w:hAnsi="Courier New"/>
          <w:sz w:val="16"/>
          <w:szCs w:val="16"/>
          <w:color w:val="auto"/>
        </w:rPr>
        <w:t>Notes, New Broadband Notes and the</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New AT&amp;T Notes</w:t>
      </w:r>
      <w:r>
        <w:rPr>
          <w:sz w:val="20"/>
          <w:szCs w:val="20"/>
          <w:color w:val="auto"/>
        </w:rPr>
        <w:tab/>
      </w:r>
      <w:r>
        <w:rPr>
          <w:rFonts w:ascii="Courier New" w:cs="Courier New" w:eastAsia="Courier New" w:hAnsi="Courier New"/>
          <w:sz w:val="16"/>
          <w:szCs w:val="16"/>
          <w:color w:val="auto"/>
        </w:rPr>
        <w:t>72</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Conditions to the Exchange Offer</w:t>
      </w:r>
      <w:r>
        <w:rPr>
          <w:sz w:val="20"/>
          <w:szCs w:val="20"/>
          <w:color w:val="auto"/>
        </w:rPr>
        <w:tab/>
      </w:r>
      <w:r>
        <w:rPr>
          <w:rFonts w:ascii="Courier New" w:cs="Courier New" w:eastAsia="Courier New" w:hAnsi="Courier New"/>
          <w:sz w:val="16"/>
          <w:szCs w:val="16"/>
          <w:color w:val="auto"/>
        </w:rPr>
        <w:t>73</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Proration</w:t>
      </w:r>
      <w:r>
        <w:rPr>
          <w:sz w:val="20"/>
          <w:szCs w:val="20"/>
          <w:color w:val="auto"/>
        </w:rPr>
        <w:tab/>
      </w:r>
      <w:r>
        <w:rPr>
          <w:rFonts w:ascii="Courier New" w:cs="Courier New" w:eastAsia="Courier New" w:hAnsi="Courier New"/>
          <w:sz w:val="16"/>
          <w:szCs w:val="16"/>
          <w:color w:val="auto"/>
        </w:rPr>
        <w:t>75</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Fractional Notes</w:t>
      </w:r>
      <w:r>
        <w:rPr>
          <w:sz w:val="20"/>
          <w:szCs w:val="20"/>
          <w:color w:val="auto"/>
        </w:rPr>
        <w:tab/>
      </w:r>
      <w:r>
        <w:rPr>
          <w:rFonts w:ascii="Courier New" w:cs="Courier New" w:eastAsia="Courier New" w:hAnsi="Courier New"/>
          <w:sz w:val="16"/>
          <w:szCs w:val="16"/>
          <w:color w:val="auto"/>
        </w:rPr>
        <w:t>75</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Required Consent</w:t>
      </w:r>
      <w:r>
        <w:rPr>
          <w:sz w:val="20"/>
          <w:szCs w:val="20"/>
          <w:color w:val="auto"/>
        </w:rPr>
        <w:tab/>
      </w:r>
      <w:r>
        <w:rPr>
          <w:rFonts w:ascii="Courier New" w:cs="Courier New" w:eastAsia="Courier New" w:hAnsi="Courier New"/>
          <w:sz w:val="16"/>
          <w:szCs w:val="16"/>
          <w:color w:val="auto"/>
        </w:rPr>
        <w:t>76</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Procedures for Tendering</w:t>
      </w:r>
      <w:r>
        <w:rPr>
          <w:sz w:val="20"/>
          <w:szCs w:val="20"/>
          <w:color w:val="auto"/>
        </w:rPr>
        <w:tab/>
      </w:r>
      <w:r>
        <w:rPr>
          <w:rFonts w:ascii="Courier New" w:cs="Courier New" w:eastAsia="Courier New" w:hAnsi="Courier New"/>
          <w:sz w:val="16"/>
          <w:szCs w:val="16"/>
          <w:color w:val="auto"/>
        </w:rPr>
        <w:t>76</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Book-Entry Transfer</w:t>
      </w:r>
      <w:r>
        <w:rPr>
          <w:sz w:val="20"/>
          <w:szCs w:val="20"/>
          <w:color w:val="auto"/>
        </w:rPr>
        <w:tab/>
      </w:r>
      <w:r>
        <w:rPr>
          <w:rFonts w:ascii="Courier New" w:cs="Courier New" w:eastAsia="Courier New" w:hAnsi="Courier New"/>
          <w:sz w:val="16"/>
          <w:szCs w:val="16"/>
          <w:color w:val="auto"/>
        </w:rPr>
        <w:t>77</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Guaranteed Delivery Procedures</w:t>
      </w:r>
      <w:r>
        <w:rPr>
          <w:sz w:val="20"/>
          <w:szCs w:val="20"/>
          <w:color w:val="auto"/>
        </w:rPr>
        <w:tab/>
      </w:r>
      <w:r>
        <w:rPr>
          <w:rFonts w:ascii="Courier New" w:cs="Courier New" w:eastAsia="Courier New" w:hAnsi="Courier New"/>
          <w:sz w:val="16"/>
          <w:szCs w:val="16"/>
          <w:color w:val="auto"/>
        </w:rPr>
        <w:t>78</w:t>
      </w:r>
    </w:p>
    <w:p>
      <w:pPr>
        <w:ind w:left="180"/>
        <w:spacing w:after="0"/>
        <w:rPr>
          <w:sz w:val="20"/>
          <w:szCs w:val="20"/>
          <w:color w:val="auto"/>
        </w:rPr>
      </w:pPr>
      <w:r>
        <w:rPr>
          <w:rFonts w:ascii="Courier New" w:cs="Courier New" w:eastAsia="Courier New" w:hAnsi="Courier New"/>
          <w:sz w:val="16"/>
          <w:szCs w:val="16"/>
          <w:color w:val="auto"/>
        </w:rPr>
        <w:t>Acceptance of Eligible Notes and</w:t>
      </w:r>
    </w:p>
    <w:p>
      <w:pPr>
        <w:ind w:left="460"/>
        <w:spacing w:after="0" w:line="238" w:lineRule="auto"/>
        <w:tabs>
          <w:tab w:leader="dot" w:pos="4000" w:val="left"/>
        </w:tabs>
        <w:rPr>
          <w:sz w:val="20"/>
          <w:szCs w:val="20"/>
          <w:color w:val="auto"/>
        </w:rPr>
      </w:pPr>
      <w:r>
        <w:rPr>
          <w:rFonts w:ascii="Courier New" w:cs="Courier New" w:eastAsia="Courier New" w:hAnsi="Courier New"/>
          <w:sz w:val="16"/>
          <w:szCs w:val="16"/>
          <w:color w:val="auto"/>
        </w:rPr>
        <w:t>Delivery of New Notes</w:t>
      </w:r>
      <w:r>
        <w:rPr>
          <w:sz w:val="20"/>
          <w:szCs w:val="20"/>
          <w:color w:val="auto"/>
        </w:rPr>
        <w:tab/>
      </w:r>
      <w:r>
        <w:rPr>
          <w:rFonts w:ascii="Courier New" w:cs="Courier New" w:eastAsia="Courier New" w:hAnsi="Courier New"/>
          <w:sz w:val="16"/>
          <w:szCs w:val="16"/>
          <w:color w:val="auto"/>
        </w:rPr>
        <w:t>78</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Withdrawal Rights</w:t>
      </w:r>
      <w:r>
        <w:rPr>
          <w:sz w:val="20"/>
          <w:szCs w:val="20"/>
          <w:color w:val="auto"/>
        </w:rPr>
        <w:tab/>
      </w:r>
      <w:r>
        <w:rPr>
          <w:rFonts w:ascii="Courier New" w:cs="Courier New" w:eastAsia="Courier New" w:hAnsi="Courier New"/>
          <w:sz w:val="16"/>
          <w:szCs w:val="16"/>
          <w:color w:val="auto"/>
        </w:rPr>
        <w:t>79</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The Dealer Managers</w:t>
      </w:r>
      <w:r>
        <w:rPr>
          <w:sz w:val="20"/>
          <w:szCs w:val="20"/>
          <w:color w:val="auto"/>
        </w:rPr>
        <w:tab/>
      </w:r>
      <w:r>
        <w:rPr>
          <w:rFonts w:ascii="Courier New" w:cs="Courier New" w:eastAsia="Courier New" w:hAnsi="Courier New"/>
          <w:sz w:val="16"/>
          <w:szCs w:val="16"/>
          <w:color w:val="auto"/>
        </w:rPr>
        <w:t>80</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Retail Solicitation Fee</w:t>
      </w:r>
      <w:r>
        <w:rPr>
          <w:sz w:val="20"/>
          <w:szCs w:val="20"/>
          <w:color w:val="auto"/>
        </w:rPr>
        <w:tab/>
      </w:r>
      <w:r>
        <w:rPr>
          <w:rFonts w:ascii="Courier New" w:cs="Courier New" w:eastAsia="Courier New" w:hAnsi="Courier New"/>
          <w:sz w:val="16"/>
          <w:szCs w:val="16"/>
          <w:color w:val="auto"/>
        </w:rPr>
        <w:t>81</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Information Agent</w:t>
      </w:r>
      <w:r>
        <w:rPr>
          <w:sz w:val="20"/>
          <w:szCs w:val="20"/>
          <w:color w:val="auto"/>
        </w:rPr>
        <w:tab/>
      </w:r>
      <w:r>
        <w:rPr>
          <w:rFonts w:ascii="Courier New" w:cs="Courier New" w:eastAsia="Courier New" w:hAnsi="Courier New"/>
          <w:sz w:val="16"/>
          <w:szCs w:val="16"/>
          <w:color w:val="auto"/>
        </w:rPr>
        <w:t>82</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Exchange Agent</w:t>
      </w:r>
      <w:r>
        <w:rPr>
          <w:sz w:val="20"/>
          <w:szCs w:val="20"/>
          <w:color w:val="auto"/>
        </w:rPr>
        <w:tab/>
      </w:r>
      <w:r>
        <w:rPr>
          <w:rFonts w:ascii="Courier New" w:cs="Courier New" w:eastAsia="Courier New" w:hAnsi="Courier New"/>
          <w:sz w:val="16"/>
          <w:szCs w:val="16"/>
          <w:color w:val="auto"/>
        </w:rPr>
        <w:t>82</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Luxembourg Exchange Agent</w:t>
      </w:r>
      <w:r>
        <w:rPr>
          <w:sz w:val="20"/>
          <w:szCs w:val="20"/>
          <w:color w:val="auto"/>
        </w:rPr>
        <w:tab/>
      </w:r>
      <w:r>
        <w:rPr>
          <w:rFonts w:ascii="Courier New" w:cs="Courier New" w:eastAsia="Courier New" w:hAnsi="Courier New"/>
          <w:sz w:val="16"/>
          <w:szCs w:val="16"/>
          <w:color w:val="auto"/>
        </w:rPr>
        <w:t>82</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Fees and Expenses</w:t>
      </w:r>
      <w:r>
        <w:rPr>
          <w:sz w:val="20"/>
          <w:szCs w:val="20"/>
          <w:color w:val="auto"/>
        </w:rPr>
        <w:tab/>
      </w:r>
      <w:r>
        <w:rPr>
          <w:rFonts w:ascii="Courier New" w:cs="Courier New" w:eastAsia="Courier New" w:hAnsi="Courier New"/>
          <w:sz w:val="16"/>
          <w:szCs w:val="16"/>
          <w:color w:val="auto"/>
        </w:rPr>
        <w:t>83</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Transfer Taxes</w:t>
      </w:r>
      <w:r>
        <w:rPr>
          <w:sz w:val="20"/>
          <w:szCs w:val="20"/>
          <w:color w:val="auto"/>
        </w:rPr>
        <w:tab/>
      </w:r>
      <w:r>
        <w:rPr>
          <w:rFonts w:ascii="Courier New" w:cs="Courier New" w:eastAsia="Courier New" w:hAnsi="Courier New"/>
          <w:sz w:val="16"/>
          <w:szCs w:val="16"/>
          <w:color w:val="auto"/>
        </w:rPr>
        <w:t>83</w:t>
      </w:r>
    </w:p>
    <w:p>
      <w:pPr>
        <w:ind w:left="180"/>
        <w:spacing w:after="0"/>
        <w:rPr>
          <w:sz w:val="20"/>
          <w:szCs w:val="20"/>
          <w:color w:val="auto"/>
        </w:rPr>
      </w:pPr>
      <w:r>
        <w:rPr>
          <w:rFonts w:ascii="Courier New" w:cs="Courier New" w:eastAsia="Courier New" w:hAnsi="Courier New"/>
          <w:sz w:val="16"/>
          <w:szCs w:val="16"/>
          <w:color w:val="auto"/>
        </w:rPr>
        <w:t>Material United States Federal Income</w:t>
      </w:r>
    </w:p>
    <w:p>
      <w:pPr>
        <w:ind w:left="460"/>
        <w:spacing w:after="0" w:line="238" w:lineRule="auto"/>
        <w:rPr>
          <w:sz w:val="20"/>
          <w:szCs w:val="20"/>
          <w:color w:val="auto"/>
        </w:rPr>
      </w:pPr>
      <w:r>
        <w:rPr>
          <w:rFonts w:ascii="Courier New" w:cs="Courier New" w:eastAsia="Courier New" w:hAnsi="Courier New"/>
          <w:sz w:val="16"/>
          <w:szCs w:val="16"/>
          <w:color w:val="auto"/>
        </w:rPr>
        <w:t>Tax Consequences of the Exchange</w:t>
      </w:r>
    </w:p>
    <w:p>
      <w:pPr>
        <w:ind w:left="460"/>
        <w:spacing w:after="0"/>
        <w:tabs>
          <w:tab w:leader="dot" w:pos="40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6"/>
          <w:szCs w:val="16"/>
          <w:color w:val="auto"/>
        </w:rPr>
        <w:t>83</w:t>
      </w:r>
    </w:p>
    <w:p>
      <w:pPr>
        <w:ind w:left="180"/>
        <w:spacing w:after="0" w:line="237" w:lineRule="auto"/>
        <w:rPr>
          <w:sz w:val="20"/>
          <w:szCs w:val="20"/>
          <w:color w:val="auto"/>
        </w:rPr>
      </w:pPr>
      <w:r>
        <w:rPr>
          <w:rFonts w:ascii="Courier New" w:cs="Courier New" w:eastAsia="Courier New" w:hAnsi="Courier New"/>
          <w:sz w:val="16"/>
          <w:szCs w:val="16"/>
          <w:color w:val="auto"/>
        </w:rPr>
        <w:t>Consequences of Failures to Properly</w:t>
      </w:r>
    </w:p>
    <w:p>
      <w:pPr>
        <w:ind w:left="460"/>
        <w:spacing w:after="0"/>
        <w:rPr>
          <w:sz w:val="20"/>
          <w:szCs w:val="20"/>
          <w:color w:val="auto"/>
        </w:rPr>
      </w:pPr>
      <w:r>
        <w:rPr>
          <w:rFonts w:ascii="Courier New" w:cs="Courier New" w:eastAsia="Courier New" w:hAnsi="Courier New"/>
          <w:sz w:val="16"/>
          <w:szCs w:val="16"/>
          <w:color w:val="auto"/>
        </w:rPr>
        <w:t>Tender Broadband Eligible Notes and</w:t>
      </w:r>
    </w:p>
    <w:p>
      <w:pPr>
        <w:sectPr>
          <w:pgSz w:w="11900" w:h="16908" w:orient="portrait"/>
          <w:cols w:equalWidth="0" w:num="1">
            <w:col w:w="10219"/>
          </w:cols>
          <w:pgMar w:left="240" w:top="654" w:right="1440" w:bottom="0" w:gutter="0" w:footer="0" w:header="0"/>
        </w:sectPr>
      </w:pPr>
    </w:p>
    <w:bookmarkStart w:id="9" w:name="page10"/>
    <w:bookmarkEnd w:id="9"/>
    <w:p>
      <w:pPr>
        <w:ind w:left="460"/>
        <w:spacing w:after="0"/>
        <w:rPr>
          <w:sz w:val="20"/>
          <w:szCs w:val="20"/>
          <w:color w:val="auto"/>
        </w:rPr>
      </w:pPr>
      <w:r>
        <w:rPr>
          <w:rFonts w:ascii="Courier New" w:cs="Courier New" w:eastAsia="Courier New" w:hAnsi="Courier New"/>
          <w:sz w:val="16"/>
          <w:szCs w:val="16"/>
          <w:color w:val="auto"/>
        </w:rPr>
        <w:t>AT&amp;T Eligible Notes in the Exchange</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6"/>
          <w:szCs w:val="16"/>
          <w:color w:val="auto"/>
        </w:rPr>
        <w:t>91</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91</w:t>
      </w:r>
    </w:p>
    <w:p>
      <w:pPr>
        <w:spacing w:after="0"/>
        <w:tabs>
          <w:tab w:leader="dot" w:pos="4000" w:val="left"/>
        </w:tabs>
        <w:rPr>
          <w:sz w:val="20"/>
          <w:szCs w:val="20"/>
          <w:color w:val="auto"/>
        </w:rPr>
      </w:pPr>
      <w:r>
        <w:rPr>
          <w:rFonts w:ascii="Courier New" w:cs="Courier New" w:eastAsia="Courier New" w:hAnsi="Courier New"/>
          <w:sz w:val="16"/>
          <w:szCs w:val="16"/>
          <w:color w:val="auto"/>
        </w:rPr>
        <w:t>DESCRIPTION OF THE NOTE AMENDMENT</w:t>
      </w:r>
      <w:r>
        <w:rPr>
          <w:sz w:val="20"/>
          <w:szCs w:val="20"/>
          <w:color w:val="auto"/>
        </w:rPr>
        <w:tab/>
      </w:r>
      <w:r>
        <w:rPr>
          <w:rFonts w:ascii="Courier New" w:cs="Courier New" w:eastAsia="Courier New" w:hAnsi="Courier New"/>
          <w:sz w:val="16"/>
          <w:szCs w:val="16"/>
          <w:color w:val="auto"/>
        </w:rPr>
        <w:t>92</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The Note Amendment</w:t>
      </w:r>
      <w:r>
        <w:rPr>
          <w:sz w:val="20"/>
          <w:szCs w:val="20"/>
          <w:color w:val="auto"/>
        </w:rPr>
        <w:tab/>
      </w:r>
      <w:r>
        <w:rPr>
          <w:rFonts w:ascii="Courier New" w:cs="Courier New" w:eastAsia="Courier New" w:hAnsi="Courier New"/>
          <w:sz w:val="16"/>
          <w:szCs w:val="16"/>
          <w:color w:val="auto"/>
        </w:rPr>
        <w:t>92</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Terms of the Note Amendment</w:t>
      </w:r>
      <w:r>
        <w:rPr>
          <w:sz w:val="20"/>
          <w:szCs w:val="20"/>
          <w:color w:val="auto"/>
        </w:rPr>
        <w:tab/>
      </w:r>
      <w:r>
        <w:rPr>
          <w:rFonts w:ascii="Courier New" w:cs="Courier New" w:eastAsia="Courier New" w:hAnsi="Courier New"/>
          <w:sz w:val="16"/>
          <w:szCs w:val="16"/>
          <w:color w:val="auto"/>
        </w:rPr>
        <w:t>92</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Conditions to the Note Amendment</w:t>
      </w:r>
      <w:r>
        <w:rPr>
          <w:sz w:val="20"/>
          <w:szCs w:val="20"/>
          <w:color w:val="auto"/>
        </w:rPr>
        <w:tab/>
      </w:r>
      <w:r>
        <w:rPr>
          <w:rFonts w:ascii="Courier New" w:cs="Courier New" w:eastAsia="Courier New" w:hAnsi="Courier New"/>
          <w:sz w:val="16"/>
          <w:szCs w:val="16"/>
          <w:color w:val="auto"/>
        </w:rPr>
        <w:t>93</w:t>
      </w: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137" w:right="1440" w:bottom="1440" w:gutter="0" w:footer="0" w:header="0"/>
        </w:sectPr>
      </w:pPr>
    </w:p>
    <w:bookmarkStart w:id="10" w:name="page11"/>
    <w:bookmarkEnd w:id="10"/>
    <w:p>
      <w:pPr>
        <w:spacing w:after="0" w:line="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Requisite Consents; Outstanding</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93</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No Consent Fee</w:t>
      </w:r>
      <w:r>
        <w:rPr>
          <w:sz w:val="20"/>
          <w:szCs w:val="20"/>
          <w:color w:val="auto"/>
        </w:rPr>
        <w:tab/>
      </w:r>
      <w:r>
        <w:rPr>
          <w:rFonts w:ascii="Courier New" w:cs="Courier New" w:eastAsia="Courier New" w:hAnsi="Courier New"/>
          <w:sz w:val="16"/>
          <w:szCs w:val="16"/>
          <w:color w:val="auto"/>
        </w:rPr>
        <w:t>93</w:t>
      </w:r>
    </w:p>
    <w:p>
      <w:pPr>
        <w:ind w:left="180"/>
        <w:spacing w:after="0"/>
        <w:rPr>
          <w:sz w:val="20"/>
          <w:szCs w:val="20"/>
          <w:color w:val="auto"/>
        </w:rPr>
      </w:pPr>
      <w:r>
        <w:rPr>
          <w:rFonts w:ascii="Courier New" w:cs="Courier New" w:eastAsia="Courier New" w:hAnsi="Courier New"/>
          <w:sz w:val="16"/>
          <w:szCs w:val="16"/>
          <w:color w:val="auto"/>
        </w:rPr>
        <w:t>Expiration Date; Extension of the</w:t>
      </w:r>
    </w:p>
    <w:p>
      <w:pPr>
        <w:ind w:left="460"/>
        <w:spacing w:after="0" w:line="238" w:lineRule="auto"/>
        <w:rPr>
          <w:sz w:val="20"/>
          <w:szCs w:val="20"/>
          <w:color w:val="auto"/>
        </w:rPr>
      </w:pPr>
      <w:r>
        <w:rPr>
          <w:rFonts w:ascii="Courier New" w:cs="Courier New" w:eastAsia="Courier New" w:hAnsi="Courier New"/>
          <w:sz w:val="16"/>
          <w:szCs w:val="16"/>
          <w:color w:val="auto"/>
        </w:rPr>
        <w:t>Exchange Offer; Amendment;</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6"/>
          <w:szCs w:val="16"/>
          <w:color w:val="auto"/>
        </w:rPr>
        <w:t>94</w:t>
      </w:r>
    </w:p>
    <w:p>
      <w:pPr>
        <w:ind w:left="180"/>
        <w:spacing w:after="0" w:line="238" w:lineRule="auto"/>
        <w:rPr>
          <w:sz w:val="20"/>
          <w:szCs w:val="20"/>
          <w:color w:val="auto"/>
        </w:rPr>
      </w:pPr>
      <w:r>
        <w:rPr>
          <w:rFonts w:ascii="Courier New" w:cs="Courier New" w:eastAsia="Courier New" w:hAnsi="Courier New"/>
          <w:sz w:val="16"/>
          <w:szCs w:val="16"/>
          <w:color w:val="auto"/>
        </w:rPr>
        <w:t>Consequences to Non-Consenting</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Holders; Dissenters' Rights</w:t>
      </w:r>
      <w:r>
        <w:rPr>
          <w:sz w:val="20"/>
          <w:szCs w:val="20"/>
          <w:color w:val="auto"/>
        </w:rPr>
        <w:tab/>
      </w:r>
      <w:r>
        <w:rPr>
          <w:rFonts w:ascii="Courier New" w:cs="Courier New" w:eastAsia="Courier New" w:hAnsi="Courier New"/>
          <w:sz w:val="16"/>
          <w:szCs w:val="16"/>
          <w:color w:val="auto"/>
        </w:rPr>
        <w:t>94</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Consent Procedures</w:t>
      </w:r>
      <w:r>
        <w:rPr>
          <w:sz w:val="20"/>
          <w:szCs w:val="20"/>
          <w:color w:val="auto"/>
        </w:rPr>
        <w:tab/>
      </w:r>
      <w:r>
        <w:rPr>
          <w:rFonts w:ascii="Courier New" w:cs="Courier New" w:eastAsia="Courier New" w:hAnsi="Courier New"/>
          <w:sz w:val="16"/>
          <w:szCs w:val="16"/>
          <w:color w:val="auto"/>
        </w:rPr>
        <w:t>94</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Revocation of Consents</w:t>
      </w:r>
      <w:r>
        <w:rPr>
          <w:sz w:val="20"/>
          <w:szCs w:val="20"/>
          <w:color w:val="auto"/>
        </w:rPr>
        <w:tab/>
      </w:r>
      <w:r>
        <w:rPr>
          <w:rFonts w:ascii="Courier New" w:cs="Courier New" w:eastAsia="Courier New" w:hAnsi="Courier New"/>
          <w:sz w:val="16"/>
          <w:szCs w:val="16"/>
          <w:color w:val="auto"/>
        </w:rPr>
        <w:t>94</w:t>
      </w:r>
    </w:p>
    <w:p>
      <w:pPr>
        <w:spacing w:after="0" w:line="238" w:lineRule="auto"/>
        <w:rPr>
          <w:sz w:val="20"/>
          <w:szCs w:val="20"/>
          <w:color w:val="auto"/>
        </w:rPr>
      </w:pPr>
      <w:r>
        <w:rPr>
          <w:rFonts w:ascii="Courier New" w:cs="Courier New" w:eastAsia="Courier New" w:hAnsi="Courier New"/>
          <w:sz w:val="16"/>
          <w:szCs w:val="16"/>
          <w:color w:val="auto"/>
        </w:rPr>
        <w:t>DESCRIPTION OF THE BROADBAND EXCHANGE</w:t>
      </w:r>
    </w:p>
    <w:p>
      <w:pPr>
        <w:ind w:left="180"/>
        <w:spacing w:after="0"/>
        <w:tabs>
          <w:tab w:leader="dot" w:pos="40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95</w:t>
      </w:r>
    </w:p>
    <w:p>
      <w:pPr>
        <w:ind w:left="180"/>
        <w:spacing w:after="0" w:line="238" w:lineRule="auto"/>
        <w:rPr>
          <w:sz w:val="20"/>
          <w:szCs w:val="20"/>
          <w:color w:val="auto"/>
        </w:rPr>
      </w:pPr>
      <w:r>
        <w:rPr>
          <w:rFonts w:ascii="Courier New" w:cs="Courier New" w:eastAsia="Courier New" w:hAnsi="Courier New"/>
          <w:sz w:val="16"/>
          <w:szCs w:val="16"/>
          <w:color w:val="auto"/>
        </w:rPr>
        <w:t>Basic Terms of the Broadband Exchange</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95</w:t>
      </w:r>
    </w:p>
    <w:p>
      <w:pPr>
        <w:ind w:left="180"/>
        <w:spacing w:after="0" w:line="237" w:lineRule="auto"/>
        <w:rPr>
          <w:sz w:val="20"/>
          <w:szCs w:val="20"/>
          <w:color w:val="auto"/>
        </w:rPr>
      </w:pPr>
      <w:r>
        <w:rPr>
          <w:rFonts w:ascii="Courier New" w:cs="Courier New" w:eastAsia="Courier New" w:hAnsi="Courier New"/>
          <w:sz w:val="16"/>
          <w:szCs w:val="16"/>
          <w:color w:val="auto"/>
        </w:rPr>
        <w:t>Mandatory Exchange Upon Completion of</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the AT&amp;T Comcast Transaction</w:t>
      </w:r>
      <w:r>
        <w:rPr>
          <w:sz w:val="20"/>
          <w:szCs w:val="20"/>
          <w:color w:val="auto"/>
        </w:rPr>
        <w:tab/>
      </w:r>
      <w:r>
        <w:rPr>
          <w:rFonts w:ascii="Courier New" w:cs="Courier New" w:eastAsia="Courier New" w:hAnsi="Courier New"/>
          <w:sz w:val="16"/>
          <w:szCs w:val="16"/>
          <w:color w:val="auto"/>
        </w:rPr>
        <w:t>96</w:t>
      </w:r>
    </w:p>
    <w:p>
      <w:pPr>
        <w:ind w:left="180"/>
        <w:spacing w:after="0" w:line="238" w:lineRule="auto"/>
        <w:tabs>
          <w:tab w:leader="dot" w:pos="4000" w:val="left"/>
        </w:tabs>
        <w:rPr>
          <w:sz w:val="20"/>
          <w:szCs w:val="20"/>
          <w:color w:val="auto"/>
        </w:rPr>
      </w:pPr>
      <w:r>
        <w:rPr>
          <w:rFonts w:ascii="Courier New" w:cs="Courier New" w:eastAsia="Courier New" w:hAnsi="Courier New"/>
          <w:sz w:val="16"/>
          <w:szCs w:val="16"/>
          <w:color w:val="auto"/>
        </w:rPr>
        <w:t>Interest Payments</w:t>
      </w:r>
      <w:r>
        <w:rPr>
          <w:sz w:val="20"/>
          <w:szCs w:val="20"/>
          <w:color w:val="auto"/>
        </w:rPr>
        <w:tab/>
      </w:r>
      <w:r>
        <w:rPr>
          <w:rFonts w:ascii="Courier New" w:cs="Courier New" w:eastAsia="Courier New" w:hAnsi="Courier New"/>
          <w:sz w:val="16"/>
          <w:szCs w:val="16"/>
          <w:color w:val="auto"/>
        </w:rPr>
        <w:t>97</w:t>
      </w:r>
    </w:p>
    <w:p>
      <w:pPr>
        <w:ind w:left="180"/>
        <w:spacing w:after="0"/>
        <w:rPr>
          <w:sz w:val="20"/>
          <w:szCs w:val="20"/>
          <w:color w:val="auto"/>
        </w:rPr>
      </w:pPr>
      <w:r>
        <w:rPr>
          <w:rFonts w:ascii="Courier New" w:cs="Courier New" w:eastAsia="Courier New" w:hAnsi="Courier New"/>
          <w:sz w:val="16"/>
          <w:szCs w:val="16"/>
          <w:color w:val="auto"/>
        </w:rPr>
        <w:t>Additional Terms Pertaining Only to</w:t>
      </w:r>
    </w:p>
    <w:p>
      <w:pPr>
        <w:ind w:left="460"/>
        <w:spacing w:after="0" w:line="238" w:lineRule="auto"/>
        <w:rPr>
          <w:sz w:val="20"/>
          <w:szCs w:val="20"/>
          <w:color w:val="auto"/>
        </w:rPr>
      </w:pPr>
      <w:r>
        <w:rPr>
          <w:rFonts w:ascii="Courier New" w:cs="Courier New" w:eastAsia="Courier New" w:hAnsi="Courier New"/>
          <w:sz w:val="16"/>
          <w:szCs w:val="16"/>
          <w:color w:val="auto"/>
        </w:rPr>
        <w:t>the 6.00% Broadband Exchange Notes</w:t>
      </w:r>
    </w:p>
    <w:p>
      <w:pPr>
        <w:jc w:val="right"/>
        <w:ind w:right="5999"/>
        <w:spacing w:after="0"/>
        <w:tabs>
          <w:tab w:leader="dot" w:pos="180" w:val="left"/>
        </w:tabs>
        <w:rPr>
          <w:sz w:val="20"/>
          <w:szCs w:val="20"/>
          <w:color w:val="auto"/>
        </w:rPr>
      </w:pPr>
      <w:r>
        <w:rPr>
          <w:rFonts w:ascii="Courier New" w:cs="Courier New" w:eastAsia="Courier New" w:hAnsi="Courier New"/>
          <w:sz w:val="16"/>
          <w:szCs w:val="16"/>
          <w:color w:val="auto"/>
        </w:rPr>
        <w:t>Due March 15, 2009</w:t>
      </w:r>
      <w:r>
        <w:rPr>
          <w:sz w:val="20"/>
          <w:szCs w:val="20"/>
          <w:color w:val="auto"/>
        </w:rPr>
        <w:tab/>
      </w:r>
      <w:r>
        <w:rPr>
          <w:rFonts w:ascii="Courier New" w:cs="Courier New" w:eastAsia="Courier New" w:hAnsi="Courier New"/>
          <w:sz w:val="16"/>
          <w:szCs w:val="16"/>
          <w:color w:val="auto"/>
        </w:rPr>
        <w:t>97</w:t>
      </w:r>
    </w:p>
    <w:p>
      <w:pPr>
        <w:ind w:left="180"/>
        <w:spacing w:after="0" w:line="237" w:lineRule="auto"/>
        <w:tabs>
          <w:tab w:leader="dot" w:pos="400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6"/>
          <w:szCs w:val="16"/>
          <w:color w:val="auto"/>
        </w:rPr>
        <w:t>99</w:t>
      </w:r>
    </w:p>
    <w:p>
      <w:pPr>
        <w:ind w:left="180"/>
        <w:spacing w:after="0"/>
        <w:rPr>
          <w:sz w:val="20"/>
          <w:szCs w:val="20"/>
          <w:color w:val="auto"/>
        </w:rPr>
      </w:pPr>
      <w:r>
        <w:rPr>
          <w:rFonts w:ascii="Courier New" w:cs="Courier New" w:eastAsia="Courier New" w:hAnsi="Courier New"/>
          <w:sz w:val="16"/>
          <w:szCs w:val="16"/>
          <w:color w:val="auto"/>
        </w:rPr>
        <w:t>No Mandatory Redemption or Sinking</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Fund</w:t>
      </w:r>
      <w:r>
        <w:rPr>
          <w:sz w:val="20"/>
          <w:szCs w:val="20"/>
          <w:color w:val="auto"/>
        </w:rPr>
        <w:tab/>
      </w:r>
      <w:r>
        <w:rPr>
          <w:rFonts w:ascii="Courier New" w:cs="Courier New" w:eastAsia="Courier New" w:hAnsi="Courier New"/>
          <w:sz w:val="15"/>
          <w:szCs w:val="15"/>
          <w:color w:val="auto"/>
        </w:rPr>
        <w:t>102</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Additional Debt</w:t>
      </w:r>
      <w:r>
        <w:rPr>
          <w:sz w:val="20"/>
          <w:szCs w:val="20"/>
          <w:color w:val="auto"/>
        </w:rPr>
        <w:tab/>
      </w:r>
      <w:r>
        <w:rPr>
          <w:rFonts w:ascii="Courier New" w:cs="Courier New" w:eastAsia="Courier New" w:hAnsi="Courier New"/>
          <w:sz w:val="15"/>
          <w:szCs w:val="15"/>
          <w:color w:val="auto"/>
        </w:rPr>
        <w:t>102</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Certain Covenants</w:t>
      </w:r>
      <w:r>
        <w:rPr>
          <w:sz w:val="20"/>
          <w:szCs w:val="20"/>
          <w:color w:val="auto"/>
        </w:rPr>
        <w:tab/>
      </w:r>
      <w:r>
        <w:rPr>
          <w:rFonts w:ascii="Courier New" w:cs="Courier New" w:eastAsia="Courier New" w:hAnsi="Courier New"/>
          <w:sz w:val="15"/>
          <w:szCs w:val="15"/>
          <w:color w:val="auto"/>
        </w:rPr>
        <w:t>102</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Modification of the AT&amp;T Indenture</w:t>
      </w:r>
      <w:r>
        <w:rPr>
          <w:sz w:val="20"/>
          <w:szCs w:val="20"/>
          <w:color w:val="auto"/>
        </w:rPr>
        <w:tab/>
      </w:r>
      <w:r>
        <w:rPr>
          <w:rFonts w:ascii="Courier New" w:cs="Courier New" w:eastAsia="Courier New" w:hAnsi="Courier New"/>
          <w:sz w:val="15"/>
          <w:szCs w:val="15"/>
          <w:color w:val="auto"/>
        </w:rPr>
        <w:t>103</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5"/>
          <w:szCs w:val="15"/>
          <w:color w:val="auto"/>
        </w:rPr>
        <w:t>103</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Discharge and Defeasance</w:t>
      </w:r>
      <w:r>
        <w:rPr>
          <w:sz w:val="20"/>
          <w:szCs w:val="20"/>
          <w:color w:val="auto"/>
        </w:rPr>
        <w:tab/>
      </w:r>
      <w:r>
        <w:rPr>
          <w:rFonts w:ascii="Courier New" w:cs="Courier New" w:eastAsia="Courier New" w:hAnsi="Courier New"/>
          <w:sz w:val="15"/>
          <w:szCs w:val="15"/>
          <w:color w:val="auto"/>
        </w:rPr>
        <w:t>104</w:t>
      </w:r>
    </w:p>
    <w:p>
      <w:pPr>
        <w:ind w:left="180"/>
        <w:spacing w:after="0" w:line="238" w:lineRule="auto"/>
        <w:rPr>
          <w:sz w:val="20"/>
          <w:szCs w:val="20"/>
          <w:color w:val="auto"/>
        </w:rPr>
      </w:pPr>
      <w:r>
        <w:rPr>
          <w:rFonts w:ascii="Courier New" w:cs="Courier New" w:eastAsia="Courier New" w:hAnsi="Courier New"/>
          <w:sz w:val="16"/>
          <w:szCs w:val="16"/>
          <w:color w:val="auto"/>
        </w:rPr>
        <w:t>No Personal Liability of Stockholders,</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Officers, Directors or Employees</w:t>
      </w:r>
      <w:r>
        <w:rPr>
          <w:sz w:val="20"/>
          <w:szCs w:val="20"/>
          <w:color w:val="auto"/>
        </w:rPr>
        <w:tab/>
      </w:r>
      <w:r>
        <w:rPr>
          <w:rFonts w:ascii="Courier New" w:cs="Courier New" w:eastAsia="Courier New" w:hAnsi="Courier New"/>
          <w:sz w:val="15"/>
          <w:szCs w:val="15"/>
          <w:color w:val="auto"/>
        </w:rPr>
        <w:t>104</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Concerning the Trustee</w:t>
      </w:r>
      <w:r>
        <w:rPr>
          <w:sz w:val="20"/>
          <w:szCs w:val="20"/>
          <w:color w:val="auto"/>
        </w:rPr>
        <w:tab/>
      </w:r>
      <w:r>
        <w:rPr>
          <w:rFonts w:ascii="Courier New" w:cs="Courier New" w:eastAsia="Courier New" w:hAnsi="Courier New"/>
          <w:sz w:val="15"/>
          <w:szCs w:val="15"/>
          <w:color w:val="auto"/>
        </w:rPr>
        <w:t>105</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105</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Book-Entry System</w:t>
      </w:r>
      <w:r>
        <w:rPr>
          <w:sz w:val="20"/>
          <w:szCs w:val="20"/>
          <w:color w:val="auto"/>
        </w:rPr>
        <w:tab/>
      </w:r>
      <w:r>
        <w:rPr>
          <w:rFonts w:ascii="Courier New" w:cs="Courier New" w:eastAsia="Courier New" w:hAnsi="Courier New"/>
          <w:sz w:val="15"/>
          <w:szCs w:val="15"/>
          <w:color w:val="auto"/>
        </w:rPr>
        <w:t>105</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Certificated Notes</w:t>
      </w:r>
      <w:r>
        <w:rPr>
          <w:sz w:val="20"/>
          <w:szCs w:val="20"/>
          <w:color w:val="auto"/>
        </w:rPr>
        <w:tab/>
      </w:r>
      <w:r>
        <w:rPr>
          <w:rFonts w:ascii="Courier New" w:cs="Courier New" w:eastAsia="Courier New" w:hAnsi="Courier New"/>
          <w:sz w:val="15"/>
          <w:szCs w:val="15"/>
          <w:color w:val="auto"/>
        </w:rPr>
        <w:t>105</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Same-Day Payment</w:t>
      </w:r>
      <w:r>
        <w:rPr>
          <w:sz w:val="20"/>
          <w:szCs w:val="20"/>
          <w:color w:val="auto"/>
        </w:rPr>
        <w:tab/>
      </w:r>
      <w:r>
        <w:rPr>
          <w:rFonts w:ascii="Courier New" w:cs="Courier New" w:eastAsia="Courier New" w:hAnsi="Courier New"/>
          <w:sz w:val="15"/>
          <w:szCs w:val="15"/>
          <w:color w:val="auto"/>
        </w:rPr>
        <w:t>105</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Certain Definitions</w:t>
      </w:r>
      <w:r>
        <w:rPr>
          <w:sz w:val="20"/>
          <w:szCs w:val="20"/>
          <w:color w:val="auto"/>
        </w:rPr>
        <w:tab/>
      </w:r>
      <w:r>
        <w:rPr>
          <w:rFonts w:ascii="Courier New" w:cs="Courier New" w:eastAsia="Courier New" w:hAnsi="Courier New"/>
          <w:sz w:val="15"/>
          <w:szCs w:val="15"/>
          <w:color w:val="auto"/>
        </w:rPr>
        <w:t>106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THE NEW BROADBAND NOTES</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AND THE CABLE GUARANTEES</w:t>
      </w:r>
      <w:r>
        <w:rPr>
          <w:sz w:val="20"/>
          <w:szCs w:val="20"/>
          <w:color w:val="auto"/>
        </w:rPr>
        <w:tab/>
      </w:r>
      <w:r>
        <w:rPr>
          <w:rFonts w:ascii="Courier New" w:cs="Courier New" w:eastAsia="Courier New" w:hAnsi="Courier New"/>
          <w:sz w:val="15"/>
          <w:szCs w:val="15"/>
          <w:color w:val="auto"/>
        </w:rPr>
        <w:t>108</w:t>
      </w:r>
    </w:p>
    <w:p>
      <w:pPr>
        <w:ind w:left="180"/>
        <w:spacing w:after="0" w:line="237" w:lineRule="auto"/>
        <w:rPr>
          <w:sz w:val="20"/>
          <w:szCs w:val="20"/>
          <w:color w:val="auto"/>
        </w:rPr>
      </w:pPr>
      <w:r>
        <w:rPr>
          <w:rFonts w:ascii="Courier New" w:cs="Courier New" w:eastAsia="Courier New" w:hAnsi="Courier New"/>
          <w:sz w:val="16"/>
          <w:szCs w:val="16"/>
          <w:color w:val="auto"/>
        </w:rPr>
        <w:t>Basic Terms of the New Broadband</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5"/>
          <w:szCs w:val="15"/>
          <w:color w:val="auto"/>
        </w:rPr>
        <w:t>108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Interest Payments</w:t>
      </w:r>
      <w:r>
        <w:rPr>
          <w:sz w:val="20"/>
          <w:szCs w:val="20"/>
          <w:color w:val="auto"/>
        </w:rPr>
        <w:tab/>
      </w:r>
      <w:r>
        <w:rPr>
          <w:rFonts w:ascii="Courier New" w:cs="Courier New" w:eastAsia="Courier New" w:hAnsi="Courier New"/>
          <w:sz w:val="15"/>
          <w:szCs w:val="15"/>
          <w:color w:val="auto"/>
        </w:rPr>
        <w:t>108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Cable Guarantees</w:t>
      </w:r>
      <w:r>
        <w:rPr>
          <w:sz w:val="20"/>
          <w:szCs w:val="20"/>
          <w:color w:val="auto"/>
        </w:rPr>
        <w:tab/>
      </w:r>
      <w:r>
        <w:rPr>
          <w:rFonts w:ascii="Courier New" w:cs="Courier New" w:eastAsia="Courier New" w:hAnsi="Courier New"/>
          <w:sz w:val="15"/>
          <w:szCs w:val="15"/>
          <w:color w:val="auto"/>
        </w:rPr>
        <w:t>108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No Optional Redemption</w:t>
      </w:r>
      <w:r>
        <w:rPr>
          <w:sz w:val="20"/>
          <w:szCs w:val="20"/>
          <w:color w:val="auto"/>
        </w:rPr>
        <w:tab/>
      </w:r>
      <w:r>
        <w:rPr>
          <w:rFonts w:ascii="Courier New" w:cs="Courier New" w:eastAsia="Courier New" w:hAnsi="Courier New"/>
          <w:sz w:val="15"/>
          <w:szCs w:val="15"/>
          <w:color w:val="auto"/>
        </w:rPr>
        <w:t>109</w:t>
      </w:r>
    </w:p>
    <w:p>
      <w:pPr>
        <w:ind w:left="180"/>
        <w:spacing w:after="0"/>
        <w:rPr>
          <w:sz w:val="20"/>
          <w:szCs w:val="20"/>
          <w:color w:val="auto"/>
        </w:rPr>
      </w:pPr>
      <w:r>
        <w:rPr>
          <w:rFonts w:ascii="Courier New" w:cs="Courier New" w:eastAsia="Courier New" w:hAnsi="Courier New"/>
          <w:sz w:val="16"/>
          <w:szCs w:val="16"/>
          <w:color w:val="auto"/>
        </w:rPr>
        <w:t>No Mandatory Redemption or Sinking</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Fund</w:t>
      </w:r>
      <w:r>
        <w:rPr>
          <w:sz w:val="20"/>
          <w:szCs w:val="20"/>
          <w:color w:val="auto"/>
        </w:rPr>
        <w:tab/>
      </w:r>
      <w:r>
        <w:rPr>
          <w:rFonts w:ascii="Courier New" w:cs="Courier New" w:eastAsia="Courier New" w:hAnsi="Courier New"/>
          <w:sz w:val="15"/>
          <w:szCs w:val="15"/>
          <w:color w:val="auto"/>
        </w:rPr>
        <w:t>109</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Additional Debt</w:t>
      </w:r>
      <w:r>
        <w:rPr>
          <w:sz w:val="20"/>
          <w:szCs w:val="20"/>
          <w:color w:val="auto"/>
        </w:rPr>
        <w:tab/>
      </w:r>
      <w:r>
        <w:rPr>
          <w:rFonts w:ascii="Courier New" w:cs="Courier New" w:eastAsia="Courier New" w:hAnsi="Courier New"/>
          <w:sz w:val="15"/>
          <w:szCs w:val="15"/>
          <w:color w:val="auto"/>
        </w:rPr>
        <w:t>109</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Certain Covenants</w:t>
      </w:r>
      <w:r>
        <w:rPr>
          <w:sz w:val="20"/>
          <w:szCs w:val="20"/>
          <w:color w:val="auto"/>
        </w:rPr>
        <w:tab/>
      </w:r>
      <w:r>
        <w:rPr>
          <w:rFonts w:ascii="Courier New" w:cs="Courier New" w:eastAsia="Courier New" w:hAnsi="Courier New"/>
          <w:sz w:val="15"/>
          <w:szCs w:val="15"/>
          <w:color w:val="auto"/>
        </w:rPr>
        <w:t>109</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Modification and Waiver</w:t>
      </w:r>
      <w:r>
        <w:rPr>
          <w:sz w:val="20"/>
          <w:szCs w:val="20"/>
          <w:color w:val="auto"/>
        </w:rPr>
        <w:tab/>
      </w:r>
      <w:r>
        <w:rPr>
          <w:rFonts w:ascii="Courier New" w:cs="Courier New" w:eastAsia="Courier New" w:hAnsi="Courier New"/>
          <w:sz w:val="15"/>
          <w:szCs w:val="15"/>
          <w:color w:val="auto"/>
        </w:rPr>
        <w:t>113</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5"/>
          <w:szCs w:val="15"/>
          <w:color w:val="auto"/>
        </w:rPr>
        <w:t>114</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Discharge and Defeasance</w:t>
      </w:r>
      <w:r>
        <w:rPr>
          <w:sz w:val="20"/>
          <w:szCs w:val="20"/>
          <w:color w:val="auto"/>
        </w:rPr>
        <w:tab/>
      </w:r>
      <w:r>
        <w:rPr>
          <w:rFonts w:ascii="Courier New" w:cs="Courier New" w:eastAsia="Courier New" w:hAnsi="Courier New"/>
          <w:sz w:val="15"/>
          <w:szCs w:val="15"/>
          <w:color w:val="auto"/>
        </w:rPr>
        <w:t>116</w:t>
      </w:r>
    </w:p>
    <w:p>
      <w:pPr>
        <w:ind w:left="180"/>
        <w:spacing w:after="0" w:line="237" w:lineRule="auto"/>
        <w:rPr>
          <w:sz w:val="20"/>
          <w:szCs w:val="20"/>
          <w:color w:val="auto"/>
        </w:rPr>
      </w:pPr>
      <w:r>
        <w:rPr>
          <w:rFonts w:ascii="Courier New" w:cs="Courier New" w:eastAsia="Courier New" w:hAnsi="Courier New"/>
          <w:sz w:val="16"/>
          <w:szCs w:val="16"/>
          <w:color w:val="auto"/>
        </w:rPr>
        <w:t>No Personal Liability of</w:t>
      </w:r>
    </w:p>
    <w:p>
      <w:pPr>
        <w:ind w:left="460"/>
        <w:spacing w:after="0"/>
        <w:rPr>
          <w:sz w:val="20"/>
          <w:szCs w:val="20"/>
          <w:color w:val="auto"/>
        </w:rPr>
      </w:pPr>
      <w:r>
        <w:rPr>
          <w:rFonts w:ascii="Courier New" w:cs="Courier New" w:eastAsia="Courier New" w:hAnsi="Courier New"/>
          <w:sz w:val="16"/>
          <w:szCs w:val="16"/>
          <w:color w:val="auto"/>
        </w:rPr>
        <w:t>Incorporators, Stockholders,</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Officers, Directors or Employees</w:t>
      </w:r>
      <w:r>
        <w:rPr>
          <w:sz w:val="20"/>
          <w:szCs w:val="20"/>
          <w:color w:val="auto"/>
        </w:rPr>
        <w:tab/>
      </w:r>
      <w:r>
        <w:rPr>
          <w:rFonts w:ascii="Courier New" w:cs="Courier New" w:eastAsia="Courier New" w:hAnsi="Courier New"/>
          <w:sz w:val="15"/>
          <w:szCs w:val="15"/>
          <w:color w:val="auto"/>
        </w:rPr>
        <w:t>118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Concerning the Trustee</w:t>
      </w:r>
      <w:r>
        <w:rPr>
          <w:sz w:val="20"/>
          <w:szCs w:val="20"/>
          <w:color w:val="auto"/>
        </w:rPr>
        <w:tab/>
      </w:r>
      <w:r>
        <w:rPr>
          <w:rFonts w:ascii="Courier New" w:cs="Courier New" w:eastAsia="Courier New" w:hAnsi="Courier New"/>
          <w:sz w:val="15"/>
          <w:szCs w:val="15"/>
          <w:color w:val="auto"/>
        </w:rPr>
        <w:t>118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118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Book-Entry System</w:t>
      </w:r>
      <w:r>
        <w:rPr>
          <w:sz w:val="20"/>
          <w:szCs w:val="20"/>
          <w:color w:val="auto"/>
        </w:rPr>
        <w:tab/>
      </w:r>
      <w:r>
        <w:rPr>
          <w:rFonts w:ascii="Courier New" w:cs="Courier New" w:eastAsia="Courier New" w:hAnsi="Courier New"/>
          <w:sz w:val="15"/>
          <w:szCs w:val="15"/>
          <w:color w:val="auto"/>
        </w:rPr>
        <w:t>118</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Certificated Notes</w:t>
      </w:r>
      <w:r>
        <w:rPr>
          <w:sz w:val="20"/>
          <w:szCs w:val="20"/>
          <w:color w:val="auto"/>
        </w:rPr>
        <w:tab/>
      </w:r>
      <w:r>
        <w:rPr>
          <w:rFonts w:ascii="Courier New" w:cs="Courier New" w:eastAsia="Courier New" w:hAnsi="Courier New"/>
          <w:sz w:val="15"/>
          <w:szCs w:val="15"/>
          <w:color w:val="auto"/>
        </w:rPr>
        <w:t>120</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Same-Day Payment</w:t>
      </w:r>
      <w:r>
        <w:rPr>
          <w:sz w:val="20"/>
          <w:szCs w:val="20"/>
          <w:color w:val="auto"/>
        </w:rPr>
        <w:tab/>
      </w:r>
      <w:r>
        <w:rPr>
          <w:rFonts w:ascii="Courier New" w:cs="Courier New" w:eastAsia="Courier New" w:hAnsi="Courier New"/>
          <w:sz w:val="15"/>
          <w:szCs w:val="15"/>
          <w:color w:val="auto"/>
        </w:rPr>
        <w:t>120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THE NEW BROADBAND NOTES</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AND THE BROADBAND EXCHANGE NOTES</w:t>
      </w:r>
      <w:r>
        <w:rPr>
          <w:sz w:val="20"/>
          <w:szCs w:val="20"/>
          <w:color w:val="auto"/>
        </w:rPr>
        <w:tab/>
      </w:r>
      <w:r>
        <w:rPr>
          <w:rFonts w:ascii="Courier New" w:cs="Courier New" w:eastAsia="Courier New" w:hAnsi="Courier New"/>
          <w:sz w:val="15"/>
          <w:szCs w:val="15"/>
          <w:color w:val="auto"/>
        </w:rPr>
        <w:t>121</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Comparison of Basic Terms</w:t>
      </w:r>
      <w:r>
        <w:rPr>
          <w:sz w:val="20"/>
          <w:szCs w:val="20"/>
          <w:color w:val="auto"/>
        </w:rPr>
        <w:tab/>
      </w:r>
      <w:r>
        <w:rPr>
          <w:rFonts w:ascii="Courier New" w:cs="Courier New" w:eastAsia="Courier New" w:hAnsi="Courier New"/>
          <w:sz w:val="15"/>
          <w:szCs w:val="15"/>
          <w:color w:val="auto"/>
        </w:rPr>
        <w:t>121</w:t>
      </w:r>
    </w:p>
    <w:p>
      <w:pPr>
        <w:ind w:left="180"/>
        <w:spacing w:after="0"/>
        <w:rPr>
          <w:sz w:val="20"/>
          <w:szCs w:val="20"/>
          <w:color w:val="auto"/>
        </w:rPr>
      </w:pPr>
      <w:r>
        <w:rPr>
          <w:rFonts w:ascii="Courier New" w:cs="Courier New" w:eastAsia="Courier New" w:hAnsi="Courier New"/>
          <w:sz w:val="16"/>
          <w:szCs w:val="16"/>
          <w:color w:val="auto"/>
        </w:rPr>
        <w:t>Elimination of Payment of Additional</w:t>
      </w:r>
    </w:p>
    <w:p>
      <w:pPr>
        <w:ind w:left="460"/>
        <w:spacing w:after="0" w:line="238" w:lineRule="auto"/>
        <w:rPr>
          <w:sz w:val="20"/>
          <w:szCs w:val="20"/>
          <w:color w:val="auto"/>
        </w:rPr>
      </w:pPr>
      <w:r>
        <w:rPr>
          <w:rFonts w:ascii="Courier New" w:cs="Courier New" w:eastAsia="Courier New" w:hAnsi="Courier New"/>
          <w:sz w:val="16"/>
          <w:szCs w:val="16"/>
          <w:color w:val="auto"/>
        </w:rPr>
        <w:t>Amounts; Redemption Upon a Tax</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Event</w:t>
      </w:r>
      <w:r>
        <w:rPr>
          <w:sz w:val="20"/>
          <w:szCs w:val="20"/>
          <w:color w:val="auto"/>
        </w:rPr>
        <w:tab/>
      </w:r>
      <w:r>
        <w:rPr>
          <w:rFonts w:ascii="Courier New" w:cs="Courier New" w:eastAsia="Courier New" w:hAnsi="Courier New"/>
          <w:sz w:val="15"/>
          <w:szCs w:val="15"/>
          <w:color w:val="auto"/>
        </w:rPr>
        <w:t>122</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122</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Covenants</w:t>
      </w:r>
      <w:r>
        <w:rPr>
          <w:sz w:val="20"/>
          <w:szCs w:val="20"/>
          <w:color w:val="auto"/>
        </w:rPr>
        <w:tab/>
      </w:r>
      <w:r>
        <w:rPr>
          <w:rFonts w:ascii="Courier New" w:cs="Courier New" w:eastAsia="Courier New" w:hAnsi="Courier New"/>
          <w:sz w:val="15"/>
          <w:szCs w:val="15"/>
          <w:color w:val="auto"/>
        </w:rPr>
        <w:t>122</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Modification and Waiver</w:t>
      </w:r>
      <w:r>
        <w:rPr>
          <w:sz w:val="20"/>
          <w:szCs w:val="20"/>
          <w:color w:val="auto"/>
        </w:rPr>
        <w:tab/>
      </w:r>
      <w:r>
        <w:rPr>
          <w:rFonts w:ascii="Courier New" w:cs="Courier New" w:eastAsia="Courier New" w:hAnsi="Courier New"/>
          <w:sz w:val="15"/>
          <w:szCs w:val="15"/>
          <w:color w:val="auto"/>
        </w:rPr>
        <w:t>123</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5"/>
          <w:szCs w:val="15"/>
          <w:color w:val="auto"/>
        </w:rPr>
        <w:t>124</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DESCRIPTION OF THE NEW AT&amp;T NOTES</w:t>
      </w:r>
      <w:r>
        <w:rPr>
          <w:sz w:val="20"/>
          <w:szCs w:val="20"/>
          <w:color w:val="auto"/>
        </w:rPr>
        <w:tab/>
      </w:r>
      <w:r>
        <w:rPr>
          <w:rFonts w:ascii="Courier New" w:cs="Courier New" w:eastAsia="Courier New" w:hAnsi="Courier New"/>
          <w:sz w:val="15"/>
          <w:szCs w:val="15"/>
          <w:color w:val="auto"/>
        </w:rPr>
        <w:t>126</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Basic Terms of the New AT&amp;T Notes</w:t>
      </w:r>
      <w:r>
        <w:rPr>
          <w:sz w:val="20"/>
          <w:szCs w:val="20"/>
          <w:color w:val="auto"/>
        </w:rPr>
        <w:tab/>
      </w:r>
      <w:r>
        <w:rPr>
          <w:rFonts w:ascii="Courier New" w:cs="Courier New" w:eastAsia="Courier New" w:hAnsi="Courier New"/>
          <w:sz w:val="15"/>
          <w:szCs w:val="15"/>
          <w:color w:val="auto"/>
        </w:rPr>
        <w:t>126</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Interest Payments</w:t>
      </w:r>
      <w:r>
        <w:rPr>
          <w:sz w:val="20"/>
          <w:szCs w:val="20"/>
          <w:color w:val="auto"/>
        </w:rPr>
        <w:tab/>
      </w:r>
      <w:r>
        <w:rPr>
          <w:rFonts w:ascii="Courier New" w:cs="Courier New" w:eastAsia="Courier New" w:hAnsi="Courier New"/>
          <w:sz w:val="15"/>
          <w:szCs w:val="15"/>
          <w:color w:val="auto"/>
        </w:rPr>
        <w:t>127</w:t>
      </w:r>
    </w:p>
    <w:p>
      <w:pPr>
        <w:ind w:left="180"/>
        <w:spacing w:after="0"/>
        <w:rPr>
          <w:sz w:val="20"/>
          <w:szCs w:val="20"/>
          <w:color w:val="auto"/>
        </w:rPr>
      </w:pPr>
      <w:r>
        <w:rPr>
          <w:rFonts w:ascii="Courier New" w:cs="Courier New" w:eastAsia="Courier New" w:hAnsi="Courier New"/>
          <w:sz w:val="16"/>
          <w:szCs w:val="16"/>
          <w:color w:val="auto"/>
        </w:rPr>
        <w:t>Additional Terms Pertaining Only to</w:t>
      </w:r>
    </w:p>
    <w:p>
      <w:pPr>
        <w:ind w:left="460"/>
        <w:spacing w:after="0" w:line="238" w:lineRule="auto"/>
        <w:rPr>
          <w:sz w:val="20"/>
          <w:szCs w:val="20"/>
          <w:color w:val="auto"/>
        </w:rPr>
      </w:pPr>
      <w:r>
        <w:rPr>
          <w:rFonts w:ascii="Courier New" w:cs="Courier New" w:eastAsia="Courier New" w:hAnsi="Courier New"/>
          <w:sz w:val="16"/>
          <w:szCs w:val="16"/>
          <w:color w:val="auto"/>
        </w:rPr>
        <w:t>the New AT&amp;T Notes Due 2004 (Series</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1) and New AT&amp;T Notes Due 2013</w:t>
      </w:r>
      <w:r>
        <w:rPr>
          <w:sz w:val="20"/>
          <w:szCs w:val="20"/>
          <w:color w:val="auto"/>
        </w:rPr>
        <w:tab/>
      </w:r>
      <w:r>
        <w:rPr>
          <w:rFonts w:ascii="Courier New" w:cs="Courier New" w:eastAsia="Courier New" w:hAnsi="Courier New"/>
          <w:sz w:val="15"/>
          <w:szCs w:val="15"/>
          <w:color w:val="auto"/>
        </w:rPr>
        <w:t>130</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132</w:t>
      </w:r>
    </w:p>
    <w:p>
      <w:pPr>
        <w:ind w:left="180"/>
        <w:spacing w:after="0"/>
        <w:rPr>
          <w:sz w:val="20"/>
          <w:szCs w:val="20"/>
          <w:color w:val="auto"/>
        </w:rPr>
      </w:pPr>
      <w:r>
        <w:rPr>
          <w:rFonts w:ascii="Courier New" w:cs="Courier New" w:eastAsia="Courier New" w:hAnsi="Courier New"/>
          <w:sz w:val="16"/>
          <w:szCs w:val="16"/>
          <w:color w:val="auto"/>
        </w:rPr>
        <w:t>Optional Repayment Terms Pertaining</w:t>
      </w:r>
    </w:p>
    <w:p>
      <w:pPr>
        <w:ind w:left="460"/>
        <w:spacing w:after="0" w:line="237" w:lineRule="auto"/>
        <w:rPr>
          <w:sz w:val="20"/>
          <w:szCs w:val="20"/>
          <w:color w:val="auto"/>
        </w:rPr>
      </w:pPr>
      <w:r>
        <w:rPr>
          <w:rFonts w:ascii="Courier New" w:cs="Courier New" w:eastAsia="Courier New" w:hAnsi="Courier New"/>
          <w:sz w:val="16"/>
          <w:szCs w:val="16"/>
          <w:color w:val="auto"/>
        </w:rPr>
        <w:t>Only to the New FRN Medium-Term</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Notes, Series A Due 2054</w:t>
      </w:r>
      <w:r>
        <w:rPr>
          <w:sz w:val="20"/>
          <w:szCs w:val="20"/>
          <w:color w:val="auto"/>
        </w:rPr>
        <w:tab/>
      </w:r>
      <w:r>
        <w:rPr>
          <w:rFonts w:ascii="Courier New" w:cs="Courier New" w:eastAsia="Courier New" w:hAnsi="Courier New"/>
          <w:sz w:val="15"/>
          <w:szCs w:val="15"/>
          <w:color w:val="auto"/>
        </w:rPr>
        <w:t>135</w:t>
      </w:r>
    </w:p>
    <w:p>
      <w:pPr>
        <w:ind w:left="180"/>
        <w:spacing w:after="0" w:line="238" w:lineRule="auto"/>
        <w:rPr>
          <w:sz w:val="20"/>
          <w:szCs w:val="20"/>
          <w:color w:val="auto"/>
        </w:rPr>
      </w:pPr>
      <w:r>
        <w:rPr>
          <w:rFonts w:ascii="Courier New" w:cs="Courier New" w:eastAsia="Courier New" w:hAnsi="Courier New"/>
          <w:sz w:val="16"/>
          <w:szCs w:val="16"/>
          <w:color w:val="auto"/>
        </w:rPr>
        <w:t>No Mandatory Redemption or Sinking</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Fund</w:t>
      </w:r>
      <w:r>
        <w:rPr>
          <w:sz w:val="20"/>
          <w:szCs w:val="20"/>
          <w:color w:val="auto"/>
        </w:rPr>
        <w:tab/>
      </w:r>
      <w:r>
        <w:rPr>
          <w:rFonts w:ascii="Courier New" w:cs="Courier New" w:eastAsia="Courier New" w:hAnsi="Courier New"/>
          <w:sz w:val="15"/>
          <w:szCs w:val="15"/>
          <w:color w:val="auto"/>
        </w:rPr>
        <w:t>136</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5"/>
          <w:szCs w:val="15"/>
          <w:color w:val="auto"/>
        </w:rPr>
        <w:t>136</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Luxembourg Listing</w:t>
      </w:r>
      <w:r>
        <w:rPr>
          <w:sz w:val="20"/>
          <w:szCs w:val="20"/>
          <w:color w:val="auto"/>
        </w:rPr>
        <w:tab/>
      </w:r>
      <w:r>
        <w:rPr>
          <w:rFonts w:ascii="Courier New" w:cs="Courier New" w:eastAsia="Courier New" w:hAnsi="Courier New"/>
          <w:sz w:val="15"/>
          <w:szCs w:val="15"/>
          <w:color w:val="auto"/>
        </w:rPr>
        <w:t>136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AT&amp;T COMCAST</w:t>
      </w:r>
    </w:p>
    <w:p>
      <w:pPr>
        <w:sectPr>
          <w:pgSz w:w="11900" w:h="16908" w:orient="portrait"/>
          <w:cols w:equalWidth="0" w:num="1">
            <w:col w:w="10219"/>
          </w:cols>
          <w:pgMar w:left="240" w:top="1014" w:right="1440" w:bottom="0" w:gutter="0" w:footer="0" w:header="0"/>
        </w:sectPr>
      </w:pPr>
    </w:p>
    <w:bookmarkStart w:id="11" w:name="page12"/>
    <w:bookmarkEnd w:id="11"/>
    <w:p>
      <w:pPr>
        <w:spacing w:after="0"/>
        <w:tabs>
          <w:tab w:leader="dot" w:pos="3740" w:val="left"/>
        </w:tabs>
        <w:rPr>
          <w:sz w:val="20"/>
          <w:szCs w:val="20"/>
          <w:color w:val="auto"/>
        </w:rPr>
      </w:pPr>
      <w:r>
        <w:rPr>
          <w:rFonts w:ascii="Courier New" w:cs="Courier New" w:eastAsia="Courier New" w:hAnsi="Courier New"/>
          <w:sz w:val="16"/>
          <w:szCs w:val="16"/>
          <w:color w:val="auto"/>
        </w:rPr>
        <w:t>TRANSACTION</w:t>
      </w:r>
      <w:r>
        <w:rPr>
          <w:sz w:val="20"/>
          <w:szCs w:val="20"/>
          <w:color w:val="auto"/>
        </w:rPr>
        <w:tab/>
      </w:r>
      <w:r>
        <w:rPr>
          <w:rFonts w:ascii="Courier New" w:cs="Courier New" w:eastAsia="Courier New" w:hAnsi="Courier New"/>
          <w:sz w:val="15"/>
          <w:szCs w:val="15"/>
          <w:color w:val="auto"/>
        </w:rPr>
        <w:t>137</w:t>
      </w:r>
    </w:p>
    <w:p>
      <w:pPr>
        <w:spacing w:after="0"/>
        <w:tabs>
          <w:tab w:leader="dot" w:pos="3740" w:val="left"/>
        </w:tabs>
        <w:rPr>
          <w:sz w:val="20"/>
          <w:szCs w:val="20"/>
          <w:color w:val="auto"/>
        </w:rPr>
      </w:pPr>
      <w:r>
        <w:rPr>
          <w:rFonts w:ascii="Courier New" w:cs="Courier New" w:eastAsia="Courier New" w:hAnsi="Courier New"/>
          <w:sz w:val="16"/>
          <w:szCs w:val="16"/>
          <w:color w:val="auto"/>
        </w:rPr>
        <w:t>Structure of the Transaction</w:t>
      </w:r>
      <w:r>
        <w:rPr>
          <w:sz w:val="20"/>
          <w:szCs w:val="20"/>
          <w:color w:val="auto"/>
        </w:rPr>
        <w:tab/>
      </w:r>
      <w:r>
        <w:rPr>
          <w:rFonts w:ascii="Courier New" w:cs="Courier New" w:eastAsia="Courier New" w:hAnsi="Courier New"/>
          <w:sz w:val="15"/>
          <w:szCs w:val="15"/>
          <w:color w:val="auto"/>
        </w:rPr>
        <w:t>137</w:t>
      </w:r>
    </w:p>
    <w:p>
      <w:pPr>
        <w:spacing w:after="0"/>
        <w:tabs>
          <w:tab w:leader="dot" w:pos="3740" w:val="left"/>
        </w:tabs>
        <w:rPr>
          <w:sz w:val="20"/>
          <w:szCs w:val="20"/>
          <w:color w:val="auto"/>
        </w:rPr>
      </w:pPr>
      <w:r>
        <w:rPr>
          <w:rFonts w:ascii="Courier New" w:cs="Courier New" w:eastAsia="Courier New" w:hAnsi="Courier New"/>
          <w:sz w:val="16"/>
          <w:szCs w:val="16"/>
          <w:color w:val="auto"/>
        </w:rPr>
        <w:t>Timing of Closing</w:t>
      </w:r>
      <w:r>
        <w:rPr>
          <w:sz w:val="20"/>
          <w:szCs w:val="20"/>
          <w:color w:val="auto"/>
        </w:rPr>
        <w:tab/>
      </w:r>
      <w:r>
        <w:rPr>
          <w:rFonts w:ascii="Courier New" w:cs="Courier New" w:eastAsia="Courier New" w:hAnsi="Courier New"/>
          <w:sz w:val="15"/>
          <w:szCs w:val="15"/>
          <w:color w:val="auto"/>
        </w:rPr>
        <w:t>137</w:t>
      </w:r>
    </w:p>
    <w:p>
      <w:pPr>
        <w:spacing w:after="0"/>
        <w:tabs>
          <w:tab w:leader="dot" w:pos="3740" w:val="left"/>
        </w:tabs>
        <w:rPr>
          <w:sz w:val="20"/>
          <w:szCs w:val="20"/>
          <w:color w:val="auto"/>
        </w:rPr>
      </w:pPr>
      <w:r>
        <w:rPr>
          <w:rFonts w:ascii="Courier New" w:cs="Courier New" w:eastAsia="Courier New" w:hAnsi="Courier New"/>
          <w:sz w:val="16"/>
          <w:szCs w:val="16"/>
          <w:color w:val="auto"/>
        </w:rPr>
        <w:t>The Merger Agreement</w:t>
      </w:r>
      <w:r>
        <w:rPr>
          <w:sz w:val="20"/>
          <w:szCs w:val="20"/>
          <w:color w:val="auto"/>
        </w:rPr>
        <w:tab/>
      </w:r>
      <w:r>
        <w:rPr>
          <w:rFonts w:ascii="Courier New" w:cs="Courier New" w:eastAsia="Courier New" w:hAnsi="Courier New"/>
          <w:sz w:val="15"/>
          <w:szCs w:val="15"/>
          <w:color w:val="auto"/>
        </w:rPr>
        <w:t>137</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Covenants</w:t>
      </w:r>
      <w:r>
        <w:rPr>
          <w:sz w:val="20"/>
          <w:szCs w:val="20"/>
          <w:color w:val="auto"/>
        </w:rPr>
        <w:tab/>
      </w:r>
      <w:r>
        <w:rPr>
          <w:rFonts w:ascii="Courier New" w:cs="Courier New" w:eastAsia="Courier New" w:hAnsi="Courier New"/>
          <w:sz w:val="15"/>
          <w:szCs w:val="15"/>
          <w:color w:val="auto"/>
        </w:rPr>
        <w:t>137</w:t>
      </w:r>
    </w:p>
    <w:p>
      <w:pPr>
        <w:ind w:left="480"/>
        <w:spacing w:after="0"/>
        <w:rPr>
          <w:sz w:val="20"/>
          <w:szCs w:val="20"/>
          <w:color w:val="auto"/>
        </w:rPr>
      </w:pPr>
      <w:r>
        <w:rPr>
          <w:rFonts w:ascii="Courier New" w:cs="Courier New" w:eastAsia="Courier New" w:hAnsi="Courier New"/>
          <w:sz w:val="16"/>
          <w:szCs w:val="16"/>
          <w:color w:val="auto"/>
        </w:rPr>
        <w:t>Post-Transaction Governance</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Arrangements</w:t>
      </w:r>
      <w:r>
        <w:rPr>
          <w:sz w:val="20"/>
          <w:szCs w:val="20"/>
          <w:color w:val="auto"/>
        </w:rPr>
        <w:tab/>
      </w:r>
      <w:r>
        <w:rPr>
          <w:rFonts w:ascii="Courier New" w:cs="Courier New" w:eastAsia="Courier New" w:hAnsi="Courier New"/>
          <w:sz w:val="15"/>
          <w:szCs w:val="15"/>
          <w:color w:val="auto"/>
        </w:rPr>
        <w:t>139</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Employee Benefits Matters</w:t>
      </w:r>
      <w:r>
        <w:rPr>
          <w:sz w:val="20"/>
          <w:szCs w:val="20"/>
          <w:color w:val="auto"/>
        </w:rPr>
        <w:tab/>
      </w:r>
      <w:r>
        <w:rPr>
          <w:rFonts w:ascii="Courier New" w:cs="Courier New" w:eastAsia="Courier New" w:hAnsi="Courier New"/>
          <w:sz w:val="15"/>
          <w:szCs w:val="15"/>
          <w:color w:val="auto"/>
        </w:rPr>
        <w:t>140</w:t>
      </w:r>
    </w:p>
    <w:p>
      <w:pPr>
        <w:ind w:left="480"/>
        <w:spacing w:after="0" w:line="237" w:lineRule="auto"/>
        <w:rPr>
          <w:sz w:val="20"/>
          <w:szCs w:val="20"/>
          <w:color w:val="auto"/>
        </w:rPr>
      </w:pPr>
      <w:r>
        <w:rPr>
          <w:rFonts w:ascii="Courier New" w:cs="Courier New" w:eastAsia="Courier New" w:hAnsi="Courier New"/>
          <w:sz w:val="16"/>
          <w:szCs w:val="16"/>
          <w:color w:val="auto"/>
        </w:rPr>
        <w:t>Covenant Regarding Comcast's AT&amp;T</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140</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Representations and Warranties</w:t>
      </w:r>
      <w:r>
        <w:rPr>
          <w:sz w:val="20"/>
          <w:szCs w:val="20"/>
          <w:color w:val="auto"/>
        </w:rPr>
        <w:tab/>
      </w:r>
      <w:r>
        <w:rPr>
          <w:rFonts w:ascii="Courier New" w:cs="Courier New" w:eastAsia="Courier New" w:hAnsi="Courier New"/>
          <w:sz w:val="15"/>
          <w:szCs w:val="15"/>
          <w:color w:val="auto"/>
        </w:rPr>
        <w:t>141</w:t>
      </w:r>
    </w:p>
    <w:p>
      <w:pPr>
        <w:ind w:left="480"/>
        <w:spacing w:after="0"/>
        <w:rPr>
          <w:sz w:val="20"/>
          <w:szCs w:val="20"/>
          <w:color w:val="auto"/>
        </w:rPr>
      </w:pPr>
      <w:r>
        <w:rPr>
          <w:rFonts w:ascii="Courier New" w:cs="Courier New" w:eastAsia="Courier New" w:hAnsi="Courier New"/>
          <w:sz w:val="16"/>
          <w:szCs w:val="16"/>
          <w:color w:val="auto"/>
        </w:rPr>
        <w:t>Conditions to the Completion of</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the Mergers</w:t>
      </w:r>
      <w:r>
        <w:rPr>
          <w:sz w:val="20"/>
          <w:szCs w:val="20"/>
          <w:color w:val="auto"/>
        </w:rPr>
        <w:tab/>
      </w:r>
      <w:r>
        <w:rPr>
          <w:rFonts w:ascii="Courier New" w:cs="Courier New" w:eastAsia="Courier New" w:hAnsi="Courier New"/>
          <w:sz w:val="15"/>
          <w:szCs w:val="15"/>
          <w:color w:val="auto"/>
        </w:rPr>
        <w:t>141</w:t>
      </w:r>
    </w:p>
    <w:p>
      <w:pPr>
        <w:ind w:left="480"/>
        <w:spacing w:after="0"/>
        <w:rPr>
          <w:sz w:val="20"/>
          <w:szCs w:val="20"/>
          <w:color w:val="auto"/>
        </w:rPr>
      </w:pPr>
      <w:r>
        <w:rPr>
          <w:rFonts w:ascii="Courier New" w:cs="Courier New" w:eastAsia="Courier New" w:hAnsi="Courier New"/>
          <w:sz w:val="16"/>
          <w:szCs w:val="16"/>
          <w:color w:val="auto"/>
        </w:rPr>
        <w:t>Termination of the Merger</w:t>
      </w:r>
    </w:p>
    <w:p>
      <w:pPr>
        <w:jc w:val="right"/>
        <w:ind w:right="5999"/>
        <w:spacing w:after="0"/>
        <w:tabs>
          <w:tab w:leader="dot" w:pos="260" w:val="left"/>
        </w:tabs>
        <w:rPr>
          <w:sz w:val="20"/>
          <w:szCs w:val="20"/>
          <w:color w:val="auto"/>
        </w:rPr>
      </w:pPr>
      <w:r>
        <w:rPr>
          <w:rFonts w:ascii="Courier New" w:cs="Courier New" w:eastAsia="Courier New" w:hAnsi="Courier New"/>
          <w:sz w:val="16"/>
          <w:szCs w:val="16"/>
          <w:color w:val="auto"/>
        </w:rPr>
        <w:t>Agreement</w:t>
      </w:r>
      <w:r>
        <w:rPr>
          <w:sz w:val="20"/>
          <w:szCs w:val="20"/>
          <w:color w:val="auto"/>
        </w:rPr>
        <w:tab/>
      </w:r>
      <w:r>
        <w:rPr>
          <w:rFonts w:ascii="Courier New" w:cs="Courier New" w:eastAsia="Courier New" w:hAnsi="Courier New"/>
          <w:sz w:val="15"/>
          <w:szCs w:val="15"/>
          <w:color w:val="auto"/>
        </w:rPr>
        <w:t>142</w:t>
      </w:r>
    </w:p>
    <w:p>
      <w:pPr>
        <w:spacing w:after="0" w:line="200" w:lineRule="exact"/>
        <w:rPr>
          <w:sz w:val="20"/>
          <w:szCs w:val="20"/>
          <w:color w:val="auto"/>
        </w:rPr>
      </w:pPr>
    </w:p>
    <w:p>
      <w:pPr>
        <w:spacing w:after="0" w:line="34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039"/>
          </w:cols>
          <w:pgMar w:left="420" w:top="137" w:right="1440" w:bottom="1440" w:gutter="0" w:footer="0" w:header="0"/>
        </w:sectPr>
      </w:pPr>
    </w:p>
    <w:bookmarkStart w:id="12" w:name="page13"/>
    <w:bookmarkEnd w:id="12"/>
    <w:p>
      <w:pPr>
        <w:ind w:left="660"/>
        <w:spacing w:after="0"/>
        <w:tabs>
          <w:tab w:leader="dot" w:pos="392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5"/>
          <w:szCs w:val="15"/>
          <w:color w:val="auto"/>
        </w:rPr>
        <w:t>143</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Amendments and Waivers</w:t>
      </w:r>
      <w:r>
        <w:rPr>
          <w:sz w:val="20"/>
          <w:szCs w:val="20"/>
          <w:color w:val="auto"/>
        </w:rPr>
        <w:tab/>
      </w:r>
      <w:r>
        <w:rPr>
          <w:rFonts w:ascii="Courier New" w:cs="Courier New" w:eastAsia="Courier New" w:hAnsi="Courier New"/>
          <w:sz w:val="15"/>
          <w:szCs w:val="15"/>
          <w:color w:val="auto"/>
        </w:rPr>
        <w:t>143</w:t>
      </w:r>
    </w:p>
    <w:p>
      <w:pPr>
        <w:ind w:left="180"/>
        <w:spacing w:after="0" w:line="237" w:lineRule="auto"/>
        <w:rPr>
          <w:sz w:val="20"/>
          <w:szCs w:val="20"/>
          <w:color w:val="auto"/>
        </w:rPr>
      </w:pPr>
      <w:r>
        <w:rPr>
          <w:rFonts w:ascii="Courier New" w:cs="Courier New" w:eastAsia="Courier New" w:hAnsi="Courier New"/>
          <w:sz w:val="16"/>
          <w:szCs w:val="16"/>
          <w:color w:val="auto"/>
        </w:rPr>
        <w:t>The Separation and Distribution</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Agreement</w:t>
      </w:r>
      <w:r>
        <w:rPr>
          <w:sz w:val="20"/>
          <w:szCs w:val="20"/>
          <w:color w:val="auto"/>
        </w:rPr>
        <w:tab/>
      </w:r>
      <w:r>
        <w:rPr>
          <w:rFonts w:ascii="Courier New" w:cs="Courier New" w:eastAsia="Courier New" w:hAnsi="Courier New"/>
          <w:sz w:val="15"/>
          <w:szCs w:val="15"/>
          <w:color w:val="auto"/>
        </w:rPr>
        <w:t>144</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The Separation</w:t>
      </w:r>
      <w:r>
        <w:rPr>
          <w:sz w:val="20"/>
          <w:szCs w:val="20"/>
          <w:color w:val="auto"/>
        </w:rPr>
        <w:tab/>
      </w:r>
      <w:r>
        <w:rPr>
          <w:rFonts w:ascii="Courier New" w:cs="Courier New" w:eastAsia="Courier New" w:hAnsi="Courier New"/>
          <w:sz w:val="15"/>
          <w:szCs w:val="15"/>
          <w:color w:val="auto"/>
        </w:rPr>
        <w:t>144</w:t>
      </w:r>
    </w:p>
    <w:p>
      <w:pPr>
        <w:ind w:left="660"/>
        <w:spacing w:after="0"/>
        <w:rPr>
          <w:sz w:val="20"/>
          <w:szCs w:val="20"/>
          <w:color w:val="auto"/>
        </w:rPr>
      </w:pPr>
      <w:r>
        <w:rPr>
          <w:rFonts w:ascii="Courier New" w:cs="Courier New" w:eastAsia="Courier New" w:hAnsi="Courier New"/>
          <w:sz w:val="16"/>
          <w:szCs w:val="16"/>
          <w:color w:val="auto"/>
        </w:rPr>
        <w:t>Timing of the Separation and the</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Broadband Spin-Off</w:t>
      </w:r>
      <w:r>
        <w:rPr>
          <w:sz w:val="20"/>
          <w:szCs w:val="20"/>
          <w:color w:val="auto"/>
        </w:rPr>
        <w:tab/>
      </w:r>
      <w:r>
        <w:rPr>
          <w:rFonts w:ascii="Courier New" w:cs="Courier New" w:eastAsia="Courier New" w:hAnsi="Courier New"/>
          <w:sz w:val="15"/>
          <w:szCs w:val="15"/>
          <w:color w:val="auto"/>
        </w:rPr>
        <w:t>145</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Repayment of Intracompany Debt</w:t>
      </w:r>
      <w:r>
        <w:rPr>
          <w:sz w:val="20"/>
          <w:szCs w:val="20"/>
          <w:color w:val="auto"/>
        </w:rPr>
        <w:tab/>
      </w:r>
      <w:r>
        <w:rPr>
          <w:rFonts w:ascii="Courier New" w:cs="Courier New" w:eastAsia="Courier New" w:hAnsi="Courier New"/>
          <w:sz w:val="15"/>
          <w:szCs w:val="15"/>
          <w:color w:val="auto"/>
        </w:rPr>
        <w:t>145</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Post-Spin-Off Transactions</w:t>
      </w:r>
      <w:r>
        <w:rPr>
          <w:sz w:val="20"/>
          <w:szCs w:val="20"/>
          <w:color w:val="auto"/>
        </w:rPr>
        <w:tab/>
      </w:r>
      <w:r>
        <w:rPr>
          <w:rFonts w:ascii="Courier New" w:cs="Courier New" w:eastAsia="Courier New" w:hAnsi="Courier New"/>
          <w:sz w:val="15"/>
          <w:szCs w:val="15"/>
          <w:color w:val="auto"/>
        </w:rPr>
        <w:t>145</w:t>
      </w:r>
    </w:p>
    <w:p>
      <w:pPr>
        <w:ind w:left="660"/>
        <w:spacing w:after="0"/>
        <w:rPr>
          <w:sz w:val="20"/>
          <w:szCs w:val="20"/>
          <w:color w:val="auto"/>
        </w:rPr>
      </w:pPr>
      <w:r>
        <w:rPr>
          <w:rFonts w:ascii="Courier New" w:cs="Courier New" w:eastAsia="Courier New" w:hAnsi="Courier New"/>
          <w:sz w:val="16"/>
          <w:szCs w:val="16"/>
          <w:color w:val="auto"/>
        </w:rPr>
        <w:t>Conditions to the Completion of</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the Broadband Spin-Off</w:t>
      </w:r>
      <w:r>
        <w:rPr>
          <w:sz w:val="20"/>
          <w:szCs w:val="20"/>
          <w:color w:val="auto"/>
        </w:rPr>
        <w:tab/>
      </w:r>
      <w:r>
        <w:rPr>
          <w:rFonts w:ascii="Courier New" w:cs="Courier New" w:eastAsia="Courier New" w:hAnsi="Courier New"/>
          <w:sz w:val="15"/>
          <w:szCs w:val="15"/>
          <w:color w:val="auto"/>
        </w:rPr>
        <w:t>145</w:t>
      </w:r>
    </w:p>
    <w:p>
      <w:pPr>
        <w:ind w:left="660"/>
        <w:spacing w:after="0"/>
        <w:rPr>
          <w:sz w:val="20"/>
          <w:szCs w:val="20"/>
          <w:color w:val="auto"/>
        </w:rPr>
      </w:pPr>
      <w:r>
        <w:rPr>
          <w:rFonts w:ascii="Courier New" w:cs="Courier New" w:eastAsia="Courier New" w:hAnsi="Courier New"/>
          <w:sz w:val="16"/>
          <w:szCs w:val="16"/>
          <w:color w:val="auto"/>
        </w:rPr>
        <w:t>Mutual Release;</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146</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5"/>
          <w:szCs w:val="15"/>
          <w:color w:val="auto"/>
        </w:rPr>
        <w:t>147</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Amendments and Waivers</w:t>
      </w:r>
      <w:r>
        <w:rPr>
          <w:sz w:val="20"/>
          <w:szCs w:val="20"/>
          <w:color w:val="auto"/>
        </w:rPr>
        <w:tab/>
      </w:r>
      <w:r>
        <w:rPr>
          <w:rFonts w:ascii="Courier New" w:cs="Courier New" w:eastAsia="Courier New" w:hAnsi="Courier New"/>
          <w:sz w:val="15"/>
          <w:szCs w:val="15"/>
          <w:color w:val="auto"/>
        </w:rPr>
        <w:t>147</w:t>
      </w:r>
    </w:p>
    <w:p>
      <w:pPr>
        <w:ind w:left="180"/>
        <w:spacing w:after="0"/>
        <w:rPr>
          <w:sz w:val="20"/>
          <w:szCs w:val="20"/>
          <w:color w:val="auto"/>
        </w:rPr>
      </w:pPr>
      <w:r>
        <w:rPr>
          <w:rFonts w:ascii="Courier New" w:cs="Courier New" w:eastAsia="Courier New" w:hAnsi="Courier New"/>
          <w:sz w:val="16"/>
          <w:szCs w:val="16"/>
          <w:color w:val="auto"/>
        </w:rPr>
        <w:t>The Exchange Agreement and Instrument</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of Admission</w:t>
      </w:r>
      <w:r>
        <w:rPr>
          <w:sz w:val="20"/>
          <w:szCs w:val="20"/>
          <w:color w:val="auto"/>
        </w:rPr>
        <w:tab/>
      </w:r>
      <w:r>
        <w:rPr>
          <w:rFonts w:ascii="Courier New" w:cs="Courier New" w:eastAsia="Courier New" w:hAnsi="Courier New"/>
          <w:sz w:val="15"/>
          <w:szCs w:val="15"/>
          <w:color w:val="auto"/>
        </w:rPr>
        <w:t>147</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QUIPS Exchange</w:t>
      </w:r>
      <w:r>
        <w:rPr>
          <w:sz w:val="20"/>
          <w:szCs w:val="20"/>
          <w:color w:val="auto"/>
        </w:rPr>
        <w:tab/>
      </w:r>
      <w:r>
        <w:rPr>
          <w:rFonts w:ascii="Courier New" w:cs="Courier New" w:eastAsia="Courier New" w:hAnsi="Courier New"/>
          <w:sz w:val="15"/>
          <w:szCs w:val="15"/>
          <w:color w:val="auto"/>
        </w:rPr>
        <w:t>148</w:t>
      </w:r>
    </w:p>
    <w:p>
      <w:pPr>
        <w:ind w:left="660"/>
        <w:spacing w:after="0"/>
        <w:tabs>
          <w:tab w:leader="dot" w:pos="3920" w:val="left"/>
        </w:tabs>
        <w:rPr>
          <w:sz w:val="20"/>
          <w:szCs w:val="20"/>
          <w:color w:val="auto"/>
        </w:rPr>
      </w:pPr>
      <w:r>
        <w:rPr>
          <w:rFonts w:ascii="Courier New" w:cs="Courier New" w:eastAsia="Courier New" w:hAnsi="Courier New"/>
          <w:sz w:val="16"/>
          <w:szCs w:val="16"/>
          <w:color w:val="auto"/>
        </w:rPr>
        <w:t>Covenants</w:t>
      </w:r>
      <w:r>
        <w:rPr>
          <w:sz w:val="20"/>
          <w:szCs w:val="20"/>
          <w:color w:val="auto"/>
        </w:rPr>
        <w:tab/>
      </w:r>
      <w:r>
        <w:rPr>
          <w:rFonts w:ascii="Courier New" w:cs="Courier New" w:eastAsia="Courier New" w:hAnsi="Courier New"/>
          <w:sz w:val="15"/>
          <w:szCs w:val="15"/>
          <w:color w:val="auto"/>
        </w:rPr>
        <w:t>148</w:t>
      </w:r>
    </w:p>
    <w:p>
      <w:pPr>
        <w:ind w:left="660"/>
        <w:spacing w:after="0"/>
        <w:rPr>
          <w:sz w:val="20"/>
          <w:szCs w:val="20"/>
          <w:color w:val="auto"/>
        </w:rPr>
      </w:pPr>
      <w:r>
        <w:rPr>
          <w:rFonts w:ascii="Courier New" w:cs="Courier New" w:eastAsia="Courier New" w:hAnsi="Courier New"/>
          <w:sz w:val="16"/>
          <w:szCs w:val="16"/>
          <w:color w:val="auto"/>
        </w:rPr>
        <w:t>Conditions to the Completion of</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the Microsoft Transaction</w:t>
      </w:r>
      <w:r>
        <w:rPr>
          <w:sz w:val="20"/>
          <w:szCs w:val="20"/>
          <w:color w:val="auto"/>
        </w:rPr>
        <w:tab/>
      </w:r>
      <w:r>
        <w:rPr>
          <w:rFonts w:ascii="Courier New" w:cs="Courier New" w:eastAsia="Courier New" w:hAnsi="Courier New"/>
          <w:sz w:val="15"/>
          <w:szCs w:val="15"/>
          <w:color w:val="auto"/>
        </w:rPr>
        <w:t>149</w:t>
      </w:r>
    </w:p>
    <w:p>
      <w:pPr>
        <w:ind w:left="660"/>
        <w:spacing w:after="0"/>
        <w:rPr>
          <w:sz w:val="20"/>
          <w:szCs w:val="20"/>
          <w:color w:val="auto"/>
        </w:rPr>
      </w:pPr>
      <w:r>
        <w:rPr>
          <w:rFonts w:ascii="Courier New" w:cs="Courier New" w:eastAsia="Courier New" w:hAnsi="Courier New"/>
          <w:sz w:val="16"/>
          <w:szCs w:val="16"/>
          <w:color w:val="auto"/>
        </w:rPr>
        <w:t>Interactive Technology</w:t>
      </w:r>
    </w:p>
    <w:p>
      <w:pPr>
        <w:ind w:left="940"/>
        <w:spacing w:after="0"/>
        <w:tabs>
          <w:tab w:leader="dot" w:pos="3920" w:val="left"/>
        </w:tabs>
        <w:rPr>
          <w:sz w:val="20"/>
          <w:szCs w:val="20"/>
          <w:color w:val="auto"/>
        </w:rPr>
      </w:pPr>
      <w:r>
        <w:rPr>
          <w:rFonts w:ascii="Courier New" w:cs="Courier New" w:eastAsia="Courier New" w:hAnsi="Courier New"/>
          <w:sz w:val="16"/>
          <w:szCs w:val="16"/>
          <w:color w:val="auto"/>
        </w:rPr>
        <w:t>Agreement</w:t>
      </w:r>
      <w:r>
        <w:rPr>
          <w:sz w:val="20"/>
          <w:szCs w:val="20"/>
          <w:color w:val="auto"/>
        </w:rPr>
        <w:tab/>
      </w:r>
      <w:r>
        <w:rPr>
          <w:rFonts w:ascii="Courier New" w:cs="Courier New" w:eastAsia="Courier New" w:hAnsi="Courier New"/>
          <w:sz w:val="15"/>
          <w:szCs w:val="15"/>
          <w:color w:val="auto"/>
        </w:rPr>
        <w:t>150</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The Tax Sharing Agreement</w:t>
      </w:r>
      <w:r>
        <w:rPr>
          <w:sz w:val="20"/>
          <w:szCs w:val="20"/>
          <w:color w:val="auto"/>
        </w:rPr>
        <w:tab/>
      </w:r>
      <w:r>
        <w:rPr>
          <w:rFonts w:ascii="Courier New" w:cs="Courier New" w:eastAsia="Courier New" w:hAnsi="Courier New"/>
          <w:sz w:val="15"/>
          <w:szCs w:val="15"/>
          <w:color w:val="auto"/>
        </w:rPr>
        <w:t>150</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The Ancillary Agreements</w:t>
      </w:r>
      <w:r>
        <w:rPr>
          <w:sz w:val="20"/>
          <w:szCs w:val="20"/>
          <w:color w:val="auto"/>
        </w:rPr>
        <w:tab/>
      </w:r>
      <w:r>
        <w:rPr>
          <w:rFonts w:ascii="Courier New" w:cs="Courier New" w:eastAsia="Courier New" w:hAnsi="Courier New"/>
          <w:sz w:val="15"/>
          <w:szCs w:val="15"/>
          <w:color w:val="auto"/>
        </w:rPr>
        <w:t>151</w:t>
      </w:r>
    </w:p>
    <w:p>
      <w:pPr>
        <w:ind w:left="180"/>
        <w:spacing w:after="0"/>
        <w:rPr>
          <w:sz w:val="20"/>
          <w:szCs w:val="20"/>
          <w:color w:val="auto"/>
        </w:rPr>
      </w:pPr>
      <w:r>
        <w:rPr>
          <w:rFonts w:ascii="Courier New" w:cs="Courier New" w:eastAsia="Courier New" w:hAnsi="Courier New"/>
          <w:sz w:val="16"/>
          <w:szCs w:val="16"/>
          <w:color w:val="auto"/>
        </w:rPr>
        <w:t>Material Federal Income Tax</w:t>
      </w:r>
    </w:p>
    <w:p>
      <w:pPr>
        <w:ind w:left="460"/>
        <w:spacing w:after="0" w:line="237" w:lineRule="auto"/>
        <w:rPr>
          <w:sz w:val="20"/>
          <w:szCs w:val="20"/>
          <w:color w:val="auto"/>
        </w:rPr>
      </w:pPr>
      <w:r>
        <w:rPr>
          <w:rFonts w:ascii="Courier New" w:cs="Courier New" w:eastAsia="Courier New" w:hAnsi="Courier New"/>
          <w:sz w:val="16"/>
          <w:szCs w:val="16"/>
          <w:color w:val="auto"/>
        </w:rPr>
        <w:t>Consequences of the AT&amp;T Comcast</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Transaction</w:t>
      </w:r>
      <w:r>
        <w:rPr>
          <w:sz w:val="20"/>
          <w:szCs w:val="20"/>
          <w:color w:val="auto"/>
        </w:rPr>
        <w:tab/>
      </w:r>
      <w:r>
        <w:rPr>
          <w:rFonts w:ascii="Courier New" w:cs="Courier New" w:eastAsia="Courier New" w:hAnsi="Courier New"/>
          <w:sz w:val="15"/>
          <w:szCs w:val="15"/>
          <w:color w:val="auto"/>
        </w:rPr>
        <w:t>152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INDEBTEDNESS AND THE</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CROSS-GUARANTEES</w:t>
      </w:r>
      <w:r>
        <w:rPr>
          <w:sz w:val="20"/>
          <w:szCs w:val="20"/>
          <w:color w:val="auto"/>
        </w:rPr>
        <w:tab/>
      </w:r>
      <w:r>
        <w:rPr>
          <w:rFonts w:ascii="Courier New" w:cs="Courier New" w:eastAsia="Courier New" w:hAnsi="Courier New"/>
          <w:sz w:val="15"/>
          <w:szCs w:val="15"/>
          <w:color w:val="auto"/>
        </w:rPr>
        <w:t>153</w:t>
      </w:r>
    </w:p>
    <w:p>
      <w:pPr>
        <w:ind w:left="180"/>
        <w:spacing w:after="0" w:line="237" w:lineRule="auto"/>
        <w:rPr>
          <w:sz w:val="20"/>
          <w:szCs w:val="20"/>
          <w:color w:val="auto"/>
        </w:rPr>
      </w:pPr>
      <w:r>
        <w:rPr>
          <w:rFonts w:ascii="Courier New" w:cs="Courier New" w:eastAsia="Courier New" w:hAnsi="Courier New"/>
          <w:sz w:val="16"/>
          <w:szCs w:val="16"/>
          <w:color w:val="auto"/>
        </w:rPr>
        <w:t>Description of New Credit</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Facilities</w:t>
      </w:r>
      <w:r>
        <w:rPr>
          <w:sz w:val="20"/>
          <w:szCs w:val="20"/>
          <w:color w:val="auto"/>
        </w:rPr>
        <w:tab/>
      </w:r>
      <w:r>
        <w:rPr>
          <w:rFonts w:ascii="Courier New" w:cs="Courier New" w:eastAsia="Courier New" w:hAnsi="Courier New"/>
          <w:sz w:val="15"/>
          <w:szCs w:val="15"/>
          <w:color w:val="auto"/>
        </w:rPr>
        <w:t>153</w:t>
      </w:r>
    </w:p>
    <w:p>
      <w:pPr>
        <w:ind w:left="180"/>
        <w:spacing w:after="0" w:line="238" w:lineRule="auto"/>
        <w:rPr>
          <w:sz w:val="20"/>
          <w:szCs w:val="20"/>
          <w:color w:val="auto"/>
        </w:rPr>
      </w:pPr>
      <w:r>
        <w:rPr>
          <w:rFonts w:ascii="Courier New" w:cs="Courier New" w:eastAsia="Courier New" w:hAnsi="Courier New"/>
          <w:sz w:val="16"/>
          <w:szCs w:val="16"/>
          <w:color w:val="auto"/>
        </w:rPr>
        <w:t>Other Indebtedness and the Proposed</w:t>
      </w:r>
    </w:p>
    <w:p>
      <w:pPr>
        <w:ind w:left="460"/>
        <w:spacing w:after="0"/>
        <w:tabs>
          <w:tab w:leader="dot" w:pos="3920" w:val="left"/>
        </w:tabs>
        <w:rPr>
          <w:sz w:val="20"/>
          <w:szCs w:val="20"/>
          <w:color w:val="auto"/>
        </w:rPr>
      </w:pPr>
      <w:r>
        <w:rPr>
          <w:rFonts w:ascii="Courier New" w:cs="Courier New" w:eastAsia="Courier New" w:hAnsi="Courier New"/>
          <w:sz w:val="16"/>
          <w:szCs w:val="16"/>
          <w:color w:val="auto"/>
        </w:rPr>
        <w:t>Cross-Guarantees</w:t>
      </w:r>
      <w:r>
        <w:rPr>
          <w:sz w:val="20"/>
          <w:szCs w:val="20"/>
          <w:color w:val="auto"/>
        </w:rPr>
        <w:tab/>
      </w:r>
      <w:r>
        <w:rPr>
          <w:rFonts w:ascii="Courier New" w:cs="Courier New" w:eastAsia="Courier New" w:hAnsi="Courier New"/>
          <w:sz w:val="15"/>
          <w:szCs w:val="15"/>
          <w:color w:val="auto"/>
        </w:rPr>
        <w:t>154</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156</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156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REGARDING FORWARD-LOOKING</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157</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5"/>
          <w:szCs w:val="15"/>
          <w:color w:val="auto"/>
        </w:rPr>
        <w:t>158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IMPORTANT INFORMATION FOR NON-U.S.</w:t>
      </w:r>
    </w:p>
    <w:p>
      <w:pPr>
        <w:ind w:left="180"/>
        <w:spacing w:after="0"/>
        <w:tabs>
          <w:tab w:leader="dot" w:pos="3920" w:val="left"/>
        </w:tabs>
        <w:rPr>
          <w:sz w:val="20"/>
          <w:szCs w:val="20"/>
          <w:color w:val="auto"/>
        </w:rPr>
      </w:pPr>
      <w:r>
        <w:rPr>
          <w:rFonts w:ascii="Courier New" w:cs="Courier New" w:eastAsia="Courier New" w:hAnsi="Courier New"/>
          <w:sz w:val="16"/>
          <w:szCs w:val="16"/>
          <w:color w:val="auto"/>
        </w:rPr>
        <w:t>HOLDERS</w:t>
      </w:r>
      <w:r>
        <w:rPr>
          <w:sz w:val="20"/>
          <w:szCs w:val="20"/>
          <w:color w:val="auto"/>
        </w:rPr>
        <w:tab/>
      </w:r>
      <w:r>
        <w:rPr>
          <w:rFonts w:ascii="Courier New" w:cs="Courier New" w:eastAsia="Courier New" w:hAnsi="Courier New"/>
          <w:sz w:val="15"/>
          <w:szCs w:val="15"/>
          <w:color w:val="auto"/>
        </w:rPr>
        <w:t>160</w:t>
      </w:r>
    </w:p>
    <w:p>
      <w:pPr>
        <w:spacing w:after="0" w:line="179" w:lineRule="exact"/>
        <w:rPr>
          <w:sz w:val="20"/>
          <w:szCs w:val="20"/>
          <w:color w:val="auto"/>
        </w:rPr>
      </w:pPr>
    </w:p>
    <w:p>
      <w:pPr>
        <w:spacing w:after="0"/>
        <w:tabs>
          <w:tab w:leader="dot" w:pos="3920" w:val="left"/>
        </w:tabs>
        <w:rPr>
          <w:sz w:val="20"/>
          <w:szCs w:val="20"/>
          <w:color w:val="auto"/>
        </w:rPr>
      </w:pPr>
      <w:r>
        <w:rPr>
          <w:rFonts w:ascii="Courier New" w:cs="Courier New" w:eastAsia="Courier New" w:hAnsi="Courier New"/>
          <w:sz w:val="16"/>
          <w:szCs w:val="16"/>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You should rely only on information contained in this prospectus. No one is authorized to provide you with information that is different from that contained in this prospectus. We do not intend the contents of any websites referred to in this prospectus to be part of this prospectus.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are offering to sell, and are seeking offers to buy, the Broadband Exchange Notes, the New Broadband Notes and the New AT&amp;T Notes only in jurisdictions where offers and sales are permitted. The information contained in this prospectus is accurate only as of its date regardless of the time of delivery of this prospectus or of any sale of the new notes.</w:t>
      </w:r>
    </w:p>
    <w:p>
      <w:pPr>
        <w:spacing w:after="0" w:line="36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registrants accept responsibility for the information contained in this prospectus. To the best of our knowledge, the information the registrants give in this prospectus is in accordance with the facts and contains no omissions likely to affect the import of the Luxembourg Stock Exchange listing particulars.</w:t>
      </w:r>
    </w:p>
    <w:p>
      <w:pPr>
        <w:spacing w:after="0" w:line="36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refer to AT&amp;T Corp. in this prospectus as "AT&amp;T" or "we," "us," "our" or comparable terms. We refer to Comcast Corporation as "Comcast," Comcast Cable Communications, Inc. as "Comcast Cable," AT&amp;T Comcast Corporation as "AT&amp;T Comcast," AT&amp;T Broadband Corp. as "Broadband," MediaOne Group, Inc. as "MediaOne," AT&amp;T Broadband, LLC (formerly known as Tele-Communications, Inc.) as "TCI," and the AT&amp;T broadband business as "AT&amp;T Broadband Group."</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014" w:right="1440" w:bottom="648"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6"/>
          <w:szCs w:val="16"/>
          <w:color w:val="auto"/>
        </w:rPr>
        <w:t>QUESTIONS AND ANSWERS ABOUT THE EXCHANGE OFFER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questions and answers respond to some of the most basic questions that holders of the notes eligible for the exchange offer may have but likely will not contain all of the information that is important to you. To better understand the exchange offer, you should read the summary following the questions and answers, as well as the rest of this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IS THE AT&amp;T COMCAST TRANSACTION?</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Comcast and AT&amp;T are planning to combine Comcast with the AT&amp;T broadband business. Comcast and AT&amp;T believe that the combined strengths of Comcast and AT&amp;T's broadband business will enable them to create the world's premier broadband communications company.</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will occur in several steps. First, AT&amp;T will transfer the assets and liabilities of its broadband business to Broadband, a company newly formed for the purpose of effectuating the AT&amp;T Comcast transaction. Second, AT&amp;T will spin off Broadband to its shareholders. Third, Comcast and Broadband will each merge with a different, wholly owned subsidiary of AT&amp;T Comcast. The merger agreement entered into in connection with the AT&amp;T Comcast transaction provides for all of the steps described above to occur on the closing date for the mergers. The AT&amp;T Comcast transaction remains subject to regulatory and other approvals and other conditions, including the receipt of specified note consents as described in this prospectus, and is expected to close by the end of 2002.</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None of AT&amp;T, Broadband or any other party will receive any proceeds from the issuance of the new notes in the exchange offer. The amount that Broadband would otherwise be required to pay to AT&amp;T upon completion of the AT&amp;T Comcast transaction to satisfy intercompany indebtedness then outstanding will be reduced based upon the aggregate principal amount of New Broadband Notes issued in the mandatory exchange in an amount to be mutually agreed upon.</w:t>
      </w:r>
    </w:p>
    <w:p>
      <w:pPr>
        <w:spacing w:after="0" w:line="17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purposes of this prospectus, the AT&amp;T Comcast transaction is defined as the transactions contemplated by the AT&amp;T Comcast merger agreement and the related separation and distribution agreement, in each case as amended, supplemented or otherwise modified from time to time, including after the date of this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IS THE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you hold Broadband Eligible Notes set forth on the cover of this prospectus, you are being asked to exchange those notes for Broadband Exchange Notes that will initially be obligations of AT&amp;T and Broadband. Upon completion of the AT&amp;T Comcast transaction, the Broadband Exchange Notes will be mandatorily exchanged at the relevant exchange ratio for New Broadband Notes that are primary obligations only of Broadband fully and unconditionally guaranteed by Comcast Cable, AT&amp;T Comcast, MediaOne and TCI, whose guarantees we refer to as the cable guarantees. AT&amp;T will not be an obligor on the New Broadband Notes. If the AT&amp;T Comcast transaction is terminated, Broadband will be released as an obligor on the Broadband Exchange Notes, which will cease to be exchangeable for New Broadband Notes.</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you hold AT&amp;T Eligible Notes set forth on the cover of this prospectus, you are being asked to exchange those notes for New AT&amp;T Notes that will be obligations solely of AT&amp;T.</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Holders of Broadband Eligible Notes and AT&amp;T Eligible Notes accepted in exchange must consent to the note amendment described below.</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WHEN WILL I RECEIVE ACCRUED INTEREST ON THE BROADBAND ELIGIBLE NOTES, THE BROADBAND EXCHANGE NOTES, THE NEW BROADBAND NOTES, THE AT&amp;T ELIGIBLE NOTES OR THE NEW AT&amp;T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You should refer to the specific terms of the notes described in this prospectus to determine who will be eligible to receive accrued and unpaid interest and when accrued and unpaid interest will be paid. Interest on each of the new notes will accrue from the date of original issuance of that series of notes, which will be on the date the exchange offer is completed with respect to the Broadband Exchange Notes and the New AT&amp;T Notes and which will be on the date of mandatory</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4" w:right="1440" w:bottom="1440" w:gutter="0" w:footer="0" w:header="0"/>
        </w:sectPr>
      </w:pPr>
    </w:p>
    <w:bookmarkStart w:id="14" w:name="page15"/>
    <w:bookmarkEnd w:id="14"/>
    <w:p>
      <w:pPr>
        <w:ind w:left="4"/>
        <w:spacing w:after="0"/>
        <w:rPr>
          <w:sz w:val="20"/>
          <w:szCs w:val="20"/>
          <w:color w:val="auto"/>
        </w:rPr>
      </w:pPr>
      <w:r>
        <w:rPr>
          <w:rFonts w:ascii="Courier New" w:cs="Courier New" w:eastAsia="Courier New" w:hAnsi="Courier New"/>
          <w:sz w:val="16"/>
          <w:szCs w:val="16"/>
          <w:color w:val="auto"/>
        </w:rPr>
        <w:t>exchange with respect to the New Broadband Notes. However:</w:t>
      </w:r>
    </w:p>
    <w:p>
      <w:pPr>
        <w:spacing w:after="0" w:line="185" w:lineRule="exact"/>
        <w:rPr>
          <w:sz w:val="20"/>
          <w:szCs w:val="20"/>
          <w:color w:val="auto"/>
        </w:rPr>
      </w:pPr>
    </w:p>
    <w:p>
      <w:pPr>
        <w:ind w:left="184" w:right="2719" w:hanging="184"/>
        <w:spacing w:after="0" w:line="237" w:lineRule="auto"/>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any Broadband Eligible Notes accepted in an exchange offer (a) will be paid along with the first payment of interest on the relevant series of Broadband Exchange Notes or (b) if the mandatory exchange of the Broadband Exchange Notes occurs prior to that first payment of interest, will be paid at the time of mandatory exchange;</w:t>
      </w:r>
    </w:p>
    <w:p>
      <w:pPr>
        <w:spacing w:after="0" w:line="187" w:lineRule="exact"/>
        <w:rPr>
          <w:rFonts w:ascii="Courier New" w:cs="Courier New" w:eastAsia="Courier New" w:hAnsi="Courier New"/>
          <w:sz w:val="16"/>
          <w:szCs w:val="16"/>
          <w:color w:val="auto"/>
        </w:rPr>
      </w:pPr>
    </w:p>
    <w:p>
      <w:pPr>
        <w:ind w:left="184" w:right="2819" w:hanging="184"/>
        <w:spacing w:after="0" w:line="236" w:lineRule="auto"/>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the Broadband Exchange Notes will be paid at the time of mandatory exchange;</w:t>
      </w:r>
    </w:p>
    <w:p>
      <w:pPr>
        <w:spacing w:after="0" w:line="184" w:lineRule="exact"/>
        <w:rPr>
          <w:rFonts w:ascii="Courier New" w:cs="Courier New" w:eastAsia="Courier New" w:hAnsi="Courier New"/>
          <w:sz w:val="16"/>
          <w:szCs w:val="16"/>
          <w:color w:val="auto"/>
        </w:rPr>
      </w:pPr>
    </w:p>
    <w:p>
      <w:pPr>
        <w:ind w:left="184" w:right="2539" w:hanging="184"/>
        <w:spacing w:after="0" w:line="237" w:lineRule="auto"/>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any AT&amp;T Eligible Notes accepted in an exchange offer will be paid along with the first payment of interest on the relevant series of New AT&amp;T Notes; and</w:t>
      </w:r>
    </w:p>
    <w:p>
      <w:pPr>
        <w:spacing w:after="0" w:line="184" w:lineRule="exact"/>
        <w:rPr>
          <w:rFonts w:ascii="Courier New" w:cs="Courier New" w:eastAsia="Courier New" w:hAnsi="Courier New"/>
          <w:sz w:val="16"/>
          <w:szCs w:val="16"/>
          <w:color w:val="auto"/>
        </w:rPr>
      </w:pPr>
    </w:p>
    <w:p>
      <w:pPr>
        <w:ind w:left="184" w:right="2719" w:hanging="184"/>
        <w:spacing w:after="0" w:line="237" w:lineRule="auto"/>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any Broadband Eligible Notes or AT&amp;T Eligible Notes not accepted in an exchange offer will be paid on the same interest payment dates as previously scheduled for the respective series.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WILL YOU ACCEPT ALL NOTES TENDERED? WILL THERE BE PRORATION?</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We will not accept any eligible notes of a series unless more than 50% of that series of notes has been validly tendered and not withdrawn by the expiration of the exchange offer for that series. For these purposes, all of the Series A Medium-Term Notes outstanding will be treated as part of a single series.</w:t>
      </w:r>
    </w:p>
    <w:p>
      <w:pPr>
        <w:spacing w:after="0" w:line="187"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We will not necessarily accept all Broadband Eligible Notes tendered. If more than the relevant proration percentage of the principal amount of a series of Broadband Eligible Notes, as set forth on the cover of this prospectus, is tendered, we will accept Broadband Eligible Notes of that series for exchange on a prorated basis.</w:t>
      </w:r>
    </w:p>
    <w:p>
      <w:pPr>
        <w:spacing w:after="0" w:line="187"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exchange offer for each series of AT&amp;T Eligible Notes is for all notes of that series and is not subject to proration.</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WHAT IS THE NOTE AMENDMENT?</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Holders of Broadband Eligible Notes and AT&amp;T Eligible Notes must consent to an amendment of the terms of those notes to the extent their notes are accepted for exchange. The note amendment would clarify that in connection with the AT&amp;T Comcast transaction, the successor formed by the consolidation or merger, or to which AT&amp;T shall have transferred its property, need not assume the obligations of AT&amp;T under the notes of that series and that the successor shall not succeed to and be substituted for AT&amp;T under the notes of that series.</w:t>
      </w:r>
    </w:p>
    <w:p>
      <w:pPr>
        <w:spacing w:after="0" w:line="16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WILL I BE PAID FOR CONSENTING TO THE NOTE AMENDMENT?</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Holders of Broadband Eligible Notes or AT&amp;T Eligible Notes, to the extent their notes are accepted for exchange, must consent to the note amendment and will not receive any consent payment. Notes of any series not accepted for exchange will not receive any payment but will be bound by the note amendment, provided that more than 50% of the notes of that series have been accepted for exchange. For these purposes, all of the Series A Medium-Term Notes outstanding will be treated as part of a single series.</w:t>
      </w:r>
    </w:p>
    <w:p>
      <w:pPr>
        <w:spacing w:after="0" w:line="185" w:lineRule="exact"/>
        <w:rPr>
          <w:sz w:val="20"/>
          <w:szCs w:val="20"/>
          <w:color w:val="auto"/>
        </w:rPr>
      </w:pPr>
    </w:p>
    <w:p>
      <w:pPr>
        <w:ind w:left="4" w:right="3479"/>
        <w:spacing w:after="0" w:line="236" w:lineRule="auto"/>
        <w:rPr>
          <w:sz w:val="20"/>
          <w:szCs w:val="20"/>
          <w:color w:val="auto"/>
        </w:rPr>
      </w:pPr>
      <w:r>
        <w:rPr>
          <w:rFonts w:ascii="Courier New" w:cs="Courier New" w:eastAsia="Courier New" w:hAnsi="Courier New"/>
          <w:sz w:val="16"/>
          <w:szCs w:val="16"/>
          <w:color w:val="auto"/>
        </w:rPr>
        <w:t>WHAT IS REQUIRED FOR THE NOTE AMENDMENT TO BE EFFECTIVE? WILL I HAVE ANY DISSENTERS' RIGHTS IN CONNECTION WITH THE NOTE AMENDMENT?</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note amendment will be effective as to each series of notes if more than 50% by principal amount of the notes of that series are accepted for exchange. For these purposes, all of the Series A Medium-Term Notes outstanding will be treated as part of a single series. You will not be entitled to any dissenters' rights if the note amendment becomes effective without your consent.</w:t>
      </w:r>
    </w:p>
    <w:p>
      <w:pPr>
        <w:spacing w:after="0" w:line="176"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DO I NEED TO SEPARATELY CONSENT TO THE NOTE AMENDMENT IN ORDER TO BE ELIGIBLE FOR THE EXCHANGE OFFER?</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Yes. However, completing the letter of transmittal for the exchange offer will constitute your consent to the note amendment to the extent we accept your Broadband Eligible Notes or AT&amp;T Eligible Notes for exchange. If the requisite consents are received, the note amendment will be binding on the relevant series of Broadband Eligible Notes or AT&amp;T Eligible Notes that remain outstanding.</w:t>
      </w:r>
    </w:p>
    <w:p>
      <w:pPr>
        <w:spacing w:after="0" w:line="17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4" w:right="1440" w:bottom="1440" w:gutter="0" w:footer="0" w:header="0"/>
        </w:sectPr>
      </w:pPr>
    </w:p>
    <w:bookmarkStart w:id="15" w:name="page16"/>
    <w:bookmarkEnd w:id="15"/>
    <w:p>
      <w:pPr>
        <w:ind w:left="4" w:right="2899"/>
        <w:spacing w:after="0" w:line="236" w:lineRule="auto"/>
        <w:rPr>
          <w:sz w:val="20"/>
          <w:szCs w:val="20"/>
          <w:color w:val="auto"/>
        </w:rPr>
      </w:pPr>
      <w:r>
        <w:rPr>
          <w:rFonts w:ascii="Courier New" w:cs="Courier New" w:eastAsia="Courier New" w:hAnsi="Courier New"/>
          <w:sz w:val="16"/>
          <w:szCs w:val="16"/>
          <w:color w:val="auto"/>
        </w:rPr>
        <w:t>WHAT HAPPENS IF I DO NOT EXCHANGE MY NOTES OR MY NOTES ARE NOT ELIGIBLE FOR OR ACCEPTED IN THE EXCHANGE OFFER?</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If you do not exchange your notes, they will remain obligations of AT&amp;T and, in the case of the Broadband Eligible Notes, will not be obligations of Broadband and will not be entitled to the cable guarantees of AT&amp;T Comcast, Comcast Cable, MediaOne and TCI. The terms of your notes will be subject to the note amendment as a result of the exchange offer whether or not you exchange your notes so long as more than 50% of the notes of that series have been accepted for exchange.</w:t>
      </w:r>
    </w:p>
    <w:p>
      <w:pPr>
        <w:spacing w:after="0" w:line="185"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WHY ARE YOU MAKING THE EXCHANGE OFFER AND WHAT IS THE PURPOSE OF THE NOTE AMENDMENT?</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note amendment will satisfy the condition to the AT&amp;T Comcast transaction that AT&amp;T obtain the consent of, or defease, purchase, retire or acquire, its debt in respect of series representing at least 90% in aggregate principal amount outstanding on December 19, 2001, which was approximately $12.7 billion, of debt securities issued under the indenture pursuant to which the Broadband Eligible Notes and the AT&amp;T Eligible Notes were issued. We refer to this indenture, which is dated as of September 7, 1990, between AT&amp;T and The Bank of New York, as trustee, as amended by the First Supplemental Indenture, dated as of October 30, 1992, as amended, between AT&amp;T and the trustee, as the AT&amp;T Indenture. As of the date of this prospectus, approximately $11.8 billion of these debt securities, including the Broadband Eligible Notes and the AT&amp;T Eligible Notes, remained outstanding. We sometimes refer to the Broadband Eligible Notes and the AT&amp;T Eligible Notes as the AT&amp;T Notes. AT&amp;T and Comcast could mutually agree to waive this condition with respect to all or any portion of the AT&amp;T Notes for which consents are not obtained.</w:t>
      </w:r>
    </w:p>
    <w:p>
      <w:pPr>
        <w:spacing w:after="0" w:line="178"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If the AT&amp;T Comcast transaction were to occur and if holders of the AT&amp;T Notes were to assert successfully that completing the AT&amp;T Comcast transaction required Broadband or one of its affiliates to assume AT&amp;T's obligations under the AT&amp;T Notes and that did not occur, then AT&amp;T could be required to refinance the AT&amp;T Notes.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WHAT HAPPENS IF THE AT&amp;T COMCAST TRANSACTION IS TERMINATED?</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If the AT&amp;T Comcast transaction is terminated:</w:t>
      </w:r>
    </w:p>
    <w:p>
      <w:pPr>
        <w:spacing w:after="0" w:line="185" w:lineRule="exact"/>
        <w:rPr>
          <w:sz w:val="20"/>
          <w:szCs w:val="20"/>
          <w:color w:val="auto"/>
        </w:rPr>
      </w:pPr>
    </w:p>
    <w:p>
      <w:pPr>
        <w:ind w:left="184" w:right="2719" w:hanging="184"/>
        <w:spacing w:after="0" w:line="259" w:lineRule="auto"/>
        <w:tabs>
          <w:tab w:leader="none" w:pos="1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Broadband Exchange Notes will not be exchanged for New Broadband Notes, will become obligations only of AT&amp;T with Broadband released as an obligor and will not be entitled to the benefits of the cable guarantees; and</w:t>
      </w:r>
    </w:p>
    <w:p>
      <w:pPr>
        <w:spacing w:after="0" w:line="17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maturity date and/or interest rate on the New AT&amp;T Notes will not change.</w:t>
      </w:r>
    </w:p>
    <w:p>
      <w:pPr>
        <w:spacing w:after="0" w:line="191" w:lineRule="exact"/>
        <w:rPr>
          <w:sz w:val="20"/>
          <w:szCs w:val="20"/>
          <w:color w:val="auto"/>
        </w:rPr>
      </w:pPr>
    </w:p>
    <w:p>
      <w:pPr>
        <w:ind w:left="4" w:right="2719"/>
        <w:spacing w:after="0" w:line="236" w:lineRule="auto"/>
        <w:rPr>
          <w:sz w:val="20"/>
          <w:szCs w:val="20"/>
          <w:color w:val="auto"/>
        </w:rPr>
      </w:pPr>
      <w:r>
        <w:rPr>
          <w:rFonts w:ascii="Courier New" w:cs="Courier New" w:eastAsia="Courier New" w:hAnsi="Courier New"/>
          <w:sz w:val="16"/>
          <w:szCs w:val="16"/>
          <w:color w:val="auto"/>
        </w:rPr>
        <w:t>ARE THERE ANY RISKS THAT I SHOULD CONSIDER IN CONNECTION WITH THE EXCHANGE OFFER AND CONSENT SOLICITATION?</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Yes. You should carefully consider the risk factors starting on page 45, as well as the risk factors discussed in AT&amp;T's and Comcast Cable's filings with the Securities and Exchange Commission incorporated by reference in this prospectus.</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WHEN DOES THE EXCHANGE OFFER EXPIRE?</w:t>
      </w:r>
    </w:p>
    <w:p>
      <w:pPr>
        <w:spacing w:after="0" w:line="365" w:lineRule="exact"/>
        <w:rPr>
          <w:sz w:val="20"/>
          <w:szCs w:val="20"/>
          <w:color w:val="auto"/>
        </w:rPr>
      </w:pPr>
    </w:p>
    <w:p>
      <w:pPr>
        <w:jc w:val="both"/>
        <w:ind w:left="4" w:right="2999" w:firstLine="469"/>
        <w:spacing w:after="0" w:line="237" w:lineRule="auto"/>
        <w:rPr>
          <w:sz w:val="20"/>
          <w:szCs w:val="20"/>
          <w:color w:val="auto"/>
        </w:rPr>
      </w:pPr>
      <w:r>
        <w:rPr>
          <w:rFonts w:ascii="Courier New" w:cs="Courier New" w:eastAsia="Courier New" w:hAnsi="Courier New"/>
          <w:sz w:val="16"/>
          <w:szCs w:val="16"/>
          <w:color w:val="auto"/>
        </w:rPr>
        <w:t>THE EXCHANGE OFFER WILL EXPIRE AT 12:00 MIDNIGHT, NEW YORK CITY TIME, ON NOVEMBER 1, 2002 UNLESS EXTENDED AS TO ANY ONE OR MORE SERIES OF NOTES IN OUR DISCRETION.</w:t>
      </w:r>
    </w:p>
    <w:p>
      <w:pPr>
        <w:spacing w:after="0" w:line="200" w:lineRule="exact"/>
        <w:rPr>
          <w:sz w:val="20"/>
          <w:szCs w:val="20"/>
          <w:color w:val="auto"/>
        </w:rPr>
      </w:pPr>
    </w:p>
    <w:p>
      <w:pPr>
        <w:spacing w:after="0" w:line="34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WE WILL ANNOUNCE ANY EXTENSIONS BY PRESS RELEASE OR OTHER PERMITTED MEANS NO LATER THAN 9:00 A.M., NEW YORK CITY TIME, THE NEXT BUSINESS DAY AFTER EXPIRATION OF THE EXCHANGE OFFER FOR THAT SERIES OF NOTES.</w:t>
      </w:r>
    </w:p>
    <w:p>
      <w:pPr>
        <w:spacing w:after="0" w:line="365"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IF I HOLD BROADBAND ELIGIBLE NOTES OR AT&amp;T ELIGIBLE NOTES, HOW DO I TENDER OR WITHDRAW THOSE NOTES IN THE EXCHANGE OFFER?</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In order to tender eligible notes in the exchange offer, you must properly submit your notes and a completed letter of transmittal and the other agreements and documents described in this prospectus. If you own notes held through a broker or other third party, or in "street name,"</w:t>
      </w:r>
    </w:p>
    <w:p>
      <w:pPr>
        <w:spacing w:after="0" w:line="18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59" w:right="1440" w:bottom="1009" w:gutter="0" w:footer="0" w:header="0"/>
        </w:sectPr>
      </w:pPr>
    </w:p>
    <w:bookmarkStart w:id="16" w:name="page17"/>
    <w:bookmarkEnd w:id="16"/>
    <w:p>
      <w:pPr>
        <w:ind w:right="2719"/>
        <w:spacing w:after="0" w:line="238" w:lineRule="auto"/>
        <w:rPr>
          <w:sz w:val="20"/>
          <w:szCs w:val="20"/>
          <w:color w:val="auto"/>
        </w:rPr>
      </w:pPr>
      <w:r>
        <w:rPr>
          <w:rFonts w:ascii="Courier New" w:cs="Courier New" w:eastAsia="Courier New" w:hAnsi="Courier New"/>
          <w:sz w:val="16"/>
          <w:szCs w:val="16"/>
          <w:color w:val="auto"/>
        </w:rPr>
        <w:t>you will need to follow the instructions in the letter of transmittal on how to instruct them to tender the notes on your behalf, as well as submit a completed letter of transmittal and the other agreements and documents described in this prospectus. Completing the letter of transmittal will constitute your consent to the note amendment to the extent we accept your Broadband Eligible Notes or AT&amp;T Eligible Notes for exchange, unless you subsequently withdraw those notes prior to the expiration of the exchange offer for the notes of that series. If the requisite consents are received, the note amendment will be binding on the relevant series of Broadband Eligible Notes or AT&amp;T Eligible Notes that remain outstanding.</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You may withdraw tendered notes at any time prior to the expiration of the exchange offer for the notes of that series. Validly withdrawing your notes will revoke the associated consent to the note amendment.</w:t>
      </w:r>
    </w:p>
    <w:p>
      <w:pPr>
        <w:spacing w:after="0" w:line="18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HOW DO I TENDER BROADBAND ELIGIBLE NOTES OR AT&amp;T ELIGIBLE NOTES THROUGH THE LUXEMBOURG EXCHANGE AGENT?</w:t>
      </w:r>
    </w:p>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For any 5.625% AT&amp;T Eligible Notes Due 2004 (ISIN No. US 001957AU39), 6.00% Broadband Eligible Notes Due 2009 (ISIN No. US 001957AV12) or 6.50% AT&amp;T Eligible Notes Due 2029 (ISIN No. US 001957AW94), referred to collectively as the Luxembourg Notes, letters of transmittal may be submitted in accordance with procedures that may be obtained by contacting the Luxembourg exchange agent at the telephone number listed on the back cover page of this prospectus.</w:t>
      </w:r>
    </w:p>
    <w:p>
      <w:pPr>
        <w:spacing w:after="0" w:line="200" w:lineRule="exact"/>
        <w:rPr>
          <w:sz w:val="20"/>
          <w:szCs w:val="20"/>
          <w:color w:val="auto"/>
        </w:rPr>
      </w:pPr>
    </w:p>
    <w:p>
      <w:pPr>
        <w:spacing w:after="0" w:line="33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INSTRUCTIONS ON HOW TO TENDER OR WITHDRAW BROADBAND ELIGIBLE NOTES OR AT&amp;T ELIGIBLE NOTES FOR EXCHANGE ARE SET FORTH ON PAGE 76 AND IN THE LETTER OF TRANSMITTAL.</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17" w:name="page18"/>
    <w:bookmarkEnd w:id="17"/>
    <w:p>
      <w:pPr>
        <w:jc w:val="center"/>
        <w:ind w:right="2819"/>
        <w:spacing w:after="0"/>
        <w:rPr>
          <w:sz w:val="20"/>
          <w:szCs w:val="20"/>
          <w:color w:val="auto"/>
        </w:rPr>
      </w:pPr>
      <w:r>
        <w:rPr>
          <w:rFonts w:ascii="Courier New" w:cs="Courier New" w:eastAsia="Courier New" w:hAnsi="Courier New"/>
          <w:sz w:val="16"/>
          <w:szCs w:val="16"/>
          <w:color w:val="auto"/>
        </w:rPr>
        <w:t>SUMMARY</w:t>
      </w:r>
    </w:p>
    <w:p>
      <w:pPr>
        <w:spacing w:after="0" w:line="185"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This summary highlights selected information from this prospectus and may not contain all of the information that is important to you. To better understand the exchange offer, you should read this entire document carefully, as well as those additional documents to which we refer you. See "Where You Can Find More Information."</w:t>
      </w:r>
    </w:p>
    <w:p>
      <w:pPr>
        <w:spacing w:after="0" w:line="18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AT&amp;T COMCAST TRANSACTION</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Comcast and AT&amp;T are planning to combine Comcast with the AT&amp;T broadband business. Comcast and AT&amp;T believe that the combined strengths of Comcast and AT&amp;T's broadband business will enable them to create the world's premier broadband communications company.</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will occur in several steps. First, AT&amp;T will transfer the assets and liabilities of AT&amp;T's broadband business to Broadband, a company newly formed for the purpose of effectuating the AT&amp;T Comcast transaction. Second, AT&amp;T will spin off Broadband to its shareholders. Third, Comcast and Broadband will each merge with a different, wholly owned subsidiary of AT&amp;T Comcast. Comcast and AT&amp;T shareholders will receive the shares of AT&amp;T Comcast. The merger agreement entered into in connection with the AT&amp;T Comcast transaction provides for all of the steps described above to occur on the closing date for the AT&amp;T Comcast transaction. The AT&amp;T Comcast transaction remains subject to regulatory and other approvals and other conditions, including the receipt of specified note consents as described in this prospectus, and is expected to close by the end of 2002.</w:t>
      </w:r>
    </w:p>
    <w:p>
      <w:pPr>
        <w:spacing w:after="0" w:line="18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See "Description of AT&amp;T Comcast Transaction" for a description of the principal agreements governing the AT&amp;T Comcast transaction, the conditions to completion of the AT&amp;T Comcast transaction and more information.</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EXCHANGE OFFER</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is offering to exchange its Broadband Eligible Notes for a like principal amount of Broadband Exchange Notes. The Broadband Exchange Notes will be obligations of both AT&amp;T and Broadband. Except as described in this prospectus, the Broadband Exchange Notes will have terms substantially identical to the Broadband Eligible Notes as amended by the note amendment. The Broadband Exchange Notes are summarized under "Description of the Broadband Exchange Notes" below. Upon consummation of the AT&amp;T Comcast transaction, however, the Broadband Exchange Notes will be mandatorily exchanged for New Broadband Notes at the relevant exchange ratio. The exchange ratio will be announced by press release two business days prior to the expiration of the exchange offer and will be based on the relevant exchange spreads set forth on the cover of this prospectus over the relevant reference U.S. Treasury rates. The exchange ratio will be calculated as the exchange price per $1,000 principal amount of the Broadband Eligible Notes divided by $1,000, and the exchange price is equal to the present value of the Broadband Eligible Notes on the exchange settlement date in accordance with standard market practice assuming the Broadband Eligible Notes would be repaid at $1,000 at maturity, determined on the basis of a yield to maturity equal to the sum of the relevant exchange spread set forth on the cover of this prospectus and the related reference U.S. Treasury yield. The related reference U.S. Treasury yield will be calculated by the dealer managers in accordance with standard market practice based on the bid side price for such reference security, as of 2:00 p.m., New York City time, two business days prior to the expiration date of the exchange offer, as displayed in Bloomberg Government Pricing Monitor, or any other recognized quotation source selected by the dealer managers. The method for determining the exchange ratio is described in detail under "Description of the Exchange Offer -- Exchange Ratio for the New Broadband Notes."</w:t>
      </w:r>
    </w:p>
    <w:p>
      <w:pPr>
        <w:spacing w:after="0" w:line="356"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New Broadband Notes will be primary obligations only of Broadband, fully and unconditionally guaranteed by Comcast Cable, AT&amp;T Comcast, MediaOne and TCI. The interest rates for each series of New Broadband Notes will be announced by press release two business days prior to the expiration of the exchange offer for that series and will be based on a credit spread over the relevant reference U.S.</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18" w:name="page19"/>
    <w:bookmarkEnd w:id="18"/>
    <w:p>
      <w:pPr>
        <w:ind w:right="2719"/>
        <w:spacing w:after="0" w:line="255" w:lineRule="auto"/>
        <w:rPr>
          <w:sz w:val="20"/>
          <w:szCs w:val="20"/>
          <w:color w:val="auto"/>
        </w:rPr>
      </w:pPr>
      <w:r>
        <w:rPr>
          <w:rFonts w:ascii="Courier New" w:cs="Courier New" w:eastAsia="Courier New" w:hAnsi="Courier New"/>
          <w:sz w:val="15"/>
          <w:szCs w:val="15"/>
          <w:color w:val="auto"/>
        </w:rPr>
        <w:t>Treasury rates. The reference U.S. Treasury rate with respect to each series of New Broadband Notes will be calculated, by the dealers managers, in accordance with standard market practice, based on the bid side price of the relevant reference U.S. Treasury as listed on the relevant Bloomberg Government Pricing Monitor or any other recognized quotation source selected by the dealer managers at 2:00 p.m., New York City time, two business days prior to the expiration of the exchange offer. The relevant reference U.S. Treasury has been selected to approximate the maturity characteristics of the applicable series of New Broadband Notes. The method for determining the interest rate is described in detail under "Description of the Exchange Offer -- Interest Rate for the New Broadband Notes" and the other terms of the New Broadband Notes are summarized under "Description of the New Broadband Notes and the Cable Guarantees."</w:t>
      </w:r>
    </w:p>
    <w:p>
      <w:pPr>
        <w:spacing w:after="0" w:line="35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is also offering to exchange its AT&amp;T Eligible Notes for a like principal amount of New AT&amp;T Notes. The New AT&amp;T Notes will be obligations only of AT&amp;T. Except as described in this prospectus, the New AT&amp;T Notes will have terms substantially identical to the AT&amp;T Eligible Notes as amended by the note amendment. Upon completion of the AT&amp;T Comcast transaction, however, the interest rates for each applicable series of New AT&amp;T Notes will be adjusted automatically as set forth on the cover of this prospectus and the maturity date of the New AT&amp;T Notes issued in exchange for the 6.50% AT&amp;T Eligible Notes due March 15, 2029 will be changed to March 15, 2013. The material terms of the New AT&amp;T Notes are summarized under "Description of the New AT&amp;T Notes" below.</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of Broadband Eligible Notes and AT&amp;T Eligible Notes must consent to the note amendment described below to the extent their notes are accepted for exchange. Notes of any series not tendered for exchange and notes of any series of Broadband Eligible Notes not accepted for exchange due to proration will remain obligations only of AT&amp;T, will not become obligations of Broadband, and will not be subject to the cable guarantees but will be bound by the note amendment if more than 50% by principal amount of that series consents to the note amendment by participating in the exchange. For these purposes, all of the Series A Medium Term Notes outstanding will be treated as part of a single series. THE TERMS OF YOUR NOTES MAY BE AMENDED AS A RESULT OF THE EXCHANGE OFFER WHETHER OR NOT YOU PARTICIPATE IN THE EXCHANGE.</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exchange offer is subject to a number of conditions summarized below under "-- Conditions to the Exchange Offer" and in detail under "Description of the Exchange Offer -- Conditions to the Exchange Offer."</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Even if the exchange offer is completed, if the AT&amp;T Comcast transaction is terminated:</w:t>
      </w:r>
    </w:p>
    <w:p>
      <w:pPr>
        <w:spacing w:after="0" w:line="185" w:lineRule="exact"/>
        <w:rPr>
          <w:sz w:val="20"/>
          <w:szCs w:val="20"/>
          <w:color w:val="auto"/>
        </w:rPr>
      </w:pPr>
    </w:p>
    <w:p>
      <w:pPr>
        <w:ind w:left="660" w:right="2719" w:hanging="195"/>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Exchange Notes will not be exchanged for New Broadband Notes, will become obligations only of AT&amp;T with Broadband released as an obligor and will not be entitled to the benefits of the cable guarantees; and</w:t>
      </w:r>
    </w:p>
    <w:p>
      <w:pPr>
        <w:spacing w:after="0" w:line="185"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maturity date and interest rate on the New AT&amp;T Notes will not change.</w:t>
      </w:r>
    </w:p>
    <w:p>
      <w:pPr>
        <w:spacing w:after="0" w:line="185" w:lineRule="exact"/>
        <w:rPr>
          <w:sz w:val="20"/>
          <w:szCs w:val="20"/>
          <w:color w:val="auto"/>
        </w:rPr>
      </w:pPr>
    </w:p>
    <w:p>
      <w:pPr>
        <w:ind w:left="180" w:right="2899"/>
        <w:spacing w:after="0" w:line="237" w:lineRule="auto"/>
        <w:rPr>
          <w:sz w:val="20"/>
          <w:szCs w:val="20"/>
          <w:color w:val="auto"/>
        </w:rPr>
      </w:pPr>
      <w:r>
        <w:rPr>
          <w:rFonts w:ascii="Courier New" w:cs="Courier New" w:eastAsia="Courier New" w:hAnsi="Courier New"/>
          <w:sz w:val="16"/>
          <w:szCs w:val="16"/>
          <w:color w:val="auto"/>
        </w:rPr>
        <w:t>PAYMENT OF INTEREST ACCRUED ON THE BROADBAND ELIGIBLE NOTES, THE BROADBAND EXCHANGE NOTES, THE NEW BROADBAND NOTES, THE AT&amp;T ELIGIBLE NOTES AND THE NEW AT&amp;T NOTES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You should refer to the specific terms of the notes described in this prospectus to determine who will be eligible to receive accrued and unpaid interest and when accrued and unpaid interest will be paid. Interest on each of the notes will accrue from the date of original issuance of that series of new notes, which will be on the date the exchange offer is completed with respect to the Broadband Exchange Notes and the New AT&amp;T Notes and which will be on the date of mandatory exchange with respect to the New Broadband Notes. However:</w:t>
      </w:r>
    </w:p>
    <w:p>
      <w:pPr>
        <w:spacing w:after="0" w:line="174" w:lineRule="exact"/>
        <w:rPr>
          <w:sz w:val="20"/>
          <w:szCs w:val="20"/>
          <w:color w:val="auto"/>
        </w:rPr>
      </w:pPr>
    </w:p>
    <w:p>
      <w:pPr>
        <w:ind w:left="660" w:right="2719" w:hanging="195"/>
        <w:spacing w:after="0" w:line="237"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Broadband Eligible Notes accepted in the exchange offer (a) will be paid along with the first payment of interest on the relevant series of Broadband Exchange Notes or (b) if the mandatory exchange of the Broadband Exchange Notes occurs prior to that first payment of interest, will be paid at the time of mandatory exchange;</w:t>
      </w:r>
    </w:p>
    <w:p>
      <w:pPr>
        <w:spacing w:after="0" w:line="188"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series of Broadband Exchange Notes will be paid at the time of mandatory exchange;</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19" w:name="page20"/>
    <w:bookmarkEnd w:id="19"/>
    <w:p>
      <w:pPr>
        <w:ind w:left="660" w:right="2899" w:hanging="195"/>
        <w:spacing w:after="0" w:line="237"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AT&amp;T Eligible Notes accepted in the exchange offer will be paid along with the first payment of interest on the relevant series of New AT&amp;T Notes; and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Broadband Eligible Notes or AT&amp;T Eligible Notes not accepted in the exchange offer will be paid on the same interest payment dates as previously scheduled for the respective series.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FRACTIONAL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Notes will be issued only in denominations of $1,000 and multiples of</w:t>
      </w:r>
    </w:p>
    <w:p>
      <w:pPr>
        <w:spacing w:after="0"/>
        <w:rPr>
          <w:sz w:val="20"/>
          <w:szCs w:val="20"/>
          <w:color w:val="auto"/>
        </w:rPr>
      </w:pPr>
      <w:r>
        <w:rPr>
          <w:rFonts w:ascii="Courier New" w:cs="Courier New" w:eastAsia="Courier New" w:hAnsi="Courier New"/>
          <w:sz w:val="16"/>
          <w:szCs w:val="16"/>
          <w:color w:val="auto"/>
        </w:rPr>
        <w:t>$1,000. If the exchange of a series of Broadband Eligible Notes is subject to</w:t>
      </w:r>
    </w:p>
    <w:p>
      <w:pPr>
        <w:spacing w:after="0" w:line="237" w:lineRule="auto"/>
        <w:rPr>
          <w:sz w:val="20"/>
          <w:szCs w:val="20"/>
          <w:color w:val="auto"/>
        </w:rPr>
      </w:pPr>
      <w:r>
        <w:rPr>
          <w:rFonts w:ascii="Courier New" w:cs="Courier New" w:eastAsia="Courier New" w:hAnsi="Courier New"/>
          <w:sz w:val="16"/>
          <w:szCs w:val="16"/>
          <w:color w:val="auto"/>
        </w:rPr>
        <w:t>proration and proration would result in your being entitled to receive a</w:t>
      </w:r>
    </w:p>
    <w:p>
      <w:pPr>
        <w:spacing w:after="0"/>
        <w:rPr>
          <w:sz w:val="20"/>
          <w:szCs w:val="20"/>
          <w:color w:val="auto"/>
        </w:rPr>
      </w:pPr>
      <w:r>
        <w:rPr>
          <w:rFonts w:ascii="Courier New" w:cs="Courier New" w:eastAsia="Courier New" w:hAnsi="Courier New"/>
          <w:sz w:val="16"/>
          <w:szCs w:val="16"/>
          <w:color w:val="auto"/>
        </w:rPr>
        <w:t>fractional interest in the relevant series of Broadband Exchange Notes, the</w:t>
      </w:r>
    </w:p>
    <w:p>
      <w:pPr>
        <w:spacing w:after="0" w:line="238" w:lineRule="auto"/>
        <w:rPr>
          <w:sz w:val="20"/>
          <w:szCs w:val="20"/>
          <w:color w:val="auto"/>
        </w:rPr>
      </w:pPr>
      <w:r>
        <w:rPr>
          <w:rFonts w:ascii="Courier New" w:cs="Courier New" w:eastAsia="Courier New" w:hAnsi="Courier New"/>
          <w:sz w:val="16"/>
          <w:szCs w:val="16"/>
          <w:color w:val="auto"/>
        </w:rPr>
        <w:t>principal amount of Broadband Eligible Notes accepted in the exchange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rounded to the nearest $1,000. This rounding will result in your receiving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whole Broadband Exchange Notes in exchange for your Broadband Eligible Notes.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If the mandatory exchange of a series of Broadband Exchange Notes into New Broadband Notes would result in your being entitled to receive a fractional interest in the relevant series of New Broadband Notes, the principal amount you receive will be rounded down to the nearest $1,000 multiple and you will receive cash in lieu of a fractional New Broadband Note for the balance.</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Because the exchange offer of New AT&amp;T Notes for AT&amp;T Eligible Notes is not subject to proration and New AT&amp;T Notes will be issued in a like principal amount as the AT&amp;T Eligible Notes accepted in exchange, there will not be any need to pay cash in lieu of fractional New AT&amp;T Notes.</w:t>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MINIMUM AMOUNT OF NOTES TENDERED; PRORATION OF BROADBAND ELIGIBLE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No Broadband Eligible Notes or AT&amp;T Eligible Notes of a series will be accepted for exchange unless more than 50% of the principal amount of that series of eligible notes has been validly tendered and not withdrawn by the expiration of the exchange offer for that series. For these purposes, all of the Series A Medium-Term Notes outstanding will be treated as part of a single series. If more than the relevant proration percentage of the principal amount of any series of Broadband Eligible Notes, as set forth on the cover of this prospectus, is tendered and not withdrawn, notes of that series will be accepted for exchange on a prorated basis. The exchange offer for each series of AT&amp;T Eligible Notes is for all notes of that series and is not subject to proration.</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PURPOSE OF THE EXCHANGE OFFER AND NOTE AMENDMENT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AT&amp;T Comcast transaction is conditioned on AT&amp;T's obtaining the consent of, or having defeased, purchased, retired or acquired its debt in respect of series representing at least 90% in aggregate principal amount outstanding on December 19, 2001, which was approximately $12.7 billion, of debt securities issued under the AT&amp;T Indenture. As of the date of this prospectus, approximately $11.8 billion of these debt securities, including the Broadband Eligible Notes and the AT&amp;T Eligible Notes, remained outstanding. AT&amp;T and Comcast could mutually agree to waive this condition with respect to all or any portion of the AT&amp;T Notes for which consents are not obtained.</w:t>
      </w:r>
    </w:p>
    <w:p>
      <w:pPr>
        <w:spacing w:after="0" w:line="17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If the AT&amp;T Comcast transaction were to occur and if holders of the AT&amp;T Notes were to assert successfully that completing the AT&amp;T Comcast transaction required Broadband or one of its affiliates to assume AT&amp;T's obligations under the AT&amp;T Notes and that did not occur, then AT&amp;T could be required to refinance the AT&amp;T Notes.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CABLE GUARANTEES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New Broadband Notes issued in exchange for Broadband Exchange Notes upon completion of the AT&amp;T Comcast transaction will be fully and unconditionally guaranteed by Comcast Cable, AT&amp;T Comcast, MediaOne and TCI, which we collectively refer to as the cable guarantors. The cable guarantees will rank equally with all other general unsecured and unsubordinated obligations of the cable guarantors,</w:t>
      </w:r>
    </w:p>
    <w:p>
      <w:pPr>
        <w:spacing w:after="0" w:line="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20" w:name="page21"/>
    <w:bookmarkEnd w:id="20"/>
    <w:p>
      <w:pPr>
        <w:ind w:right="2719"/>
        <w:spacing w:after="0" w:line="237" w:lineRule="auto"/>
        <w:rPr>
          <w:sz w:val="20"/>
          <w:szCs w:val="20"/>
          <w:color w:val="auto"/>
        </w:rPr>
      </w:pPr>
      <w:r>
        <w:rPr>
          <w:rFonts w:ascii="Courier New" w:cs="Courier New" w:eastAsia="Courier New" w:hAnsi="Courier New"/>
          <w:sz w:val="16"/>
          <w:szCs w:val="16"/>
          <w:color w:val="auto"/>
        </w:rPr>
        <w:t>including approximately $14.4 billion of outstanding indebtedness as of June 30, 2002 and up to $12.8 billion of new indebtedness which will be guaranteed by the cable guarantors in connection with the closing of the AT&amp;T Comcast transaction. For more information regarding the cable guarantees, see "Description of the New Broadband Notes and the Cable Guarantees" and "Other Indebtedness and the Cross-Guarantees."</w:t>
      </w:r>
    </w:p>
    <w:p>
      <w:pPr>
        <w:spacing w:after="0" w:line="369"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New AT&amp;T Notes will be obligations only of AT&amp;T and will not be subject to the cable guarantees.</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NOTE AMENDMENT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the requisite consents are received, the note amendment will clarify that in connection with the AT&amp;T Comcast transaction, the successor formed by the consolidation or merger, or to which AT&amp;T shall have transferred its property, need not assume the obligations of AT&amp;T under the notes of that series and that the successor shall not succeed to and be substituted for AT&amp;T under the notes of that series.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of the Broadband Eligible Notes and the AT&amp;T Eligible Notes, to the extent their notes are accepted for exchange, must consent to the note amendment. The note amendment is designed to satisfy a condition to the AT&amp;T Comcast transaction.</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Effectiveness of Note Amendment; Dissenters' Rights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note amendment will be effective as to a series of notes if more than 50% by principal amount of the notes of that series consent. For these purposes, all of the Series A Medium Term Notes outstanding will be treated as part of a single series. You will not be entitled to any dissenters' rights if the note amendment becomes effective without your consent.</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Description of the Note Amendment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note amendment clarifies the covenant in the AT&amp;T Indenture regarding the consolidation, merger with, or sale or conveyance of all or substantially all of the property of AT&amp;T. The note amendment will be effective with respect to each series of notes that consents to the amendment and will provide that the AT&amp;T Comcast transaction, including all transactions completed as steps in the AT&amp;T Comcast transaction, (1) will not result in a consolidation, merger, sale, conveyance or other transfer of property of AT&amp;T (including stock of subsidiaries) as an entirety or substantially as an entirety for purposes of the AT&amp;T Indenture, and (2) will not violate the successor clause of the AT&amp;T Indenture or any other provision of the AT&amp;T Indenture or any security issued under the AT&amp;T Indenture, regardless of whether any person assumes any of the indebtedness outstanding under the AT&amp;T Indenture or any other obligation under the AT&amp;T Indenture or any security issued under the AT&amp;T Indenture.</w:t>
      </w:r>
    </w:p>
    <w:p>
      <w:pPr>
        <w:spacing w:after="0" w:line="189"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merger covenant applicable to the Broadband Exchange Notes and the New AT&amp;T Notes will be the AT&amp;T Indenture merger covenant as so amended.</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EXPIRATION OF THE EXCHANGE OFFER</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EXCHANGE OFFER WILL EXPIRE AT 12:00 MIDNIGHT, NEW YORK CITY TIME, ON NOVEMBER 1, 2002 UNLESS IT IS EXTENDED AS TO ONE OR MORE SERIES OF NOTES IN OUR DISCRETION.</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ANNOUNCE ANY EXTENSIONS BY PRESS RELEASE OR OTHER PERMITTED MEANS NO LATER THAN 9:00 A.M., NEW YORK CITY TIME, THE NEXT BUSINESS DAY AFTER EXPIRATION OF THE EXCHANGE OFFER FOR THAT SERIES OF NOTES.</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AMENDMENT OF THE EXCHANGE OFFER</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We reserve the right to determine whether the conditions of the exchange offer have been satisfied and not to accept any of the notes of one or more series we determine have not been validly tendered, and to otherwise interpret or modify the terms of this exchange offer. We will comply with applicable laws that require us to extend the period during which notes may be tendered or withdrawn as a result of changes in the terms of or information relating to the exchange offer.</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39"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6"/>
          <w:szCs w:val="16"/>
          <w:color w:val="auto"/>
        </w:rPr>
        <w:t>TENDERS AND WITHDRAWALS OF NOTES</w:t>
      </w:r>
    </w:p>
    <w:p>
      <w:pPr>
        <w:spacing w:after="0" w:line="365" w:lineRule="exact"/>
        <w:rPr>
          <w:sz w:val="20"/>
          <w:szCs w:val="20"/>
          <w:color w:val="auto"/>
        </w:rPr>
      </w:pPr>
    </w:p>
    <w:p>
      <w:pPr>
        <w:jc w:val="both"/>
        <w:ind w:right="2819" w:firstLine="469"/>
        <w:spacing w:after="0" w:line="254" w:lineRule="auto"/>
        <w:rPr>
          <w:sz w:val="20"/>
          <w:szCs w:val="20"/>
          <w:color w:val="auto"/>
        </w:rPr>
      </w:pPr>
      <w:r>
        <w:rPr>
          <w:rFonts w:ascii="Courier New" w:cs="Courier New" w:eastAsia="Courier New" w:hAnsi="Courier New"/>
          <w:sz w:val="15"/>
          <w:szCs w:val="15"/>
          <w:color w:val="auto"/>
        </w:rPr>
        <w:t>In order to tender eligible notes in the exchange offer, you must properly submit the notes and a completed letter of transmittal and the other agreements and documents described in this prospectus and the letter of transmittal.</w:t>
      </w:r>
    </w:p>
    <w:p>
      <w:pPr>
        <w:spacing w:after="0" w:line="2"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Completing the letter of transmittal will evidence your consent to the note amendment to the extent your notes are accepted for exchange. If you own notes held through a broker or other third party, or in "street name," you will need to follow the instructions in the letter of transmittal on how to instruct them to tender the notes on your behalf, as well as submit a completed letter of transmittal and the other documents described in this prospectus and the letter of transmittal. In addition, letters of transmittal may be submitted for any Luxembourg Notes in accordance with the procedures that may be obtained by contacting the Luxembourg exchange agent at the telephone number listed under "-- The Luxembourg Exchange Agent." We will determine in our sole discretion whether any notes have been validly tendered. Please carefully follow the instructions on how to tender your notes contained in this prospectus and the letter of transmittal.</w:t>
      </w:r>
    </w:p>
    <w:p>
      <w:pPr>
        <w:spacing w:after="0" w:line="3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you decide to tender eligible notes in the exchange offer, you may withdraw them at any time prior to the expiration of the exchange offer for the notes of that series. Validly withdrawing your notes will revoke your consent to the note amendment with respect to those notes withdrawn.</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decide for any reason not to accept any eligible notes for exchange, those eligible notes will be returned without expense promptly after the exchange offer expires.</w:t>
      </w:r>
    </w:p>
    <w:p>
      <w:pPr>
        <w:spacing w:after="0" w:line="36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PLEASE SEE PAGE 76 AND THE LETTER OF TRANSMITTAL FOR PROCEDURES ON HOW TO TENDER OR WITHDRAW YOUR NOTES.</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CONDITIONS TO THE EXCHANGE OFFER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exchange offer is subject to various conditions, including that AT&amp;T will not accept any eligible notes of a series unless more than 50% of the aggregate principal amount of that series of notes has been validly tendered and not withdrawn by the expiration of the exchange offer for that series. In addition, AT&amp;T is not required to complete the exchange offer, if on or before the expiration date, among other things:</w:t>
      </w:r>
    </w:p>
    <w:p>
      <w:pPr>
        <w:spacing w:after="0" w:line="189" w:lineRule="exact"/>
        <w:rPr>
          <w:sz w:val="20"/>
          <w:szCs w:val="20"/>
          <w:color w:val="auto"/>
        </w:rPr>
      </w:pPr>
    </w:p>
    <w:p>
      <w:pPr>
        <w:ind w:left="660" w:right="2719" w:hanging="195"/>
        <w:spacing w:after="0" w:line="238"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not received, as of the expiration of the exchange offer, the valid and unrevoked consents to the note amendment of the holders of more than 50% in aggregate principal amount of those series of AT&amp;T Notes which will result in AT&amp;T's obtaining the consent of, or having defeased, purchased, retired or acquired debt in respect of series representing at least 90% in aggregate principal amount outstanding on December 19, 2001, which was approximately $12.7 billion, of debt securities issued under the AT&amp;T Indenture. As of the date of this prospectus, approximately $11.8 billion of these debt securities, including the AT&amp;T Notes, remained outstanding;</w:t>
      </w:r>
    </w:p>
    <w:p>
      <w:pPr>
        <w:spacing w:after="0" w:line="367" w:lineRule="exact"/>
        <w:rPr>
          <w:rFonts w:ascii="Courier New" w:cs="Courier New" w:eastAsia="Courier New" w:hAnsi="Courier New"/>
          <w:sz w:val="16"/>
          <w:szCs w:val="16"/>
          <w:color w:val="auto"/>
        </w:rPr>
      </w:pPr>
    </w:p>
    <w:p>
      <w:pPr>
        <w:ind w:left="660" w:right="317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received a private letter ruling from the Internal Revenue Service with respect to the spin-off, the exchange offer and certain related transactions, in form and substance reasonably satisfactory to AT&amp;T and Comcast;</w:t>
      </w:r>
    </w:p>
    <w:p>
      <w:pPr>
        <w:spacing w:after="0" w:line="366"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any specified adverse change with respect to AT&amp;T, Comcast or Broadband -- or with respect to the expected benefits of the exchange offer;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any specified adverse changes in the financial or capital markets or in political, market, economic or financial conditions in the United States or abroad;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transaction has been terminated.</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USE OF PROCEEDS</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None of AT&amp;T, Broadband or any other party will receive any proceeds from the issuance of the new notes in the exchange offer. The amount that Broadband would otherwise be required to pay to AT&amp;T upon completion of the AT&amp;T Comcast transaction to satisfy intercompany indebtedness then outstanding will be reduced based upon the aggregate principal amount of New Broadband Notes issued in the exchange.</w:t>
      </w:r>
    </w:p>
    <w:p>
      <w:pPr>
        <w:spacing w:after="0" w:line="3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468" w:gutter="0" w:footer="0" w:header="0"/>
        </w:sectPr>
      </w:pPr>
    </w:p>
    <w:bookmarkStart w:id="22" w:name="page23"/>
    <w:bookmarkEnd w:id="22"/>
    <w:p>
      <w:pPr>
        <w:ind w:left="3104"/>
        <w:spacing w:after="0"/>
        <w:rPr>
          <w:sz w:val="20"/>
          <w:szCs w:val="20"/>
          <w:color w:val="auto"/>
        </w:rPr>
      </w:pPr>
      <w:r>
        <w:rPr>
          <w:rFonts w:ascii="Courier New" w:cs="Courier New" w:eastAsia="Courier New" w:hAnsi="Courier New"/>
          <w:sz w:val="16"/>
          <w:szCs w:val="16"/>
          <w:color w:val="auto"/>
        </w:rPr>
        <w:t>THE COMPANIES</w:t>
      </w:r>
    </w:p>
    <w:p>
      <w:pPr>
        <w:ind w:left="4"/>
        <w:spacing w:after="0"/>
        <w:rPr>
          <w:sz w:val="20"/>
          <w:szCs w:val="20"/>
          <w:color w:val="auto"/>
        </w:rPr>
      </w:pPr>
      <w:r>
        <w:rPr>
          <w:rFonts w:ascii="Courier New" w:cs="Courier New" w:eastAsia="Courier New" w:hAnsi="Courier New"/>
          <w:sz w:val="16"/>
          <w:szCs w:val="16"/>
          <w:color w:val="auto"/>
        </w:rPr>
        <w:t>AT&amp;T CORP.</w:t>
      </w:r>
    </w:p>
    <w:p>
      <w:pPr>
        <w:ind w:left="4"/>
        <w:spacing w:after="0" w:line="237" w:lineRule="auto"/>
        <w:rPr>
          <w:sz w:val="20"/>
          <w:szCs w:val="20"/>
          <w:color w:val="auto"/>
        </w:rPr>
      </w:pPr>
      <w:r>
        <w:rPr>
          <w:rFonts w:ascii="Courier New" w:cs="Courier New" w:eastAsia="Courier New" w:hAnsi="Courier New"/>
          <w:sz w:val="16"/>
          <w:szCs w:val="16"/>
          <w:color w:val="auto"/>
        </w:rPr>
        <w:t>900 Routes 202/206 North</w:t>
      </w:r>
    </w:p>
    <w:p>
      <w:pPr>
        <w:ind w:left="4"/>
        <w:spacing w:after="0"/>
        <w:rPr>
          <w:sz w:val="20"/>
          <w:szCs w:val="20"/>
          <w:color w:val="auto"/>
        </w:rPr>
      </w:pPr>
      <w:r>
        <w:rPr>
          <w:rFonts w:ascii="Courier New" w:cs="Courier New" w:eastAsia="Courier New" w:hAnsi="Courier New"/>
          <w:sz w:val="16"/>
          <w:szCs w:val="16"/>
          <w:color w:val="auto"/>
        </w:rPr>
        <w:t>Bedminster, NJ 07921-0752</w:t>
      </w:r>
    </w:p>
    <w:p>
      <w:pPr>
        <w:spacing w:after="0" w:line="4" w:lineRule="exact"/>
        <w:rPr>
          <w:sz w:val="20"/>
          <w:szCs w:val="20"/>
          <w:color w:val="auto"/>
        </w:rPr>
      </w:pPr>
    </w:p>
    <w:p>
      <w:pPr>
        <w:ind w:left="4" w:right="8539" w:hanging="4"/>
        <w:spacing w:after="0" w:line="263" w:lineRule="auto"/>
        <w:tabs>
          <w:tab w:leader="none" w:pos="5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221-2000 http://www.att.com</w:t>
      </w:r>
    </w:p>
    <w:p>
      <w:pPr>
        <w:spacing w:after="0" w:line="16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AT&amp;T Comcast transaction would separate and spin off the AT&amp;T Broadband Group into a separate company, Broadband, that immediately would be combined with and become a subsidiary of AT&amp;T Comcast.</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Upon completion of the AT&amp;T Comcast transaction, AT&amp;T will consist of AT&amp;T Consumer Services Group, the leading provider of domestic and international long distance service to residential customers in the United States, and AT&amp;T Business Services Group, one of the nation's largest business services communications providers, providing a variety of global communications services to over 4 million customers and operating one of the largest telecommunications networks in the United States.</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table below sets forth the approximate percentages of consolidated revenue, operating income, net loss, assets and indebtedness of AT&amp;T, giving prior effect to the split-off of the AT&amp;T Wireless Services Group, that were attributable to each of AT&amp;T Broadband Group and AT&amp;T excluding the AT&amp;T Broadband Group at or for the six month period ended June 30, 2002 and the year ended December 31, 2001. These percentages will vary in the future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prospectus.</w:t>
      </w:r>
    </w:p>
    <w:p>
      <w:pPr>
        <w:spacing w:after="0" w:line="182" w:lineRule="exact"/>
        <w:rPr>
          <w:sz w:val="20"/>
          <w:szCs w:val="20"/>
          <w:color w:val="auto"/>
        </w:rPr>
      </w:pPr>
    </w:p>
    <w:p>
      <w:pPr>
        <w:ind w:left="464" w:hanging="183"/>
        <w:spacing w:after="0"/>
        <w:tabs>
          <w:tab w:leader="none" w:pos="4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 OF % OF AT&amp;T AT&amp;T % OF AT&amp;T</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NET AT&amp;T % OF AT&amp;T REVENUE</w:t>
      </w:r>
    </w:p>
    <w:p>
      <w:pPr>
        <w:ind w:left="44"/>
        <w:spacing w:after="0" w:line="237" w:lineRule="auto"/>
        <w:rPr>
          <w:sz w:val="20"/>
          <w:szCs w:val="20"/>
          <w:color w:val="auto"/>
        </w:rPr>
      </w:pPr>
      <w:r>
        <w:rPr>
          <w:rFonts w:ascii="Courier New" w:cs="Courier New" w:eastAsia="Courier New" w:hAnsi="Courier New"/>
          <w:sz w:val="16"/>
          <w:szCs w:val="16"/>
          <w:color w:val="auto"/>
        </w:rPr>
        <w:t>INCOME/LOSS LOSS* ASSETS DEBT ------- -</w:t>
      </w:r>
    </w:p>
    <w:p>
      <w:pPr>
        <w:ind w:left="44"/>
        <w:spacing w:after="0"/>
        <w:rPr>
          <w:sz w:val="20"/>
          <w:szCs w:val="20"/>
          <w:color w:val="auto"/>
        </w:rPr>
      </w:pPr>
      <w:r>
        <w:rPr>
          <w:rFonts w:ascii="Courier New" w:cs="Courier New" w:eastAsia="Courier New" w:hAnsi="Courier New"/>
          <w:sz w:val="16"/>
          <w:szCs w:val="16"/>
          <w:color w:val="auto"/>
        </w:rPr>
        <w:t>---------- ------ ------ --------- AT&amp;T</w:t>
      </w:r>
    </w:p>
    <w:p>
      <w:pPr>
        <w:jc w:val="center"/>
        <w:ind w:right="6475"/>
        <w:spacing w:after="0" w:line="238" w:lineRule="auto"/>
        <w:rPr>
          <w:sz w:val="20"/>
          <w:szCs w:val="20"/>
          <w:color w:val="auto"/>
        </w:rPr>
      </w:pPr>
      <w:r>
        <w:rPr>
          <w:rFonts w:ascii="Courier New" w:cs="Courier New" w:eastAsia="Courier New" w:hAnsi="Courier New"/>
          <w:sz w:val="16"/>
          <w:szCs w:val="16"/>
          <w:color w:val="auto"/>
        </w:rPr>
        <w:t>Broadband Group At or for the year</w:t>
      </w:r>
    </w:p>
    <w:p>
      <w:pPr>
        <w:jc w:val="center"/>
        <w:ind w:right="6475"/>
        <w:spacing w:after="0"/>
        <w:rPr>
          <w:sz w:val="20"/>
          <w:szCs w:val="20"/>
          <w:color w:val="auto"/>
        </w:rPr>
      </w:pPr>
      <w:r>
        <w:rPr>
          <w:rFonts w:ascii="Courier New" w:cs="Courier New" w:eastAsia="Courier New" w:hAnsi="Courier New"/>
          <w:sz w:val="16"/>
          <w:szCs w:val="16"/>
          <w:color w:val="auto"/>
        </w:rPr>
        <w:t>ended December 31,</w:t>
      </w:r>
    </w:p>
    <w:p>
      <w:pPr>
        <w:ind w:left="4"/>
        <w:spacing w:after="0" w:line="238" w:lineRule="auto"/>
        <w:rPr>
          <w:sz w:val="20"/>
          <w:szCs w:val="20"/>
          <w:color w:val="auto"/>
        </w:rPr>
      </w:pPr>
      <w:r>
        <w:rPr>
          <w:rFonts w:ascii="Courier New" w:cs="Courier New" w:eastAsia="Courier New" w:hAnsi="Courier New"/>
          <w:sz w:val="16"/>
          <w:szCs w:val="16"/>
          <w:color w:val="auto"/>
        </w:rPr>
        <w:t>2001....................................</w:t>
      </w:r>
    </w:p>
    <w:p>
      <w:pPr>
        <w:jc w:val="center"/>
        <w:ind w:right="6475"/>
        <w:spacing w:after="0"/>
        <w:rPr>
          <w:sz w:val="20"/>
          <w:szCs w:val="20"/>
          <w:color w:val="auto"/>
        </w:rPr>
      </w:pPr>
      <w:r>
        <w:rPr>
          <w:rFonts w:ascii="Courier New" w:cs="Courier New" w:eastAsia="Courier New" w:hAnsi="Courier New"/>
          <w:sz w:val="16"/>
          <w:szCs w:val="16"/>
          <w:color w:val="auto"/>
        </w:rPr>
        <w:t>19.3% (111.4)% 61.0% 62.4% 43.5% At or</w:t>
      </w:r>
    </w:p>
    <w:p>
      <w:pPr>
        <w:spacing w:after="0" w:line="3"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5"/>
          <w:szCs w:val="15"/>
          <w:color w:val="auto"/>
        </w:rPr>
        <w:t>for the six month period ended June 30,</w:t>
      </w:r>
    </w:p>
    <w:p>
      <w:pPr>
        <w:spacing w:after="0" w:line="5"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6"/>
          <w:szCs w:val="16"/>
          <w:color w:val="auto"/>
        </w:rPr>
        <w:t>2002................................</w:t>
      </w:r>
    </w:p>
    <w:p>
      <w:pPr>
        <w:jc w:val="center"/>
        <w:ind w:right="6475"/>
        <w:spacing w:after="0"/>
        <w:rPr>
          <w:sz w:val="20"/>
          <w:szCs w:val="20"/>
          <w:color w:val="auto"/>
        </w:rPr>
      </w:pPr>
      <w:r>
        <w:rPr>
          <w:rFonts w:ascii="Courier New" w:cs="Courier New" w:eastAsia="Courier New" w:hAnsi="Courier New"/>
          <w:sz w:val="16"/>
          <w:szCs w:val="16"/>
          <w:color w:val="auto"/>
        </w:rPr>
        <w:t>20.6% 124.3% 107.6% 59.3% 50.8% AT&amp;T</w:t>
      </w:r>
    </w:p>
    <w:p>
      <w:pPr>
        <w:jc w:val="center"/>
        <w:ind w:right="6475"/>
        <w:spacing w:after="0" w:line="237" w:lineRule="auto"/>
        <w:rPr>
          <w:sz w:val="20"/>
          <w:szCs w:val="20"/>
          <w:color w:val="auto"/>
        </w:rPr>
      </w:pPr>
      <w:r>
        <w:rPr>
          <w:rFonts w:ascii="Courier New" w:cs="Courier New" w:eastAsia="Courier New" w:hAnsi="Courier New"/>
          <w:sz w:val="16"/>
          <w:szCs w:val="16"/>
          <w:color w:val="auto"/>
        </w:rPr>
        <w:t>Corp. (excluding AT&amp;T Broadband</w:t>
      </w:r>
    </w:p>
    <w:p>
      <w:pPr>
        <w:jc w:val="center"/>
        <w:ind w:right="6475"/>
        <w:spacing w:after="0"/>
        <w:rPr>
          <w:sz w:val="20"/>
          <w:szCs w:val="20"/>
          <w:color w:val="auto"/>
        </w:rPr>
      </w:pPr>
      <w:r>
        <w:rPr>
          <w:rFonts w:ascii="Courier New" w:cs="Courier New" w:eastAsia="Courier New" w:hAnsi="Courier New"/>
          <w:sz w:val="16"/>
          <w:szCs w:val="16"/>
          <w:color w:val="auto"/>
        </w:rPr>
        <w:t>Group)** At or for the year ended</w:t>
      </w:r>
    </w:p>
    <w:p>
      <w:pPr>
        <w:jc w:val="center"/>
        <w:ind w:right="6475"/>
        <w:spacing w:after="0" w:line="238" w:lineRule="auto"/>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5"/>
          <w:szCs w:val="15"/>
          <w:color w:val="auto"/>
        </w:rPr>
        <w:t>2001....................................</w:t>
      </w:r>
    </w:p>
    <w:p>
      <w:pPr>
        <w:spacing w:after="0" w:line="5"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6"/>
          <w:szCs w:val="16"/>
          <w:color w:val="auto"/>
        </w:rPr>
        <w:t>81.2% 211.4% (1.9)% 37.7% 56.5% At or</w:t>
      </w:r>
    </w:p>
    <w:p>
      <w:pPr>
        <w:spacing w:after="0" w:line="4"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5"/>
          <w:szCs w:val="15"/>
          <w:color w:val="auto"/>
        </w:rPr>
        <w:t>for the six month period ended June 30,</w:t>
      </w:r>
    </w:p>
    <w:p>
      <w:pPr>
        <w:spacing w:after="0" w:line="5" w:lineRule="exact"/>
        <w:rPr>
          <w:sz w:val="20"/>
          <w:szCs w:val="20"/>
          <w:color w:val="auto"/>
        </w:rPr>
      </w:pPr>
    </w:p>
    <w:p>
      <w:pPr>
        <w:jc w:val="center"/>
        <w:ind w:right="6475"/>
        <w:spacing w:after="0"/>
        <w:rPr>
          <w:sz w:val="20"/>
          <w:szCs w:val="20"/>
          <w:color w:val="auto"/>
        </w:rPr>
      </w:pPr>
      <w:r>
        <w:rPr>
          <w:rFonts w:ascii="Courier New" w:cs="Courier New" w:eastAsia="Courier New" w:hAnsi="Courier New"/>
          <w:sz w:val="16"/>
          <w:szCs w:val="16"/>
          <w:color w:val="auto"/>
        </w:rPr>
        <w:t>2002................................</w:t>
      </w:r>
    </w:p>
    <w:p>
      <w:pPr>
        <w:ind w:left="384"/>
        <w:spacing w:after="0"/>
        <w:rPr>
          <w:sz w:val="20"/>
          <w:szCs w:val="20"/>
          <w:color w:val="auto"/>
        </w:rPr>
      </w:pPr>
      <w:r>
        <w:rPr>
          <w:rFonts w:ascii="Courier New" w:cs="Courier New" w:eastAsia="Courier New" w:hAnsi="Courier New"/>
          <w:sz w:val="16"/>
          <w:szCs w:val="16"/>
          <w:color w:val="auto"/>
        </w:rPr>
        <w:t>80.1% (23.9)% (7.6)% 41.1% 49.2%</w:t>
      </w:r>
    </w:p>
    <w:p>
      <w:pPr>
        <w:spacing w:after="0" w:line="359" w:lineRule="exact"/>
        <w:rPr>
          <w:sz w:val="20"/>
          <w:szCs w:val="20"/>
          <w:color w:val="auto"/>
        </w:rPr>
      </w:pPr>
    </w:p>
    <w:p>
      <w:pPr>
        <w:ind w:left="184" w:hanging="184"/>
        <w:spacing w:after="0"/>
        <w:tabs>
          <w:tab w:leader="none" w:pos="1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rFonts w:ascii="Courier New" w:cs="Courier New" w:eastAsia="Courier New" w:hAnsi="Courier New"/>
          <w:sz w:val="16"/>
          <w:szCs w:val="16"/>
          <w:color w:val="auto"/>
        </w:rPr>
      </w:pPr>
    </w:p>
    <w:p>
      <w:pPr>
        <w:ind w:left="384" w:right="2899" w:hanging="188"/>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Based on net loss from continuing operations before extraordinary gain and cumulative effect of accounting change.</w:t>
      </w:r>
    </w:p>
    <w:p>
      <w:pPr>
        <w:spacing w:after="0" w:line="184" w:lineRule="exact"/>
        <w:rPr>
          <w:rFonts w:ascii="Courier New" w:cs="Courier New" w:eastAsia="Courier New" w:hAnsi="Courier New"/>
          <w:sz w:val="16"/>
          <w:szCs w:val="16"/>
          <w:color w:val="auto"/>
        </w:rPr>
      </w:pPr>
    </w:p>
    <w:p>
      <w:pPr>
        <w:ind w:left="384" w:right="2899" w:hanging="290"/>
        <w:spacing w:after="0" w:line="236" w:lineRule="auto"/>
        <w:tabs>
          <w:tab w:leader="none" w:pos="38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AT&amp;T Business Services Group and AT&amp;T Consumer Services Group and excludes Liberty Media Group and AT&amp;T Wireless Services Group.</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AT&amp;T BROADBAND CORP.</w:t>
      </w:r>
    </w:p>
    <w:p>
      <w:pPr>
        <w:ind w:left="4"/>
        <w:spacing w:after="0"/>
        <w:rPr>
          <w:sz w:val="20"/>
          <w:szCs w:val="20"/>
          <w:color w:val="auto"/>
        </w:rPr>
      </w:pPr>
      <w:r>
        <w:rPr>
          <w:rFonts w:ascii="Courier New" w:cs="Courier New" w:eastAsia="Courier New" w:hAnsi="Courier New"/>
          <w:sz w:val="16"/>
          <w:szCs w:val="16"/>
          <w:color w:val="auto"/>
        </w:rPr>
        <w:t>188 Inverness Drive West</w:t>
      </w:r>
    </w:p>
    <w:p>
      <w:pPr>
        <w:ind w:left="4"/>
        <w:spacing w:after="0" w:line="237" w:lineRule="auto"/>
        <w:rPr>
          <w:sz w:val="20"/>
          <w:szCs w:val="20"/>
          <w:color w:val="auto"/>
        </w:rPr>
      </w:pPr>
      <w:r>
        <w:rPr>
          <w:rFonts w:ascii="Courier New" w:cs="Courier New" w:eastAsia="Courier New" w:hAnsi="Courier New"/>
          <w:sz w:val="16"/>
          <w:szCs w:val="16"/>
          <w:color w:val="auto"/>
        </w:rPr>
        <w:t>Englewood, Colorado 80112</w:t>
      </w:r>
    </w:p>
    <w:p>
      <w:pPr>
        <w:ind w:left="4"/>
        <w:spacing w:after="0"/>
        <w:rPr>
          <w:sz w:val="20"/>
          <w:szCs w:val="20"/>
          <w:color w:val="auto"/>
        </w:rPr>
      </w:pPr>
      <w:r>
        <w:rPr>
          <w:rFonts w:ascii="Courier New" w:cs="Courier New" w:eastAsia="Courier New" w:hAnsi="Courier New"/>
          <w:sz w:val="16"/>
          <w:szCs w:val="16"/>
          <w:color w:val="auto"/>
        </w:rPr>
        <w:t>(303) 858-3000</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AT&amp;T Broadband Corp. is a Delaware corporation newly formed for purposes of effectuating the AT&amp;T Comcast transaction. Throughout this prospectus, we refer to AT&amp;T Broadband Corp. as Broadband. As part of the AT&amp;T Comcast transaction, AT&amp;T will transfer to Broadband substantially all</w:t>
      </w:r>
    </w:p>
    <w:p>
      <w:pPr>
        <w:spacing w:after="0" w:line="18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3"/>
          </w:cols>
          <w:pgMar w:left="236" w:top="654" w:right="1440" w:bottom="1440" w:gutter="0" w:footer="0" w:header="0"/>
        </w:sectPr>
      </w:pPr>
    </w:p>
    <w:bookmarkStart w:id="23" w:name="page24"/>
    <w:bookmarkEnd w:id="23"/>
    <w:p>
      <w:pPr>
        <w:ind w:right="2899"/>
        <w:spacing w:after="0" w:line="236" w:lineRule="auto"/>
        <w:rPr>
          <w:sz w:val="20"/>
          <w:szCs w:val="20"/>
          <w:color w:val="auto"/>
        </w:rPr>
      </w:pPr>
      <w:r>
        <w:rPr>
          <w:rFonts w:ascii="Courier New" w:cs="Courier New" w:eastAsia="Courier New" w:hAnsi="Courier New"/>
          <w:sz w:val="16"/>
          <w:szCs w:val="16"/>
          <w:color w:val="auto"/>
        </w:rPr>
        <w:t>the assets, liabilities and businesses represented by AT&amp;T Broadband Group, an integrated business of AT&amp;T Corp.</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six month period ended June 30, 2002, AT&amp;T Broadband Group:</w:t>
      </w:r>
    </w:p>
    <w:p>
      <w:pPr>
        <w:spacing w:after="0" w:line="187" w:lineRule="exact"/>
        <w:rPr>
          <w:sz w:val="20"/>
          <w:szCs w:val="20"/>
          <w:color w:val="auto"/>
        </w:rPr>
      </w:pPr>
    </w:p>
    <w:p>
      <w:pPr>
        <w:ind w:left="660" w:right="2819" w:hanging="195"/>
        <w:spacing w:after="0" w:line="236" w:lineRule="auto"/>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and operated cable systems aggregating approximately 13.26 million analog video subscribers;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$5.0 billion in combined revenue;</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$14.7 billion in net loss;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debt of approximately $21.9 billion; and</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investments in companies, joint ventures and partnerships, including Time Warner Entertainment Company, L.P., Insight Midwest, L.P. and Texas Cable Partners, 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rPr>
          <w:sz w:val="20"/>
          <w:szCs w:val="20"/>
          <w:color w:val="auto"/>
        </w:rPr>
      </w:pPr>
      <w:r>
        <w:rPr>
          <w:rFonts w:ascii="Courier New" w:cs="Courier New" w:eastAsia="Courier New" w:hAnsi="Courier New"/>
          <w:sz w:val="16"/>
          <w:szCs w:val="16"/>
          <w:color w:val="auto"/>
        </w:rPr>
        <w:t>(215) 665-1700</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Comcast is a newly formed Pennsylvania corporation that has not, to date, conducted any activities other than those incident to its formation, the financing and other matters contemplated by or incident to the merger agreement entered into in connection with the AT&amp;T Comcast transaction, and the preparation of this prospectus. Upon completion of the AT&amp;T Comcast transaction, Comcast and Broadband will each become a wholly owned subsidiary of AT&amp;T Comcast. The business of AT&amp;T Comcast will be the combined businesses currently conducted by Comcast and the AT&amp;T Broadband Group.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rPr>
          <w:sz w:val="20"/>
          <w:szCs w:val="20"/>
          <w:color w:val="auto"/>
        </w:rPr>
      </w:pPr>
      <w:r>
        <w:rPr>
          <w:rFonts w:ascii="Courier New" w:cs="Courier New" w:eastAsia="Courier New" w:hAnsi="Courier New"/>
          <w:sz w:val="16"/>
          <w:szCs w:val="16"/>
          <w:color w:val="auto"/>
        </w:rPr>
        <w:t>(215) 665-1700</w:t>
      </w:r>
    </w:p>
    <w:p>
      <w:pPr>
        <w:spacing w:after="0" w:line="184"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Comcast is a Pennsylvania corporation incorporated in 1969. Comcast is involved principally in three lines of business:</w:t>
      </w:r>
    </w:p>
    <w:p>
      <w:pPr>
        <w:spacing w:after="0" w:line="185" w:lineRule="exact"/>
        <w:rPr>
          <w:sz w:val="20"/>
          <w:szCs w:val="20"/>
          <w:color w:val="auto"/>
        </w:rPr>
      </w:pPr>
    </w:p>
    <w:p>
      <w:pPr>
        <w:ind w:left="660" w:right="2899" w:hanging="195"/>
        <w:spacing w:after="0" w:line="263" w:lineRule="auto"/>
        <w:tabs>
          <w:tab w:leader="none" w:pos="6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 through the development, management and operation of broadband communications networks and regional sports programming networks;</w:t>
      </w:r>
    </w:p>
    <w:p>
      <w:pPr>
        <w:spacing w:after="0" w:line="163"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commerce -- through QVC, its electronic retailing subsidiary;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 -- through its consolidated subsidiaries, Comcast-Spectacor, E! Entertainment Television, The Golf Channel and Outdoor Life Network, and through its other programming investments.</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Comcast will become a wholly owned subsidiary of AT&amp;T Comcast.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CABLE COMMUNICATIONS, INC.</w:t>
      </w:r>
    </w:p>
    <w:p>
      <w:pPr>
        <w:spacing w:after="0"/>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rPr>
          <w:sz w:val="20"/>
          <w:szCs w:val="20"/>
          <w:color w:val="auto"/>
        </w:rPr>
      </w:pPr>
      <w:r>
        <w:rPr>
          <w:rFonts w:ascii="Courier New" w:cs="Courier New" w:eastAsia="Courier New" w:hAnsi="Courier New"/>
          <w:sz w:val="16"/>
          <w:szCs w:val="16"/>
          <w:color w:val="auto"/>
        </w:rPr>
        <w:t>(215) 665-1700</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Comcast Cable is a Delaware corporation incorporated in 1981 and a wholly owned subsidiary of Comcast. Comcast Cable is currently the third largest cable operator in the United States and has deployed digital cable applications and high-speed Internet access service to the vast majority of its cable communications systems to expand the products available on its broadband communications networks.</w:t>
      </w:r>
    </w:p>
    <w:p>
      <w:pPr>
        <w:spacing w:after="0" w:line="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24" w:name="page25"/>
    <w:bookmarkEnd w:id="24"/>
    <w:p>
      <w:pPr>
        <w:ind w:right="3099"/>
        <w:spacing w:after="0" w:line="263" w:lineRule="auto"/>
        <w:rPr>
          <w:sz w:val="20"/>
          <w:szCs w:val="20"/>
          <w:color w:val="auto"/>
        </w:rPr>
      </w:pPr>
      <w:r>
        <w:rPr>
          <w:rFonts w:ascii="Courier New" w:cs="Courier New" w:eastAsia="Courier New" w:hAnsi="Courier New"/>
          <w:sz w:val="15"/>
          <w:szCs w:val="15"/>
          <w:color w:val="auto"/>
        </w:rPr>
        <w:t>Comcast's consolidated cable operations served approximately 8.5 million subscribers and passed approximately 14.0 million homes as of June 30, 2002.</w:t>
      </w:r>
    </w:p>
    <w:p>
      <w:pPr>
        <w:spacing w:after="0" w:line="169"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Comcast Cable will remain a wholly owned subsidiary of Comcast, and will become an indirect wholly owned subsidiary of AT&amp;T Comcast after completion of the AT&amp;T Comcast transaction.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GROUP, INC.</w:t>
      </w:r>
    </w:p>
    <w:p>
      <w:pPr>
        <w:spacing w:after="0"/>
        <w:rPr>
          <w:sz w:val="20"/>
          <w:szCs w:val="20"/>
          <w:color w:val="auto"/>
        </w:rPr>
      </w:pPr>
      <w:r>
        <w:rPr>
          <w:rFonts w:ascii="Courier New" w:cs="Courier New" w:eastAsia="Courier New" w:hAnsi="Courier New"/>
          <w:sz w:val="16"/>
          <w:szCs w:val="16"/>
          <w:color w:val="auto"/>
        </w:rPr>
        <w:t>188 Inverness Drive West</w:t>
      </w:r>
    </w:p>
    <w:p>
      <w:pPr>
        <w:spacing w:after="0" w:line="237" w:lineRule="auto"/>
        <w:rPr>
          <w:sz w:val="20"/>
          <w:szCs w:val="20"/>
          <w:color w:val="auto"/>
        </w:rPr>
      </w:pPr>
      <w:r>
        <w:rPr>
          <w:rFonts w:ascii="Courier New" w:cs="Courier New" w:eastAsia="Courier New" w:hAnsi="Courier New"/>
          <w:sz w:val="16"/>
          <w:szCs w:val="16"/>
          <w:color w:val="auto"/>
        </w:rPr>
        <w:t>Englewood, Colorado 80112</w:t>
      </w:r>
    </w:p>
    <w:p>
      <w:pPr>
        <w:spacing w:after="0"/>
        <w:rPr>
          <w:sz w:val="20"/>
          <w:szCs w:val="20"/>
          <w:color w:val="auto"/>
        </w:rPr>
      </w:pPr>
      <w:r>
        <w:rPr>
          <w:rFonts w:ascii="Courier New" w:cs="Courier New" w:eastAsia="Courier New" w:hAnsi="Courier New"/>
          <w:sz w:val="16"/>
          <w:szCs w:val="16"/>
          <w:color w:val="auto"/>
        </w:rPr>
        <w:t>(303) 858-3000</w:t>
      </w:r>
    </w:p>
    <w:p>
      <w:pPr>
        <w:spacing w:after="0" w:line="18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MediaOne is a Delaware corporation incorporated in 1999. MediaOne is a subsidiary of AT&amp;T and, upon completion of the AT&amp;T Comcast transaction, will become a wholly owned subsidiary of Broadband.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LLC</w:t>
      </w:r>
    </w:p>
    <w:p>
      <w:pPr>
        <w:spacing w:after="0"/>
        <w:rPr>
          <w:sz w:val="20"/>
          <w:szCs w:val="20"/>
          <w:color w:val="auto"/>
        </w:rPr>
      </w:pPr>
      <w:r>
        <w:rPr>
          <w:rFonts w:ascii="Courier New" w:cs="Courier New" w:eastAsia="Courier New" w:hAnsi="Courier New"/>
          <w:sz w:val="16"/>
          <w:szCs w:val="16"/>
          <w:color w:val="auto"/>
        </w:rPr>
        <w:t>188 Inverness Drive West</w:t>
      </w:r>
    </w:p>
    <w:p>
      <w:pPr>
        <w:spacing w:after="0" w:line="237" w:lineRule="auto"/>
        <w:rPr>
          <w:sz w:val="20"/>
          <w:szCs w:val="20"/>
          <w:color w:val="auto"/>
        </w:rPr>
      </w:pPr>
      <w:r>
        <w:rPr>
          <w:rFonts w:ascii="Courier New" w:cs="Courier New" w:eastAsia="Courier New" w:hAnsi="Courier New"/>
          <w:sz w:val="16"/>
          <w:szCs w:val="16"/>
          <w:color w:val="auto"/>
        </w:rPr>
        <w:t>Englewood, Colorado 80112</w:t>
      </w:r>
    </w:p>
    <w:p>
      <w:pPr>
        <w:spacing w:after="0"/>
        <w:rPr>
          <w:sz w:val="20"/>
          <w:szCs w:val="20"/>
          <w:color w:val="auto"/>
        </w:rPr>
      </w:pPr>
      <w:r>
        <w:rPr>
          <w:rFonts w:ascii="Courier New" w:cs="Courier New" w:eastAsia="Courier New" w:hAnsi="Courier New"/>
          <w:sz w:val="16"/>
          <w:szCs w:val="16"/>
          <w:color w:val="auto"/>
        </w:rPr>
        <w:t>(303) 858-3000</w:t>
      </w:r>
    </w:p>
    <w:p>
      <w:pPr>
        <w:spacing w:after="0" w:line="184"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AT&amp;T Broadband, LLC, referred to in this prospectus as TCI, is a Delaware limited liability company formerly known as Tele-Communications, Inc., a Delaware corporation that was formed in 1994. TCI is a subsidiary of AT&amp;T that holds the former Tele-Communications, Inc. business, and upon completion of the AT&amp;T Comcast transaction, will become a wholly owned subsidiary of Broadband.</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DESCRIPTION OF THE BROADBAND EXCHANGE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Broadband Exchange Notes will be entitled to the benefits and subject to the terms and conditions of the AT&amp;T Indenture as amended by the note amendment and a supplemental indenture that will have the purpose of, among other things, making Broadband a co-obligor on the Broadband Exchange Notes. Except as described in this prospectus, the Broadband Exchange Notes will have terms substantially identical to the Broadband Eligible Notes as amended by the note amendment. Upon completion of the AT&amp;T Comcast transaction, however, each series of Broadband Exchange Notes will be mandatorily exchanged at the relevant exchange ratio for New Broadband Notes, which will be primary obligations only of Broadband, fully and unconditionally guaranteed by the cable guarantors, and will not be obligations of AT&amp;T.</w:t>
      </w:r>
    </w:p>
    <w:p>
      <w:pPr>
        <w:spacing w:after="0" w:line="187"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AT&amp;T intends to apply for listing of the Broadband Exchange Notes on the New York Stock Exchange. If the AT&amp;T Comcast transaction is terminated, AT&amp;T will use commercially reasonable efforts to list the 6.00% Broadband Exchange Notes Due March 15, 2009 additionally on the Luxembourg Stock Exchange.</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the AT&amp;T Comcast transaction is terminated, Broadband's obligations under the Broadband Exchange Notes will be released and discharged and the Broadband Exchange Notes will become solely obligations of AT&amp;T and cease to be exchangeable for New Broadband Notes.</w:t>
      </w:r>
    </w:p>
    <w:p>
      <w:pPr>
        <w:spacing w:after="0" w:line="18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DESCRIPTION OF THE NEW BROADBAND NOTES AND THE CABLE GUARANTEES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Notes will be entitled to the benefits and subject to the terms and conditions of an indenture among Broadband, the cable guarantors and The Bank of New York, as trustee. We refer to this indenture as the New Broadband Indenture.</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BASIC TERMS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Notes:</w:t>
      </w:r>
    </w:p>
    <w:p>
      <w:pPr>
        <w:spacing w:after="0" w:line="185" w:lineRule="exact"/>
        <w:rPr>
          <w:sz w:val="20"/>
          <w:szCs w:val="20"/>
          <w:color w:val="auto"/>
        </w:rPr>
      </w:pPr>
    </w:p>
    <w:p>
      <w:pPr>
        <w:ind w:left="660" w:right="3099" w:hanging="195"/>
        <w:spacing w:after="0" w:line="237" w:lineRule="auto"/>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Broadband's other unsecured and unsubordinated debt and will be entitled to the benefits of the cable guarantees described below; and</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25" w:name="page26"/>
    <w:bookmarkEnd w:id="25"/>
    <w:p>
      <w:pPr>
        <w:ind w:left="660" w:right="3099" w:hanging="195"/>
        <w:spacing w:after="0" w:line="236" w:lineRule="auto"/>
        <w:tabs>
          <w:tab w:leader="none" w:pos="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based on the exchange ratios, comprised as follows:</w:t>
      </w:r>
    </w:p>
    <w:p>
      <w:pPr>
        <w:spacing w:after="0" w:line="200" w:lineRule="exact"/>
        <w:rPr>
          <w:sz w:val="20"/>
          <w:szCs w:val="20"/>
          <w:color w:val="auto"/>
        </w:rPr>
      </w:pPr>
    </w:p>
    <w:p>
      <w:pPr>
        <w:spacing w:after="0" w:line="345"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New Broadband Notes Due 2013, maturing on March 15, 2013, with interest payable semiannually on each March 15 and September 15 beginning on the first March 15 or September 15 occurring after the initial issuance of the New Broadband Notes Due 2013, to holders of record on the preceding March 1 and September 1; and</w:t>
      </w:r>
    </w:p>
    <w:p>
      <w:pPr>
        <w:spacing w:after="0" w:line="200" w:lineRule="exact"/>
        <w:rPr>
          <w:sz w:val="20"/>
          <w:szCs w:val="20"/>
          <w:color w:val="auto"/>
        </w:rPr>
      </w:pPr>
    </w:p>
    <w:p>
      <w:pPr>
        <w:spacing w:after="0" w:line="348"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New Broadband Notes Due 2022, maturing on November 15, 2022, with interest payable semiannually on each November 15 and May 15, beginning on the first May 15 occurring after the initial issuance of the New Broadband Notes Due 2022, to holders of record on the preceding November 1 and May 1.</w:t>
      </w:r>
    </w:p>
    <w:p>
      <w:pPr>
        <w:spacing w:after="0" w:line="36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interest rate on each series of New Broadband Notes will be announced by press release two business days prior to the expiration of the exchange offer and will be based on spreads over the relevant reference U.S. Treasury rates as described in "Description of the Exchange Offer -- Interest Rate for the New Broadband Notes."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CABLE GUARANTEES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Broadband's obligations under the New Broadband Notes will be fully and unconditionally guaranteed, on an unsecured and unsubordinated basis, by each of Comcast Cable, AT&amp;T Comcast, MediaOne and TCI. See "Description of the New Broadband Notes and the Cable Guarantees -- Cable Guarantees."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MARKET FOR THE NEW BROADBAND NOTES; LISTING</w:t>
      </w:r>
    </w:p>
    <w:p>
      <w:pPr>
        <w:spacing w:after="0" w:line="36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Although Broadband has applied to list the New Broadband Notes on the New York Stock Exchange, there is currently no public market for the New Broadband Notes. In addition, Broadband does not intend to apply for listing of the New Broadband Notes on the Luxembourg Stock Exchange. There can be no assurance as to the development of any market for the New Broadband Notes.</w:t>
      </w:r>
    </w:p>
    <w:p>
      <w:pPr>
        <w:spacing w:after="0" w:line="3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OPTIONAL REDEMPTION</w:t>
      </w:r>
    </w:p>
    <w:p>
      <w:pPr>
        <w:spacing w:after="0" w:line="36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The New Broadband Notes will not be subject to optional redemption by Broadband.</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Broadband Indenture under which Broadband will issue the New Broadband Notes will contain covenants that, among other things, limit Broadband's ability and the cable guarantors' ability to create secured indebtedness and engage in sale and leaseback transactions and Broadband's ability to enter into some types of mergers and consolidations. See "Description of the New Broadband Notes and the Cable Guarantees -- Certain Covenants." Neither the New Broadband Notes nor the cable guarantees will contain financial covenants.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39" w:right="1440" w:bottom="1440" w:gutter="0" w:footer="0" w:header="0"/>
        </w:sectPr>
      </w:pPr>
    </w:p>
    <w:bookmarkStart w:id="26" w:name="page27"/>
    <w:bookmarkEnd w:id="26"/>
    <w:p>
      <w:pPr>
        <w:jc w:val="center"/>
        <w:ind w:right="2819"/>
        <w:spacing w:after="0"/>
        <w:rPr>
          <w:sz w:val="20"/>
          <w:szCs w:val="20"/>
          <w:color w:val="auto"/>
        </w:rPr>
      </w:pPr>
      <w:r>
        <w:rPr>
          <w:rFonts w:ascii="Courier New" w:cs="Courier New" w:eastAsia="Courier New" w:hAnsi="Courier New"/>
          <w:sz w:val="16"/>
          <w:szCs w:val="16"/>
          <w:color w:val="auto"/>
        </w:rPr>
        <w:t>DESCRIPTION OF THE NEW AT&amp;T NOTES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New AT&amp;T Notes will be entitled to the benefits and subject to the terms and conditions of the AT&amp;T Indenture, as amended by a supplemental indenture that will have the purpose of, among other things, effecting the note amendment with respect to each series of New AT&amp;T Notes.</w:t>
      </w:r>
    </w:p>
    <w:p>
      <w:pPr>
        <w:spacing w:after="0" w:line="186" w:lineRule="exact"/>
        <w:rPr>
          <w:sz w:val="20"/>
          <w:szCs w:val="20"/>
          <w:color w:val="auto"/>
        </w:rPr>
      </w:pPr>
    </w:p>
    <w:p>
      <w:pPr>
        <w:ind w:right="3839" w:firstLine="469"/>
        <w:spacing w:after="0" w:line="236" w:lineRule="auto"/>
        <w:rPr>
          <w:sz w:val="20"/>
          <w:szCs w:val="20"/>
          <w:color w:val="auto"/>
        </w:rPr>
      </w:pPr>
      <w:r>
        <w:rPr>
          <w:rFonts w:ascii="Courier New" w:cs="Courier New" w:eastAsia="Courier New" w:hAnsi="Courier New"/>
          <w:sz w:val="16"/>
          <w:szCs w:val="16"/>
          <w:color w:val="auto"/>
        </w:rPr>
        <w:t>The terms of the New AT&amp;T Notes and the AT&amp;T Eligible Notes are substantially identical, except that:</w:t>
      </w:r>
    </w:p>
    <w:p>
      <w:pPr>
        <w:spacing w:after="0" w:line="185" w:lineRule="exact"/>
        <w:rPr>
          <w:sz w:val="20"/>
          <w:szCs w:val="20"/>
          <w:color w:val="auto"/>
        </w:rPr>
      </w:pPr>
    </w:p>
    <w:p>
      <w:pPr>
        <w:ind w:left="660" w:right="327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rate on the applicable New AT&amp;T Notes will be adjusted automatically upon completion of the AT&amp;T Comcast transaction, as described in further detail under "Description of the New AT&amp;T Notes -- Interest Payments;"</w:t>
      </w:r>
    </w:p>
    <w:p>
      <w:pPr>
        <w:spacing w:after="0" w:line="366" w:lineRule="exact"/>
        <w:rPr>
          <w:rFonts w:ascii="Courier New" w:cs="Courier New" w:eastAsia="Courier New" w:hAnsi="Courier New"/>
          <w:sz w:val="16"/>
          <w:szCs w:val="16"/>
          <w:color w:val="auto"/>
        </w:rPr>
      </w:pPr>
    </w:p>
    <w:p>
      <w:pPr>
        <w:ind w:left="660" w:right="2819" w:hanging="195"/>
        <w:spacing w:after="0" w:line="259" w:lineRule="auto"/>
        <w:tabs>
          <w:tab w:leader="none" w:pos="6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date of the New AT&amp;T Notes issued in exchange for the 6.50% AT&amp;T Eligible Notes Due March 15, 2029 will be changed automatically to March 15, 2013 upon completion of the AT&amp;T Comcast transaction; and</w:t>
      </w:r>
    </w:p>
    <w:p>
      <w:pPr>
        <w:spacing w:after="0" w:line="351"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covenant applicable to the New AT&amp;T Notes will be the AT&amp;T Indenture merger covenant as amended by the note amendment, which is described in greater detail under "Description of the Broadband Exchange Notes -- Certain Covenants -- Consolidation, Merger or Sale."</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BASIC TERMS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AT&amp;T Notes:</w:t>
      </w:r>
    </w:p>
    <w:p>
      <w:pPr>
        <w:spacing w:after="0" w:line="185" w:lineRule="exact"/>
        <w:rPr>
          <w:sz w:val="20"/>
          <w:szCs w:val="20"/>
          <w:color w:val="auto"/>
        </w:rPr>
      </w:pPr>
    </w:p>
    <w:p>
      <w:pPr>
        <w:ind w:left="660" w:right="2899" w:hanging="195"/>
        <w:spacing w:after="0" w:line="236"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AT&amp;T's other unsecured and unsubordinated debt;</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obligations only of AT&amp;T;</w:t>
      </w:r>
    </w:p>
    <w:p>
      <w:pPr>
        <w:spacing w:after="0" w:line="184" w:lineRule="exact"/>
        <w:rPr>
          <w:rFonts w:ascii="Courier New" w:cs="Courier New" w:eastAsia="Courier New" w:hAnsi="Courier New"/>
          <w:sz w:val="16"/>
          <w:szCs w:val="16"/>
          <w:color w:val="auto"/>
        </w:rPr>
      </w:pPr>
    </w:p>
    <w:p>
      <w:pPr>
        <w:ind w:left="660" w:right="3839" w:hanging="195"/>
        <w:spacing w:after="0" w:line="236"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 $5,485,563,000 comprised as follows:</w:t>
      </w:r>
    </w:p>
    <w:p>
      <w:pPr>
        <w:spacing w:after="0" w:line="184" w:lineRule="exact"/>
        <w:rPr>
          <w:rFonts w:ascii="Courier New" w:cs="Courier New" w:eastAsia="Courier New" w:hAnsi="Courier New"/>
          <w:sz w:val="16"/>
          <w:szCs w:val="16"/>
          <w:color w:val="auto"/>
        </w:rPr>
      </w:pPr>
    </w:p>
    <w:p>
      <w:pPr>
        <w:ind w:left="740" w:right="2719" w:hanging="181"/>
        <w:spacing w:after="0" w:line="237" w:lineRule="auto"/>
        <w:tabs>
          <w:tab w:leader="none" w:pos="74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$2,000,000,000 in principal amount of New AT&amp;T Notes Due 2004 (Series 1), maturing on March 15, 2004, with interest payable semiannually on each March 15 and September 15, beginning the first March 15 or September 15 occurring after the initial issuance of the New AT&amp;T Notes Due 2004 (Series 1), to holders of record on the preceding March 1 and September 1;</w:t>
      </w:r>
    </w:p>
    <w:p>
      <w:pPr>
        <w:spacing w:after="0" w:line="188" w:lineRule="exact"/>
        <w:rPr>
          <w:rFonts w:ascii="Courier New" w:cs="Courier New" w:eastAsia="Courier New" w:hAnsi="Courier New"/>
          <w:sz w:val="16"/>
          <w:szCs w:val="16"/>
          <w:color w:val="auto"/>
        </w:rPr>
      </w:pPr>
    </w:p>
    <w:p>
      <w:pPr>
        <w:ind w:left="740" w:right="2819" w:hanging="181"/>
        <w:spacing w:after="0" w:line="237" w:lineRule="auto"/>
        <w:tabs>
          <w:tab w:leader="none" w:pos="74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$400,000,000 in principal amount of New AT&amp;T Notes Due 2004 (Series 2), maturing on April 1, 2004, with interest payable semiannually on each April 1 and October 1, beginning the first April 1 or October 1 occurring after the initial issuance of the New AT&amp;T Notes Due 2004 (Series 2), to holders of record on the preceding March 15 and September 15;</w:t>
      </w:r>
    </w:p>
    <w:p>
      <w:pPr>
        <w:spacing w:after="0" w:line="188" w:lineRule="exact"/>
        <w:rPr>
          <w:rFonts w:ascii="Courier New" w:cs="Courier New" w:eastAsia="Courier New" w:hAnsi="Courier New"/>
          <w:sz w:val="16"/>
          <w:szCs w:val="16"/>
          <w:color w:val="auto"/>
        </w:rPr>
      </w:pPr>
    </w:p>
    <w:p>
      <w:pPr>
        <w:ind w:left="740" w:right="2719" w:hanging="181"/>
        <w:spacing w:after="0" w:line="237" w:lineRule="auto"/>
        <w:tabs>
          <w:tab w:leader="none" w:pos="74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$25,000,000 in principal amount of New Medium-Term Notes, Series A (subseries 1) Due May 15, 2025, maturing on May 15, 2025, with interest payable semiannually on each May 15 and November 15, beginning the first May 15 or November 15 occurring after the initial issuance of the New Medium-Term Notes, Series A (subseries 1) Due May 15, 2025, to holders of record on the preceding May 1 and November 1;</w:t>
      </w:r>
    </w:p>
    <w:p>
      <w:pPr>
        <w:spacing w:after="0" w:line="188" w:lineRule="exact"/>
        <w:rPr>
          <w:rFonts w:ascii="Courier New" w:cs="Courier New" w:eastAsia="Courier New" w:hAnsi="Courier New"/>
          <w:sz w:val="16"/>
          <w:szCs w:val="16"/>
          <w:color w:val="auto"/>
        </w:rPr>
      </w:pPr>
    </w:p>
    <w:p>
      <w:pPr>
        <w:ind w:left="740" w:right="2719" w:hanging="181"/>
        <w:spacing w:after="0" w:line="237" w:lineRule="auto"/>
        <w:tabs>
          <w:tab w:leader="none" w:pos="74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$50,000,000 in principal amount of New Medium-Term Notes, Series A (subseries 2) Due May 15, 2025, maturing on May 15, 2025, with interest payable semiannually on each May 15 and November 15, beginning the first May 15 or November 15 occurring after the initial issuance of the New Medium-Term Notes, Series A (subseries 2) Due May 15, 2025, to holders of record on the preceding May 1 and November 1;</w:t>
      </w:r>
    </w:p>
    <w:p>
      <w:pPr>
        <w:spacing w:after="0" w:line="369" w:lineRule="exact"/>
        <w:rPr>
          <w:rFonts w:ascii="Courier New" w:cs="Courier New" w:eastAsia="Courier New" w:hAnsi="Courier New"/>
          <w:sz w:val="16"/>
          <w:szCs w:val="16"/>
          <w:color w:val="auto"/>
        </w:rPr>
      </w:pPr>
    </w:p>
    <w:p>
      <w:pPr>
        <w:ind w:left="740" w:right="2719" w:hanging="181"/>
        <w:spacing w:after="0" w:line="256" w:lineRule="auto"/>
        <w:tabs>
          <w:tab w:leader="none" w:pos="74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$3,000,000,000 in principal amount of New AT&amp;T Notes Due 2013, maturing on March 15, 2029, however, upon completion of the AT&amp;T Comcast transaction, the maturity will be changed automatically to March 15, 2013, with interest payable semiannually on each March 15 and September 15, beginning the first March 15 or September 15 occurring after the</w:t>
      </w:r>
    </w:p>
    <w:p>
      <w:pPr>
        <w:spacing w:after="0" w:line="35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27" w:name="page28"/>
    <w:bookmarkEnd w:id="27"/>
    <w:p>
      <w:pPr>
        <w:ind w:left="740" w:right="2719"/>
        <w:spacing w:after="0" w:line="236" w:lineRule="auto"/>
        <w:rPr>
          <w:sz w:val="20"/>
          <w:szCs w:val="20"/>
          <w:color w:val="auto"/>
        </w:rPr>
      </w:pPr>
      <w:r>
        <w:rPr>
          <w:rFonts w:ascii="Courier New" w:cs="Courier New" w:eastAsia="Courier New" w:hAnsi="Courier New"/>
          <w:sz w:val="16"/>
          <w:szCs w:val="16"/>
          <w:color w:val="auto"/>
        </w:rPr>
        <w:t>initial issuance of the New AT&amp;T Notes Due 2013, to holders of record on the preceding March 1 and September 1;</w:t>
      </w:r>
    </w:p>
    <w:p>
      <w:pPr>
        <w:spacing w:after="0" w:line="365" w:lineRule="exact"/>
        <w:rPr>
          <w:sz w:val="20"/>
          <w:szCs w:val="20"/>
          <w:color w:val="auto"/>
        </w:rPr>
      </w:pPr>
    </w:p>
    <w:p>
      <w:pPr>
        <w:ind w:left="740" w:right="2819" w:hanging="181"/>
        <w:spacing w:after="0" w:line="237"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$10,563,000 in principal amount of New FRN Medium-Term Notes, Series A Due 2054, maturing on December 28, 2054, with interest payable semiannually on each June 28 and December 28, beginning the first June 28 or December 28 occurring after the initial issuance of the New FRN Medium-Term Notes, Series A Due 2054, to holders of record on the preceding June 13 and December 13.</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MARKET FOR THE NEW AT&amp;T NOTES; LISTING</w:t>
      </w:r>
    </w:p>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Although AT&amp;T has applied to list each series of the New AT&amp;T Notes, other than the Series A Medium-Term Notes, on the New York Stock Exchange, there is currently no public market for the New AT&amp;T Notes. Application has been made to list the New AT&amp;T Notes Due 2004 (Series 1) and the New AT&amp;T Notes Due 2013 additionally on the Luxembourg Stock Exchange. AT&amp;T does not intend to apply for listing of the Series A Medium-Term Notes on any national exchange. There can be no assurance as to the development of any market for the New AT&amp;T Notes.</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OPTIONAL REDEMPTION</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AT&amp;T will have the right at its option to redeem certain of the New AT&amp;T Notes, other than the New AT&amp;T Notes Due 2004 (Series 2), at any time or from time to time, on at least 30 days, but not more than 60 days, prior notice mailed to the registered address of each holder of the applicable series of New AT&amp;T Notes. The optional redemption terms for each series of New AT&amp;T Notes is described under "Description of the New AT&amp;T Notes -- Optional Redemption."</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AT&amp;T Indenture under which AT&amp;T will issue the New AT&amp;T Notes contains covenants that, among other things, limit AT&amp;T's ability and its subsidiaries' ability to create secured indebtedness and engage in sale and leaseback transactions. See "Description of the New AT&amp;T Notes."</w:t>
      </w:r>
    </w:p>
    <w:p>
      <w:pPr>
        <w:spacing w:after="0" w:line="18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UNITED STATES FEDERAL INCOME TAX CONSEQUENCES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U.S. federal income tax consequences to a holder of Broadband Eligible Notes or AT&amp;T Eligible Notes vary depending on which type of notes are held, whether or not the holder participates in the exchange offer and whether or not the AT&amp;T Comcast transaction is completed. Depending on those facts, a holder of eligible notes may recognize gain or loss for U.S. federal income tax purposes in connection with the exchange and the modification of certain terms of such notes upon consummation of the AT&amp;T Comcast transaction. Please see "Description of the Exchange Offer -- Material United States Federal Income Tax Consequences of the Exchange Offer" beginning on page 83 of this prospectus.</w:t>
      </w:r>
    </w:p>
    <w:p>
      <w:pPr>
        <w:spacing w:after="0" w:line="35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39" w:right="1440" w:bottom="1440" w:gutter="0" w:footer="0" w:header="0"/>
        </w:sectPr>
      </w:pPr>
    </w:p>
    <w:bookmarkStart w:id="28" w:name="page29"/>
    <w:bookmarkEnd w:id="28"/>
    <w:p>
      <w:pPr>
        <w:jc w:val="center"/>
        <w:ind w:right="2819"/>
        <w:spacing w:after="0"/>
        <w:rPr>
          <w:sz w:val="20"/>
          <w:szCs w:val="20"/>
          <w:color w:val="auto"/>
        </w:rPr>
      </w:pPr>
      <w:r>
        <w:rPr>
          <w:rFonts w:ascii="Courier New" w:cs="Courier New" w:eastAsia="Courier New" w:hAnsi="Courier New"/>
          <w:sz w:val="16"/>
          <w:szCs w:val="16"/>
          <w:color w:val="auto"/>
        </w:rPr>
        <w:t>THE DEALER MANAGERS</w:t>
      </w:r>
    </w:p>
    <w:p>
      <w:pPr>
        <w:spacing w:after="0" w:line="185" w:lineRule="exact"/>
        <w:rPr>
          <w:sz w:val="20"/>
          <w:szCs w:val="20"/>
          <w:color w:val="auto"/>
        </w:rPr>
      </w:pPr>
    </w:p>
    <w:p>
      <w:pPr>
        <w:ind w:right="3279" w:firstLine="469"/>
        <w:spacing w:after="0" w:line="259" w:lineRule="auto"/>
        <w:rPr>
          <w:sz w:val="20"/>
          <w:szCs w:val="20"/>
          <w:color w:val="auto"/>
        </w:rPr>
      </w:pPr>
      <w:r>
        <w:rPr>
          <w:rFonts w:ascii="Courier New" w:cs="Courier New" w:eastAsia="Courier New" w:hAnsi="Courier New"/>
          <w:sz w:val="15"/>
          <w:szCs w:val="15"/>
          <w:color w:val="auto"/>
        </w:rPr>
        <w:t>The following firms, listed in alphabetical order, will act as dealer managers for the exchange offer, and can be reached at the addresses and telephone numbers set forth on the back cover of this prospectus:</w:t>
      </w:r>
    </w:p>
    <w:p>
      <w:pPr>
        <w:spacing w:after="0" w:line="166"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Credit Suisse First Boston Corporation</w:t>
      </w:r>
    </w:p>
    <w:p>
      <w:pPr>
        <w:jc w:val="center"/>
        <w:ind w:right="2819"/>
        <w:spacing w:after="0"/>
        <w:rPr>
          <w:sz w:val="20"/>
          <w:szCs w:val="20"/>
          <w:color w:val="auto"/>
        </w:rPr>
      </w:pPr>
      <w:r>
        <w:rPr>
          <w:rFonts w:ascii="Courier New" w:cs="Courier New" w:eastAsia="Courier New" w:hAnsi="Courier New"/>
          <w:sz w:val="16"/>
          <w:szCs w:val="16"/>
          <w:color w:val="auto"/>
        </w:rPr>
        <w:t>Deutsche Bank Securities Inc.</w:t>
      </w:r>
    </w:p>
    <w:p>
      <w:pPr>
        <w:jc w:val="center"/>
        <w:ind w:right="2719"/>
        <w:spacing w:after="0" w:line="237" w:lineRule="auto"/>
        <w:rPr>
          <w:sz w:val="20"/>
          <w:szCs w:val="20"/>
          <w:color w:val="auto"/>
        </w:rPr>
      </w:pPr>
      <w:r>
        <w:rPr>
          <w:rFonts w:ascii="Courier New" w:cs="Courier New" w:eastAsia="Courier New" w:hAnsi="Courier New"/>
          <w:sz w:val="16"/>
          <w:szCs w:val="16"/>
          <w:color w:val="auto"/>
        </w:rPr>
        <w:t>Goldman, Sachs &amp; Co.</w:t>
      </w:r>
    </w:p>
    <w:p>
      <w:pPr>
        <w:jc w:val="center"/>
        <w:ind w:right="2819"/>
        <w:spacing w:after="0"/>
        <w:rPr>
          <w:sz w:val="20"/>
          <w:szCs w:val="20"/>
          <w:color w:val="auto"/>
        </w:rPr>
      </w:pPr>
      <w:r>
        <w:rPr>
          <w:rFonts w:ascii="Courier New" w:cs="Courier New" w:eastAsia="Courier New" w:hAnsi="Courier New"/>
          <w:sz w:val="16"/>
          <w:szCs w:val="16"/>
          <w:color w:val="auto"/>
        </w:rPr>
        <w:t>J.P. Morgan Securities Inc.</w:t>
      </w:r>
    </w:p>
    <w:p>
      <w:pPr>
        <w:jc w:val="center"/>
        <w:ind w:right="2819"/>
        <w:spacing w:after="0" w:line="238" w:lineRule="auto"/>
        <w:rPr>
          <w:sz w:val="20"/>
          <w:szCs w:val="20"/>
          <w:color w:val="auto"/>
        </w:rPr>
      </w:pPr>
      <w:r>
        <w:rPr>
          <w:rFonts w:ascii="Courier New" w:cs="Courier New" w:eastAsia="Courier New" w:hAnsi="Courier New"/>
          <w:sz w:val="16"/>
          <w:szCs w:val="16"/>
          <w:color w:val="auto"/>
        </w:rPr>
        <w:t>Merrill Lynch, Pierce, Fenner &amp; Smith</w:t>
      </w:r>
    </w:p>
    <w:p>
      <w:pPr>
        <w:jc w:val="center"/>
        <w:ind w:right="2719"/>
        <w:spacing w:after="0"/>
        <w:rPr>
          <w:sz w:val="20"/>
          <w:szCs w:val="20"/>
          <w:color w:val="auto"/>
        </w:rPr>
      </w:pPr>
      <w:r>
        <w:rPr>
          <w:rFonts w:ascii="Courier New" w:cs="Courier New" w:eastAsia="Courier New" w:hAnsi="Courier New"/>
          <w:sz w:val="16"/>
          <w:szCs w:val="16"/>
          <w:color w:val="auto"/>
        </w:rPr>
        <w:t>Incorporated</w:t>
      </w:r>
    </w:p>
    <w:p>
      <w:pPr>
        <w:jc w:val="center"/>
        <w:ind w:right="2819"/>
        <w:spacing w:after="0" w:line="238" w:lineRule="auto"/>
        <w:rPr>
          <w:sz w:val="20"/>
          <w:szCs w:val="20"/>
          <w:color w:val="auto"/>
        </w:rPr>
      </w:pPr>
      <w:r>
        <w:rPr>
          <w:rFonts w:ascii="Courier New" w:cs="Courier New" w:eastAsia="Courier New" w:hAnsi="Courier New"/>
          <w:sz w:val="16"/>
          <w:szCs w:val="16"/>
          <w:color w:val="auto"/>
        </w:rPr>
        <w:t>Morgan Stanley &amp; Co. Incorporated</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INFORMATION AGENT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have engaged D.F. King &amp; Co., Inc. as the information agent for the exchange offer. Requests for additional copies of this prospectus or the letter of transmittal and for assistance in tendering eligible notes should be directed to the information agent below.</w:t>
      </w:r>
    </w:p>
    <w:p>
      <w:pPr>
        <w:spacing w:after="0" w:line="18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D.F. King &amp; Co., Inc.</w:t>
      </w:r>
    </w:p>
    <w:p>
      <w:pPr>
        <w:ind w:left="2440"/>
        <w:spacing w:after="0"/>
        <w:rPr>
          <w:sz w:val="20"/>
          <w:szCs w:val="20"/>
          <w:color w:val="auto"/>
        </w:rPr>
      </w:pPr>
      <w:r>
        <w:rPr>
          <w:rFonts w:ascii="Courier New" w:cs="Courier New" w:eastAsia="Courier New" w:hAnsi="Courier New"/>
          <w:sz w:val="16"/>
          <w:szCs w:val="16"/>
          <w:color w:val="auto"/>
        </w:rPr>
        <w:t>77 Water Street, 20th Floor</w:t>
      </w:r>
    </w:p>
    <w:p>
      <w:pPr>
        <w:ind w:left="2620"/>
        <w:spacing w:after="0" w:line="237" w:lineRule="auto"/>
        <w:rPr>
          <w:sz w:val="20"/>
          <w:szCs w:val="20"/>
          <w:color w:val="auto"/>
        </w:rPr>
      </w:pPr>
      <w:r>
        <w:rPr>
          <w:rFonts w:ascii="Courier New" w:cs="Courier New" w:eastAsia="Courier New" w:hAnsi="Courier New"/>
          <w:sz w:val="16"/>
          <w:szCs w:val="16"/>
          <w:color w:val="auto"/>
        </w:rPr>
        <w:t>New York, New York 10005</w:t>
      </w:r>
    </w:p>
    <w:p>
      <w:pPr>
        <w:ind w:left="2240"/>
        <w:spacing w:after="0"/>
        <w:rPr>
          <w:sz w:val="20"/>
          <w:szCs w:val="20"/>
          <w:color w:val="auto"/>
        </w:rPr>
      </w:pPr>
      <w:r>
        <w:rPr>
          <w:rFonts w:ascii="Courier New" w:cs="Courier New" w:eastAsia="Courier New" w:hAnsi="Courier New"/>
          <w:sz w:val="16"/>
          <w:szCs w:val="16"/>
          <w:color w:val="auto"/>
        </w:rPr>
        <w:t>Banks and Brokers Call Collect:</w:t>
      </w:r>
    </w:p>
    <w:p>
      <w:pPr>
        <w:jc w:val="center"/>
        <w:ind w:right="2719"/>
        <w:spacing w:after="0" w:line="238" w:lineRule="auto"/>
        <w:rPr>
          <w:sz w:val="20"/>
          <w:szCs w:val="20"/>
          <w:color w:val="auto"/>
        </w:rPr>
      </w:pPr>
      <w:r>
        <w:rPr>
          <w:rFonts w:ascii="Courier New" w:cs="Courier New" w:eastAsia="Courier New" w:hAnsi="Courier New"/>
          <w:sz w:val="16"/>
          <w:szCs w:val="16"/>
          <w:color w:val="auto"/>
        </w:rPr>
        <w:t>(212) 269-5550</w:t>
      </w:r>
    </w:p>
    <w:p>
      <w:pPr>
        <w:jc w:val="center"/>
        <w:ind w:right="2719"/>
        <w:spacing w:after="0"/>
        <w:rPr>
          <w:sz w:val="20"/>
          <w:szCs w:val="20"/>
          <w:color w:val="auto"/>
        </w:rPr>
      </w:pPr>
      <w:r>
        <w:rPr>
          <w:rFonts w:ascii="Courier New" w:cs="Courier New" w:eastAsia="Courier New" w:hAnsi="Courier New"/>
          <w:sz w:val="16"/>
          <w:szCs w:val="16"/>
          <w:color w:val="auto"/>
        </w:rPr>
        <w:t>All Others Call Toll Free:</w:t>
      </w:r>
    </w:p>
    <w:p>
      <w:pPr>
        <w:jc w:val="center"/>
        <w:ind w:right="2719"/>
        <w:spacing w:after="0" w:line="238" w:lineRule="auto"/>
        <w:rPr>
          <w:sz w:val="20"/>
          <w:szCs w:val="20"/>
          <w:color w:val="auto"/>
        </w:rPr>
      </w:pPr>
      <w:r>
        <w:rPr>
          <w:rFonts w:ascii="Courier New" w:cs="Courier New" w:eastAsia="Courier New" w:hAnsi="Courier New"/>
          <w:sz w:val="16"/>
          <w:szCs w:val="16"/>
          <w:color w:val="auto"/>
        </w:rPr>
        <w:t>(866) 868-2409</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D.F. King (Europe) Limited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2 London Wall Buildings -- 2nd Floor</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London EC2 M5PP</w:t>
      </w:r>
    </w:p>
    <w:p>
      <w:pPr>
        <w:ind w:left="2520"/>
        <w:spacing w:after="0"/>
        <w:rPr>
          <w:sz w:val="20"/>
          <w:szCs w:val="20"/>
          <w:color w:val="auto"/>
        </w:rPr>
      </w:pPr>
      <w:r>
        <w:rPr>
          <w:rFonts w:ascii="Courier New" w:cs="Courier New" w:eastAsia="Courier New" w:hAnsi="Courier New"/>
          <w:sz w:val="16"/>
          <w:szCs w:val="16"/>
          <w:color w:val="auto"/>
        </w:rPr>
        <w:t>Telephone: 44 207 920 9700</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EXCHANGE AGENT</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We have engaged The Bank of New York as the exchange agent for purposes of processing tenders and withdrawals of eligible notes in the exchange offer. The address and telephone number of the exchange agent are as follows:</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The Bank of New York</w:t>
      </w:r>
    </w:p>
    <w:p>
      <w:pPr>
        <w:ind w:left="2060"/>
        <w:spacing w:after="0"/>
        <w:rPr>
          <w:sz w:val="20"/>
          <w:szCs w:val="20"/>
          <w:color w:val="auto"/>
        </w:rPr>
      </w:pPr>
      <w:r>
        <w:rPr>
          <w:rFonts w:ascii="Courier New" w:cs="Courier New" w:eastAsia="Courier New" w:hAnsi="Courier New"/>
          <w:sz w:val="16"/>
          <w:szCs w:val="16"/>
          <w:color w:val="auto"/>
        </w:rPr>
        <w:t>Corporate Trust Reorganization Unit</w:t>
      </w:r>
    </w:p>
    <w:p>
      <w:pPr>
        <w:ind w:left="2720"/>
        <w:spacing w:after="0" w:line="237" w:lineRule="auto"/>
        <w:rPr>
          <w:sz w:val="20"/>
          <w:szCs w:val="20"/>
          <w:color w:val="auto"/>
        </w:rPr>
      </w:pPr>
      <w:r>
        <w:rPr>
          <w:rFonts w:ascii="Courier New" w:cs="Courier New" w:eastAsia="Courier New" w:hAnsi="Courier New"/>
          <w:sz w:val="16"/>
          <w:szCs w:val="16"/>
          <w:color w:val="auto"/>
        </w:rPr>
        <w:t>101 Barclay Street, 7E</w:t>
      </w:r>
    </w:p>
    <w:p>
      <w:pPr>
        <w:ind w:left="2620"/>
        <w:spacing w:after="0"/>
        <w:rPr>
          <w:sz w:val="20"/>
          <w:szCs w:val="20"/>
          <w:color w:val="auto"/>
        </w:rPr>
      </w:pPr>
      <w:r>
        <w:rPr>
          <w:rFonts w:ascii="Courier New" w:cs="Courier New" w:eastAsia="Courier New" w:hAnsi="Courier New"/>
          <w:sz w:val="16"/>
          <w:szCs w:val="16"/>
          <w:color w:val="auto"/>
        </w:rPr>
        <w:t>New York, New York 10286</w:t>
      </w:r>
    </w:p>
    <w:p>
      <w:pPr>
        <w:ind w:left="3100"/>
        <w:spacing w:after="0" w:line="238" w:lineRule="auto"/>
        <w:rPr>
          <w:sz w:val="20"/>
          <w:szCs w:val="20"/>
          <w:color w:val="auto"/>
        </w:rPr>
      </w:pPr>
      <w:r>
        <w:rPr>
          <w:rFonts w:ascii="Courier New" w:cs="Courier New" w:eastAsia="Courier New" w:hAnsi="Courier New"/>
          <w:sz w:val="16"/>
          <w:szCs w:val="16"/>
          <w:color w:val="auto"/>
        </w:rPr>
        <w:t>Attn: Kin Lau</w:t>
      </w:r>
    </w:p>
    <w:p>
      <w:pPr>
        <w:ind w:left="2520"/>
        <w:spacing w:after="0"/>
        <w:rPr>
          <w:sz w:val="20"/>
          <w:szCs w:val="20"/>
          <w:color w:val="auto"/>
        </w:rPr>
      </w:pPr>
      <w:r>
        <w:rPr>
          <w:rFonts w:ascii="Courier New" w:cs="Courier New" w:eastAsia="Courier New" w:hAnsi="Courier New"/>
          <w:sz w:val="16"/>
          <w:szCs w:val="16"/>
          <w:color w:val="auto"/>
        </w:rPr>
        <w:t>Toll Free: (800) 254-2826</w:t>
      </w:r>
    </w:p>
    <w:p>
      <w:pPr>
        <w:ind w:left="2520"/>
        <w:spacing w:after="0" w:line="238" w:lineRule="auto"/>
        <w:rPr>
          <w:sz w:val="20"/>
          <w:szCs w:val="20"/>
          <w:color w:val="auto"/>
        </w:rPr>
      </w:pPr>
      <w:r>
        <w:rPr>
          <w:rFonts w:ascii="Courier New" w:cs="Courier New" w:eastAsia="Courier New" w:hAnsi="Courier New"/>
          <w:sz w:val="16"/>
          <w:szCs w:val="16"/>
          <w:color w:val="auto"/>
        </w:rPr>
        <w:t>Telephone: (212) 815-3750</w:t>
      </w:r>
    </w:p>
    <w:p>
      <w:pPr>
        <w:ind w:left="2520"/>
        <w:spacing w:after="0"/>
        <w:rPr>
          <w:sz w:val="20"/>
          <w:szCs w:val="20"/>
          <w:color w:val="auto"/>
        </w:rPr>
      </w:pPr>
      <w:r>
        <w:rPr>
          <w:rFonts w:ascii="Courier New" w:cs="Courier New" w:eastAsia="Courier New" w:hAnsi="Courier New"/>
          <w:sz w:val="16"/>
          <w:szCs w:val="16"/>
          <w:color w:val="auto"/>
        </w:rPr>
        <w:t>Facsimile: (212) 298-1915</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THE LUXEMBOURG EXCHANGE AGENT</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We have engaged The Bank of New York (Luxembourg) S.A. as the Luxembourg exchange agent in connection with the exchange offer. In Luxembourg, you should contact the Luxembourg exchange agent for services in connection with the exchange offer, including to obtain copies of this prospectus and the letter of transmittal or answers to questions about the terms and procedures of the exchange offer, to have a letter of transmittal submitted on your behalf, or to have the Luxembourg Notes delivered on your behalf. The address and telephone number of the Luxembourg exchange agent are as follows:</w:t>
      </w:r>
    </w:p>
    <w:p>
      <w:pPr>
        <w:spacing w:after="0" w:line="36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Bank of New York (Luxembourg) S.A.</w:t>
      </w:r>
    </w:p>
    <w:p>
      <w:pPr>
        <w:jc w:val="center"/>
        <w:ind w:right="2719"/>
        <w:spacing w:after="0"/>
        <w:rPr>
          <w:sz w:val="20"/>
          <w:szCs w:val="20"/>
          <w:color w:val="auto"/>
        </w:rPr>
      </w:pPr>
      <w:r>
        <w:rPr>
          <w:rFonts w:ascii="Courier New" w:cs="Courier New" w:eastAsia="Courier New" w:hAnsi="Courier New"/>
          <w:sz w:val="16"/>
          <w:szCs w:val="16"/>
          <w:color w:val="auto"/>
        </w:rPr>
        <w:t>Aerogolf Center -- 1A, Hoehenhof</w:t>
      </w:r>
    </w:p>
    <w:p>
      <w:pPr>
        <w:jc w:val="center"/>
        <w:ind w:right="2719"/>
        <w:spacing w:after="0" w:line="237" w:lineRule="auto"/>
        <w:rPr>
          <w:sz w:val="20"/>
          <w:szCs w:val="20"/>
          <w:color w:val="auto"/>
        </w:rPr>
      </w:pPr>
      <w:r>
        <w:rPr>
          <w:rFonts w:ascii="Courier New" w:cs="Courier New" w:eastAsia="Courier New" w:hAnsi="Courier New"/>
          <w:sz w:val="16"/>
          <w:szCs w:val="16"/>
          <w:color w:val="auto"/>
        </w:rPr>
        <w:t>L-1736 Senningerberg, Luxembourg</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Attn: Sunjeeve R. Patel</w:t>
      </w:r>
    </w:p>
    <w:p>
      <w:pPr>
        <w:spacing w:after="0" w:line="36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Telephone: 44 207 964 6337</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Facsimile: 44 207 964 6399</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29" w:name="page30"/>
    <w:bookmarkEnd w:id="29"/>
    <w:p>
      <w:pPr>
        <w:ind w:left="2620"/>
        <w:spacing w:after="0"/>
        <w:rPr>
          <w:sz w:val="20"/>
          <w:szCs w:val="20"/>
          <w:color w:val="auto"/>
        </w:rPr>
      </w:pPr>
      <w:r>
        <w:rPr>
          <w:rFonts w:ascii="Courier New" w:cs="Courier New" w:eastAsia="Courier New" w:hAnsi="Courier New"/>
          <w:sz w:val="16"/>
          <w:szCs w:val="16"/>
          <w:color w:val="auto"/>
        </w:rPr>
        <w:t>RETAIL SOLICITATION FEE</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will pay soliciting dealers named in a qualifying letter of transmittal with respect to eligible notes as having solicited and obtained the tender from a U.S. holder a retail solicitation fee of $2.50 per $1,000 of eligible notes tendered by a beneficial holder of less than $250,000 in principal amount of eligible notes and accepted in the exchange offer. See "Description of the Exchange Offer -- Retail Solicitation Fee."</w:t>
      </w:r>
    </w:p>
    <w:p>
      <w:pPr>
        <w:spacing w:after="0" w:line="36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RECENT DEVELOPMENTS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August 21, 2002, AT&amp;T and Comcast announced that they had entered into an agreement with AOL Time Warner providing for the restructuring of Time Warner Entertainment Company L.P., or TWE. The restructuring agreement, which has been publicly filed by AT&amp;T as an exhibit to its Current Report on Form 8-K, dated August 23, 2002, is intended to provide for a more orderly and timely disposition of AT&amp;T Broadband Group's entire stake in TWE than would likely be available under the registration rights provisions of the TWE partnership agreement, which AT&amp;T Broadband Group has been pursuing. Under the restructuring agreement, which is expected to close in the first half of 2003, for its 27.64% interest in TWE, AT&amp;T Broadband Group will receive $1.5 billion in common stock of AOL Time Warner Inc. (valued at the time of the closing and subject to certain limitations) and an effective 21% passive equity interest in all of AOL Time Warner's cable properties, including those already in TWE, and AT&amp;T Broadband Group will also receive $2.1 billion in cash. As part of the restructuring, TWE will distribute to AOL Time Warner all of TWE's major content assets, which include Home Box Office (HBO), Warner Bros., and stakes in The WB Network, Comedy Central and Court TV. Upon consummation of the AT&amp;T Comcast transaction, AT&amp;T Comcast will assume all of AT&amp;T's interest in TWE and in the restructuring agreement. Time Warner Cable, which will own substantially all of AOL Time Warner's cable interests, is expected to conduct an initial public offering of common stock following the restructuring. Under the restructuring agreement, AT&amp;T Broadband Group will have registration rights enabling it to dispose of its shares in Time Warner Cable and in AOL Time Warner.</w:t>
      </w:r>
    </w:p>
    <w:p>
      <w:pPr>
        <w:spacing w:after="0" w:line="17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connection with the transactions, AT&amp;T Broadband Group and Comcast will also enter into a three-year non-exclusive agreement with AOL Time Warner under which AOL High-Speed Broadband service would be made available on certain of AT&amp;T's, or AT&amp;T Comcast's, cable systems which pass approximately 10 million homes.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and Comcast intend, at or prior to the closing of the AT&amp;T Comcast transaction, to place AT&amp;T's entire interest in TWE in trust for orderly disposition. Any non-cash consideration received in respect of such interest, including the AOL Time Warner common stock to be issued to AT&amp;T Broadband Group and AT&amp;T Broadband Group's entire economic and voting interest in Time Warner Cable will remain in trust until disposed of or regulatory approval is obtained to remove such interests from the trust.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acquired its stake in TWE as part of its June 2000 acquisition of the MediaOne Group. In February of 2001, AT&amp;T requested that TWE convert from a limited partnership into a corporation and create equity securities for registration with the Securities and Exchange Commission. On July 30, 2002, AT&amp;T and TWE agreed to suspend the registration process to explore alternative approaches that led to the transactions contemplated by the restructuring agreement.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connection with the Broadband spin-off, all of AT&amp;T Broadband Group's interests and rights with respect to TWE will be transferred to Broadband or its subsidiaries.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TWE restructuring is subject to receipt of certain regulatory approvals and other closing conditions, certain of which are outside the control of AT&amp;T and Comcast. There can be no assurance that the transactions contemplated by the TWE restructuring agreement will be consummated. If the restructuring agreement is terminated without the restructuring being consummated, the parties will return to the registration rights process under the TWE partnership agreement.</w:t>
      </w:r>
    </w:p>
    <w:p>
      <w:pPr>
        <w:spacing w:after="0" w:line="17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If the AT&amp;T Comcast transaction is not completed, the TWE restructuring agreement will remain in place between AT&amp;T and AOL Time Warner, although certain changes would be made to the Internet service provider carriage agreement between them.</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4" w:right="1440" w:bottom="1440" w:gutter="0" w:footer="0" w:header="0"/>
        </w:sectPr>
      </w:pPr>
    </w:p>
    <w:bookmarkStart w:id="30" w:name="page31"/>
    <w:bookmarkEnd w:id="30"/>
    <w:p>
      <w:pPr>
        <w:spacing w:after="0" w:line="86"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SELECTED FINANCIAL DATA OF AT&amp;T</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consolidated income statement data below for the three years ended December 31, 2001, and the consolidated balance sheet data at December 31, 2001 and 2000, were derived from audited consolidated financial statements of AT&amp;T Corp. incorporated by reference in this prospectus. The remaining data was derived from AT&amp;T's unaudited consolidated financial statements.</w:t>
      </w:r>
    </w:p>
    <w:p>
      <w:pPr>
        <w:spacing w:after="0" w:line="182" w:lineRule="exact"/>
        <w:rPr>
          <w:sz w:val="20"/>
          <w:szCs w:val="20"/>
          <w:color w:val="auto"/>
        </w:rPr>
      </w:pPr>
    </w:p>
    <w:p>
      <w:pPr>
        <w:jc w:val="center"/>
        <w:ind w:right="6655"/>
        <w:spacing w:after="0"/>
        <w:rPr>
          <w:sz w:val="20"/>
          <w:szCs w:val="20"/>
          <w:color w:val="auto"/>
        </w:rPr>
      </w:pPr>
      <w:r>
        <w:rPr>
          <w:rFonts w:ascii="Courier New" w:cs="Courier New" w:eastAsia="Courier New" w:hAnsi="Courier New"/>
          <w:sz w:val="16"/>
          <w:szCs w:val="16"/>
          <w:color w:val="auto"/>
        </w:rPr>
        <w:t>AT OR FOR THE SIX MONTHS ENDED JUNE</w:t>
      </w:r>
    </w:p>
    <w:p>
      <w:pPr>
        <w:jc w:val="center"/>
        <w:ind w:right="6655"/>
        <w:spacing w:after="0"/>
        <w:rPr>
          <w:sz w:val="20"/>
          <w:szCs w:val="20"/>
          <w:color w:val="auto"/>
        </w:rPr>
      </w:pPr>
      <w:r>
        <w:rPr>
          <w:rFonts w:ascii="Courier New" w:cs="Courier New" w:eastAsia="Courier New" w:hAnsi="Courier New"/>
          <w:sz w:val="16"/>
          <w:szCs w:val="16"/>
          <w:color w:val="auto"/>
        </w:rPr>
        <w:t>30, AT OR FOR THE YEARS ENDED</w:t>
      </w:r>
    </w:p>
    <w:p>
      <w:pPr>
        <w:ind w:left="44"/>
        <w:spacing w:after="0" w:line="237" w:lineRule="auto"/>
        <w:rPr>
          <w:sz w:val="20"/>
          <w:szCs w:val="20"/>
          <w:color w:val="auto"/>
        </w:rPr>
      </w:pPr>
      <w:r>
        <w:rPr>
          <w:rFonts w:ascii="Courier New" w:cs="Courier New" w:eastAsia="Courier New" w:hAnsi="Courier New"/>
          <w:sz w:val="16"/>
          <w:szCs w:val="16"/>
          <w:color w:val="auto"/>
        </w:rPr>
        <w:t>DECEMBER 31, ------------------ -----</w:t>
      </w:r>
    </w:p>
    <w:p>
      <w:pPr>
        <w:ind w:left="44"/>
        <w:spacing w:after="0"/>
        <w:rPr>
          <w:sz w:val="20"/>
          <w:szCs w:val="20"/>
          <w:color w:val="auto"/>
        </w:rPr>
      </w:pPr>
      <w:r>
        <w:rPr>
          <w:rFonts w:ascii="Courier New" w:cs="Courier New" w:eastAsia="Courier New" w:hAnsi="Courier New"/>
          <w:sz w:val="16"/>
          <w:szCs w:val="16"/>
          <w:color w:val="auto"/>
        </w:rPr>
        <w:t>-------------------------------------</w:t>
      </w:r>
    </w:p>
    <w:p>
      <w:pPr>
        <w:ind w:left="184"/>
        <w:spacing w:after="0" w:line="238" w:lineRule="auto"/>
        <w:rPr>
          <w:sz w:val="20"/>
          <w:szCs w:val="20"/>
          <w:color w:val="auto"/>
        </w:rPr>
      </w:pPr>
      <w:r>
        <w:rPr>
          <w:rFonts w:ascii="Courier New" w:cs="Courier New" w:eastAsia="Courier New" w:hAnsi="Courier New"/>
          <w:sz w:val="16"/>
          <w:szCs w:val="16"/>
          <w:color w:val="auto"/>
        </w:rPr>
        <w:t>-------- 2002(1) 2001 2001 2000(2)</w:t>
      </w:r>
    </w:p>
    <w:p>
      <w:pPr>
        <w:ind w:left="44"/>
        <w:spacing w:after="0"/>
        <w:rPr>
          <w:sz w:val="20"/>
          <w:szCs w:val="20"/>
          <w:color w:val="auto"/>
        </w:rPr>
      </w:pPr>
      <w:r>
        <w:rPr>
          <w:rFonts w:ascii="Courier New" w:cs="Courier New" w:eastAsia="Courier New" w:hAnsi="Courier New"/>
          <w:sz w:val="16"/>
          <w:szCs w:val="16"/>
          <w:color w:val="auto"/>
        </w:rPr>
        <w:t>1999(3) 1998 1997 -------- ------- --</w:t>
      </w:r>
    </w:p>
    <w:p>
      <w:pPr>
        <w:ind w:left="44"/>
        <w:spacing w:after="0" w:line="238" w:lineRule="auto"/>
        <w:rPr>
          <w:sz w:val="20"/>
          <w:szCs w:val="20"/>
          <w:color w:val="auto"/>
        </w:rPr>
      </w:pPr>
      <w:r>
        <w:rPr>
          <w:rFonts w:ascii="Courier New" w:cs="Courier New" w:eastAsia="Courier New" w:hAnsi="Courier New"/>
          <w:sz w:val="16"/>
          <w:szCs w:val="16"/>
          <w:color w:val="auto"/>
        </w:rPr>
        <w:t>------ -------- -------- ------- ----</w:t>
      </w:r>
    </w:p>
    <w:p>
      <w:pPr>
        <w:spacing w:after="0" w:line="4" w:lineRule="exact"/>
        <w:rPr>
          <w:sz w:val="20"/>
          <w:szCs w:val="20"/>
          <w:color w:val="auto"/>
        </w:rPr>
      </w:pPr>
    </w:p>
    <w:p>
      <w:pPr>
        <w:jc w:val="both"/>
        <w:ind w:left="84" w:right="6699" w:hanging="39"/>
        <w:spacing w:after="0" w:line="254" w:lineRule="auto"/>
        <w:tabs>
          <w:tab w:leader="none" w:pos="41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(DOLLARS IN MILLIONS, EXCEPT PER SHARE AMOUNTS) RESULTS OF</w:t>
      </w: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OPERATIONS AND EARNINGS PER SHARE:</w:t>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11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Revenue...............................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940" w:type="dxa"/>
            <w:vAlign w:val="bottom"/>
          </w:tcPr>
          <w:p>
            <w:pPr>
              <w:jc w:val="right"/>
              <w:ind w:right="33"/>
              <w:spacing w:after="0"/>
              <w:rPr>
                <w:sz w:val="20"/>
                <w:szCs w:val="20"/>
                <w:color w:val="auto"/>
              </w:rPr>
            </w:pPr>
            <w:r>
              <w:rPr>
                <w:rFonts w:ascii="Courier New" w:cs="Courier New" w:eastAsia="Courier New" w:hAnsi="Courier New"/>
                <w:sz w:val="16"/>
                <w:szCs w:val="16"/>
                <w:color w:val="auto"/>
              </w:rPr>
              <w:t>$ 24,088</w:t>
            </w:r>
          </w:p>
        </w:tc>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2"/>
              </w:rPr>
              <w:t>$26,738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52,550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$ 55,533 $</w:t>
            </w:r>
          </w:p>
        </w:tc>
      </w:tr>
      <w:tr>
        <w:trPr>
          <w:trHeight w:val="180"/>
        </w:trPr>
        <w:tc>
          <w:tcPr>
            <w:tcW w:w="940" w:type="dxa"/>
            <w:vAlign w:val="bottom"/>
          </w:tcPr>
          <w:p>
            <w:pPr>
              <w:jc w:val="right"/>
              <w:ind w:right="33"/>
              <w:spacing w:after="0"/>
              <w:rPr>
                <w:sz w:val="20"/>
                <w:szCs w:val="20"/>
                <w:color w:val="auto"/>
              </w:rPr>
            </w:pPr>
            <w:r>
              <w:rPr>
                <w:rFonts w:ascii="Courier New" w:cs="Courier New" w:eastAsia="Courier New" w:hAnsi="Courier New"/>
                <w:sz w:val="16"/>
                <w:szCs w:val="16"/>
                <w:color w:val="auto"/>
              </w:rPr>
              <w:t>54,973</w:t>
            </w:r>
          </w:p>
        </w:tc>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2"/>
              </w:rPr>
              <w:t>$47,817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46,910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Operating</w:t>
            </w:r>
          </w:p>
        </w:tc>
      </w:tr>
      <w:tr>
        <w:trPr>
          <w:trHeight w:val="180"/>
        </w:trPr>
        <w:tc>
          <w:tcPr>
            <w:tcW w:w="178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80"/>
              </w:rPr>
              <w:t>(loss) income...............</w:t>
            </w:r>
          </w:p>
        </w:tc>
        <w:tc>
          <w:tcPr>
            <w:tcW w:w="6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(13,691)</w:t>
            </w:r>
          </w:p>
        </w:tc>
      </w:tr>
      <w:tr>
        <w:trPr>
          <w:trHeight w:val="180"/>
        </w:trPr>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2,178 3,754</w:t>
            </w:r>
          </w:p>
        </w:tc>
        <w:tc>
          <w:tcPr>
            <w:tcW w:w="12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4,228 11,458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94"/>
              </w:rPr>
              <w:t>7,632 6,835</w:t>
            </w:r>
          </w:p>
        </w:tc>
      </w:tr>
    </w:tbl>
    <w:p>
      <w:pPr>
        <w:jc w:val="center"/>
        <w:ind w:right="6655"/>
        <w:spacing w:after="0"/>
        <w:rPr>
          <w:sz w:val="20"/>
          <w:szCs w:val="20"/>
          <w:color w:val="auto"/>
        </w:rPr>
      </w:pPr>
      <w:r>
        <w:rPr>
          <w:rFonts w:ascii="Courier New" w:cs="Courier New" w:eastAsia="Courier New" w:hAnsi="Courier New"/>
          <w:sz w:val="16"/>
          <w:szCs w:val="16"/>
          <w:color w:val="auto"/>
        </w:rPr>
        <w:t>(Loss) income from continuing</w:t>
      </w:r>
    </w:p>
    <w:p>
      <w:pPr>
        <w:ind w:left="84"/>
        <w:spacing w:after="0" w:line="237" w:lineRule="auto"/>
        <w:rPr>
          <w:sz w:val="20"/>
          <w:szCs w:val="20"/>
          <w:color w:val="auto"/>
        </w:rPr>
      </w:pPr>
      <w:r>
        <w:rPr>
          <w:rFonts w:ascii="Courier New" w:cs="Courier New" w:eastAsia="Courier New" w:hAnsi="Courier New"/>
          <w:sz w:val="16"/>
          <w:szCs w:val="16"/>
          <w:color w:val="auto"/>
        </w:rPr>
        <w:t>operations before extraordinary gain</w:t>
      </w:r>
    </w:p>
    <w:p>
      <w:pPr>
        <w:ind w:left="144"/>
        <w:spacing w:after="0"/>
        <w:rPr>
          <w:sz w:val="20"/>
          <w:szCs w:val="20"/>
          <w:color w:val="auto"/>
        </w:rPr>
      </w:pPr>
      <w:r>
        <w:rPr>
          <w:rFonts w:ascii="Courier New" w:cs="Courier New" w:eastAsia="Courier New" w:hAnsi="Courier New"/>
          <w:sz w:val="16"/>
          <w:szCs w:val="16"/>
          <w:color w:val="auto"/>
        </w:rPr>
        <w:t>and cumulative effect of accounting</w:t>
      </w:r>
    </w:p>
    <w:p>
      <w:pPr>
        <w:ind w:left="84"/>
        <w:spacing w:after="0" w:line="238" w:lineRule="auto"/>
        <w:rPr>
          <w:sz w:val="20"/>
          <w:szCs w:val="20"/>
          <w:color w:val="auto"/>
        </w:rPr>
      </w:pPr>
      <w:r>
        <w:rPr>
          <w:rFonts w:ascii="Courier New" w:cs="Courier New" w:eastAsia="Courier New" w:hAnsi="Courier New"/>
          <w:sz w:val="16"/>
          <w:szCs w:val="16"/>
          <w:color w:val="auto"/>
        </w:rPr>
        <w:t>changes.............................</w:t>
      </w:r>
    </w:p>
    <w:p>
      <w:pPr>
        <w:jc w:val="center"/>
        <w:ind w:right="6655"/>
        <w:spacing w:after="0"/>
        <w:rPr>
          <w:sz w:val="20"/>
          <w:szCs w:val="20"/>
          <w:color w:val="auto"/>
        </w:rPr>
      </w:pPr>
      <w:r>
        <w:rPr>
          <w:rFonts w:ascii="Courier New" w:cs="Courier New" w:eastAsia="Courier New" w:hAnsi="Courier New"/>
          <w:sz w:val="16"/>
          <w:szCs w:val="16"/>
          <w:color w:val="auto"/>
        </w:rPr>
        <w:t>(12,909) (3,356) (6,842) 4,133 3,861</w:t>
      </w:r>
    </w:p>
    <w:p>
      <w:pPr>
        <w:jc w:val="center"/>
        <w:ind w:right="6655"/>
        <w:spacing w:after="0" w:line="238" w:lineRule="auto"/>
        <w:rPr>
          <w:sz w:val="20"/>
          <w:szCs w:val="20"/>
          <w:color w:val="auto"/>
        </w:rPr>
      </w:pPr>
      <w:r>
        <w:rPr>
          <w:rFonts w:ascii="Courier New" w:cs="Courier New" w:eastAsia="Courier New" w:hAnsi="Courier New"/>
          <w:sz w:val="16"/>
          <w:szCs w:val="16"/>
          <w:color w:val="auto"/>
        </w:rPr>
        <w:t>5,052 4,088 (LOSS) INCOME FROM</w:t>
      </w:r>
    </w:p>
    <w:p>
      <w:pPr>
        <w:jc w:val="center"/>
        <w:ind w:right="6655"/>
        <w:spacing w:after="0"/>
        <w:rPr>
          <w:sz w:val="20"/>
          <w:szCs w:val="20"/>
          <w:color w:val="auto"/>
        </w:rPr>
      </w:pPr>
      <w:r>
        <w:rPr>
          <w:rFonts w:ascii="Courier New" w:cs="Courier New" w:eastAsia="Courier New" w:hAnsi="Courier New"/>
          <w:sz w:val="16"/>
          <w:szCs w:val="16"/>
          <w:color w:val="auto"/>
        </w:rPr>
        <w:t>CONTINUING OPERATIONS BEFORE</w:t>
      </w:r>
    </w:p>
    <w:p>
      <w:pPr>
        <w:jc w:val="center"/>
        <w:ind w:right="6655"/>
        <w:spacing w:after="0" w:line="237" w:lineRule="auto"/>
        <w:rPr>
          <w:sz w:val="20"/>
          <w:szCs w:val="20"/>
          <w:color w:val="auto"/>
        </w:rPr>
      </w:pPr>
      <w:r>
        <w:rPr>
          <w:rFonts w:ascii="Courier New" w:cs="Courier New" w:eastAsia="Courier New" w:hAnsi="Courier New"/>
          <w:sz w:val="16"/>
          <w:szCs w:val="16"/>
          <w:color w:val="auto"/>
        </w:rPr>
        <w:t>EXTRAORDINARY GAIN AND CUMULATIVE</w:t>
      </w:r>
    </w:p>
    <w:p>
      <w:pPr>
        <w:jc w:val="center"/>
        <w:ind w:right="6655"/>
        <w:spacing w:after="0"/>
        <w:rPr>
          <w:sz w:val="20"/>
          <w:szCs w:val="20"/>
          <w:color w:val="auto"/>
        </w:rPr>
      </w:pPr>
      <w:r>
        <w:rPr>
          <w:rFonts w:ascii="Courier New" w:cs="Courier New" w:eastAsia="Courier New" w:hAnsi="Courier New"/>
          <w:sz w:val="16"/>
          <w:szCs w:val="16"/>
          <w:color w:val="auto"/>
        </w:rPr>
        <w:t>EFFECT OF ACCOUNTING CHANGES: AT&amp;T</w:t>
      </w:r>
    </w:p>
    <w:p>
      <w:pPr>
        <w:jc w:val="center"/>
        <w:ind w:right="6655"/>
        <w:spacing w:after="0" w:line="238" w:lineRule="auto"/>
        <w:rPr>
          <w:sz w:val="20"/>
          <w:szCs w:val="20"/>
          <w:color w:val="auto"/>
        </w:rPr>
      </w:pPr>
      <w:r>
        <w:rPr>
          <w:rFonts w:ascii="Courier New" w:cs="Courier New" w:eastAsia="Courier New" w:hAnsi="Courier New"/>
          <w:sz w:val="16"/>
          <w:szCs w:val="16"/>
          <w:color w:val="auto"/>
        </w:rPr>
        <w:t>Common Stock Group: (Loss)</w:t>
      </w:r>
    </w:p>
    <w:p>
      <w:pPr>
        <w:jc w:val="center"/>
        <w:ind w:right="6655"/>
        <w:spacing w:after="0"/>
        <w:rPr>
          <w:sz w:val="20"/>
          <w:szCs w:val="20"/>
          <w:color w:val="auto"/>
        </w:rPr>
      </w:pPr>
      <w:r>
        <w:rPr>
          <w:rFonts w:ascii="Courier New" w:cs="Courier New" w:eastAsia="Courier New" w:hAnsi="Courier New"/>
          <w:sz w:val="16"/>
          <w:szCs w:val="16"/>
          <w:color w:val="auto"/>
        </w:rPr>
        <w:t>income.......................</w:t>
      </w:r>
    </w:p>
    <w:p>
      <w:pPr>
        <w:jc w:val="center"/>
        <w:ind w:right="6655"/>
        <w:spacing w:after="0" w:line="238" w:lineRule="auto"/>
        <w:rPr>
          <w:sz w:val="20"/>
          <w:szCs w:val="20"/>
          <w:color w:val="auto"/>
        </w:rPr>
      </w:pPr>
      <w:r>
        <w:rPr>
          <w:rFonts w:ascii="Courier New" w:cs="Courier New" w:eastAsia="Courier New" w:hAnsi="Courier New"/>
          <w:sz w:val="16"/>
          <w:szCs w:val="16"/>
          <w:color w:val="auto"/>
        </w:rPr>
        <w:t>(12,909) (534) (4,131) 2,645 5,883</w:t>
      </w:r>
    </w:p>
    <w:p>
      <w:pPr>
        <w:jc w:val="center"/>
        <w:ind w:right="6655"/>
        <w:spacing w:after="0"/>
        <w:rPr>
          <w:sz w:val="20"/>
          <w:szCs w:val="20"/>
          <w:color w:val="auto"/>
        </w:rPr>
      </w:pPr>
      <w:r>
        <w:rPr>
          <w:rFonts w:ascii="Courier New" w:cs="Courier New" w:eastAsia="Courier New" w:hAnsi="Courier New"/>
          <w:sz w:val="16"/>
          <w:szCs w:val="16"/>
          <w:color w:val="auto"/>
        </w:rPr>
        <w:t>5,052 4,088 (Loss) earnings per basic</w:t>
      </w:r>
    </w:p>
    <w:tbl>
      <w:tblPr>
        <w:tblLayout w:type="fixed"/>
        <w:tblInd w:w="44" w:type="dxa"/>
        <w:tblCellMar>
          <w:top w:w="0" w:type="dxa"/>
          <w:left w:w="0" w:type="dxa"/>
          <w:bottom w:w="0" w:type="dxa"/>
          <w:right w:w="0" w:type="dxa"/>
        </w:tblCellMar>
      </w:tblPr>
      <w:tr>
        <w:trPr>
          <w:trHeight w:val="180"/>
        </w:trPr>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77"/>
              </w:rPr>
              <w:t>share.....</w:t>
            </w:r>
          </w:p>
        </w:tc>
        <w:tc>
          <w:tcPr>
            <w:tcW w:w="154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(3.59) (0.28)</w:t>
            </w:r>
          </w:p>
        </w:tc>
        <w:tc>
          <w:tcPr>
            <w:tcW w:w="114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(1.33) 0.76</w:t>
            </w:r>
          </w:p>
        </w:tc>
      </w:tr>
      <w:tr>
        <w:trPr>
          <w:trHeight w:val="180"/>
        </w:trPr>
        <w:tc>
          <w:tcPr>
            <w:tcW w:w="3480" w:type="dxa"/>
            <w:vAlign w:val="bottom"/>
            <w:gridSpan w:val="8"/>
          </w:tcPr>
          <w:p>
            <w:pPr>
              <w:jc w:val="right"/>
              <w:ind w:right="62"/>
              <w:spacing w:after="0"/>
              <w:rPr>
                <w:sz w:val="20"/>
                <w:szCs w:val="20"/>
                <w:color w:val="auto"/>
              </w:rPr>
            </w:pPr>
            <w:r>
              <w:rPr>
                <w:rFonts w:ascii="Courier New" w:cs="Courier New" w:eastAsia="Courier New" w:hAnsi="Courier New"/>
                <w:sz w:val="16"/>
                <w:szCs w:val="16"/>
                <w:color w:val="auto"/>
              </w:rPr>
              <w:t>1.91 1.89 1.53 (Loss) earnings per</w:t>
            </w:r>
          </w:p>
        </w:tc>
      </w:tr>
      <w:tr>
        <w:trPr>
          <w:trHeight w:val="180"/>
        </w:trPr>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diluted share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(3.59)</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(0.28)</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(1.33)</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0.75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1.87</w:t>
            </w:r>
          </w:p>
        </w:tc>
        <w:tc>
          <w:tcPr>
            <w:tcW w:w="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1.87 1.53</w:t>
            </w:r>
          </w:p>
        </w:tc>
        <w:tc>
          <w:tcPr>
            <w:tcW w:w="132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Dividends</w:t>
            </w:r>
          </w:p>
        </w:tc>
      </w:tr>
      <w:tr>
        <w:trPr>
          <w:trHeight w:val="180"/>
        </w:trPr>
        <w:tc>
          <w:tcPr>
            <w:tcW w:w="1920" w:type="dxa"/>
            <w:vAlign w:val="bottom"/>
            <w:gridSpan w:val="4"/>
          </w:tcPr>
          <w:p>
            <w:pPr>
              <w:ind w:left="240"/>
              <w:spacing w:after="0"/>
              <w:rPr>
                <w:sz w:val="20"/>
                <w:szCs w:val="20"/>
                <w:color w:val="auto"/>
              </w:rPr>
            </w:pPr>
            <w:r>
              <w:rPr>
                <w:rFonts w:ascii="Courier New" w:cs="Courier New" w:eastAsia="Courier New" w:hAnsi="Courier New"/>
                <w:sz w:val="16"/>
                <w:szCs w:val="16"/>
                <w:color w:val="auto"/>
                <w:w w:val="96"/>
              </w:rPr>
              <w:t>declared per share</w:t>
            </w:r>
          </w:p>
        </w:tc>
        <w:tc>
          <w:tcPr>
            <w:tcW w:w="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11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0.075</w:t>
            </w:r>
          </w:p>
        </w:tc>
      </w:tr>
      <w:tr>
        <w:trPr>
          <w:trHeight w:val="180"/>
        </w:trPr>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0.075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0.15</w:t>
            </w:r>
          </w:p>
        </w:tc>
        <w:tc>
          <w:tcPr>
            <w:tcW w:w="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0.6975</w:t>
            </w:r>
          </w:p>
        </w:tc>
        <w:tc>
          <w:tcPr>
            <w:tcW w:w="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0.88</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0.88</w:t>
            </w:r>
          </w:p>
        </w:tc>
        <w:tc>
          <w:tcPr>
            <w:tcW w:w="64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8"/>
              </w:rPr>
              <w:t>0.88</w:t>
            </w:r>
          </w:p>
        </w:tc>
      </w:tr>
      <w:tr>
        <w:trPr>
          <w:trHeight w:val="180"/>
        </w:trPr>
        <w:tc>
          <w:tcPr>
            <w:tcW w:w="3480" w:type="dxa"/>
            <w:vAlign w:val="bottom"/>
            <w:gridSpan w:val="8"/>
          </w:tcPr>
          <w:p>
            <w:pPr>
              <w:jc w:val="right"/>
              <w:ind w:right="262"/>
              <w:spacing w:after="0"/>
              <w:rPr>
                <w:sz w:val="20"/>
                <w:szCs w:val="20"/>
                <w:color w:val="auto"/>
              </w:rPr>
            </w:pPr>
            <w:r>
              <w:rPr>
                <w:rFonts w:ascii="Courier New" w:cs="Courier New" w:eastAsia="Courier New" w:hAnsi="Courier New"/>
                <w:sz w:val="16"/>
                <w:szCs w:val="16"/>
                <w:color w:val="auto"/>
              </w:rPr>
              <w:t>Liberty Media Group(4): (Loss)</w:t>
            </w:r>
          </w:p>
        </w:tc>
      </w:tr>
      <w:tr>
        <w:trPr>
          <w:trHeight w:val="180"/>
        </w:trPr>
        <w:tc>
          <w:tcPr>
            <w:tcW w:w="1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income.......................</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(2,822)</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(2,711)</w:t>
            </w:r>
          </w:p>
        </w:tc>
        <w:tc>
          <w:tcPr>
            <w:tcW w:w="620" w:type="dxa"/>
            <w:vAlign w:val="bottom"/>
            <w:gridSpan w:val="2"/>
          </w:tcPr>
          <w:p>
            <w:pPr>
              <w:jc w:val="right"/>
              <w:ind w:right="33"/>
              <w:spacing w:after="0"/>
              <w:rPr>
                <w:sz w:val="20"/>
                <w:szCs w:val="20"/>
                <w:color w:val="auto"/>
              </w:rPr>
            </w:pPr>
            <w:r>
              <w:rPr>
                <w:rFonts w:ascii="Courier New" w:cs="Courier New" w:eastAsia="Courier New" w:hAnsi="Courier New"/>
                <w:sz w:val="16"/>
                <w:szCs w:val="16"/>
                <w:color w:val="auto"/>
              </w:rPr>
              <w:t>1,488</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(2,022)</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 --</w:t>
            </w:r>
          </w:p>
        </w:tc>
      </w:tr>
    </w:tbl>
    <w:p>
      <w:pPr>
        <w:ind w:left="44"/>
        <w:spacing w:after="0"/>
        <w:rPr>
          <w:sz w:val="20"/>
          <w:szCs w:val="20"/>
          <w:color w:val="auto"/>
        </w:rPr>
      </w:pPr>
      <w:r>
        <w:rPr>
          <w:rFonts w:ascii="Courier New" w:cs="Courier New" w:eastAsia="Courier New" w:hAnsi="Courier New"/>
          <w:sz w:val="16"/>
          <w:szCs w:val="16"/>
          <w:color w:val="auto"/>
        </w:rPr>
        <w:t>(Loss) earnings per basic and diluted</w:t>
      </w:r>
    </w:p>
    <w:tbl>
      <w:tblPr>
        <w:tblLayout w:type="fixed"/>
        <w:tblInd w:w="44" w:type="dxa"/>
        <w:tblCellMar>
          <w:top w:w="0" w:type="dxa"/>
          <w:left w:w="0" w:type="dxa"/>
          <w:bottom w:w="0" w:type="dxa"/>
          <w:right w:w="0" w:type="dxa"/>
        </w:tblCellMar>
      </w:tblPr>
      <w:tr>
        <w:trPr>
          <w:trHeight w:val="179"/>
        </w:trPr>
        <w:tc>
          <w:tcPr>
            <w:tcW w:w="15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share.....................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(1.09)</w:t>
            </w:r>
          </w:p>
        </w:tc>
      </w:tr>
      <w:tr>
        <w:trPr>
          <w:trHeight w:val="180"/>
        </w:trPr>
        <w:tc>
          <w:tcPr>
            <w:tcW w:w="22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4"/>
              </w:rPr>
              <w:t>(1.05) 0.58 (0.80) -- --</w:t>
            </w:r>
          </w:p>
        </w:tc>
        <w:tc>
          <w:tcPr>
            <w:tcW w:w="12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ASSETS AND</w:t>
            </w:r>
          </w:p>
        </w:tc>
      </w:tr>
      <w:tr>
        <w:trPr>
          <w:trHeight w:val="180"/>
        </w:trPr>
        <w:tc>
          <w:tcPr>
            <w:tcW w:w="34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CAPITAL: Property, plant and</w:t>
            </w:r>
          </w:p>
        </w:tc>
      </w:tr>
      <w:tr>
        <w:trPr>
          <w:trHeight w:val="180"/>
        </w:trPr>
        <w:tc>
          <w:tcPr>
            <w:tcW w:w="16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equipment, net....</w:t>
            </w:r>
          </w:p>
        </w:tc>
        <w:tc>
          <w:tcPr>
            <w:tcW w:w="1840" w:type="dxa"/>
            <w:vAlign w:val="bottom"/>
            <w:gridSpan w:val="4"/>
          </w:tcPr>
          <w:p>
            <w:pPr>
              <w:jc w:val="right"/>
              <w:ind w:right="162"/>
              <w:spacing w:after="0"/>
              <w:rPr>
                <w:sz w:val="20"/>
                <w:szCs w:val="20"/>
                <w:color w:val="auto"/>
              </w:rPr>
            </w:pPr>
            <w:r>
              <w:rPr>
                <w:rFonts w:ascii="Courier New" w:cs="Courier New" w:eastAsia="Courier New" w:hAnsi="Courier New"/>
                <w:sz w:val="16"/>
                <w:szCs w:val="16"/>
                <w:color w:val="auto"/>
              </w:rPr>
              <w:t>$ 41,460 -- $</w:t>
            </w: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41,322</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$ 41,269</w:t>
            </w:r>
          </w:p>
        </w:tc>
        <w:tc>
          <w:tcPr>
            <w:tcW w:w="1840" w:type="dxa"/>
            <w:vAlign w:val="bottom"/>
            <w:gridSpan w:val="4"/>
          </w:tcPr>
          <w:p>
            <w:pPr>
              <w:jc w:val="right"/>
              <w:ind w:right="162"/>
              <w:spacing w:after="0"/>
              <w:rPr>
                <w:sz w:val="20"/>
                <w:szCs w:val="20"/>
                <w:color w:val="auto"/>
              </w:rPr>
            </w:pPr>
            <w:r>
              <w:rPr>
                <w:rFonts w:ascii="Courier New" w:cs="Courier New" w:eastAsia="Courier New" w:hAnsi="Courier New"/>
                <w:sz w:val="16"/>
                <w:szCs w:val="16"/>
                <w:color w:val="auto"/>
              </w:rPr>
              <w:t>$ 33,366 $21,780</w:t>
            </w:r>
          </w:p>
        </w:tc>
      </w:tr>
      <w:tr>
        <w:trPr>
          <w:trHeight w:val="180"/>
        </w:trPr>
        <w:tc>
          <w:tcPr>
            <w:tcW w:w="22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$19,177 Total assets --</w:t>
            </w:r>
          </w:p>
        </w:tc>
        <w:tc>
          <w:tcPr>
            <w:tcW w:w="128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continuing</w:t>
            </w:r>
          </w:p>
        </w:tc>
      </w:tr>
      <w:tr>
        <w:trPr>
          <w:trHeight w:val="180"/>
        </w:trPr>
        <w:tc>
          <w:tcPr>
            <w:tcW w:w="164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4"/>
              </w:rPr>
              <w:t>operations..........................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137,895</w:t>
            </w:r>
          </w:p>
        </w:tc>
        <w:tc>
          <w:tcPr>
            <w:tcW w:w="184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9"/>
              </w:rPr>
              <w:t>-- 165,282 207,136</w:t>
            </w:r>
          </w:p>
        </w:tc>
        <w:tc>
          <w:tcPr>
            <w:tcW w:w="8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146,094</w:t>
            </w:r>
          </w:p>
        </w:tc>
      </w:tr>
      <w:tr>
        <w:trPr>
          <w:trHeight w:val="180"/>
        </w:trPr>
        <w:tc>
          <w:tcPr>
            <w:tcW w:w="840" w:type="dxa"/>
            <w:vAlign w:val="bottom"/>
          </w:tcPr>
          <w:p>
            <w:pPr>
              <w:spacing w:after="0"/>
              <w:rPr>
                <w:sz w:val="15"/>
                <w:szCs w:val="15"/>
                <w:color w:val="auto"/>
              </w:rPr>
            </w:pPr>
          </w:p>
        </w:tc>
        <w:tc>
          <w:tcPr>
            <w:tcW w:w="184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40,134 41,029 Total</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137,895</w:t>
            </w:r>
          </w:p>
        </w:tc>
        <w:tc>
          <w:tcPr>
            <w:tcW w:w="184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9"/>
              </w:rPr>
              <w:t>-- 165,282 234,360</w:t>
            </w:r>
          </w:p>
        </w:tc>
        <w:tc>
          <w:tcPr>
            <w:tcW w:w="8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163,457</w:t>
            </w:r>
          </w:p>
        </w:tc>
      </w:tr>
      <w:tr>
        <w:trPr>
          <w:trHeight w:val="180"/>
        </w:trPr>
        <w:tc>
          <w:tcPr>
            <w:tcW w:w="34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54,185 55,797 Long-term</w:t>
            </w:r>
          </w:p>
        </w:tc>
      </w:tr>
      <w:tr>
        <w:trPr>
          <w:trHeight w:val="180"/>
        </w:trPr>
        <w:tc>
          <w:tcPr>
            <w:tcW w:w="1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debt........................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37,271 -</w:t>
            </w:r>
          </w:p>
        </w:tc>
      </w:tr>
      <w:tr>
        <w:trPr>
          <w:trHeight w:val="180"/>
        </w:trPr>
        <w:tc>
          <w:tcPr>
            <w:tcW w:w="3480" w:type="dxa"/>
            <w:vAlign w:val="bottom"/>
            <w:gridSpan w:val="7"/>
          </w:tcPr>
          <w:p>
            <w:pPr>
              <w:jc w:val="right"/>
              <w:ind w:right="62"/>
              <w:spacing w:after="0"/>
              <w:rPr>
                <w:sz w:val="20"/>
                <w:szCs w:val="20"/>
                <w:color w:val="auto"/>
              </w:rPr>
            </w:pPr>
            <w:r>
              <w:rPr>
                <w:rFonts w:ascii="Courier New" w:cs="Courier New" w:eastAsia="Courier New" w:hAnsi="Courier New"/>
                <w:sz w:val="16"/>
                <w:szCs w:val="16"/>
                <w:color w:val="auto"/>
              </w:rPr>
              <w:t>- 40,527 33,089 23,214 5,555 7,840</w:t>
            </w:r>
          </w:p>
        </w:tc>
      </w:tr>
      <w:tr>
        <w:trPr>
          <w:trHeight w:val="180"/>
        </w:trPr>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gridSpan w:val="2"/>
          </w:tcPr>
          <w:p>
            <w:pPr>
              <w:jc w:val="center"/>
              <w:ind w:right="142"/>
              <w:spacing w:after="0"/>
              <w:rPr>
                <w:sz w:val="20"/>
                <w:szCs w:val="20"/>
                <w:color w:val="auto"/>
              </w:rPr>
            </w:pPr>
            <w:r>
              <w:rPr>
                <w:rFonts w:ascii="Courier New" w:cs="Courier New" w:eastAsia="Courier New" w:hAnsi="Courier New"/>
                <w:sz w:val="16"/>
                <w:szCs w:val="16"/>
                <w:color w:val="auto"/>
                <w:w w:val="99"/>
              </w:rPr>
              <w:t>Total</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debt............................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43,160 --</w:t>
            </w:r>
          </w:p>
        </w:tc>
        <w:tc>
          <w:tcPr>
            <w:tcW w:w="8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53,485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64,927</w:t>
            </w:r>
          </w:p>
        </w:tc>
        <w:tc>
          <w:tcPr>
            <w:tcW w:w="1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35,694 6,638</w:t>
            </w:r>
          </w:p>
        </w:tc>
      </w:tr>
      <w:tr>
        <w:trPr>
          <w:trHeight w:val="180"/>
        </w:trPr>
        <w:tc>
          <w:tcPr>
            <w:tcW w:w="34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11,895 Mandatorily redeemable</w:t>
            </w:r>
          </w:p>
        </w:tc>
      </w:tr>
      <w:tr>
        <w:trPr>
          <w:trHeight w:val="180"/>
        </w:trPr>
        <w:tc>
          <w:tcPr>
            <w:tcW w:w="840" w:type="dxa"/>
            <w:vAlign w:val="bottom"/>
          </w:tcPr>
          <w:p>
            <w:pPr>
              <w:spacing w:after="0"/>
              <w:rPr>
                <w:sz w:val="15"/>
                <w:szCs w:val="15"/>
                <w:color w:val="auto"/>
              </w:rPr>
            </w:pPr>
          </w:p>
        </w:tc>
        <w:tc>
          <w:tcPr>
            <w:tcW w:w="1360" w:type="dxa"/>
            <w:vAlign w:val="bottom"/>
            <w:gridSpan w:val="3"/>
          </w:tcPr>
          <w:p>
            <w:pPr>
              <w:jc w:val="center"/>
              <w:ind w:left="362"/>
              <w:spacing w:after="0"/>
              <w:rPr>
                <w:sz w:val="20"/>
                <w:szCs w:val="20"/>
                <w:color w:val="auto"/>
              </w:rPr>
            </w:pPr>
            <w:r>
              <w:rPr>
                <w:rFonts w:ascii="Courier New" w:cs="Courier New" w:eastAsia="Courier New" w:hAnsi="Courier New"/>
                <w:sz w:val="16"/>
                <w:szCs w:val="16"/>
                <w:color w:val="auto"/>
                <w:w w:val="97"/>
              </w:rPr>
              <w:t>preferred</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64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4"/>
              </w:rPr>
              <w:t>securities..........................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858 --</w:t>
            </w:r>
          </w:p>
        </w:tc>
        <w:tc>
          <w:tcPr>
            <w:tcW w:w="184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2,400 2,380 1,626</w:t>
            </w:r>
          </w:p>
        </w:tc>
        <w:tc>
          <w:tcPr>
            <w:tcW w:w="8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1"/>
              </w:rPr>
              <w:t>-- --</w:t>
            </w:r>
          </w:p>
        </w:tc>
      </w:tr>
      <w:tr>
        <w:trPr>
          <w:trHeight w:val="180"/>
        </w:trPr>
        <w:tc>
          <w:tcPr>
            <w:tcW w:w="840" w:type="dxa"/>
            <w:vAlign w:val="bottom"/>
          </w:tcPr>
          <w:p>
            <w:pPr>
              <w:spacing w:after="0"/>
              <w:rPr>
                <w:sz w:val="15"/>
                <w:szCs w:val="15"/>
                <w:color w:val="auto"/>
              </w:rPr>
            </w:pPr>
          </w:p>
        </w:tc>
        <w:tc>
          <w:tcPr>
            <w:tcW w:w="184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Shareowners'</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5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equity...................</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42,755 --</w:t>
            </w:r>
          </w:p>
        </w:tc>
      </w:tr>
      <w:tr>
        <w:trPr>
          <w:trHeight w:val="180"/>
        </w:trPr>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51,680 103,198</w:t>
            </w:r>
          </w:p>
        </w:tc>
        <w:tc>
          <w:tcPr>
            <w:tcW w:w="1220" w:type="dxa"/>
            <w:vAlign w:val="bottom"/>
            <w:gridSpan w:val="4"/>
          </w:tcPr>
          <w:p>
            <w:pPr>
              <w:spacing w:after="0"/>
              <w:rPr>
                <w:sz w:val="20"/>
                <w:szCs w:val="20"/>
                <w:color w:val="auto"/>
              </w:rPr>
            </w:pPr>
            <w:r>
              <w:rPr>
                <w:rFonts w:ascii="Courier New" w:cs="Courier New" w:eastAsia="Courier New" w:hAnsi="Courier New"/>
                <w:sz w:val="16"/>
                <w:szCs w:val="16"/>
                <w:color w:val="auto"/>
                <w:w w:val="96"/>
              </w:rPr>
              <w:t>78,927 25,522</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23,678</w:t>
            </w:r>
          </w:p>
        </w:tc>
      </w:tr>
      <w:tr>
        <w:trPr>
          <w:trHeight w:val="180"/>
        </w:trPr>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gridSpan w:val="2"/>
          </w:tcPr>
          <w:p>
            <w:pPr>
              <w:jc w:val="center"/>
              <w:ind w:right="162"/>
              <w:spacing w:after="0"/>
              <w:rPr>
                <w:sz w:val="20"/>
                <w:szCs w:val="20"/>
                <w:color w:val="auto"/>
              </w:rPr>
            </w:pPr>
            <w:r>
              <w:rPr>
                <w:rFonts w:ascii="Courier New" w:cs="Courier New" w:eastAsia="Courier New" w:hAnsi="Courier New"/>
                <w:sz w:val="16"/>
                <w:szCs w:val="16"/>
                <w:color w:val="auto"/>
                <w:w w:val="98"/>
              </w:rPr>
              <w:t>Debt</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6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4"/>
              </w:rPr>
              <w:t>ratio(5).........................</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47.6% --</w:t>
            </w:r>
          </w:p>
        </w:tc>
        <w:tc>
          <w:tcPr>
            <w:tcW w:w="8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47.7%</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57.2%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54.3%</w:t>
            </w:r>
          </w:p>
        </w:tc>
        <w:tc>
          <w:tcPr>
            <w:tcW w:w="40" w:type="dxa"/>
            <w:vAlign w:val="bottom"/>
          </w:tcPr>
          <w:p>
            <w:pPr>
              <w:spacing w:after="0"/>
              <w:rPr>
                <w:sz w:val="15"/>
                <w:szCs w:val="15"/>
                <w:color w:val="auto"/>
              </w:rPr>
            </w:pP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36.7%</w:t>
            </w:r>
          </w:p>
        </w:tc>
      </w:tr>
      <w:tr>
        <w:trPr>
          <w:trHeight w:val="180"/>
        </w:trPr>
        <w:tc>
          <w:tcPr>
            <w:tcW w:w="840" w:type="dxa"/>
            <w:vAlign w:val="bottom"/>
          </w:tcPr>
          <w:p>
            <w:pPr>
              <w:spacing w:after="0"/>
              <w:rPr>
                <w:sz w:val="15"/>
                <w:szCs w:val="15"/>
                <w:color w:val="auto"/>
              </w:rPr>
            </w:pPr>
          </w:p>
        </w:tc>
        <w:tc>
          <w:tcPr>
            <w:tcW w:w="184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57.2% Gross capital</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6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0"/>
              </w:rPr>
              <w:t>expenditures............</w:t>
            </w:r>
          </w:p>
        </w:tc>
        <w:tc>
          <w:tcPr>
            <w:tcW w:w="560" w:type="dxa"/>
            <w:vAlign w:val="bottom"/>
          </w:tcPr>
          <w:p>
            <w:pPr>
              <w:spacing w:after="0"/>
              <w:rPr>
                <w:sz w:val="15"/>
                <w:szCs w:val="15"/>
                <w:color w:val="auto"/>
              </w:rPr>
            </w:pPr>
          </w:p>
        </w:tc>
        <w:tc>
          <w:tcPr>
            <w:tcW w:w="128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3,278 --</w:t>
            </w:r>
          </w:p>
        </w:tc>
      </w:tr>
      <w:tr>
        <w:trPr>
          <w:trHeight w:val="180"/>
        </w:trPr>
        <w:tc>
          <w:tcPr>
            <w:tcW w:w="840" w:type="dxa"/>
            <w:vAlign w:val="bottom"/>
          </w:tcPr>
          <w:p>
            <w:pPr>
              <w:jc w:val="right"/>
              <w:ind w:right="9"/>
              <w:spacing w:after="0"/>
              <w:rPr>
                <w:sz w:val="20"/>
                <w:szCs w:val="20"/>
                <w:color w:val="auto"/>
              </w:rPr>
            </w:pPr>
            <w:r>
              <w:rPr>
                <w:rFonts w:ascii="Courier New" w:cs="Courier New" w:eastAsia="Courier New" w:hAnsi="Courier New"/>
                <w:sz w:val="16"/>
                <w:szCs w:val="16"/>
                <w:color w:val="auto"/>
              </w:rPr>
              <w:t>8,388</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10,462</w:t>
            </w:r>
          </w:p>
        </w:tc>
        <w:tc>
          <w:tcPr>
            <w:tcW w:w="1180" w:type="dxa"/>
            <w:vAlign w:val="bottom"/>
            <w:gridSpan w:val="3"/>
          </w:tcPr>
          <w:p>
            <w:pPr>
              <w:spacing w:after="0"/>
              <w:rPr>
                <w:sz w:val="20"/>
                <w:szCs w:val="20"/>
                <w:color w:val="auto"/>
              </w:rPr>
            </w:pPr>
            <w:r>
              <w:rPr>
                <w:rFonts w:ascii="Courier New" w:cs="Courier New" w:eastAsia="Courier New" w:hAnsi="Courier New"/>
                <w:sz w:val="16"/>
                <w:szCs w:val="16"/>
                <w:color w:val="auto"/>
              </w:rPr>
              <w:t>11,194 6,871</w:t>
            </w:r>
          </w:p>
        </w:tc>
        <w:tc>
          <w:tcPr>
            <w:tcW w:w="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6"/>
                <w:szCs w:val="16"/>
                <w:color w:val="auto"/>
              </w:rPr>
              <w:t>6,065</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999" w:hanging="384"/>
        <w:spacing w:after="0" w:line="263" w:lineRule="auto"/>
        <w:tabs>
          <w:tab w:leader="none" w:pos="38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second quarter of 2002, AT&amp;T recorded non-cash franchise and goodwill impairment charges of $16.5 billion ($11.8 billion after taxes).</w:t>
      </w:r>
    </w:p>
    <w:p>
      <w:pPr>
        <w:spacing w:after="0" w:line="168" w:lineRule="exact"/>
        <w:rPr>
          <w:rFonts w:ascii="Courier New" w:cs="Courier New" w:eastAsia="Courier New" w:hAnsi="Courier New"/>
          <w:sz w:val="15"/>
          <w:szCs w:val="15"/>
          <w:color w:val="auto"/>
        </w:rPr>
      </w:pPr>
    </w:p>
    <w:p>
      <w:pPr>
        <w:ind w:left="384" w:right="2819" w:hanging="384"/>
        <w:spacing w:after="0" w:line="237" w:lineRule="auto"/>
        <w:tabs>
          <w:tab w:leader="none" w:pos="38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Common Stock Group continuing operations results exclude Liberty Media Group (LMG). In addition, on June 15, 2000, AT&amp;T completed the acquisition of MediaOne Group, Inc.</w:t>
      </w:r>
    </w:p>
    <w:p>
      <w:pPr>
        <w:spacing w:after="0" w:line="184" w:lineRule="exact"/>
        <w:rPr>
          <w:rFonts w:ascii="Courier New" w:cs="Courier New" w:eastAsia="Courier New" w:hAnsi="Courier New"/>
          <w:sz w:val="16"/>
          <w:szCs w:val="16"/>
          <w:color w:val="auto"/>
        </w:rPr>
      </w:pPr>
    </w:p>
    <w:p>
      <w:pPr>
        <w:ind w:left="384" w:right="2819" w:hanging="384"/>
        <w:spacing w:after="0" w:line="263" w:lineRule="auto"/>
        <w:tabs>
          <w:tab w:leader="none" w:pos="38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March 9, 1999 merger with Tele-Communications, Inc., AT&amp;T issued separate tracking stock for LMG. LMG was accounted for as an</w:t>
      </w:r>
    </w:p>
    <w:p>
      <w:pPr>
        <w:sectPr>
          <w:pgSz w:w="11900" w:h="16924" w:orient="portrait"/>
          <w:cols w:equalWidth="0" w:num="1">
            <w:col w:w="10223"/>
          </w:cols>
          <w:pgMar w:left="236" w:top="654" w:right="1440" w:bottom="0" w:gutter="0" w:footer="0" w:header="0"/>
        </w:sectPr>
      </w:pPr>
    </w:p>
    <w:bookmarkStart w:id="31" w:name="page32"/>
    <w:bookmarkEnd w:id="31"/>
    <w:p>
      <w:pPr>
        <w:ind w:left="384"/>
        <w:spacing w:after="0"/>
        <w:rPr>
          <w:sz w:val="20"/>
          <w:szCs w:val="20"/>
          <w:color w:val="auto"/>
        </w:rPr>
      </w:pPr>
      <w:r>
        <w:rPr>
          <w:rFonts w:ascii="Courier New" w:cs="Courier New" w:eastAsia="Courier New" w:hAnsi="Courier New"/>
          <w:sz w:val="16"/>
          <w:szCs w:val="16"/>
          <w:color w:val="auto"/>
        </w:rPr>
        <w:t>equity investment prior to its split-off from AT&amp;T on August 10, 2001.</w:t>
      </w:r>
    </w:p>
    <w:p>
      <w:pPr>
        <w:spacing w:after="0" w:line="179" w:lineRule="exact"/>
        <w:rPr>
          <w:sz w:val="20"/>
          <w:szCs w:val="20"/>
          <w:color w:val="auto"/>
        </w:rPr>
      </w:pPr>
    </w:p>
    <w:p>
      <w:pPr>
        <w:ind w:left="384" w:hanging="384"/>
        <w:spacing w:after="0"/>
        <w:tabs>
          <w:tab w:leader="none" w:pos="3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have been declared for LMG tracking stocks.</w:t>
      </w:r>
    </w:p>
    <w:p>
      <w:pPr>
        <w:spacing w:after="0" w:line="184" w:lineRule="exact"/>
        <w:rPr>
          <w:rFonts w:ascii="Courier New" w:cs="Courier New" w:eastAsia="Courier New" w:hAnsi="Courier New"/>
          <w:sz w:val="16"/>
          <w:szCs w:val="16"/>
          <w:color w:val="auto"/>
        </w:rPr>
      </w:pPr>
    </w:p>
    <w:p>
      <w:pPr>
        <w:ind w:left="384" w:right="2999" w:hanging="384"/>
        <w:spacing w:after="0" w:line="257" w:lineRule="auto"/>
        <w:tabs>
          <w:tab w:leader="none" w:pos="38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ratio reflects debt from continuing operations as a percent of total capital (debt plus equity, excluding LMG and AT&amp;T Wireless Group). For purposes of this calculation, equity includes convertible quarterly trust preferred securities as well as redeemable preferred stock of subsidiary.</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Effective January 1, 2002, AT&amp;T adopted SFAS No. 142, "Goodwill and Other Intangible Assets." SFAS No. 142 requires that goodwill and indefinite-lived intangible assets no longer be amortized, but instead be tested for impairment at least annually. Intangible assets that have finite useful lives will continue to be amortized over their useful lives. In addition, the amortization period of intangible assets with finite lives will no longer be limited to 40 years. We have determined that our franchise costs are</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137" w:right="1440" w:bottom="1440" w:gutter="0" w:footer="0" w:header="0"/>
        </w:sectPr>
      </w:pPr>
    </w:p>
    <w:bookmarkStart w:id="32" w:name="page33"/>
    <w:bookmarkEnd w:id="32"/>
    <w:p>
      <w:pPr>
        <w:spacing w:after="0" w:line="69"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indefinite-lived assets, as defined in SFAS No. 142, and therefore are not subject to amortization beginning in 2002.</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following table presents the impact of SFAS No. 142 on net (loss) income and (loss) earnings per share had the standard been in effect for the three years ended December 31, 2001. AT&amp;T Wireless Group tracking stock was issued in April, 2000, therefore data for this group is not applicable for 1999.</w:t>
      </w:r>
    </w:p>
    <w:p>
      <w:pPr>
        <w:spacing w:after="0" w:line="16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WIRELESS AT&amp;T COMMON STOCK GROUP</w:t>
      </w:r>
    </w:p>
    <w:p>
      <w:pPr>
        <w:ind w:left="40"/>
        <w:spacing w:after="0"/>
        <w:rPr>
          <w:sz w:val="20"/>
          <w:szCs w:val="20"/>
          <w:color w:val="auto"/>
        </w:rPr>
      </w:pPr>
      <w:r>
        <w:rPr>
          <w:rFonts w:ascii="Courier New" w:cs="Courier New" w:eastAsia="Courier New" w:hAnsi="Courier New"/>
          <w:sz w:val="16"/>
          <w:szCs w:val="16"/>
          <w:color w:val="auto"/>
        </w:rPr>
        <w:t>GROUP LIBERTY MEDIA GROUP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140"/>
        <w:spacing w:after="0"/>
        <w:rPr>
          <w:sz w:val="20"/>
          <w:szCs w:val="20"/>
          <w:color w:val="auto"/>
        </w:rPr>
      </w:pPr>
      <w:r>
        <w:rPr>
          <w:rFonts w:ascii="Courier New" w:cs="Courier New" w:eastAsia="Courier New" w:hAnsi="Courier New"/>
          <w:sz w:val="16"/>
          <w:szCs w:val="16"/>
          <w:color w:val="auto"/>
        </w:rPr>
        <w:t>-------------------- 2001 2000 1999</w:t>
      </w:r>
    </w:p>
    <w:p>
      <w:pPr>
        <w:ind w:left="40"/>
        <w:spacing w:after="0" w:line="238" w:lineRule="auto"/>
        <w:rPr>
          <w:sz w:val="20"/>
          <w:szCs w:val="20"/>
          <w:color w:val="auto"/>
        </w:rPr>
      </w:pPr>
      <w:r>
        <w:rPr>
          <w:rFonts w:ascii="Courier New" w:cs="Courier New" w:eastAsia="Courier New" w:hAnsi="Courier New"/>
          <w:sz w:val="16"/>
          <w:szCs w:val="16"/>
          <w:color w:val="auto"/>
        </w:rPr>
        <w:t>2001(1) 2000 2001(2) 2000 1999 ------</w:t>
      </w:r>
    </w:p>
    <w:p>
      <w:pPr>
        <w:ind w:left="40"/>
        <w:spacing w:after="0"/>
        <w:rPr>
          <w:sz w:val="20"/>
          <w:szCs w:val="20"/>
          <w:color w:val="auto"/>
        </w:rPr>
      </w:pPr>
      <w:r>
        <w:rPr>
          <w:rFonts w:ascii="Courier New" w:cs="Courier New" w:eastAsia="Courier New" w:hAnsi="Courier New"/>
          <w:sz w:val="16"/>
          <w:szCs w:val="16"/>
          <w:color w:val="auto"/>
        </w:rPr>
        <w:t>- ------ ------ ------- ----- -------</w:t>
      </w:r>
    </w:p>
    <w:p>
      <w:pPr>
        <w:ind w:left="80"/>
        <w:spacing w:after="0" w:line="238" w:lineRule="auto"/>
        <w:rPr>
          <w:sz w:val="20"/>
          <w:szCs w:val="20"/>
          <w:color w:val="auto"/>
        </w:rPr>
      </w:pPr>
      <w:r>
        <w:rPr>
          <w:rFonts w:ascii="Courier New" w:cs="Courier New" w:eastAsia="Courier New" w:hAnsi="Courier New"/>
          <w:sz w:val="16"/>
          <w:szCs w:val="16"/>
          <w:color w:val="auto"/>
        </w:rPr>
        <w:t>------ ------- (DOLLARS IN MILLIONS,</w:t>
      </w:r>
    </w:p>
    <w:p>
      <w:pPr>
        <w:jc w:val="center"/>
        <w:ind w:right="6659"/>
        <w:spacing w:after="0"/>
        <w:rPr>
          <w:sz w:val="20"/>
          <w:szCs w:val="20"/>
          <w:color w:val="auto"/>
        </w:rPr>
      </w:pPr>
      <w:r>
        <w:rPr>
          <w:rFonts w:ascii="Courier New" w:cs="Courier New" w:eastAsia="Courier New" w:hAnsi="Courier New"/>
          <w:sz w:val="16"/>
          <w:szCs w:val="16"/>
          <w:color w:val="auto"/>
        </w:rPr>
        <w:t>EXCEPT PER SHARE AMOUNTS) FOR THE</w:t>
      </w:r>
    </w:p>
    <w:p>
      <w:pPr>
        <w:jc w:val="center"/>
        <w:ind w:right="6659"/>
        <w:spacing w:after="0" w:line="237" w:lineRule="auto"/>
        <w:rPr>
          <w:sz w:val="20"/>
          <w:szCs w:val="20"/>
          <w:color w:val="auto"/>
        </w:rPr>
      </w:pPr>
      <w:r>
        <w:rPr>
          <w:rFonts w:ascii="Courier New" w:cs="Courier New" w:eastAsia="Courier New" w:hAnsi="Courier New"/>
          <w:sz w:val="16"/>
          <w:szCs w:val="16"/>
          <w:color w:val="auto"/>
        </w:rPr>
        <w:t>YEAR ENDED DECEMBER 31, Net (loss)</w:t>
      </w:r>
    </w:p>
    <w:p>
      <w:pPr>
        <w:jc w:val="center"/>
        <w:ind w:right="6659"/>
        <w:spacing w:after="0"/>
        <w:rPr>
          <w:sz w:val="20"/>
          <w:szCs w:val="20"/>
          <w:color w:val="auto"/>
        </w:rPr>
      </w:pPr>
      <w:r>
        <w:rPr>
          <w:rFonts w:ascii="Courier New" w:cs="Courier New" w:eastAsia="Courier New" w:hAnsi="Courier New"/>
          <w:sz w:val="16"/>
          <w:szCs w:val="16"/>
          <w:color w:val="auto"/>
        </w:rPr>
        <w:t>income: Reported (loss) income from</w:t>
      </w:r>
    </w:p>
    <w:p>
      <w:pPr>
        <w:jc w:val="center"/>
        <w:ind w:right="6659"/>
        <w:spacing w:after="0" w:line="238" w:lineRule="auto"/>
        <w:rPr>
          <w:sz w:val="20"/>
          <w:szCs w:val="20"/>
          <w:color w:val="auto"/>
        </w:rPr>
      </w:pPr>
      <w:r>
        <w:rPr>
          <w:rFonts w:ascii="Courier New" w:cs="Courier New" w:eastAsia="Courier New" w:hAnsi="Courier New"/>
          <w:sz w:val="16"/>
          <w:szCs w:val="16"/>
          <w:color w:val="auto"/>
        </w:rPr>
        <w:t>continuing operations before</w:t>
      </w:r>
    </w:p>
    <w:p>
      <w:pPr>
        <w:jc w:val="center"/>
        <w:ind w:right="6659"/>
        <w:spacing w:after="0"/>
        <w:rPr>
          <w:sz w:val="20"/>
          <w:szCs w:val="20"/>
          <w:color w:val="auto"/>
        </w:rPr>
      </w:pPr>
      <w:r>
        <w:rPr>
          <w:rFonts w:ascii="Courier New" w:cs="Courier New" w:eastAsia="Courier New" w:hAnsi="Courier New"/>
          <w:sz w:val="16"/>
          <w:szCs w:val="16"/>
          <w:color w:val="auto"/>
        </w:rPr>
        <w:t>cumulative effect of accounting</w:t>
      </w:r>
    </w:p>
    <w:tbl>
      <w:tblPr>
        <w:tblLayout w:type="fixed"/>
        <w:tblInd w:w="80" w:type="dxa"/>
        <w:tblCellMar>
          <w:top w:w="0" w:type="dxa"/>
          <w:left w:w="0" w:type="dxa"/>
          <w:bottom w:w="0" w:type="dxa"/>
          <w:right w:w="0" w:type="dxa"/>
        </w:tblCellMar>
      </w:tblPr>
      <w:tr>
        <w:trPr>
          <w:trHeight w:val="180"/>
        </w:trPr>
        <w:tc>
          <w:tcPr>
            <w:tcW w:w="14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change.....................</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$(4,131)</w:t>
            </w:r>
          </w:p>
        </w:tc>
      </w:tr>
      <w:tr>
        <w:trPr>
          <w:trHeight w:val="180"/>
        </w:trPr>
        <w:tc>
          <w:tcPr>
            <w:tcW w:w="860" w:type="dxa"/>
            <w:vAlign w:val="bottom"/>
          </w:tcPr>
          <w:p>
            <w:pPr>
              <w:jc w:val="right"/>
              <w:ind w:right="30"/>
              <w:spacing w:after="0"/>
              <w:rPr>
                <w:sz w:val="20"/>
                <w:szCs w:val="20"/>
                <w:color w:val="auto"/>
              </w:rPr>
            </w:pPr>
            <w:r>
              <w:rPr>
                <w:rFonts w:ascii="Courier New" w:cs="Courier New" w:eastAsia="Courier New" w:hAnsi="Courier New"/>
                <w:sz w:val="16"/>
                <w:szCs w:val="16"/>
                <w:color w:val="auto"/>
              </w:rPr>
              <w:t>$2,645</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$5,883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$(2,711)</w:t>
            </w:r>
          </w:p>
        </w:tc>
      </w:tr>
    </w:tbl>
    <w:p>
      <w:pPr>
        <w:jc w:val="center"/>
        <w:ind w:right="6659"/>
        <w:spacing w:after="0"/>
        <w:rPr>
          <w:sz w:val="20"/>
          <w:szCs w:val="20"/>
          <w:color w:val="auto"/>
        </w:rPr>
      </w:pPr>
      <w:r>
        <w:rPr>
          <w:rFonts w:ascii="Courier New" w:cs="Courier New" w:eastAsia="Courier New" w:hAnsi="Courier New"/>
          <w:sz w:val="16"/>
          <w:szCs w:val="16"/>
          <w:color w:val="auto"/>
        </w:rPr>
        <w:t>$1,488 $(2,022) Dividend requirements</w:t>
      </w:r>
    </w:p>
    <w:p>
      <w:pPr>
        <w:ind w:left="1220"/>
        <w:spacing w:after="0" w:line="237" w:lineRule="auto"/>
        <w:rPr>
          <w:sz w:val="20"/>
          <w:szCs w:val="20"/>
          <w:color w:val="auto"/>
        </w:rPr>
      </w:pPr>
      <w:r>
        <w:rPr>
          <w:rFonts w:ascii="Courier New" w:cs="Courier New" w:eastAsia="Courier New" w:hAnsi="Courier New"/>
          <w:sz w:val="16"/>
          <w:szCs w:val="16"/>
          <w:color w:val="auto"/>
        </w:rPr>
        <w:t>of preferred</w:t>
      </w:r>
    </w:p>
    <w:p>
      <w:pPr>
        <w:spacing w:after="0"/>
        <w:rPr>
          <w:sz w:val="20"/>
          <w:szCs w:val="20"/>
          <w:color w:val="auto"/>
        </w:rPr>
      </w:pPr>
      <w:r>
        <w:rPr>
          <w:rFonts w:ascii="Courier New" w:cs="Courier New" w:eastAsia="Courier New" w:hAnsi="Courier New"/>
          <w:sz w:val="16"/>
          <w:szCs w:val="16"/>
          <w:color w:val="auto"/>
        </w:rPr>
        <w:t>stock.................................</w:t>
      </w:r>
    </w:p>
    <w:p>
      <w:pPr>
        <w:ind w:left="40"/>
        <w:spacing w:after="0" w:line="238" w:lineRule="auto"/>
        <w:rPr>
          <w:sz w:val="20"/>
          <w:szCs w:val="20"/>
          <w:color w:val="auto"/>
        </w:rPr>
      </w:pPr>
      <w:r>
        <w:rPr>
          <w:rFonts w:ascii="Courier New" w:cs="Courier New" w:eastAsia="Courier New" w:hAnsi="Courier New"/>
          <w:sz w:val="16"/>
          <w:szCs w:val="16"/>
          <w:color w:val="auto"/>
        </w:rPr>
        <w:t>(652) -- -- -- -- -- -- -- Premium on</w:t>
      </w:r>
    </w:p>
    <w:p>
      <w:pPr>
        <w:ind w:left="700"/>
        <w:spacing w:after="0"/>
        <w:rPr>
          <w:sz w:val="20"/>
          <w:szCs w:val="20"/>
          <w:color w:val="auto"/>
        </w:rPr>
      </w:pPr>
      <w:r>
        <w:rPr>
          <w:rFonts w:ascii="Courier New" w:cs="Courier New" w:eastAsia="Courier New" w:hAnsi="Courier New"/>
          <w:sz w:val="16"/>
          <w:szCs w:val="16"/>
          <w:color w:val="auto"/>
        </w:rPr>
        <w:t>wireless tracking stock</w:t>
      </w:r>
    </w:p>
    <w:p>
      <w:pPr>
        <w:spacing w:after="0" w:line="238" w:lineRule="auto"/>
        <w:rPr>
          <w:sz w:val="20"/>
          <w:szCs w:val="20"/>
          <w:color w:val="auto"/>
        </w:rPr>
      </w:pPr>
      <w:r>
        <w:rPr>
          <w:rFonts w:ascii="Courier New" w:cs="Courier New" w:eastAsia="Courier New" w:hAnsi="Courier New"/>
          <w:sz w:val="16"/>
          <w:szCs w:val="16"/>
          <w:color w:val="auto"/>
        </w:rPr>
        <w:t>exchange..............................</w:t>
      </w:r>
    </w:p>
    <w:p>
      <w:pPr>
        <w:ind w:left="180"/>
        <w:spacing w:after="0"/>
        <w:rPr>
          <w:sz w:val="20"/>
          <w:szCs w:val="20"/>
          <w:color w:val="auto"/>
        </w:rPr>
      </w:pPr>
      <w:r>
        <w:rPr>
          <w:rFonts w:ascii="Courier New" w:cs="Courier New" w:eastAsia="Courier New" w:hAnsi="Courier New"/>
          <w:sz w:val="16"/>
          <w:szCs w:val="16"/>
          <w:color w:val="auto"/>
        </w:rPr>
        <w:t>(80) -- -- -- -- -- -- -- Reported</w:t>
      </w:r>
    </w:p>
    <w:p>
      <w:pPr>
        <w:ind w:left="220"/>
        <w:spacing w:after="0" w:line="237" w:lineRule="auto"/>
        <w:rPr>
          <w:sz w:val="20"/>
          <w:szCs w:val="20"/>
          <w:color w:val="auto"/>
        </w:rPr>
      </w:pPr>
      <w:r>
        <w:rPr>
          <w:rFonts w:ascii="Courier New" w:cs="Courier New" w:eastAsia="Courier New" w:hAnsi="Courier New"/>
          <w:sz w:val="16"/>
          <w:szCs w:val="16"/>
          <w:color w:val="auto"/>
        </w:rPr>
        <w:t>(loss) from continuing operations</w:t>
      </w:r>
    </w:p>
    <w:p>
      <w:pPr>
        <w:ind w:left="880"/>
        <w:spacing w:after="0"/>
        <w:rPr>
          <w:sz w:val="20"/>
          <w:szCs w:val="20"/>
          <w:color w:val="auto"/>
        </w:rPr>
      </w:pPr>
      <w:r>
        <w:rPr>
          <w:rFonts w:ascii="Courier New" w:cs="Courier New" w:eastAsia="Courier New" w:hAnsi="Courier New"/>
          <w:sz w:val="16"/>
          <w:szCs w:val="16"/>
          <w:color w:val="auto"/>
        </w:rPr>
        <w:t>available to common</w:t>
      </w:r>
    </w:p>
    <w:p>
      <w:pPr>
        <w:spacing w:after="0" w:line="238" w:lineRule="auto"/>
        <w:rPr>
          <w:sz w:val="20"/>
          <w:szCs w:val="20"/>
          <w:color w:val="auto"/>
        </w:rPr>
      </w:pPr>
      <w:r>
        <w:rPr>
          <w:rFonts w:ascii="Courier New" w:cs="Courier New" w:eastAsia="Courier New" w:hAnsi="Courier New"/>
          <w:sz w:val="16"/>
          <w:szCs w:val="16"/>
          <w:color w:val="auto"/>
        </w:rPr>
        <w:t>shareowners...........................</w:t>
      </w:r>
    </w:p>
    <w:p>
      <w:pPr>
        <w:ind w:left="220"/>
        <w:spacing w:after="0"/>
        <w:rPr>
          <w:sz w:val="20"/>
          <w:szCs w:val="20"/>
          <w:color w:val="auto"/>
        </w:rPr>
      </w:pPr>
      <w:r>
        <w:rPr>
          <w:rFonts w:ascii="Courier New" w:cs="Courier New" w:eastAsia="Courier New" w:hAnsi="Courier New"/>
          <w:sz w:val="16"/>
          <w:szCs w:val="16"/>
          <w:color w:val="auto"/>
        </w:rPr>
        <w:t>(4,863) 2,645 5,883 -- -- (2,711)</w:t>
      </w:r>
    </w:p>
    <w:p>
      <w:pPr>
        <w:jc w:val="center"/>
        <w:ind w:right="6659"/>
        <w:spacing w:after="0" w:line="238" w:lineRule="auto"/>
        <w:rPr>
          <w:sz w:val="20"/>
          <w:szCs w:val="20"/>
          <w:color w:val="auto"/>
        </w:rPr>
      </w:pPr>
      <w:r>
        <w:rPr>
          <w:rFonts w:ascii="Courier New" w:cs="Courier New" w:eastAsia="Courier New" w:hAnsi="Courier New"/>
          <w:sz w:val="16"/>
          <w:szCs w:val="16"/>
          <w:color w:val="auto"/>
        </w:rPr>
        <w:t>1,488 (2,022) Add back amortization,</w:t>
      </w:r>
    </w:p>
    <w:p>
      <w:pPr>
        <w:jc w:val="center"/>
        <w:ind w:right="6659"/>
        <w:spacing w:after="0"/>
        <w:rPr>
          <w:sz w:val="20"/>
          <w:szCs w:val="20"/>
          <w:color w:val="auto"/>
        </w:rPr>
      </w:pPr>
      <w:r>
        <w:rPr>
          <w:rFonts w:ascii="Courier New" w:cs="Courier New" w:eastAsia="Courier New" w:hAnsi="Courier New"/>
          <w:sz w:val="16"/>
          <w:szCs w:val="16"/>
          <w:color w:val="auto"/>
        </w:rPr>
        <w:t>net of tax: Goodwill</w:t>
      </w:r>
    </w:p>
    <w:p>
      <w:pPr>
        <w:ind w:left="40"/>
        <w:spacing w:after="0" w:line="237" w:lineRule="auto"/>
        <w:rPr>
          <w:sz w:val="20"/>
          <w:szCs w:val="20"/>
          <w:color w:val="auto"/>
        </w:rPr>
      </w:pPr>
      <w:r>
        <w:rPr>
          <w:rFonts w:ascii="Courier New" w:cs="Courier New" w:eastAsia="Courier New" w:hAnsi="Courier New"/>
          <w:sz w:val="16"/>
          <w:szCs w:val="16"/>
          <w:color w:val="auto"/>
        </w:rPr>
        <w:t>*............................ 766 687</w:t>
      </w:r>
    </w:p>
    <w:p>
      <w:pPr>
        <w:ind w:left="140"/>
        <w:spacing w:after="0"/>
        <w:rPr>
          <w:sz w:val="20"/>
          <w:szCs w:val="20"/>
          <w:color w:val="auto"/>
        </w:rPr>
      </w:pPr>
      <w:r>
        <w:rPr>
          <w:rFonts w:ascii="Courier New" w:cs="Courier New" w:eastAsia="Courier New" w:hAnsi="Courier New"/>
          <w:sz w:val="16"/>
          <w:szCs w:val="16"/>
          <w:color w:val="auto"/>
        </w:rPr>
        <w:t>135 -- -- 350 568 424 Equity method</w:t>
      </w:r>
    </w:p>
    <w:p>
      <w:pPr>
        <w:ind w:left="80"/>
        <w:spacing w:after="0" w:line="238" w:lineRule="auto"/>
        <w:rPr>
          <w:sz w:val="20"/>
          <w:szCs w:val="20"/>
          <w:color w:val="auto"/>
        </w:rPr>
      </w:pPr>
      <w:r>
        <w:rPr>
          <w:rFonts w:ascii="Courier New" w:cs="Courier New" w:eastAsia="Courier New" w:hAnsi="Courier New"/>
          <w:sz w:val="16"/>
          <w:szCs w:val="16"/>
          <w:color w:val="auto"/>
        </w:rPr>
        <w:t>excess basis............ 128 337 294</w:t>
      </w:r>
    </w:p>
    <w:p>
      <w:pPr>
        <w:ind w:left="500"/>
        <w:spacing w:after="0"/>
        <w:rPr>
          <w:sz w:val="20"/>
          <w:szCs w:val="20"/>
          <w:color w:val="auto"/>
        </w:rPr>
      </w:pPr>
      <w:r>
        <w:rPr>
          <w:rFonts w:ascii="Courier New" w:cs="Courier New" w:eastAsia="Courier New" w:hAnsi="Courier New"/>
          <w:sz w:val="16"/>
          <w:szCs w:val="16"/>
          <w:color w:val="auto"/>
        </w:rPr>
        <w:t>-- -- 346 654 285 Franchise</w:t>
      </w:r>
    </w:p>
    <w:p>
      <w:pPr>
        <w:ind w:left="80"/>
        <w:spacing w:after="0" w:line="238" w:lineRule="auto"/>
        <w:rPr>
          <w:sz w:val="20"/>
          <w:szCs w:val="20"/>
          <w:color w:val="auto"/>
        </w:rPr>
      </w:pPr>
      <w:r>
        <w:rPr>
          <w:rFonts w:ascii="Courier New" w:cs="Courier New" w:eastAsia="Courier New" w:hAnsi="Courier New"/>
          <w:sz w:val="16"/>
          <w:szCs w:val="16"/>
          <w:color w:val="auto"/>
        </w:rPr>
        <w:t>costs....................... 754 645</w:t>
      </w:r>
    </w:p>
    <w:p>
      <w:pPr>
        <w:ind w:left="40"/>
        <w:spacing w:after="0"/>
        <w:rPr>
          <w:sz w:val="20"/>
          <w:szCs w:val="20"/>
          <w:color w:val="auto"/>
        </w:rPr>
      </w:pPr>
      <w:r>
        <w:rPr>
          <w:rFonts w:ascii="Courier New" w:cs="Courier New" w:eastAsia="Courier New" w:hAnsi="Courier New"/>
          <w:sz w:val="16"/>
          <w:szCs w:val="16"/>
          <w:color w:val="auto"/>
        </w:rPr>
        <w:t>445 -- -- 4 8 5 ------- ------ ------</w:t>
      </w:r>
    </w:p>
    <w:p>
      <w:pPr>
        <w:ind w:left="180"/>
        <w:spacing w:after="0" w:line="237" w:lineRule="auto"/>
        <w:rPr>
          <w:sz w:val="20"/>
          <w:szCs w:val="20"/>
          <w:color w:val="auto"/>
        </w:rPr>
      </w:pPr>
      <w:r>
        <w:rPr>
          <w:rFonts w:ascii="Courier New" w:cs="Courier New" w:eastAsia="Courier New" w:hAnsi="Courier New"/>
          <w:sz w:val="16"/>
          <w:szCs w:val="16"/>
          <w:color w:val="auto"/>
        </w:rPr>
        <w:t>----- ----- ------- ------ -------</w:t>
      </w:r>
    </w:p>
    <w:p>
      <w:pPr>
        <w:ind w:left="500"/>
        <w:spacing w:after="0"/>
        <w:rPr>
          <w:sz w:val="20"/>
          <w:szCs w:val="20"/>
          <w:color w:val="auto"/>
        </w:rPr>
      </w:pPr>
      <w:r>
        <w:rPr>
          <w:rFonts w:ascii="Courier New" w:cs="Courier New" w:eastAsia="Courier New" w:hAnsi="Courier New"/>
          <w:sz w:val="16"/>
          <w:szCs w:val="16"/>
          <w:color w:val="auto"/>
        </w:rPr>
        <w:t>Adjusted (loss) income from</w:t>
      </w:r>
    </w:p>
    <w:p>
      <w:pPr>
        <w:ind w:left="460"/>
        <w:spacing w:after="0" w:line="238" w:lineRule="auto"/>
        <w:rPr>
          <w:sz w:val="20"/>
          <w:szCs w:val="20"/>
          <w:color w:val="auto"/>
        </w:rPr>
      </w:pPr>
      <w:r>
        <w:rPr>
          <w:rFonts w:ascii="Courier New" w:cs="Courier New" w:eastAsia="Courier New" w:hAnsi="Courier New"/>
          <w:sz w:val="16"/>
          <w:szCs w:val="16"/>
          <w:color w:val="auto"/>
        </w:rPr>
        <w:t>continuing operations before</w:t>
      </w:r>
    </w:p>
    <w:p>
      <w:pPr>
        <w:ind w:left="320"/>
        <w:spacing w:after="0"/>
        <w:rPr>
          <w:sz w:val="20"/>
          <w:szCs w:val="20"/>
          <w:color w:val="auto"/>
        </w:rPr>
      </w:pPr>
      <w:r>
        <w:rPr>
          <w:rFonts w:ascii="Courier New" w:cs="Courier New" w:eastAsia="Courier New" w:hAnsi="Courier New"/>
          <w:sz w:val="16"/>
          <w:szCs w:val="16"/>
          <w:color w:val="auto"/>
        </w:rPr>
        <w:t>cumulative effect of accounting</w:t>
      </w:r>
    </w:p>
    <w:p>
      <w:pPr>
        <w:ind w:left="80"/>
        <w:spacing w:after="0" w:line="238" w:lineRule="auto"/>
        <w:rPr>
          <w:sz w:val="20"/>
          <w:szCs w:val="20"/>
          <w:color w:val="auto"/>
        </w:rPr>
      </w:pPr>
      <w:r>
        <w:rPr>
          <w:rFonts w:ascii="Courier New" w:cs="Courier New" w:eastAsia="Courier New" w:hAnsi="Courier New"/>
          <w:sz w:val="16"/>
          <w:szCs w:val="16"/>
          <w:color w:val="auto"/>
        </w:rPr>
        <w:t>change..................... $(3,215)</w:t>
      </w:r>
    </w:p>
    <w:p>
      <w:pPr>
        <w:ind w:left="280"/>
        <w:spacing w:after="0"/>
        <w:rPr>
          <w:sz w:val="20"/>
          <w:szCs w:val="20"/>
          <w:color w:val="auto"/>
        </w:rPr>
      </w:pPr>
      <w:r>
        <w:rPr>
          <w:rFonts w:ascii="Courier New" w:cs="Courier New" w:eastAsia="Courier New" w:hAnsi="Courier New"/>
          <w:sz w:val="16"/>
          <w:szCs w:val="16"/>
          <w:color w:val="auto"/>
        </w:rPr>
        <w:t>$4,314 $6,757 $ -- $ -- $(2,011)</w:t>
      </w:r>
    </w:p>
    <w:p>
      <w:pPr>
        <w:ind w:left="320"/>
        <w:spacing w:after="0" w:line="237" w:lineRule="auto"/>
        <w:rPr>
          <w:sz w:val="20"/>
          <w:szCs w:val="20"/>
          <w:color w:val="auto"/>
        </w:rPr>
      </w:pPr>
      <w:r>
        <w:rPr>
          <w:rFonts w:ascii="Courier New" w:cs="Courier New" w:eastAsia="Courier New" w:hAnsi="Courier New"/>
          <w:sz w:val="16"/>
          <w:szCs w:val="16"/>
          <w:color w:val="auto"/>
        </w:rPr>
        <w:t>$2,718 $(1,308) Reported income</w:t>
      </w:r>
    </w:p>
    <w:p>
      <w:pPr>
        <w:ind w:left="660"/>
        <w:spacing w:after="0"/>
        <w:rPr>
          <w:sz w:val="20"/>
          <w:szCs w:val="20"/>
          <w:color w:val="auto"/>
        </w:rPr>
      </w:pPr>
      <w:r>
        <w:rPr>
          <w:rFonts w:ascii="Courier New" w:cs="Courier New" w:eastAsia="Courier New" w:hAnsi="Courier New"/>
          <w:sz w:val="16"/>
          <w:szCs w:val="16"/>
          <w:color w:val="auto"/>
        </w:rPr>
        <w:t>(loss) from discontinued</w:t>
      </w:r>
    </w:p>
    <w:p>
      <w:pPr>
        <w:spacing w:after="0" w:line="238" w:lineRule="auto"/>
        <w:rPr>
          <w:sz w:val="20"/>
          <w:szCs w:val="20"/>
          <w:color w:val="auto"/>
        </w:rPr>
      </w:pPr>
      <w:r>
        <w:rPr>
          <w:rFonts w:ascii="Courier New" w:cs="Courier New" w:eastAsia="Courier New" w:hAnsi="Courier New"/>
          <w:sz w:val="16"/>
          <w:szCs w:val="16"/>
          <w:color w:val="auto"/>
        </w:rPr>
        <w:t>operations............................</w:t>
      </w:r>
    </w:p>
    <w:p>
      <w:pPr>
        <w:ind w:left="40"/>
        <w:spacing w:after="0"/>
        <w:rPr>
          <w:sz w:val="20"/>
          <w:szCs w:val="20"/>
          <w:color w:val="auto"/>
        </w:rPr>
      </w:pPr>
      <w:r>
        <w:rPr>
          <w:rFonts w:ascii="Courier New" w:cs="Courier New" w:eastAsia="Courier New" w:hAnsi="Courier New"/>
          <w:sz w:val="16"/>
          <w:szCs w:val="16"/>
          <w:color w:val="auto"/>
        </w:rPr>
        <w:t>115 460 (433) 35 76 -- -- -- Add back</w:t>
      </w:r>
    </w:p>
    <w:p>
      <w:pPr>
        <w:ind w:left="40"/>
        <w:spacing w:after="0" w:line="238" w:lineRule="auto"/>
        <w:rPr>
          <w:sz w:val="20"/>
          <w:szCs w:val="20"/>
          <w:color w:val="auto"/>
        </w:rPr>
      </w:pPr>
      <w:r>
        <w:rPr>
          <w:rFonts w:ascii="Courier New" w:cs="Courier New" w:eastAsia="Courier New" w:hAnsi="Courier New"/>
          <w:sz w:val="16"/>
          <w:szCs w:val="16"/>
          <w:color w:val="auto"/>
        </w:rPr>
        <w:t>discontinued operations amortization,</w:t>
      </w:r>
    </w:p>
    <w:p>
      <w:pPr>
        <w:ind w:left="80"/>
        <w:spacing w:after="0"/>
        <w:rPr>
          <w:sz w:val="20"/>
          <w:szCs w:val="20"/>
          <w:color w:val="auto"/>
        </w:rPr>
      </w:pPr>
      <w:r>
        <w:rPr>
          <w:rFonts w:ascii="Courier New" w:cs="Courier New" w:eastAsia="Courier New" w:hAnsi="Courier New"/>
          <w:sz w:val="16"/>
          <w:szCs w:val="16"/>
          <w:color w:val="auto"/>
        </w:rPr>
        <w:t>net of tax.............. 152 222 204</w:t>
      </w:r>
    </w:p>
    <w:p>
      <w:pPr>
        <w:ind w:left="40"/>
        <w:spacing w:after="0" w:line="237" w:lineRule="auto"/>
        <w:rPr>
          <w:sz w:val="20"/>
          <w:szCs w:val="20"/>
          <w:color w:val="auto"/>
        </w:rPr>
      </w:pPr>
      <w:r>
        <w:rPr>
          <w:rFonts w:ascii="Courier New" w:cs="Courier New" w:eastAsia="Courier New" w:hAnsi="Courier New"/>
          <w:sz w:val="16"/>
          <w:szCs w:val="16"/>
          <w:color w:val="auto"/>
        </w:rPr>
        <w:t>36 27 -- -- -- Gain on disposition of</w:t>
      </w:r>
    </w:p>
    <w:p>
      <w:pPr>
        <w:ind w:left="1220"/>
        <w:spacing w:after="0"/>
        <w:rPr>
          <w:sz w:val="20"/>
          <w:szCs w:val="20"/>
          <w:color w:val="auto"/>
        </w:rPr>
      </w:pPr>
      <w:r>
        <w:rPr>
          <w:rFonts w:ascii="Courier New" w:cs="Courier New" w:eastAsia="Courier New" w:hAnsi="Courier New"/>
          <w:sz w:val="16"/>
          <w:szCs w:val="16"/>
          <w:color w:val="auto"/>
        </w:rPr>
        <w:t>discontinued</w:t>
      </w:r>
    </w:p>
    <w:p>
      <w:pPr>
        <w:spacing w:after="0" w:line="238" w:lineRule="auto"/>
        <w:rPr>
          <w:sz w:val="20"/>
          <w:szCs w:val="20"/>
          <w:color w:val="auto"/>
        </w:rPr>
      </w:pPr>
      <w:r>
        <w:rPr>
          <w:rFonts w:ascii="Courier New" w:cs="Courier New" w:eastAsia="Courier New" w:hAnsi="Courier New"/>
          <w:sz w:val="16"/>
          <w:szCs w:val="16"/>
          <w:color w:val="auto"/>
        </w:rPr>
        <w:t>operations............................</w:t>
      </w:r>
    </w:p>
    <w:p>
      <w:pPr>
        <w:ind w:left="520"/>
        <w:spacing w:after="0"/>
        <w:rPr>
          <w:sz w:val="20"/>
          <w:szCs w:val="20"/>
          <w:color w:val="auto"/>
        </w:rPr>
      </w:pPr>
      <w:r>
        <w:rPr>
          <w:rFonts w:ascii="Courier New" w:cs="Courier New" w:eastAsia="Courier New" w:hAnsi="Courier New"/>
          <w:sz w:val="16"/>
          <w:szCs w:val="16"/>
          <w:color w:val="auto"/>
        </w:rPr>
        <w:t>13,503 -- -- -- -- -- -- --</w:t>
      </w:r>
    </w:p>
    <w:p>
      <w:pPr>
        <w:ind w:left="320"/>
        <w:spacing w:after="0" w:line="238" w:lineRule="auto"/>
        <w:rPr>
          <w:sz w:val="20"/>
          <w:szCs w:val="20"/>
          <w:color w:val="auto"/>
        </w:rPr>
      </w:pPr>
      <w:r>
        <w:rPr>
          <w:rFonts w:ascii="Courier New" w:cs="Courier New" w:eastAsia="Courier New" w:hAnsi="Courier New"/>
          <w:sz w:val="16"/>
          <w:szCs w:val="16"/>
          <w:color w:val="auto"/>
        </w:rPr>
        <w:t>Cumulative effect of accounting</w:t>
      </w:r>
    </w:p>
    <w:p>
      <w:pPr>
        <w:spacing w:after="0"/>
        <w:rPr>
          <w:sz w:val="20"/>
          <w:szCs w:val="20"/>
          <w:color w:val="auto"/>
        </w:rPr>
      </w:pPr>
      <w:r>
        <w:rPr>
          <w:rFonts w:ascii="Courier New" w:cs="Courier New" w:eastAsia="Courier New" w:hAnsi="Courier New"/>
          <w:sz w:val="16"/>
          <w:szCs w:val="16"/>
          <w:color w:val="auto"/>
        </w:rPr>
        <w:t>change................................</w:t>
      </w:r>
    </w:p>
    <w:p>
      <w:pPr>
        <w:ind w:left="40"/>
        <w:spacing w:after="0" w:line="237" w:lineRule="auto"/>
        <w:rPr>
          <w:sz w:val="20"/>
          <w:szCs w:val="20"/>
          <w:color w:val="auto"/>
        </w:rPr>
      </w:pPr>
      <w:r>
        <w:rPr>
          <w:rFonts w:ascii="Courier New" w:cs="Courier New" w:eastAsia="Courier New" w:hAnsi="Courier New"/>
          <w:sz w:val="16"/>
          <w:szCs w:val="16"/>
          <w:color w:val="auto"/>
        </w:rPr>
        <w:t>359 -- -- -- -- 545 -- -- ------- ---</w:t>
      </w:r>
    </w:p>
    <w:p>
      <w:pPr>
        <w:ind w:left="420" w:hanging="379"/>
        <w:spacing w:after="0"/>
        <w:tabs>
          <w:tab w:leader="none" w:pos="4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ADJUSTED NET INCOME</w:t>
      </w:r>
    </w:p>
    <w:tbl>
      <w:tblPr>
        <w:tblLayout w:type="fixed"/>
        <w:tblInd w:w="180" w:type="dxa"/>
        <w:tblCellMar>
          <w:top w:w="0" w:type="dxa"/>
          <w:left w:w="0" w:type="dxa"/>
          <w:bottom w:w="0" w:type="dxa"/>
          <w:right w:w="0" w:type="dxa"/>
        </w:tblCellMar>
      </w:tblPr>
      <w:tr>
        <w:trPr>
          <w:trHeight w:val="179"/>
        </w:trPr>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(LOSS)..............</w:t>
            </w:r>
          </w:p>
        </w:tc>
        <w:tc>
          <w:tcPr>
            <w:tcW w:w="560" w:type="dxa"/>
            <w:vAlign w:val="bottom"/>
          </w:tcPr>
          <w:p>
            <w:pPr>
              <w:spacing w:after="0"/>
              <w:rPr>
                <w:sz w:val="15"/>
                <w:szCs w:val="15"/>
                <w:color w:val="auto"/>
              </w:rPr>
            </w:pPr>
          </w:p>
        </w:tc>
        <w:tc>
          <w:tcPr>
            <w:tcW w:w="1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$10,914 4,996</w:t>
            </w:r>
          </w:p>
        </w:tc>
      </w:tr>
      <w:tr>
        <w:trPr>
          <w:trHeight w:val="180"/>
        </w:trPr>
        <w:tc>
          <w:tcPr>
            <w:tcW w:w="700" w:type="dxa"/>
            <w:vAlign w:val="bottom"/>
          </w:tcPr>
          <w:p>
            <w:pPr>
              <w:jc w:val="right"/>
              <w:ind w:right="7"/>
              <w:spacing w:after="0"/>
              <w:rPr>
                <w:sz w:val="20"/>
                <w:szCs w:val="20"/>
                <w:color w:val="auto"/>
              </w:rPr>
            </w:pPr>
            <w:r>
              <w:rPr>
                <w:rFonts w:ascii="Courier New" w:cs="Courier New" w:eastAsia="Courier New" w:hAnsi="Courier New"/>
                <w:sz w:val="16"/>
                <w:szCs w:val="16"/>
                <w:color w:val="auto"/>
              </w:rPr>
              <w:t>$6,528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$ 71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$ 103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9"/>
              </w:rPr>
              <w:t>$(1,466) $2,718</w:t>
            </w:r>
          </w:p>
        </w:tc>
      </w:tr>
    </w:tbl>
    <w:p>
      <w:pPr>
        <w:ind w:left="80"/>
        <w:spacing w:after="0"/>
        <w:rPr>
          <w:sz w:val="20"/>
          <w:szCs w:val="20"/>
          <w:color w:val="auto"/>
        </w:rPr>
      </w:pPr>
      <w:r>
        <w:rPr>
          <w:rFonts w:ascii="Courier New" w:cs="Courier New" w:eastAsia="Courier New" w:hAnsi="Courier New"/>
          <w:sz w:val="16"/>
          <w:szCs w:val="16"/>
          <w:color w:val="auto"/>
        </w:rPr>
        <w:t>$(1,308) ------- ------ ------ -----</w:t>
      </w:r>
    </w:p>
    <w:p>
      <w:pPr>
        <w:ind w:left="180"/>
        <w:spacing w:after="0" w:line="237" w:lineRule="auto"/>
        <w:rPr>
          <w:sz w:val="20"/>
          <w:szCs w:val="20"/>
          <w:color w:val="auto"/>
        </w:rPr>
      </w:pPr>
      <w:r>
        <w:rPr>
          <w:rFonts w:ascii="Courier New" w:cs="Courier New" w:eastAsia="Courier New" w:hAnsi="Courier New"/>
          <w:sz w:val="16"/>
          <w:szCs w:val="16"/>
          <w:color w:val="auto"/>
        </w:rPr>
        <w:t>----- ------- ------ ------- BASIC</w:t>
      </w:r>
    </w:p>
    <w:p>
      <w:pPr>
        <w:jc w:val="center"/>
        <w:ind w:right="6659"/>
        <w:spacing w:after="0"/>
        <w:rPr>
          <w:sz w:val="20"/>
          <w:szCs w:val="20"/>
          <w:color w:val="auto"/>
        </w:rPr>
      </w:pPr>
      <w:r>
        <w:rPr>
          <w:rFonts w:ascii="Courier New" w:cs="Courier New" w:eastAsia="Courier New" w:hAnsi="Courier New"/>
          <w:sz w:val="16"/>
          <w:szCs w:val="16"/>
          <w:color w:val="auto"/>
        </w:rPr>
        <w:t>(LOSS) EARNINGS PER SHARE: Reported</w:t>
      </w:r>
    </w:p>
    <w:p>
      <w:pPr>
        <w:jc w:val="center"/>
        <w:ind w:right="6659"/>
        <w:spacing w:after="0" w:line="238" w:lineRule="auto"/>
        <w:rPr>
          <w:sz w:val="20"/>
          <w:szCs w:val="20"/>
          <w:color w:val="auto"/>
        </w:rPr>
      </w:pPr>
      <w:r>
        <w:rPr>
          <w:rFonts w:ascii="Courier New" w:cs="Courier New" w:eastAsia="Courier New" w:hAnsi="Courier New"/>
          <w:sz w:val="16"/>
          <w:szCs w:val="16"/>
          <w:color w:val="auto"/>
        </w:rPr>
        <w:t>basic (loss) earnings per share from</w:t>
      </w:r>
    </w:p>
    <w:p>
      <w:pPr>
        <w:jc w:val="center"/>
        <w:ind w:right="6659"/>
        <w:spacing w:after="0"/>
        <w:rPr>
          <w:sz w:val="20"/>
          <w:szCs w:val="20"/>
          <w:color w:val="auto"/>
        </w:rPr>
      </w:pPr>
      <w:r>
        <w:rPr>
          <w:rFonts w:ascii="Courier New" w:cs="Courier New" w:eastAsia="Courier New" w:hAnsi="Courier New"/>
          <w:sz w:val="16"/>
          <w:szCs w:val="16"/>
          <w:color w:val="auto"/>
        </w:rPr>
        <w:t>continuing operations before</w:t>
      </w:r>
    </w:p>
    <w:p>
      <w:pPr>
        <w:jc w:val="center"/>
        <w:ind w:right="6659"/>
        <w:spacing w:after="0" w:line="238" w:lineRule="auto"/>
        <w:rPr>
          <w:sz w:val="20"/>
          <w:szCs w:val="20"/>
          <w:color w:val="auto"/>
        </w:rPr>
      </w:pPr>
      <w:r>
        <w:rPr>
          <w:rFonts w:ascii="Courier New" w:cs="Courier New" w:eastAsia="Courier New" w:hAnsi="Courier New"/>
          <w:sz w:val="16"/>
          <w:szCs w:val="16"/>
          <w:color w:val="auto"/>
        </w:rPr>
        <w:t>cumulative effect of accounting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 w:type="dxa"/>
            <w:vAlign w:val="bottom"/>
            <w:gridSpan w:val="3"/>
          </w:tcPr>
          <w:p>
            <w:pPr>
              <w:jc w:val="right"/>
              <w:spacing w:after="0"/>
              <w:rPr>
                <w:sz w:val="20"/>
                <w:szCs w:val="20"/>
                <w:color w:val="auto"/>
              </w:rPr>
            </w:pPr>
            <w:r>
              <w:rPr>
                <w:rFonts w:ascii="Courier New" w:cs="Courier New" w:eastAsia="Courier New" w:hAnsi="Courier New"/>
                <w:sz w:val="4"/>
                <w:szCs w:val="4"/>
                <w:color w:val="auto"/>
              </w:rPr>
              <w:t>change................................</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96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 (1.33)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$ 0.76</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$ 1.91 $</w:t>
            </w:r>
          </w:p>
        </w:tc>
        <w:tc>
          <w:tcPr>
            <w:tcW w:w="320" w:type="dxa"/>
            <w:vAlign w:val="bottom"/>
          </w:tcPr>
          <w:p>
            <w:pPr>
              <w:jc w:val="right"/>
              <w:ind w:right="6"/>
              <w:spacing w:after="0"/>
              <w:rPr>
                <w:sz w:val="20"/>
                <w:szCs w:val="20"/>
                <w:color w:val="auto"/>
              </w:rPr>
            </w:pPr>
            <w:r>
              <w:rPr>
                <w:rFonts w:ascii="Courier New" w:cs="Courier New" w:eastAsia="Courier New" w:hAnsi="Courier New"/>
                <w:sz w:val="16"/>
                <w:szCs w:val="16"/>
                <w:color w:val="auto"/>
              </w:rPr>
              <w:t>--</w:t>
            </w:r>
          </w:p>
        </w:tc>
        <w:tc>
          <w:tcPr>
            <w:tcW w:w="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w:t>
            </w:r>
          </w:p>
        </w:tc>
      </w:tr>
      <w:tr>
        <w:trPr>
          <w:trHeight w:val="180"/>
        </w:trPr>
        <w:tc>
          <w:tcPr>
            <w:tcW w:w="9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(1.05)</w:t>
            </w:r>
          </w:p>
        </w:tc>
        <w:tc>
          <w:tcPr>
            <w:tcW w:w="680" w:type="dxa"/>
            <w:vAlign w:val="bottom"/>
          </w:tcPr>
          <w:p>
            <w:pPr>
              <w:ind w:left="20"/>
              <w:spacing w:after="0"/>
              <w:rPr>
                <w:sz w:val="20"/>
                <w:szCs w:val="20"/>
                <w:color w:val="auto"/>
              </w:rPr>
            </w:pPr>
            <w:r>
              <w:rPr>
                <w:rFonts w:ascii="Courier New" w:cs="Courier New" w:eastAsia="Courier New" w:hAnsi="Courier New"/>
                <w:sz w:val="16"/>
                <w:szCs w:val="16"/>
                <w:color w:val="auto"/>
              </w:rPr>
              <w:t>$ 0.58</w:t>
            </w:r>
          </w:p>
        </w:tc>
        <w:tc>
          <w:tcPr>
            <w:tcW w:w="1880" w:type="dxa"/>
            <w:vAlign w:val="bottom"/>
            <w:gridSpan w:val="5"/>
          </w:tcPr>
          <w:p>
            <w:pPr>
              <w:jc w:val="right"/>
              <w:ind w:right="222"/>
              <w:spacing w:after="0"/>
              <w:rPr>
                <w:sz w:val="20"/>
                <w:szCs w:val="20"/>
                <w:color w:val="auto"/>
              </w:rPr>
            </w:pPr>
            <w:r>
              <w:rPr>
                <w:rFonts w:ascii="Courier New" w:cs="Courier New" w:eastAsia="Courier New" w:hAnsi="Courier New"/>
                <w:sz w:val="16"/>
                <w:szCs w:val="16"/>
                <w:color w:val="auto"/>
                <w:w w:val="95"/>
              </w:rPr>
              <w:t>$ (0.80) Add back</w:t>
            </w:r>
          </w:p>
        </w:tc>
      </w:tr>
      <w:tr>
        <w:trPr>
          <w:trHeight w:val="180"/>
        </w:trPr>
        <w:tc>
          <w:tcPr>
            <w:tcW w:w="3520" w:type="dxa"/>
            <w:vAlign w:val="bottom"/>
            <w:gridSpan w:val="9"/>
          </w:tcPr>
          <w:p>
            <w:pPr>
              <w:jc w:val="right"/>
              <w:ind w:right="62"/>
              <w:spacing w:after="0"/>
              <w:rPr>
                <w:sz w:val="20"/>
                <w:szCs w:val="20"/>
                <w:color w:val="auto"/>
              </w:rPr>
            </w:pPr>
            <w:r>
              <w:rPr>
                <w:rFonts w:ascii="Courier New" w:cs="Courier New" w:eastAsia="Courier New" w:hAnsi="Courier New"/>
                <w:sz w:val="16"/>
                <w:szCs w:val="16"/>
                <w:color w:val="auto"/>
              </w:rPr>
              <w:t>amortization, net of tax: Goodwill</w:t>
            </w:r>
          </w:p>
        </w:tc>
      </w:tr>
      <w:tr>
        <w:trPr>
          <w:trHeight w:val="180"/>
        </w:trPr>
        <w:tc>
          <w:tcPr>
            <w:tcW w:w="840" w:type="dxa"/>
            <w:vAlign w:val="bottom"/>
            <w:gridSpan w:val="2"/>
          </w:tcPr>
          <w:p>
            <w:pPr>
              <w:ind w:left="180"/>
              <w:spacing w:after="0"/>
              <w:rPr>
                <w:sz w:val="20"/>
                <w:szCs w:val="20"/>
                <w:color w:val="auto"/>
              </w:rPr>
            </w:pPr>
            <w:r>
              <w:rPr>
                <w:rFonts w:ascii="Courier New" w:cs="Courier New" w:eastAsia="Courier New" w:hAnsi="Courier New"/>
                <w:sz w:val="4"/>
                <w:szCs w:val="4"/>
                <w:color w:val="auto"/>
                <w:w w:val="91"/>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0.21</w:t>
            </w:r>
          </w:p>
        </w:tc>
      </w:tr>
      <w:tr>
        <w:trPr>
          <w:trHeight w:val="180"/>
        </w:trPr>
        <w:tc>
          <w:tcPr>
            <w:tcW w:w="9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9"/>
              </w:rPr>
              <w:t>0.20 0.04</w:t>
            </w:r>
          </w:p>
        </w:tc>
        <w:tc>
          <w:tcPr>
            <w:tcW w:w="1060" w:type="dxa"/>
            <w:vAlign w:val="bottom"/>
            <w:gridSpan w:val="2"/>
          </w:tcPr>
          <w:p>
            <w:pPr>
              <w:ind w:left="20"/>
              <w:spacing w:after="0"/>
              <w:rPr>
                <w:sz w:val="20"/>
                <w:szCs w:val="20"/>
                <w:color w:val="auto"/>
              </w:rPr>
            </w:pPr>
            <w:r>
              <w:rPr>
                <w:rFonts w:ascii="Courier New" w:cs="Courier New" w:eastAsia="Courier New" w:hAnsi="Courier New"/>
                <w:sz w:val="16"/>
                <w:szCs w:val="16"/>
                <w:color w:val="auto"/>
              </w:rPr>
              <w:t>-- -- 0.14</w:t>
            </w: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0.22</w:t>
            </w:r>
          </w:p>
        </w:tc>
        <w:tc>
          <w:tcPr>
            <w:tcW w:w="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0.17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Equity</w:t>
            </w:r>
          </w:p>
        </w:tc>
      </w:tr>
      <w:tr>
        <w:trPr>
          <w:trHeight w:val="180"/>
        </w:trPr>
        <w:tc>
          <w:tcPr>
            <w:tcW w:w="24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82"/>
              </w:rPr>
              <w:t>method excess basis............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80"/>
        </w:trPr>
        <w:tc>
          <w:tcPr>
            <w:tcW w:w="8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0.10</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0.10 -- --</w:t>
            </w:r>
          </w:p>
        </w:tc>
        <w:tc>
          <w:tcPr>
            <w:tcW w:w="1160" w:type="dxa"/>
            <w:vAlign w:val="bottom"/>
            <w:gridSpan w:val="3"/>
          </w:tcPr>
          <w:p>
            <w:pPr>
              <w:jc w:val="right"/>
              <w:ind w:right="6"/>
              <w:spacing w:after="0"/>
              <w:rPr>
                <w:sz w:val="20"/>
                <w:szCs w:val="20"/>
                <w:color w:val="auto"/>
              </w:rPr>
            </w:pPr>
            <w:r>
              <w:rPr>
                <w:rFonts w:ascii="Courier New" w:cs="Courier New" w:eastAsia="Courier New" w:hAnsi="Courier New"/>
                <w:sz w:val="16"/>
                <w:szCs w:val="16"/>
                <w:color w:val="auto"/>
              </w:rPr>
              <w:t>0.13 0.25</w:t>
            </w:r>
          </w:p>
        </w:tc>
        <w:tc>
          <w:tcPr>
            <w:tcW w:w="720" w:type="dxa"/>
            <w:vAlign w:val="bottom"/>
            <w:gridSpan w:val="2"/>
          </w:tcPr>
          <w:p>
            <w:pPr>
              <w:spacing w:after="0"/>
              <w:rPr>
                <w:sz w:val="20"/>
                <w:szCs w:val="20"/>
                <w:color w:val="auto"/>
              </w:rPr>
            </w:pPr>
            <w:r>
              <w:rPr>
                <w:rFonts w:ascii="Courier New" w:cs="Courier New" w:eastAsia="Courier New" w:hAnsi="Courier New"/>
                <w:sz w:val="16"/>
                <w:szCs w:val="16"/>
                <w:color w:val="auto"/>
              </w:rPr>
              <w:t>0.11</w:t>
            </w:r>
          </w:p>
        </w:tc>
      </w:tr>
      <w:tr>
        <w:trPr>
          <w:trHeight w:val="180"/>
        </w:trPr>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Franchise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96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9"/>
              </w:rPr>
              <w:t>costs.......................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8"/>
              </w:rPr>
              <w:t>0.21</w:t>
            </w:r>
          </w:p>
        </w:tc>
      </w:tr>
      <w:tr>
        <w:trPr>
          <w:trHeight w:val="180"/>
        </w:trPr>
        <w:tc>
          <w:tcPr>
            <w:tcW w:w="500" w:type="dxa"/>
            <w:vAlign w:val="bottom"/>
          </w:tcPr>
          <w:p>
            <w:pPr>
              <w:jc w:val="right"/>
              <w:ind w:right="17"/>
              <w:spacing w:after="0"/>
              <w:rPr>
                <w:sz w:val="20"/>
                <w:szCs w:val="20"/>
                <w:color w:val="auto"/>
              </w:rPr>
            </w:pPr>
            <w:r>
              <w:rPr>
                <w:rFonts w:ascii="Courier New" w:cs="Courier New" w:eastAsia="Courier New" w:hAnsi="Courier New"/>
                <w:sz w:val="16"/>
                <w:szCs w:val="16"/>
                <w:color w:val="auto"/>
              </w:rPr>
              <w:t>0.18</w:t>
            </w:r>
          </w:p>
        </w:tc>
        <w:tc>
          <w:tcPr>
            <w:tcW w:w="4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3"/>
              </w:rPr>
              <w:t>0.14</w:t>
            </w:r>
          </w:p>
        </w:tc>
        <w:tc>
          <w:tcPr>
            <w:tcW w:w="680" w:type="dxa"/>
            <w:vAlign w:val="bottom"/>
          </w:tcPr>
          <w:p>
            <w:pPr>
              <w:ind w:left="20"/>
              <w:spacing w:after="0"/>
              <w:rPr>
                <w:sz w:val="20"/>
                <w:szCs w:val="20"/>
                <w:color w:val="auto"/>
              </w:rPr>
            </w:pPr>
            <w:r>
              <w:rPr>
                <w:rFonts w:ascii="Courier New" w:cs="Courier New" w:eastAsia="Courier New" w:hAnsi="Courier New"/>
                <w:sz w:val="16"/>
                <w:szCs w:val="16"/>
                <w:color w:val="auto"/>
                <w:w w:val="83"/>
              </w:rPr>
              <w:t>-- -- --</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0.01 --</w:t>
            </w:r>
          </w:p>
        </w:tc>
        <w:tc>
          <w:tcPr>
            <w:tcW w:w="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ind w:left="40"/>
        <w:spacing w:after="0"/>
        <w:rPr>
          <w:sz w:val="20"/>
          <w:szCs w:val="20"/>
          <w:color w:val="auto"/>
        </w:rPr>
      </w:pPr>
      <w:r>
        <w:rPr>
          <w:rFonts w:ascii="Courier New" w:cs="Courier New" w:eastAsia="Courier New" w:hAnsi="Courier New"/>
          <w:sz w:val="16"/>
          <w:szCs w:val="16"/>
          <w:color w:val="auto"/>
        </w:rPr>
        <w:t>---- ------ ----- ----- ------- -----</w:t>
      </w:r>
    </w:p>
    <w:p>
      <w:pPr>
        <w:ind w:left="320"/>
        <w:spacing w:after="0" w:line="237" w:lineRule="auto"/>
        <w:rPr>
          <w:sz w:val="20"/>
          <w:szCs w:val="20"/>
          <w:color w:val="auto"/>
        </w:rPr>
      </w:pPr>
      <w:r>
        <w:rPr>
          <w:rFonts w:ascii="Courier New" w:cs="Courier New" w:eastAsia="Courier New" w:hAnsi="Courier New"/>
          <w:sz w:val="16"/>
          <w:szCs w:val="16"/>
          <w:color w:val="auto"/>
        </w:rPr>
        <w:t>- ------- Adjusted basic (loss)</w:t>
      </w:r>
    </w:p>
    <w:p>
      <w:pPr>
        <w:ind w:left="180"/>
        <w:spacing w:after="0"/>
        <w:rPr>
          <w:sz w:val="20"/>
          <w:szCs w:val="20"/>
          <w:color w:val="auto"/>
        </w:rPr>
      </w:pPr>
      <w:r>
        <w:rPr>
          <w:rFonts w:ascii="Courier New" w:cs="Courier New" w:eastAsia="Courier New" w:hAnsi="Courier New"/>
          <w:sz w:val="16"/>
          <w:szCs w:val="16"/>
          <w:color w:val="auto"/>
        </w:rPr>
        <w:t>earnings per share from continuing</w:t>
      </w:r>
    </w:p>
    <w:p>
      <w:pPr>
        <w:ind w:left="140"/>
        <w:spacing w:after="0" w:line="238" w:lineRule="auto"/>
        <w:rPr>
          <w:sz w:val="20"/>
          <w:szCs w:val="20"/>
          <w:color w:val="auto"/>
        </w:rPr>
      </w:pPr>
      <w:r>
        <w:rPr>
          <w:rFonts w:ascii="Courier New" w:cs="Courier New" w:eastAsia="Courier New" w:hAnsi="Courier New"/>
          <w:sz w:val="16"/>
          <w:szCs w:val="16"/>
          <w:color w:val="auto"/>
        </w:rPr>
        <w:t>operations before cumulative effect</w:t>
      </w:r>
    </w:p>
    <w:p>
      <w:pPr>
        <w:ind w:left="1160"/>
        <w:spacing w:after="0"/>
        <w:rPr>
          <w:sz w:val="20"/>
          <w:szCs w:val="20"/>
          <w:color w:val="auto"/>
        </w:rPr>
      </w:pPr>
      <w:r>
        <w:rPr>
          <w:rFonts w:ascii="Courier New" w:cs="Courier New" w:eastAsia="Courier New" w:hAnsi="Courier New"/>
          <w:sz w:val="16"/>
          <w:szCs w:val="16"/>
          <w:color w:val="auto"/>
        </w:rPr>
        <w:t>of accounting</w:t>
      </w:r>
    </w:p>
    <w:p>
      <w:pPr>
        <w:spacing w:after="0" w:line="238" w:lineRule="auto"/>
        <w:rPr>
          <w:sz w:val="20"/>
          <w:szCs w:val="20"/>
          <w:color w:val="auto"/>
        </w:rPr>
      </w:pPr>
      <w:r>
        <w:rPr>
          <w:rFonts w:ascii="Courier New" w:cs="Courier New" w:eastAsia="Courier New" w:hAnsi="Courier New"/>
          <w:sz w:val="16"/>
          <w:szCs w:val="16"/>
          <w:color w:val="auto"/>
        </w:rPr>
        <w:t>change................................</w:t>
      </w:r>
    </w:p>
    <w:p>
      <w:pPr>
        <w:ind w:left="180"/>
        <w:spacing w:after="0"/>
        <w:rPr>
          <w:sz w:val="20"/>
          <w:szCs w:val="20"/>
          <w:color w:val="auto"/>
        </w:rPr>
      </w:pPr>
      <w:r>
        <w:rPr>
          <w:rFonts w:ascii="Courier New" w:cs="Courier New" w:eastAsia="Courier New" w:hAnsi="Courier New"/>
          <w:sz w:val="16"/>
          <w:szCs w:val="16"/>
          <w:color w:val="auto"/>
        </w:rPr>
        <w:t>$ (0.88) $ 1.24 $ 2.19 $ -- $ -- $</w:t>
      </w:r>
    </w:p>
    <w:p>
      <w:pPr>
        <w:ind w:left="320"/>
        <w:spacing w:after="0" w:line="237" w:lineRule="auto"/>
        <w:rPr>
          <w:sz w:val="20"/>
          <w:szCs w:val="20"/>
          <w:color w:val="auto"/>
        </w:rPr>
      </w:pPr>
      <w:r>
        <w:rPr>
          <w:rFonts w:ascii="Courier New" w:cs="Courier New" w:eastAsia="Courier New" w:hAnsi="Courier New"/>
          <w:sz w:val="16"/>
          <w:szCs w:val="16"/>
          <w:color w:val="auto"/>
        </w:rPr>
        <w:t>(0.78) $ 1.06 $ (0.52) Reported</w:t>
      </w:r>
    </w:p>
    <w:p>
      <w:pPr>
        <w:sectPr>
          <w:pgSz w:w="11900" w:h="16908" w:orient="portrait"/>
          <w:cols w:equalWidth="0" w:num="1">
            <w:col w:w="10219"/>
          </w:cols>
          <w:pgMar w:left="240" w:top="659" w:right="1440" w:bottom="0" w:gutter="0" w:footer="0" w:header="0"/>
        </w:sectPr>
      </w:pPr>
    </w:p>
    <w:bookmarkStart w:id="33" w:name="page34"/>
    <w:bookmarkEnd w:id="33"/>
    <w:p>
      <w:pPr>
        <w:jc w:val="center"/>
        <w:ind w:right="6659"/>
        <w:spacing w:after="0"/>
        <w:rPr>
          <w:sz w:val="20"/>
          <w:szCs w:val="20"/>
          <w:color w:val="auto"/>
        </w:rPr>
      </w:pPr>
      <w:r>
        <w:rPr>
          <w:rFonts w:ascii="Courier New" w:cs="Courier New" w:eastAsia="Courier New" w:hAnsi="Courier New"/>
          <w:sz w:val="16"/>
          <w:szCs w:val="16"/>
          <w:color w:val="auto"/>
        </w:rPr>
        <w:t>earnings (loss) per share from</w:t>
      </w:r>
    </w:p>
    <w:p>
      <w:pPr>
        <w:jc w:val="center"/>
        <w:ind w:right="6659"/>
        <w:spacing w:after="0"/>
        <w:rPr>
          <w:sz w:val="20"/>
          <w:szCs w:val="20"/>
          <w:color w:val="auto"/>
        </w:rPr>
      </w:pPr>
      <w:r>
        <w:rPr>
          <w:rFonts w:ascii="Courier New" w:cs="Courier New" w:eastAsia="Courier New" w:hAnsi="Courier New"/>
          <w:sz w:val="16"/>
          <w:szCs w:val="16"/>
          <w:color w:val="auto"/>
        </w:rPr>
        <w:t>discontinued</w:t>
      </w:r>
    </w:p>
    <w:p>
      <w:pPr>
        <w:jc w:val="center"/>
        <w:ind w:right="6659"/>
        <w:spacing w:after="0" w:line="237" w:lineRule="auto"/>
        <w:rPr>
          <w:sz w:val="20"/>
          <w:szCs w:val="20"/>
          <w:color w:val="auto"/>
        </w:rPr>
      </w:pPr>
      <w:r>
        <w:rPr>
          <w:rFonts w:ascii="Courier New" w:cs="Courier New" w:eastAsia="Courier New" w:hAnsi="Courier New"/>
          <w:sz w:val="16"/>
          <w:szCs w:val="16"/>
          <w:color w:val="auto"/>
        </w:rPr>
        <w:t>operations............... 0.03 0.13</w:t>
      </w:r>
    </w:p>
    <w:p>
      <w:pPr>
        <w:jc w:val="center"/>
        <w:ind w:right="6659"/>
        <w:spacing w:after="0"/>
        <w:rPr>
          <w:sz w:val="20"/>
          <w:szCs w:val="20"/>
          <w:color w:val="auto"/>
        </w:rPr>
      </w:pPr>
      <w:r>
        <w:rPr>
          <w:rFonts w:ascii="Courier New" w:cs="Courier New" w:eastAsia="Courier New" w:hAnsi="Courier New"/>
          <w:sz w:val="16"/>
          <w:szCs w:val="16"/>
          <w:color w:val="auto"/>
        </w:rPr>
        <w:t>(0.14) 0.08 0.21 -- -- -- Add back</w:t>
      </w:r>
    </w:p>
    <w:p>
      <w:pPr>
        <w:jc w:val="center"/>
        <w:ind w:right="6659"/>
        <w:spacing w:after="0" w:line="238" w:lineRule="auto"/>
        <w:rPr>
          <w:sz w:val="20"/>
          <w:szCs w:val="20"/>
          <w:color w:val="auto"/>
        </w:rPr>
      </w:pPr>
      <w:r>
        <w:rPr>
          <w:rFonts w:ascii="Courier New" w:cs="Courier New" w:eastAsia="Courier New" w:hAnsi="Courier New"/>
          <w:sz w:val="16"/>
          <w:szCs w:val="16"/>
          <w:color w:val="auto"/>
        </w:rPr>
        <w:t>discontinued operations amortization,</w:t>
      </w:r>
    </w:p>
    <w:p>
      <w:pPr>
        <w:jc w:val="center"/>
        <w:ind w:right="6659"/>
        <w:spacing w:after="0"/>
        <w:rPr>
          <w:sz w:val="20"/>
          <w:szCs w:val="20"/>
          <w:color w:val="auto"/>
        </w:rPr>
      </w:pPr>
      <w:r>
        <w:rPr>
          <w:rFonts w:ascii="Courier New" w:cs="Courier New" w:eastAsia="Courier New" w:hAnsi="Courier New"/>
          <w:sz w:val="16"/>
          <w:szCs w:val="16"/>
          <w:color w:val="auto"/>
        </w:rPr>
        <w:t>net of tax.............. 0.04 0.06</w:t>
      </w:r>
    </w:p>
    <w:p>
      <w:pPr>
        <w:jc w:val="center"/>
        <w:ind w:right="6659"/>
        <w:spacing w:after="0" w:line="238" w:lineRule="auto"/>
        <w:rPr>
          <w:sz w:val="20"/>
          <w:szCs w:val="20"/>
          <w:color w:val="auto"/>
        </w:rPr>
      </w:pPr>
      <w:r>
        <w:rPr>
          <w:rFonts w:ascii="Courier New" w:cs="Courier New" w:eastAsia="Courier New" w:hAnsi="Courier New"/>
          <w:sz w:val="16"/>
          <w:szCs w:val="16"/>
          <w:color w:val="auto"/>
        </w:rPr>
        <w:t>0.07 0.08 0.08 -- -- -- Gain on</w:t>
      </w:r>
    </w:p>
    <w:p>
      <w:pPr>
        <w:jc w:val="center"/>
        <w:ind w:right="6659"/>
        <w:spacing w:after="0"/>
        <w:rPr>
          <w:sz w:val="20"/>
          <w:szCs w:val="20"/>
          <w:color w:val="auto"/>
        </w:rPr>
      </w:pPr>
      <w:r>
        <w:rPr>
          <w:rFonts w:ascii="Courier New" w:cs="Courier New" w:eastAsia="Courier New" w:hAnsi="Courier New"/>
          <w:sz w:val="16"/>
          <w:szCs w:val="16"/>
          <w:color w:val="auto"/>
        </w:rPr>
        <w:t>disposition of discontinued</w:t>
      </w:r>
    </w:p>
    <w:p>
      <w:pPr>
        <w:spacing w:after="0" w:line="3"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5"/>
          <w:szCs w:val="15"/>
          <w:color w:val="auto"/>
        </w:rPr>
        <w:t>operations............................</w:t>
      </w:r>
    </w:p>
    <w:p>
      <w:pPr>
        <w:spacing w:after="0" w:line="5"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6"/>
          <w:szCs w:val="16"/>
          <w:color w:val="auto"/>
        </w:rPr>
        <w:t>3.70 -- -- -- -- -- -- -- Cumulative</w:t>
      </w:r>
    </w:p>
    <w:p>
      <w:pPr>
        <w:jc w:val="center"/>
        <w:ind w:right="6659"/>
        <w:spacing w:after="0"/>
        <w:rPr>
          <w:sz w:val="20"/>
          <w:szCs w:val="20"/>
          <w:color w:val="auto"/>
        </w:rPr>
      </w:pPr>
      <w:r>
        <w:rPr>
          <w:rFonts w:ascii="Courier New" w:cs="Courier New" w:eastAsia="Courier New" w:hAnsi="Courier New"/>
          <w:sz w:val="16"/>
          <w:szCs w:val="16"/>
          <w:color w:val="auto"/>
        </w:rPr>
        <w:t>effect of accounting</w:t>
      </w:r>
    </w:p>
    <w:p>
      <w:pPr>
        <w:spacing w:after="0" w:line="3"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5"/>
          <w:szCs w:val="15"/>
          <w:color w:val="auto"/>
        </w:rPr>
        <w:t>change................................</w:t>
      </w:r>
    </w:p>
    <w:p>
      <w:pPr>
        <w:spacing w:after="0" w:line="5"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6"/>
          <w:szCs w:val="16"/>
          <w:color w:val="auto"/>
        </w:rPr>
        <w:t>0.10 -- -- -- -- 0.21 -- -- ------- -</w:t>
      </w:r>
    </w:p>
    <w:p>
      <w:pPr>
        <w:ind w:left="600" w:hanging="559"/>
        <w:spacing w:after="0"/>
        <w:tabs>
          <w:tab w:leader="none" w:pos="6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ADJUSTED BASIC EARNINGS</w:t>
      </w:r>
    </w:p>
    <w:p>
      <w:pPr>
        <w:ind w:left="1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spacing w:after="0" w:line="3"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6"/>
          <w:szCs w:val="16"/>
          <w:color w:val="auto"/>
        </w:rPr>
        <w:t>$ 2.99 $ 1.43 $ 2.12 $0.16 $0.29 $</w:t>
      </w:r>
    </w:p>
    <w:p>
      <w:pPr>
        <w:jc w:val="center"/>
        <w:ind w:right="6659"/>
        <w:spacing w:after="0"/>
        <w:rPr>
          <w:sz w:val="20"/>
          <w:szCs w:val="20"/>
          <w:color w:val="auto"/>
        </w:rPr>
      </w:pPr>
      <w:r>
        <w:rPr>
          <w:rFonts w:ascii="Courier New" w:cs="Courier New" w:eastAsia="Courier New" w:hAnsi="Courier New"/>
          <w:sz w:val="16"/>
          <w:szCs w:val="16"/>
          <w:color w:val="auto"/>
        </w:rPr>
        <w:t>(0.57) $ 1.06 $ (0.52) ======= ======</w:t>
      </w:r>
    </w:p>
    <w:p>
      <w:pPr>
        <w:jc w:val="center"/>
        <w:ind w:right="6659"/>
        <w:spacing w:after="0" w:line="237" w:lineRule="auto"/>
        <w:rPr>
          <w:sz w:val="20"/>
          <w:szCs w:val="20"/>
          <w:color w:val="auto"/>
        </w:rPr>
      </w:pPr>
      <w:r>
        <w:rPr>
          <w:rFonts w:ascii="Courier New" w:cs="Courier New" w:eastAsia="Courier New" w:hAnsi="Courier New"/>
          <w:sz w:val="16"/>
          <w:szCs w:val="16"/>
          <w:color w:val="auto"/>
        </w:rPr>
        <w:t>====== ===== ===== ======= ======</w:t>
      </w:r>
    </w:p>
    <w:p>
      <w:pPr>
        <w:jc w:val="center"/>
        <w:ind w:right="6659"/>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37" w:right="1440" w:bottom="1440" w:gutter="0" w:footer="0" w:header="0"/>
        </w:sectPr>
      </w:pPr>
    </w:p>
    <w:bookmarkStart w:id="34" w:name="page35"/>
    <w:bookmarkEnd w:id="34"/>
    <w:p>
      <w:pPr>
        <w:ind w:left="44"/>
        <w:spacing w:after="0"/>
        <w:rPr>
          <w:sz w:val="20"/>
          <w:szCs w:val="20"/>
          <w:color w:val="auto"/>
        </w:rPr>
      </w:pPr>
      <w:r>
        <w:rPr>
          <w:rFonts w:ascii="Courier New" w:cs="Courier New" w:eastAsia="Courier New" w:hAnsi="Courier New"/>
          <w:sz w:val="16"/>
          <w:szCs w:val="16"/>
          <w:color w:val="auto"/>
        </w:rPr>
        <w:t>AT&amp;T WIRELESS AT&amp;T COMMON STOCK GROUP</w:t>
      </w:r>
    </w:p>
    <w:p>
      <w:pPr>
        <w:ind w:left="44"/>
        <w:spacing w:after="0"/>
        <w:rPr>
          <w:sz w:val="20"/>
          <w:szCs w:val="20"/>
          <w:color w:val="auto"/>
        </w:rPr>
      </w:pPr>
      <w:r>
        <w:rPr>
          <w:rFonts w:ascii="Courier New" w:cs="Courier New" w:eastAsia="Courier New" w:hAnsi="Courier New"/>
          <w:sz w:val="16"/>
          <w:szCs w:val="16"/>
          <w:color w:val="auto"/>
        </w:rPr>
        <w:t>GROUP LIBERTY MEDIA GROUP -----------</w:t>
      </w:r>
    </w:p>
    <w:p>
      <w:pPr>
        <w:ind w:left="44"/>
        <w:spacing w:after="0" w:line="237" w:lineRule="auto"/>
        <w:rPr>
          <w:sz w:val="20"/>
          <w:szCs w:val="20"/>
          <w:color w:val="auto"/>
        </w:rPr>
      </w:pPr>
      <w:r>
        <w:rPr>
          <w:rFonts w:ascii="Courier New" w:cs="Courier New" w:eastAsia="Courier New" w:hAnsi="Courier New"/>
          <w:sz w:val="16"/>
          <w:szCs w:val="16"/>
          <w:color w:val="auto"/>
        </w:rPr>
        <w:t>-------------- --------------- ------</w:t>
      </w:r>
    </w:p>
    <w:p>
      <w:pPr>
        <w:ind w:left="144"/>
        <w:spacing w:after="0"/>
        <w:rPr>
          <w:sz w:val="20"/>
          <w:szCs w:val="20"/>
          <w:color w:val="auto"/>
        </w:rPr>
      </w:pPr>
      <w:r>
        <w:rPr>
          <w:rFonts w:ascii="Courier New" w:cs="Courier New" w:eastAsia="Courier New" w:hAnsi="Courier New"/>
          <w:sz w:val="16"/>
          <w:szCs w:val="16"/>
          <w:color w:val="auto"/>
        </w:rPr>
        <w:t>-------------------- 2001 2000 1999</w:t>
      </w:r>
    </w:p>
    <w:p>
      <w:pPr>
        <w:ind w:left="44"/>
        <w:spacing w:after="0" w:line="238" w:lineRule="auto"/>
        <w:rPr>
          <w:sz w:val="20"/>
          <w:szCs w:val="20"/>
          <w:color w:val="auto"/>
        </w:rPr>
      </w:pPr>
      <w:r>
        <w:rPr>
          <w:rFonts w:ascii="Courier New" w:cs="Courier New" w:eastAsia="Courier New" w:hAnsi="Courier New"/>
          <w:sz w:val="16"/>
          <w:szCs w:val="16"/>
          <w:color w:val="auto"/>
        </w:rPr>
        <w:t>2001(1) 2000 2001(2) 2000 1999 ------</w:t>
      </w:r>
    </w:p>
    <w:p>
      <w:pPr>
        <w:ind w:left="224" w:hanging="179"/>
        <w:spacing w:after="0"/>
        <w:tabs>
          <w:tab w:leader="none" w:pos="22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w:t>
      </w:r>
    </w:p>
    <w:p>
      <w:pPr>
        <w:jc w:val="center"/>
        <w:ind w:right="6655"/>
        <w:spacing w:after="0" w:line="237" w:lineRule="auto"/>
        <w:rPr>
          <w:sz w:val="20"/>
          <w:szCs w:val="20"/>
          <w:color w:val="auto"/>
        </w:rPr>
      </w:pPr>
      <w:r>
        <w:rPr>
          <w:rFonts w:ascii="Courier New" w:cs="Courier New" w:eastAsia="Courier New" w:hAnsi="Courier New"/>
          <w:sz w:val="16"/>
          <w:szCs w:val="16"/>
          <w:color w:val="auto"/>
        </w:rPr>
        <w:t>EXCEPT PER SHARE AMOUNTS) FOR THE</w:t>
      </w:r>
    </w:p>
    <w:p>
      <w:pPr>
        <w:jc w:val="center"/>
        <w:ind w:right="6655"/>
        <w:spacing w:after="0"/>
        <w:rPr>
          <w:sz w:val="20"/>
          <w:szCs w:val="20"/>
          <w:color w:val="auto"/>
        </w:rPr>
      </w:pPr>
      <w:r>
        <w:rPr>
          <w:rFonts w:ascii="Courier New" w:cs="Courier New" w:eastAsia="Courier New" w:hAnsi="Courier New"/>
          <w:sz w:val="16"/>
          <w:szCs w:val="16"/>
          <w:color w:val="auto"/>
        </w:rPr>
        <w:t>YEAR ENDED DECEMBER 31, DILUTED</w:t>
      </w:r>
    </w:p>
    <w:p>
      <w:pPr>
        <w:jc w:val="center"/>
        <w:ind w:right="6655"/>
        <w:spacing w:after="0" w:line="238" w:lineRule="auto"/>
        <w:rPr>
          <w:sz w:val="20"/>
          <w:szCs w:val="20"/>
          <w:color w:val="auto"/>
        </w:rPr>
      </w:pPr>
      <w:r>
        <w:rPr>
          <w:rFonts w:ascii="Courier New" w:cs="Courier New" w:eastAsia="Courier New" w:hAnsi="Courier New"/>
          <w:sz w:val="16"/>
          <w:szCs w:val="16"/>
          <w:color w:val="auto"/>
        </w:rPr>
        <w:t>(LOSS) EARNINGS PER SHARE: Reported</w:t>
      </w:r>
    </w:p>
    <w:p>
      <w:pPr>
        <w:jc w:val="center"/>
        <w:ind w:right="6655"/>
        <w:spacing w:after="0"/>
        <w:rPr>
          <w:sz w:val="20"/>
          <w:szCs w:val="20"/>
          <w:color w:val="auto"/>
        </w:rPr>
      </w:pPr>
      <w:r>
        <w:rPr>
          <w:rFonts w:ascii="Courier New" w:cs="Courier New" w:eastAsia="Courier New" w:hAnsi="Courier New"/>
          <w:sz w:val="16"/>
          <w:szCs w:val="16"/>
          <w:color w:val="auto"/>
        </w:rPr>
        <w:t>diluted (loss) earnings per share</w:t>
      </w:r>
    </w:p>
    <w:p>
      <w:pPr>
        <w:jc w:val="center"/>
        <w:ind w:right="6655"/>
        <w:spacing w:after="0" w:line="238" w:lineRule="auto"/>
        <w:rPr>
          <w:sz w:val="20"/>
          <w:szCs w:val="20"/>
          <w:color w:val="auto"/>
        </w:rPr>
      </w:pPr>
      <w:r>
        <w:rPr>
          <w:rFonts w:ascii="Courier New" w:cs="Courier New" w:eastAsia="Courier New" w:hAnsi="Courier New"/>
          <w:sz w:val="16"/>
          <w:szCs w:val="16"/>
          <w:color w:val="auto"/>
        </w:rPr>
        <w:t>from continuing operations before</w:t>
      </w:r>
    </w:p>
    <w:p>
      <w:pPr>
        <w:jc w:val="center"/>
        <w:ind w:right="6655"/>
        <w:spacing w:after="0"/>
        <w:rPr>
          <w:sz w:val="20"/>
          <w:szCs w:val="20"/>
          <w:color w:val="auto"/>
        </w:rPr>
      </w:pPr>
      <w:r>
        <w:rPr>
          <w:rFonts w:ascii="Courier New" w:cs="Courier New" w:eastAsia="Courier New" w:hAnsi="Courier New"/>
          <w:sz w:val="16"/>
          <w:szCs w:val="16"/>
          <w:color w:val="auto"/>
        </w:rPr>
        <w:t>cumulative effect of accounting</w:t>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960" w:type="dxa"/>
            <w:vAlign w:val="bottom"/>
            <w:gridSpan w:val="3"/>
          </w:tcPr>
          <w:p>
            <w:pPr>
              <w:jc w:val="right"/>
              <w:spacing w:after="0"/>
              <w:rPr>
                <w:sz w:val="20"/>
                <w:szCs w:val="20"/>
                <w:color w:val="auto"/>
              </w:rPr>
            </w:pPr>
            <w:r>
              <w:rPr>
                <w:rFonts w:ascii="Courier New" w:cs="Courier New" w:eastAsia="Courier New" w:hAnsi="Courier New"/>
                <w:sz w:val="4"/>
                <w:szCs w:val="4"/>
                <w:color w:val="auto"/>
              </w:rPr>
              <w:t>change................................</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96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 (1.33)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$ 0.75</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$ 1.87 $</w:t>
            </w:r>
          </w:p>
        </w:tc>
        <w:tc>
          <w:tcPr>
            <w:tcW w:w="320" w:type="dxa"/>
            <w:vAlign w:val="bottom"/>
          </w:tcPr>
          <w:p>
            <w:pPr>
              <w:jc w:val="right"/>
              <w:ind w:right="6"/>
              <w:spacing w:after="0"/>
              <w:rPr>
                <w:sz w:val="20"/>
                <w:szCs w:val="20"/>
                <w:color w:val="auto"/>
              </w:rPr>
            </w:pPr>
            <w:r>
              <w:rPr>
                <w:rFonts w:ascii="Courier New" w:cs="Courier New" w:eastAsia="Courier New" w:hAnsi="Courier New"/>
                <w:sz w:val="16"/>
                <w:szCs w:val="16"/>
                <w:color w:val="auto"/>
              </w:rPr>
              <w:t>--</w:t>
            </w:r>
          </w:p>
        </w:tc>
        <w:tc>
          <w:tcPr>
            <w:tcW w:w="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w:t>
            </w:r>
          </w:p>
        </w:tc>
      </w:tr>
      <w:tr>
        <w:trPr>
          <w:trHeight w:val="180"/>
        </w:trPr>
        <w:tc>
          <w:tcPr>
            <w:tcW w:w="9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(1.05)</w:t>
            </w:r>
          </w:p>
        </w:tc>
        <w:tc>
          <w:tcPr>
            <w:tcW w:w="680" w:type="dxa"/>
            <w:vAlign w:val="bottom"/>
          </w:tcPr>
          <w:p>
            <w:pPr>
              <w:ind w:left="20"/>
              <w:spacing w:after="0"/>
              <w:rPr>
                <w:sz w:val="20"/>
                <w:szCs w:val="20"/>
                <w:color w:val="auto"/>
              </w:rPr>
            </w:pPr>
            <w:r>
              <w:rPr>
                <w:rFonts w:ascii="Courier New" w:cs="Courier New" w:eastAsia="Courier New" w:hAnsi="Courier New"/>
                <w:sz w:val="16"/>
                <w:szCs w:val="16"/>
                <w:color w:val="auto"/>
              </w:rPr>
              <w:t>$ 0.58</w:t>
            </w:r>
          </w:p>
        </w:tc>
        <w:tc>
          <w:tcPr>
            <w:tcW w:w="1880" w:type="dxa"/>
            <w:vAlign w:val="bottom"/>
            <w:gridSpan w:val="5"/>
          </w:tcPr>
          <w:p>
            <w:pPr>
              <w:jc w:val="right"/>
              <w:ind w:right="222"/>
              <w:spacing w:after="0"/>
              <w:rPr>
                <w:sz w:val="20"/>
                <w:szCs w:val="20"/>
                <w:color w:val="auto"/>
              </w:rPr>
            </w:pPr>
            <w:r>
              <w:rPr>
                <w:rFonts w:ascii="Courier New" w:cs="Courier New" w:eastAsia="Courier New" w:hAnsi="Courier New"/>
                <w:sz w:val="16"/>
                <w:szCs w:val="16"/>
                <w:color w:val="auto"/>
                <w:w w:val="95"/>
              </w:rPr>
              <w:t>$ (0.80) Add back</w:t>
            </w:r>
          </w:p>
        </w:tc>
      </w:tr>
      <w:tr>
        <w:trPr>
          <w:trHeight w:val="180"/>
        </w:trPr>
        <w:tc>
          <w:tcPr>
            <w:tcW w:w="3520" w:type="dxa"/>
            <w:vAlign w:val="bottom"/>
            <w:gridSpan w:val="9"/>
          </w:tcPr>
          <w:p>
            <w:pPr>
              <w:jc w:val="right"/>
              <w:ind w:right="62"/>
              <w:spacing w:after="0"/>
              <w:rPr>
                <w:sz w:val="20"/>
                <w:szCs w:val="20"/>
                <w:color w:val="auto"/>
              </w:rPr>
            </w:pPr>
            <w:r>
              <w:rPr>
                <w:rFonts w:ascii="Courier New" w:cs="Courier New" w:eastAsia="Courier New" w:hAnsi="Courier New"/>
                <w:sz w:val="16"/>
                <w:szCs w:val="16"/>
                <w:color w:val="auto"/>
              </w:rPr>
              <w:t>amortization, net of tax: Goodwill</w:t>
            </w:r>
          </w:p>
        </w:tc>
      </w:tr>
      <w:tr>
        <w:trPr>
          <w:trHeight w:val="180"/>
        </w:trPr>
        <w:tc>
          <w:tcPr>
            <w:tcW w:w="840" w:type="dxa"/>
            <w:vAlign w:val="bottom"/>
            <w:gridSpan w:val="2"/>
          </w:tcPr>
          <w:p>
            <w:pPr>
              <w:ind w:left="180"/>
              <w:spacing w:after="0"/>
              <w:rPr>
                <w:sz w:val="20"/>
                <w:szCs w:val="20"/>
                <w:color w:val="auto"/>
              </w:rPr>
            </w:pPr>
            <w:r>
              <w:rPr>
                <w:rFonts w:ascii="Courier New" w:cs="Courier New" w:eastAsia="Courier New" w:hAnsi="Courier New"/>
                <w:sz w:val="4"/>
                <w:szCs w:val="4"/>
                <w:color w:val="auto"/>
                <w:w w:val="91"/>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0.21</w:t>
            </w:r>
          </w:p>
        </w:tc>
      </w:tr>
      <w:tr>
        <w:trPr>
          <w:trHeight w:val="180"/>
        </w:trPr>
        <w:tc>
          <w:tcPr>
            <w:tcW w:w="9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9"/>
              </w:rPr>
              <w:t>0.19 0.04</w:t>
            </w:r>
          </w:p>
        </w:tc>
        <w:tc>
          <w:tcPr>
            <w:tcW w:w="1060" w:type="dxa"/>
            <w:vAlign w:val="bottom"/>
            <w:gridSpan w:val="2"/>
          </w:tcPr>
          <w:p>
            <w:pPr>
              <w:ind w:left="20"/>
              <w:spacing w:after="0"/>
              <w:rPr>
                <w:sz w:val="20"/>
                <w:szCs w:val="20"/>
                <w:color w:val="auto"/>
              </w:rPr>
            </w:pPr>
            <w:r>
              <w:rPr>
                <w:rFonts w:ascii="Courier New" w:cs="Courier New" w:eastAsia="Courier New" w:hAnsi="Courier New"/>
                <w:sz w:val="16"/>
                <w:szCs w:val="16"/>
                <w:color w:val="auto"/>
              </w:rPr>
              <w:t>-- -- 0.14</w:t>
            </w: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0.22</w:t>
            </w:r>
          </w:p>
        </w:tc>
        <w:tc>
          <w:tcPr>
            <w:tcW w:w="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0.17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Equity</w:t>
            </w:r>
          </w:p>
        </w:tc>
      </w:tr>
      <w:tr>
        <w:trPr>
          <w:trHeight w:val="180"/>
        </w:trPr>
        <w:tc>
          <w:tcPr>
            <w:tcW w:w="24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82"/>
              </w:rPr>
              <w:t>method excess basis............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80"/>
        </w:trPr>
        <w:tc>
          <w:tcPr>
            <w:tcW w:w="8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0.10</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0.10 -- --</w:t>
            </w:r>
          </w:p>
        </w:tc>
        <w:tc>
          <w:tcPr>
            <w:tcW w:w="1160" w:type="dxa"/>
            <w:vAlign w:val="bottom"/>
            <w:gridSpan w:val="3"/>
          </w:tcPr>
          <w:p>
            <w:pPr>
              <w:jc w:val="right"/>
              <w:ind w:right="6"/>
              <w:spacing w:after="0"/>
              <w:rPr>
                <w:sz w:val="20"/>
                <w:szCs w:val="20"/>
                <w:color w:val="auto"/>
              </w:rPr>
            </w:pPr>
            <w:r>
              <w:rPr>
                <w:rFonts w:ascii="Courier New" w:cs="Courier New" w:eastAsia="Courier New" w:hAnsi="Courier New"/>
                <w:sz w:val="16"/>
                <w:szCs w:val="16"/>
                <w:color w:val="auto"/>
              </w:rPr>
              <w:t>0.13 0.25</w:t>
            </w:r>
          </w:p>
        </w:tc>
        <w:tc>
          <w:tcPr>
            <w:tcW w:w="720" w:type="dxa"/>
            <w:vAlign w:val="bottom"/>
            <w:gridSpan w:val="2"/>
          </w:tcPr>
          <w:p>
            <w:pPr>
              <w:spacing w:after="0"/>
              <w:rPr>
                <w:sz w:val="20"/>
                <w:szCs w:val="20"/>
                <w:color w:val="auto"/>
              </w:rPr>
            </w:pPr>
            <w:r>
              <w:rPr>
                <w:rFonts w:ascii="Courier New" w:cs="Courier New" w:eastAsia="Courier New" w:hAnsi="Courier New"/>
                <w:sz w:val="16"/>
                <w:szCs w:val="16"/>
                <w:color w:val="auto"/>
              </w:rPr>
              <w:t>0.11</w:t>
            </w:r>
          </w:p>
        </w:tc>
      </w:tr>
      <w:tr>
        <w:trPr>
          <w:trHeight w:val="180"/>
        </w:trPr>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Franchise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96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9"/>
              </w:rPr>
              <w:t>costs.......................</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8"/>
              </w:rPr>
              <w:t>0.21</w:t>
            </w:r>
          </w:p>
        </w:tc>
      </w:tr>
      <w:tr>
        <w:trPr>
          <w:trHeight w:val="180"/>
        </w:trPr>
        <w:tc>
          <w:tcPr>
            <w:tcW w:w="500" w:type="dxa"/>
            <w:vAlign w:val="bottom"/>
          </w:tcPr>
          <w:p>
            <w:pPr>
              <w:jc w:val="right"/>
              <w:ind w:right="17"/>
              <w:spacing w:after="0"/>
              <w:rPr>
                <w:sz w:val="20"/>
                <w:szCs w:val="20"/>
                <w:color w:val="auto"/>
              </w:rPr>
            </w:pPr>
            <w:r>
              <w:rPr>
                <w:rFonts w:ascii="Courier New" w:cs="Courier New" w:eastAsia="Courier New" w:hAnsi="Courier New"/>
                <w:sz w:val="16"/>
                <w:szCs w:val="16"/>
                <w:color w:val="auto"/>
              </w:rPr>
              <w:t>0.18</w:t>
            </w:r>
          </w:p>
        </w:tc>
        <w:tc>
          <w:tcPr>
            <w:tcW w:w="4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3"/>
              </w:rPr>
              <w:t>0.14</w:t>
            </w:r>
          </w:p>
        </w:tc>
        <w:tc>
          <w:tcPr>
            <w:tcW w:w="680" w:type="dxa"/>
            <w:vAlign w:val="bottom"/>
          </w:tcPr>
          <w:p>
            <w:pPr>
              <w:ind w:left="20"/>
              <w:spacing w:after="0"/>
              <w:rPr>
                <w:sz w:val="20"/>
                <w:szCs w:val="20"/>
                <w:color w:val="auto"/>
              </w:rPr>
            </w:pPr>
            <w:r>
              <w:rPr>
                <w:rFonts w:ascii="Courier New" w:cs="Courier New" w:eastAsia="Courier New" w:hAnsi="Courier New"/>
                <w:sz w:val="16"/>
                <w:szCs w:val="16"/>
                <w:color w:val="auto"/>
                <w:w w:val="83"/>
              </w:rPr>
              <w:t>-- -- --</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0.01 --</w:t>
            </w:r>
          </w:p>
        </w:tc>
        <w:tc>
          <w:tcPr>
            <w:tcW w:w="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ind w:left="504" w:hanging="459"/>
        <w:spacing w:after="0"/>
        <w:tabs>
          <w:tab w:leader="none" w:pos="50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2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Adjusted diluted (loss)</w:t>
      </w:r>
    </w:p>
    <w:p>
      <w:pPr>
        <w:ind w:left="184"/>
        <w:spacing w:after="0" w:line="237" w:lineRule="auto"/>
        <w:rPr>
          <w:sz w:val="20"/>
          <w:szCs w:val="20"/>
          <w:color w:val="auto"/>
        </w:rPr>
      </w:pPr>
      <w:r>
        <w:rPr>
          <w:rFonts w:ascii="Courier New" w:cs="Courier New" w:eastAsia="Courier New" w:hAnsi="Courier New"/>
          <w:sz w:val="16"/>
          <w:szCs w:val="16"/>
          <w:color w:val="auto"/>
        </w:rPr>
        <w:t>earnings per share from continuing</w:t>
      </w:r>
    </w:p>
    <w:p>
      <w:pPr>
        <w:ind w:left="144"/>
        <w:spacing w:after="0"/>
        <w:rPr>
          <w:sz w:val="20"/>
          <w:szCs w:val="20"/>
          <w:color w:val="auto"/>
        </w:rPr>
      </w:pPr>
      <w:r>
        <w:rPr>
          <w:rFonts w:ascii="Courier New" w:cs="Courier New" w:eastAsia="Courier New" w:hAnsi="Courier New"/>
          <w:sz w:val="16"/>
          <w:szCs w:val="16"/>
          <w:color w:val="auto"/>
        </w:rPr>
        <w:t>operations before cumulative effect</w:t>
      </w:r>
    </w:p>
    <w:p>
      <w:pPr>
        <w:ind w:left="1164"/>
        <w:spacing w:after="0" w:line="238" w:lineRule="auto"/>
        <w:rPr>
          <w:sz w:val="20"/>
          <w:szCs w:val="20"/>
          <w:color w:val="auto"/>
        </w:rPr>
      </w:pPr>
      <w:r>
        <w:rPr>
          <w:rFonts w:ascii="Courier New" w:cs="Courier New" w:eastAsia="Courier New" w:hAnsi="Courier New"/>
          <w:sz w:val="16"/>
          <w:szCs w:val="16"/>
          <w:color w:val="auto"/>
        </w:rPr>
        <w:t>of accounting</w:t>
      </w:r>
    </w:p>
    <w:p>
      <w:pPr>
        <w:ind w:left="4"/>
        <w:spacing w:after="0"/>
        <w:rPr>
          <w:sz w:val="20"/>
          <w:szCs w:val="20"/>
          <w:color w:val="auto"/>
        </w:rPr>
      </w:pPr>
      <w:r>
        <w:rPr>
          <w:rFonts w:ascii="Courier New" w:cs="Courier New" w:eastAsia="Courier New" w:hAnsi="Courier New"/>
          <w:sz w:val="16"/>
          <w:szCs w:val="16"/>
          <w:color w:val="auto"/>
        </w:rPr>
        <w:t>change................................</w:t>
      </w:r>
    </w:p>
    <w:p>
      <w:pPr>
        <w:ind w:left="184"/>
        <w:spacing w:after="0" w:line="238" w:lineRule="auto"/>
        <w:rPr>
          <w:sz w:val="20"/>
          <w:szCs w:val="20"/>
          <w:color w:val="auto"/>
        </w:rPr>
      </w:pPr>
      <w:r>
        <w:rPr>
          <w:rFonts w:ascii="Courier New" w:cs="Courier New" w:eastAsia="Courier New" w:hAnsi="Courier New"/>
          <w:sz w:val="16"/>
          <w:szCs w:val="16"/>
          <w:color w:val="auto"/>
        </w:rPr>
        <w:t>$ (0.88) $ 1.22 $ 2.15 $ -- $ -- $</w:t>
      </w:r>
    </w:p>
    <w:p>
      <w:pPr>
        <w:ind w:left="324"/>
        <w:spacing w:after="0"/>
        <w:rPr>
          <w:sz w:val="20"/>
          <w:szCs w:val="20"/>
          <w:color w:val="auto"/>
        </w:rPr>
      </w:pPr>
      <w:r>
        <w:rPr>
          <w:rFonts w:ascii="Courier New" w:cs="Courier New" w:eastAsia="Courier New" w:hAnsi="Courier New"/>
          <w:sz w:val="16"/>
          <w:szCs w:val="16"/>
          <w:color w:val="auto"/>
        </w:rPr>
        <w:t>(0.78) $ 1.06 $ (0.52) Reported</w:t>
      </w:r>
    </w:p>
    <w:p>
      <w:pPr>
        <w:ind w:left="364"/>
        <w:spacing w:after="0" w:line="237" w:lineRule="auto"/>
        <w:rPr>
          <w:sz w:val="20"/>
          <w:szCs w:val="20"/>
          <w:color w:val="auto"/>
        </w:rPr>
      </w:pPr>
      <w:r>
        <w:rPr>
          <w:rFonts w:ascii="Courier New" w:cs="Courier New" w:eastAsia="Courier New" w:hAnsi="Courier New"/>
          <w:sz w:val="16"/>
          <w:szCs w:val="16"/>
          <w:color w:val="auto"/>
        </w:rPr>
        <w:t>earnings (loss) per share from</w:t>
      </w:r>
    </w:p>
    <w:p>
      <w:pPr>
        <w:ind w:left="1224"/>
        <w:spacing w:after="0"/>
        <w:rPr>
          <w:sz w:val="20"/>
          <w:szCs w:val="20"/>
          <w:color w:val="auto"/>
        </w:rPr>
      </w:pPr>
      <w:r>
        <w:rPr>
          <w:rFonts w:ascii="Courier New" w:cs="Courier New" w:eastAsia="Courier New" w:hAnsi="Courier New"/>
          <w:sz w:val="16"/>
          <w:szCs w:val="16"/>
          <w:color w:val="auto"/>
        </w:rPr>
        <w:t>discontinued</w:t>
      </w:r>
    </w:p>
    <w:p>
      <w:pPr>
        <w:ind w:left="144"/>
        <w:spacing w:after="0" w:line="238" w:lineRule="auto"/>
        <w:rPr>
          <w:sz w:val="20"/>
          <w:szCs w:val="20"/>
          <w:color w:val="auto"/>
        </w:rPr>
      </w:pPr>
      <w:r>
        <w:rPr>
          <w:rFonts w:ascii="Courier New" w:cs="Courier New" w:eastAsia="Courier New" w:hAnsi="Courier New"/>
          <w:sz w:val="16"/>
          <w:szCs w:val="16"/>
          <w:color w:val="auto"/>
        </w:rPr>
        <w:t>operations............... 0.03 0.13</w:t>
      </w:r>
    </w:p>
    <w:p>
      <w:pPr>
        <w:ind w:left="184"/>
        <w:spacing w:after="0"/>
        <w:rPr>
          <w:sz w:val="20"/>
          <w:szCs w:val="20"/>
          <w:color w:val="auto"/>
        </w:rPr>
      </w:pPr>
      <w:r>
        <w:rPr>
          <w:rFonts w:ascii="Courier New" w:cs="Courier New" w:eastAsia="Courier New" w:hAnsi="Courier New"/>
          <w:sz w:val="16"/>
          <w:szCs w:val="16"/>
          <w:color w:val="auto"/>
        </w:rPr>
        <w:t>(0.13) 0.08 0.21 -- -- -- Add back</w:t>
      </w:r>
    </w:p>
    <w:p>
      <w:pPr>
        <w:jc w:val="center"/>
        <w:ind w:right="6655"/>
        <w:spacing w:after="0" w:line="238" w:lineRule="auto"/>
        <w:rPr>
          <w:sz w:val="20"/>
          <w:szCs w:val="20"/>
          <w:color w:val="auto"/>
        </w:rPr>
      </w:pPr>
      <w:r>
        <w:rPr>
          <w:rFonts w:ascii="Courier New" w:cs="Courier New" w:eastAsia="Courier New" w:hAnsi="Courier New"/>
          <w:sz w:val="16"/>
          <w:szCs w:val="16"/>
          <w:color w:val="auto"/>
        </w:rPr>
        <w:t>discontinued operations amortization,</w:t>
      </w:r>
    </w:p>
    <w:p>
      <w:pPr>
        <w:ind w:left="184"/>
        <w:spacing w:after="0"/>
        <w:rPr>
          <w:sz w:val="20"/>
          <w:szCs w:val="20"/>
          <w:color w:val="auto"/>
        </w:rPr>
      </w:pPr>
      <w:r>
        <w:rPr>
          <w:rFonts w:ascii="Courier New" w:cs="Courier New" w:eastAsia="Courier New" w:hAnsi="Courier New"/>
          <w:sz w:val="16"/>
          <w:szCs w:val="16"/>
          <w:color w:val="auto"/>
        </w:rPr>
        <w:t>net of tax.............. 0.04 0.06</w:t>
      </w:r>
    </w:p>
    <w:p>
      <w:pPr>
        <w:ind w:left="324"/>
        <w:spacing w:after="0" w:line="237" w:lineRule="auto"/>
        <w:rPr>
          <w:sz w:val="20"/>
          <w:szCs w:val="20"/>
          <w:color w:val="auto"/>
        </w:rPr>
      </w:pPr>
      <w:r>
        <w:rPr>
          <w:rFonts w:ascii="Courier New" w:cs="Courier New" w:eastAsia="Courier New" w:hAnsi="Courier New"/>
          <w:sz w:val="16"/>
          <w:szCs w:val="16"/>
          <w:color w:val="auto"/>
        </w:rPr>
        <w:t>0.07 0.08 0.08 -- -- -- Gain on</w:t>
      </w:r>
    </w:p>
    <w:p>
      <w:pPr>
        <w:ind w:left="504"/>
        <w:spacing w:after="0"/>
        <w:rPr>
          <w:sz w:val="20"/>
          <w:szCs w:val="20"/>
          <w:color w:val="auto"/>
        </w:rPr>
      </w:pPr>
      <w:r>
        <w:rPr>
          <w:rFonts w:ascii="Courier New" w:cs="Courier New" w:eastAsia="Courier New" w:hAnsi="Courier New"/>
          <w:sz w:val="16"/>
          <w:szCs w:val="16"/>
          <w:color w:val="auto"/>
        </w:rPr>
        <w:t>disposition of discontinued</w:t>
      </w:r>
    </w:p>
    <w:p>
      <w:pPr>
        <w:ind w:left="4"/>
        <w:spacing w:after="0" w:line="238" w:lineRule="auto"/>
        <w:rPr>
          <w:sz w:val="20"/>
          <w:szCs w:val="20"/>
          <w:color w:val="auto"/>
        </w:rPr>
      </w:pPr>
      <w:r>
        <w:rPr>
          <w:rFonts w:ascii="Courier New" w:cs="Courier New" w:eastAsia="Courier New" w:hAnsi="Courier New"/>
          <w:sz w:val="16"/>
          <w:szCs w:val="16"/>
          <w:color w:val="auto"/>
        </w:rPr>
        <w:t>operations............................</w:t>
      </w:r>
    </w:p>
    <w:p>
      <w:pPr>
        <w:ind w:left="84"/>
        <w:spacing w:after="0"/>
        <w:rPr>
          <w:sz w:val="20"/>
          <w:szCs w:val="20"/>
          <w:color w:val="auto"/>
        </w:rPr>
      </w:pPr>
      <w:r>
        <w:rPr>
          <w:rFonts w:ascii="Courier New" w:cs="Courier New" w:eastAsia="Courier New" w:hAnsi="Courier New"/>
          <w:sz w:val="16"/>
          <w:szCs w:val="16"/>
          <w:color w:val="auto"/>
        </w:rPr>
        <w:t>3.70 -- -- -- -- -- -- -- Cumulative</w:t>
      </w:r>
    </w:p>
    <w:p>
      <w:pPr>
        <w:ind w:left="844"/>
        <w:spacing w:after="0" w:line="238" w:lineRule="auto"/>
        <w:rPr>
          <w:sz w:val="20"/>
          <w:szCs w:val="20"/>
          <w:color w:val="auto"/>
        </w:rPr>
      </w:pPr>
      <w:r>
        <w:rPr>
          <w:rFonts w:ascii="Courier New" w:cs="Courier New" w:eastAsia="Courier New" w:hAnsi="Courier New"/>
          <w:sz w:val="16"/>
          <w:szCs w:val="16"/>
          <w:color w:val="auto"/>
        </w:rPr>
        <w:t>effect of accounting</w:t>
      </w:r>
    </w:p>
    <w:p>
      <w:pPr>
        <w:ind w:left="4"/>
        <w:spacing w:after="0"/>
        <w:rPr>
          <w:sz w:val="20"/>
          <w:szCs w:val="20"/>
          <w:color w:val="auto"/>
        </w:rPr>
      </w:pPr>
      <w:r>
        <w:rPr>
          <w:rFonts w:ascii="Courier New" w:cs="Courier New" w:eastAsia="Courier New" w:hAnsi="Courier New"/>
          <w:sz w:val="16"/>
          <w:szCs w:val="16"/>
          <w:color w:val="auto"/>
        </w:rPr>
        <w:t>change................................</w:t>
      </w:r>
    </w:p>
    <w:p>
      <w:pPr>
        <w:ind w:left="44"/>
        <w:spacing w:after="0" w:line="237" w:lineRule="auto"/>
        <w:rPr>
          <w:sz w:val="20"/>
          <w:szCs w:val="20"/>
          <w:color w:val="auto"/>
        </w:rPr>
      </w:pPr>
      <w:r>
        <w:rPr>
          <w:rFonts w:ascii="Courier New" w:cs="Courier New" w:eastAsia="Courier New" w:hAnsi="Courier New"/>
          <w:sz w:val="16"/>
          <w:szCs w:val="16"/>
          <w:color w:val="auto"/>
        </w:rPr>
        <w:t>0.10 -- -- -- -- 0.21 -- -- ------- -</w:t>
      </w:r>
    </w:p>
    <w:p>
      <w:pPr>
        <w:ind w:left="604" w:hanging="559"/>
        <w:spacing w:after="0"/>
        <w:tabs>
          <w:tab w:leader="none" w:pos="60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ADJUSTED DILUTED EARNINGS</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ind w:left="4"/>
        <w:spacing w:after="0" w:line="237" w:lineRule="auto"/>
        <w:rPr>
          <w:sz w:val="20"/>
          <w:szCs w:val="20"/>
          <w:color w:val="auto"/>
        </w:rPr>
      </w:pPr>
      <w:r>
        <w:rPr>
          <w:rFonts w:ascii="Courier New" w:cs="Courier New" w:eastAsia="Courier New" w:hAnsi="Courier New"/>
          <w:sz w:val="16"/>
          <w:szCs w:val="16"/>
          <w:color w:val="auto"/>
        </w:rPr>
        <w:t>SHARE.................................</w:t>
      </w:r>
    </w:p>
    <w:p>
      <w:pPr>
        <w:ind w:left="184"/>
        <w:spacing w:after="0"/>
        <w:rPr>
          <w:sz w:val="20"/>
          <w:szCs w:val="20"/>
          <w:color w:val="auto"/>
        </w:rPr>
      </w:pPr>
      <w:r>
        <w:rPr>
          <w:rFonts w:ascii="Courier New" w:cs="Courier New" w:eastAsia="Courier New" w:hAnsi="Courier New"/>
          <w:sz w:val="16"/>
          <w:szCs w:val="16"/>
          <w:color w:val="auto"/>
        </w:rPr>
        <w:t>$ 2.99 $ 1.41 $ 2.09 $0.16 $0.29 $</w:t>
      </w:r>
    </w:p>
    <w:p>
      <w:pPr>
        <w:ind w:left="44"/>
        <w:spacing w:after="0" w:line="238" w:lineRule="auto"/>
        <w:rPr>
          <w:sz w:val="20"/>
          <w:szCs w:val="20"/>
          <w:color w:val="auto"/>
        </w:rPr>
      </w:pPr>
      <w:r>
        <w:rPr>
          <w:rFonts w:ascii="Courier New" w:cs="Courier New" w:eastAsia="Courier New" w:hAnsi="Courier New"/>
          <w:sz w:val="16"/>
          <w:szCs w:val="16"/>
          <w:color w:val="auto"/>
        </w:rPr>
        <w:t>(0.57) $ 1.06 $ (0.52) ======= ======</w:t>
      </w:r>
    </w:p>
    <w:p>
      <w:pPr>
        <w:ind w:left="224"/>
        <w:spacing w:after="0"/>
        <w:rPr>
          <w:sz w:val="20"/>
          <w:szCs w:val="20"/>
          <w:color w:val="auto"/>
        </w:rPr>
      </w:pPr>
      <w:r>
        <w:rPr>
          <w:rFonts w:ascii="Courier New" w:cs="Courier New" w:eastAsia="Courier New" w:hAnsi="Courier New"/>
          <w:sz w:val="16"/>
          <w:szCs w:val="16"/>
          <w:color w:val="auto"/>
        </w:rPr>
        <w:t>====== ===== ===== ======= ======</w:t>
      </w:r>
    </w:p>
    <w:p>
      <w:pPr>
        <w:ind w:left="1444"/>
        <w:spacing w:after="0" w:line="238" w:lineRule="auto"/>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184" w:hanging="184"/>
        <w:spacing w:after="0"/>
        <w:tabs>
          <w:tab w:leader="none" w:pos="18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84" w:right="2819" w:hanging="281"/>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Goodwill amortization is net of the Excite@Home minority interest impact on goodwill.</w:t>
      </w:r>
    </w:p>
    <w:p>
      <w:pPr>
        <w:spacing w:after="0" w:line="180" w:lineRule="exact"/>
        <w:rPr>
          <w:sz w:val="20"/>
          <w:szCs w:val="20"/>
          <w:color w:val="auto"/>
        </w:rPr>
      </w:pPr>
    </w:p>
    <w:p>
      <w:pPr>
        <w:ind w:left="384" w:hanging="384"/>
        <w:spacing w:after="0"/>
        <w:tabs>
          <w:tab w:leader="none" w:pos="38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Wireless Group was split off from AT&amp;T on July 9, 2001.</w:t>
      </w:r>
    </w:p>
    <w:p>
      <w:pPr>
        <w:spacing w:after="0" w:line="184" w:lineRule="exact"/>
        <w:rPr>
          <w:rFonts w:ascii="Courier New" w:cs="Courier New" w:eastAsia="Courier New" w:hAnsi="Courier New"/>
          <w:sz w:val="16"/>
          <w:szCs w:val="16"/>
          <w:color w:val="auto"/>
        </w:rPr>
      </w:pPr>
    </w:p>
    <w:p>
      <w:pPr>
        <w:ind w:left="3744" w:right="3939" w:hanging="3744"/>
        <w:spacing w:after="0" w:line="471" w:lineRule="auto"/>
        <w:tabs>
          <w:tab w:leader="none" w:pos="36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Liberty Media Group was split off from AT&amp;T on August 10, 2001. 20</w:t>
      </w:r>
    </w:p>
    <w:p>
      <w:pPr>
        <w:sectPr>
          <w:pgSz w:w="11900" w:h="16838" w:orient="portrait"/>
          <w:cols w:equalWidth="0" w:num="1">
            <w:col w:w="10223"/>
          </w:cols>
          <w:pgMar w:left="236" w:top="654" w:right="1440" w:bottom="1440" w:gutter="0" w:footer="0" w:header="0"/>
        </w:sectPr>
      </w:pPr>
    </w:p>
    <w:bookmarkStart w:id="35" w:name="page36"/>
    <w:bookmarkEnd w:id="35"/>
    <w:p>
      <w:pPr>
        <w:ind w:left="664"/>
        <w:spacing w:after="0"/>
        <w:rPr>
          <w:sz w:val="20"/>
          <w:szCs w:val="20"/>
          <w:color w:val="auto"/>
        </w:rPr>
      </w:pPr>
      <w:r>
        <w:rPr>
          <w:rFonts w:ascii="Courier New" w:cs="Courier New" w:eastAsia="Courier New" w:hAnsi="Courier New"/>
          <w:sz w:val="16"/>
          <w:szCs w:val="16"/>
          <w:color w:val="auto"/>
        </w:rPr>
        <w:t>SUMMARY PRO FORMA COMBINED CONDENSED FINANCIAL INFORMATION OF AT&amp;T</w:t>
      </w:r>
    </w:p>
    <w:p>
      <w:pPr>
        <w:spacing w:after="0" w:line="185" w:lineRule="exact"/>
        <w:rPr>
          <w:sz w:val="20"/>
          <w:szCs w:val="20"/>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The summary unaudited pro forma combined condensed financial information set forth below for AT&amp;T gives effect to:</w:t>
      </w:r>
    </w:p>
    <w:p>
      <w:pPr>
        <w:spacing w:after="0" w:line="180" w:lineRule="exact"/>
        <w:rPr>
          <w:sz w:val="20"/>
          <w:szCs w:val="20"/>
          <w:color w:val="auto"/>
        </w:rPr>
      </w:pPr>
    </w:p>
    <w:p>
      <w:pPr>
        <w:ind w:left="664" w:hanging="195"/>
        <w:spacing w:after="0"/>
        <w:tabs>
          <w:tab w:leader="none" w:pos="66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 and</w:t>
      </w:r>
    </w:p>
    <w:p>
      <w:pPr>
        <w:spacing w:after="0" w:line="179"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185" w:lineRule="exact"/>
        <w:rPr>
          <w:sz w:val="20"/>
          <w:szCs w:val="20"/>
          <w:color w:val="auto"/>
        </w:rPr>
      </w:pPr>
    </w:p>
    <w:p>
      <w:pPr>
        <w:ind w:left="4" w:right="2899"/>
        <w:spacing w:after="0" w:line="238" w:lineRule="auto"/>
        <w:rPr>
          <w:sz w:val="20"/>
          <w:szCs w:val="20"/>
          <w:color w:val="auto"/>
        </w:rPr>
      </w:pPr>
      <w:r>
        <w:rPr>
          <w:rFonts w:ascii="Courier New" w:cs="Courier New" w:eastAsia="Courier New" w:hAnsi="Courier New"/>
          <w:sz w:val="16"/>
          <w:szCs w:val="16"/>
          <w:color w:val="auto"/>
        </w:rPr>
        <w:t>as if such events had been completed on January 1, 1999 for income statement purposes, and at June 30, 2002 for balance sheet purposes. Since Liberty Media Group was split off from AT&amp;T on August 10, 2001, no balance sheet or 2002 income statement pro forma adjustments were made for Liberty Media Group. The unaudited selected pro forma financial information does not necessarily represent what AT&amp;T's financial position or results of operations would have been had the Broadband distribution or the Liberty Media Group distribution occurred on such dates.</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We have included detailed unaudited pro forma financial statements starting on page F-3 of this prospectus.</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AT OR FOR THE SIX MONTHS AT OR FOR THE YEARS</w:t>
      </w:r>
    </w:p>
    <w:p>
      <w:pPr>
        <w:ind w:left="44"/>
        <w:spacing w:after="0"/>
        <w:rPr>
          <w:sz w:val="20"/>
          <w:szCs w:val="20"/>
          <w:color w:val="auto"/>
        </w:rPr>
      </w:pPr>
      <w:r>
        <w:rPr>
          <w:rFonts w:ascii="Courier New" w:cs="Courier New" w:eastAsia="Courier New" w:hAnsi="Courier New"/>
          <w:sz w:val="16"/>
          <w:szCs w:val="16"/>
          <w:color w:val="auto"/>
        </w:rPr>
        <w:t>ENDED JUNE 30, ENDED DECEMBER 31, ----------</w:t>
      </w:r>
    </w:p>
    <w:tbl>
      <w:tblPr>
        <w:tblLayout w:type="fixed"/>
        <w:tblInd w:w="4" w:type="dxa"/>
        <w:tblCellMar>
          <w:top w:w="0" w:type="dxa"/>
          <w:left w:w="0" w:type="dxa"/>
          <w:bottom w:w="0" w:type="dxa"/>
          <w:right w:w="0" w:type="dxa"/>
        </w:tblCellMar>
      </w:tblPr>
      <w:tr>
        <w:trPr>
          <w:trHeight w:val="179"/>
        </w:trPr>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2002</w:t>
            </w:r>
          </w:p>
        </w:tc>
      </w:tr>
      <w:tr>
        <w:trPr>
          <w:trHeight w:val="180"/>
        </w:trPr>
        <w:tc>
          <w:tcPr>
            <w:tcW w:w="560" w:type="dxa"/>
            <w:vAlign w:val="bottom"/>
          </w:tcPr>
          <w:p>
            <w:pPr>
              <w:jc w:val="right"/>
              <w:ind w:right="33"/>
              <w:spacing w:after="0"/>
              <w:rPr>
                <w:sz w:val="20"/>
                <w:szCs w:val="20"/>
                <w:color w:val="auto"/>
              </w:rPr>
            </w:pPr>
            <w:r>
              <w:rPr>
                <w:rFonts w:ascii="Courier New" w:cs="Courier New" w:eastAsia="Courier New" w:hAnsi="Courier New"/>
                <w:sz w:val="16"/>
                <w:szCs w:val="16"/>
                <w:color w:val="auto"/>
              </w:rPr>
              <w:t>2001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2001</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2000</w:t>
            </w: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1999 ------- ------- -------</w:t>
            </w:r>
          </w:p>
        </w:tc>
      </w:tr>
      <w:tr>
        <w:trPr>
          <w:trHeight w:val="180"/>
        </w:trPr>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40"/>
              <w:spacing w:after="0"/>
              <w:rPr>
                <w:sz w:val="20"/>
                <w:szCs w:val="20"/>
                <w:color w:val="auto"/>
              </w:rPr>
            </w:pPr>
            <w:r>
              <w:rPr>
                <w:rFonts w:ascii="Courier New" w:cs="Courier New" w:eastAsia="Courier New" w:hAnsi="Courier New"/>
                <w:sz w:val="12"/>
                <w:szCs w:val="12"/>
                <w:color w:val="auto"/>
                <w:w w:val="71"/>
              </w:rPr>
              <w:t>-------</w:t>
            </w:r>
          </w:p>
        </w:tc>
        <w:tc>
          <w:tcPr>
            <w:tcW w:w="27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(UNAUDITED) (DOLLARS IN</w:t>
            </w:r>
          </w:p>
        </w:tc>
      </w:tr>
      <w:tr>
        <w:trPr>
          <w:trHeight w:val="180"/>
        </w:trPr>
        <w:tc>
          <w:tcPr>
            <w:tcW w:w="4120" w:type="dxa"/>
            <w:vAlign w:val="bottom"/>
            <w:gridSpan w:val="5"/>
          </w:tcPr>
          <w:p>
            <w:pPr>
              <w:jc w:val="center"/>
              <w:ind w:left="33"/>
              <w:spacing w:after="0"/>
              <w:rPr>
                <w:sz w:val="20"/>
                <w:szCs w:val="20"/>
                <w:color w:val="auto"/>
              </w:rPr>
            </w:pPr>
            <w:r>
              <w:rPr>
                <w:rFonts w:ascii="Courier New" w:cs="Courier New" w:eastAsia="Courier New" w:hAnsi="Courier New"/>
                <w:sz w:val="16"/>
                <w:szCs w:val="16"/>
                <w:color w:val="auto"/>
                <w:w w:val="97"/>
              </w:rPr>
              <w:t>MILLIONS, EXCEPT PER SHARE AMOUNTS) INCOME</w:t>
            </w:r>
          </w:p>
        </w:tc>
      </w:tr>
      <w:tr>
        <w:trPr>
          <w:trHeight w:val="180"/>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7"/>
              </w:rPr>
              <w:t>STATEMENT DATA:</w:t>
            </w:r>
          </w:p>
        </w:tc>
        <w:tc>
          <w:tcPr>
            <w:tcW w:w="840" w:type="dxa"/>
            <w:vAlign w:val="bottom"/>
          </w:tcPr>
          <w:p>
            <w:pPr>
              <w:spacing w:after="0"/>
              <w:rPr>
                <w:sz w:val="15"/>
                <w:szCs w:val="15"/>
                <w:color w:val="auto"/>
              </w:rPr>
            </w:pPr>
          </w:p>
        </w:tc>
      </w:tr>
      <w:tr>
        <w:trPr>
          <w:trHeight w:val="180"/>
        </w:trPr>
        <w:tc>
          <w:tcPr>
            <w:tcW w:w="140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2"/>
              </w:rPr>
              <w:t>Revenue......................................</w:t>
            </w:r>
          </w:p>
        </w:tc>
        <w:tc>
          <w:tcPr>
            <w:tcW w:w="18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$19,298</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$21,602 $42,665 $47,204</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$49,925</w:t>
            </w:r>
          </w:p>
        </w:tc>
      </w:tr>
      <w:tr>
        <w:trPr>
          <w:trHeight w:val="180"/>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7"/>
              </w:rPr>
              <w:t>Operating</w:t>
            </w:r>
          </w:p>
        </w:tc>
        <w:tc>
          <w:tcPr>
            <w:tcW w:w="840" w:type="dxa"/>
            <w:vAlign w:val="bottom"/>
          </w:tcPr>
          <w:p>
            <w:pPr>
              <w:spacing w:after="0"/>
              <w:rPr>
                <w:sz w:val="15"/>
                <w:szCs w:val="15"/>
                <w:color w:val="auto"/>
              </w:rPr>
            </w:pPr>
          </w:p>
        </w:tc>
      </w:tr>
      <w:tr>
        <w:trPr>
          <w:trHeight w:val="180"/>
        </w:trPr>
        <w:tc>
          <w:tcPr>
            <w:tcW w:w="140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2"/>
              </w:rPr>
              <w:t>income.............................</w:t>
            </w:r>
          </w:p>
        </w:tc>
        <w:tc>
          <w:tcPr>
            <w:tcW w:w="18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3,278</w:t>
            </w:r>
          </w:p>
        </w:tc>
      </w:tr>
    </w:tbl>
    <w:p>
      <w:pPr>
        <w:spacing w:after="0" w:line="4" w:lineRule="exact"/>
        <w:rPr>
          <w:sz w:val="20"/>
          <w:szCs w:val="20"/>
          <w:color w:val="auto"/>
        </w:rPr>
      </w:pPr>
    </w:p>
    <w:p>
      <w:pPr>
        <w:jc w:val="center"/>
        <w:ind w:right="5995"/>
        <w:spacing w:after="0"/>
        <w:rPr>
          <w:sz w:val="20"/>
          <w:szCs w:val="20"/>
          <w:color w:val="auto"/>
        </w:rPr>
      </w:pPr>
      <w:r>
        <w:rPr>
          <w:rFonts w:ascii="Courier New" w:cs="Courier New" w:eastAsia="Courier New" w:hAnsi="Courier New"/>
          <w:sz w:val="15"/>
          <w:szCs w:val="15"/>
          <w:color w:val="auto"/>
        </w:rPr>
        <w:t>4,772 7,937 12,884 12,635 (Loss) income from</w:t>
      </w:r>
    </w:p>
    <w:p>
      <w:pPr>
        <w:spacing w:after="0" w:line="5" w:lineRule="exact"/>
        <w:rPr>
          <w:sz w:val="20"/>
          <w:szCs w:val="20"/>
          <w:color w:val="auto"/>
        </w:rPr>
      </w:pPr>
    </w:p>
    <w:p>
      <w:pPr>
        <w:jc w:val="center"/>
        <w:ind w:right="5995"/>
        <w:spacing w:after="0"/>
        <w:rPr>
          <w:sz w:val="20"/>
          <w:szCs w:val="20"/>
          <w:color w:val="auto"/>
        </w:rPr>
      </w:pPr>
      <w:r>
        <w:rPr>
          <w:rFonts w:ascii="Courier New" w:cs="Courier New" w:eastAsia="Courier New" w:hAnsi="Courier New"/>
          <w:sz w:val="16"/>
          <w:szCs w:val="16"/>
          <w:color w:val="auto"/>
        </w:rPr>
        <w:t>continuing operations -- attributable to</w:t>
      </w:r>
    </w:p>
    <w:p>
      <w:pPr>
        <w:jc w:val="center"/>
        <w:ind w:right="5995"/>
        <w:spacing w:after="0"/>
        <w:rPr>
          <w:sz w:val="20"/>
          <w:szCs w:val="20"/>
          <w:color w:val="auto"/>
        </w:rPr>
      </w:pPr>
      <w:r>
        <w:rPr>
          <w:rFonts w:ascii="Courier New" w:cs="Courier New" w:eastAsia="Courier New" w:hAnsi="Courier New"/>
          <w:sz w:val="16"/>
          <w:szCs w:val="16"/>
          <w:color w:val="auto"/>
        </w:rPr>
        <w:t>AT&amp;T common stock group.... (6) 30 (3,475)</w:t>
      </w:r>
    </w:p>
    <w:p>
      <w:pPr>
        <w:jc w:val="center"/>
        <w:ind w:right="5995"/>
        <w:spacing w:after="0" w:line="237" w:lineRule="auto"/>
        <w:rPr>
          <w:sz w:val="20"/>
          <w:szCs w:val="20"/>
          <w:color w:val="auto"/>
        </w:rPr>
      </w:pPr>
      <w:r>
        <w:rPr>
          <w:rFonts w:ascii="Courier New" w:cs="Courier New" w:eastAsia="Courier New" w:hAnsi="Courier New"/>
          <w:sz w:val="16"/>
          <w:szCs w:val="16"/>
          <w:color w:val="auto"/>
        </w:rPr>
        <w:t>3,903 3,450 Weighted average AT&amp;T common</w:t>
      </w:r>
    </w:p>
    <w:p>
      <w:pPr>
        <w:jc w:val="center"/>
        <w:ind w:right="5995"/>
        <w:spacing w:after="0"/>
        <w:rPr>
          <w:sz w:val="20"/>
          <w:szCs w:val="20"/>
          <w:color w:val="auto"/>
        </w:rPr>
      </w:pPr>
      <w:r>
        <w:rPr>
          <w:rFonts w:ascii="Courier New" w:cs="Courier New" w:eastAsia="Courier New" w:hAnsi="Courier New"/>
          <w:sz w:val="16"/>
          <w:szCs w:val="16"/>
          <w:color w:val="auto"/>
        </w:rPr>
        <w:t>shares -- basic............................</w:t>
      </w:r>
    </w:p>
    <w:p>
      <w:pPr>
        <w:jc w:val="center"/>
        <w:ind w:right="5995"/>
        <w:spacing w:after="0" w:line="238" w:lineRule="auto"/>
        <w:rPr>
          <w:sz w:val="20"/>
          <w:szCs w:val="20"/>
          <w:color w:val="auto"/>
        </w:rPr>
      </w:pPr>
      <w:r>
        <w:rPr>
          <w:rFonts w:ascii="Courier New" w:cs="Courier New" w:eastAsia="Courier New" w:hAnsi="Courier New"/>
          <w:sz w:val="16"/>
          <w:szCs w:val="16"/>
          <w:color w:val="auto"/>
        </w:rPr>
        <w:t>3,598 3,789 3,695 3,526 3,115 (Loss)</w:t>
      </w:r>
    </w:p>
    <w:p>
      <w:pPr>
        <w:jc w:val="center"/>
        <w:ind w:right="5995"/>
        <w:spacing w:after="0"/>
        <w:rPr>
          <w:sz w:val="20"/>
          <w:szCs w:val="20"/>
          <w:color w:val="auto"/>
        </w:rPr>
      </w:pPr>
      <w:r>
        <w:rPr>
          <w:rFonts w:ascii="Courier New" w:cs="Courier New" w:eastAsia="Courier New" w:hAnsi="Courier New"/>
          <w:sz w:val="16"/>
          <w:szCs w:val="16"/>
          <w:color w:val="auto"/>
        </w:rPr>
        <w:t>earnings per AT&amp;T common share --</w:t>
      </w:r>
    </w:p>
    <w:p>
      <w:pPr>
        <w:jc w:val="center"/>
        <w:ind w:right="5995"/>
        <w:spacing w:after="0" w:line="238" w:lineRule="auto"/>
        <w:rPr>
          <w:sz w:val="20"/>
          <w:szCs w:val="20"/>
          <w:color w:val="auto"/>
        </w:rPr>
      </w:pPr>
      <w:r>
        <w:rPr>
          <w:rFonts w:ascii="Courier New" w:cs="Courier New" w:eastAsia="Courier New" w:hAnsi="Courier New"/>
          <w:sz w:val="16"/>
          <w:szCs w:val="16"/>
          <w:color w:val="auto"/>
        </w:rPr>
        <w:t>basic(1)...................................</w:t>
      </w:r>
    </w:p>
    <w:p>
      <w:pPr>
        <w:jc w:val="center"/>
        <w:ind w:right="5995"/>
        <w:spacing w:after="0"/>
        <w:rPr>
          <w:sz w:val="20"/>
          <w:szCs w:val="20"/>
          <w:color w:val="auto"/>
        </w:rPr>
      </w:pPr>
      <w:r>
        <w:rPr>
          <w:rFonts w:ascii="Courier New" w:cs="Courier New" w:eastAsia="Courier New" w:hAnsi="Courier New"/>
          <w:sz w:val="16"/>
          <w:szCs w:val="16"/>
          <w:color w:val="auto"/>
        </w:rPr>
        <w:t>0.00 0.01 (0.94) 1.11 1.11 Weighted average</w:t>
      </w:r>
    </w:p>
    <w:p>
      <w:pPr>
        <w:jc w:val="center"/>
        <w:ind w:right="5995"/>
        <w:spacing w:after="0" w:line="237" w:lineRule="auto"/>
        <w:rPr>
          <w:sz w:val="20"/>
          <w:szCs w:val="20"/>
          <w:color w:val="auto"/>
        </w:rPr>
      </w:pPr>
      <w:r>
        <w:rPr>
          <w:rFonts w:ascii="Courier New" w:cs="Courier New" w:eastAsia="Courier New" w:hAnsi="Courier New"/>
          <w:sz w:val="16"/>
          <w:szCs w:val="16"/>
          <w:color w:val="auto"/>
        </w:rPr>
        <w:t>AT&amp;T common shares --</w:t>
      </w:r>
    </w:p>
    <w:p>
      <w:pPr>
        <w:jc w:val="center"/>
        <w:ind w:right="5995"/>
        <w:spacing w:after="0"/>
        <w:rPr>
          <w:sz w:val="20"/>
          <w:szCs w:val="20"/>
          <w:color w:val="auto"/>
        </w:rPr>
      </w:pPr>
      <w:r>
        <w:rPr>
          <w:rFonts w:ascii="Courier New" w:cs="Courier New" w:eastAsia="Courier New" w:hAnsi="Courier New"/>
          <w:sz w:val="16"/>
          <w:szCs w:val="16"/>
          <w:color w:val="auto"/>
        </w:rPr>
        <w:t>diluted.......................... 3,598</w:t>
      </w:r>
    </w:p>
    <w:p>
      <w:pPr>
        <w:jc w:val="center"/>
        <w:ind w:right="5995"/>
        <w:spacing w:after="0" w:line="238" w:lineRule="auto"/>
        <w:rPr>
          <w:sz w:val="20"/>
          <w:szCs w:val="20"/>
          <w:color w:val="auto"/>
        </w:rPr>
      </w:pPr>
      <w:r>
        <w:rPr>
          <w:rFonts w:ascii="Courier New" w:cs="Courier New" w:eastAsia="Courier New" w:hAnsi="Courier New"/>
          <w:sz w:val="16"/>
          <w:szCs w:val="16"/>
          <w:color w:val="auto"/>
        </w:rPr>
        <w:t>3,796 3,695 3,545 3,152 (Loss) earnings per</w:t>
      </w:r>
    </w:p>
    <w:p>
      <w:pPr>
        <w:jc w:val="center"/>
        <w:ind w:right="5995"/>
        <w:spacing w:after="0"/>
        <w:rPr>
          <w:sz w:val="20"/>
          <w:szCs w:val="20"/>
          <w:color w:val="auto"/>
        </w:rPr>
      </w:pPr>
      <w:r>
        <w:rPr>
          <w:rFonts w:ascii="Courier New" w:cs="Courier New" w:eastAsia="Courier New" w:hAnsi="Courier New"/>
          <w:sz w:val="16"/>
          <w:szCs w:val="16"/>
          <w:color w:val="auto"/>
        </w:rPr>
        <w:t>AT&amp;T common share --</w:t>
      </w:r>
    </w:p>
    <w:p>
      <w:pPr>
        <w:ind w:left="84"/>
        <w:spacing w:after="0" w:line="238" w:lineRule="auto"/>
        <w:rPr>
          <w:sz w:val="20"/>
          <w:szCs w:val="20"/>
          <w:color w:val="auto"/>
        </w:rPr>
      </w:pPr>
      <w:r>
        <w:rPr>
          <w:rFonts w:ascii="Courier New" w:cs="Courier New" w:eastAsia="Courier New" w:hAnsi="Courier New"/>
          <w:sz w:val="16"/>
          <w:szCs w:val="16"/>
          <w:color w:val="auto"/>
        </w:rPr>
        <w:t>diluted(1).................................</w:t>
      </w:r>
    </w:p>
    <w:p>
      <w:pPr>
        <w:jc w:val="center"/>
        <w:ind w:right="5995"/>
        <w:spacing w:after="0"/>
        <w:rPr>
          <w:sz w:val="20"/>
          <w:szCs w:val="20"/>
          <w:color w:val="auto"/>
        </w:rPr>
      </w:pPr>
      <w:r>
        <w:rPr>
          <w:rFonts w:ascii="Courier New" w:cs="Courier New" w:eastAsia="Courier New" w:hAnsi="Courier New"/>
          <w:sz w:val="16"/>
          <w:szCs w:val="16"/>
          <w:color w:val="auto"/>
        </w:rPr>
        <w:t>0.00 0.01 (0.94) 1.10 1.09 Cash dividends</w:t>
      </w:r>
    </w:p>
    <w:p>
      <w:pPr>
        <w:jc w:val="center"/>
        <w:ind w:right="5995"/>
        <w:spacing w:after="0" w:line="237" w:lineRule="auto"/>
        <w:rPr>
          <w:sz w:val="20"/>
          <w:szCs w:val="20"/>
          <w:color w:val="auto"/>
        </w:rPr>
      </w:pPr>
      <w:r>
        <w:rPr>
          <w:rFonts w:ascii="Courier New" w:cs="Courier New" w:eastAsia="Courier New" w:hAnsi="Courier New"/>
          <w:sz w:val="16"/>
          <w:szCs w:val="16"/>
          <w:color w:val="auto"/>
        </w:rPr>
        <w:t>declared per AT&amp;T common</w:t>
      </w:r>
    </w:p>
    <w:p>
      <w:pPr>
        <w:ind w:left="84"/>
        <w:spacing w:after="0"/>
        <w:rPr>
          <w:sz w:val="20"/>
          <w:szCs w:val="20"/>
          <w:color w:val="auto"/>
        </w:rPr>
      </w:pPr>
      <w:r>
        <w:rPr>
          <w:rFonts w:ascii="Courier New" w:cs="Courier New" w:eastAsia="Courier New" w:hAnsi="Courier New"/>
          <w:sz w:val="16"/>
          <w:szCs w:val="16"/>
          <w:color w:val="auto"/>
        </w:rPr>
        <w:t>share......................................</w:t>
      </w:r>
    </w:p>
    <w:p>
      <w:pPr>
        <w:ind w:left="144"/>
        <w:spacing w:after="0" w:line="238" w:lineRule="auto"/>
        <w:rPr>
          <w:sz w:val="20"/>
          <w:szCs w:val="20"/>
          <w:color w:val="auto"/>
        </w:rPr>
      </w:pPr>
      <w:r>
        <w:rPr>
          <w:rFonts w:ascii="Courier New" w:cs="Courier New" w:eastAsia="Courier New" w:hAnsi="Courier New"/>
          <w:sz w:val="16"/>
          <w:szCs w:val="16"/>
          <w:color w:val="auto"/>
        </w:rPr>
        <w:t>0.075 0.075 0.15 0.6975 0.88 BALANCE SHEET</w:t>
      </w:r>
    </w:p>
    <w:p>
      <w:pPr>
        <w:ind w:left="1604"/>
        <w:spacing w:after="0"/>
        <w:rPr>
          <w:sz w:val="20"/>
          <w:szCs w:val="20"/>
          <w:color w:val="auto"/>
        </w:rPr>
      </w:pPr>
      <w:r>
        <w:rPr>
          <w:rFonts w:ascii="Courier New" w:cs="Courier New" w:eastAsia="Courier New" w:hAnsi="Courier New"/>
          <w:sz w:val="16"/>
          <w:szCs w:val="16"/>
          <w:color w:val="auto"/>
        </w:rPr>
        <w:t>DATA: Total</w:t>
      </w:r>
    </w:p>
    <w:p>
      <w:pPr>
        <w:ind w:left="284"/>
        <w:spacing w:after="0" w:line="238" w:lineRule="auto"/>
        <w:rPr>
          <w:sz w:val="20"/>
          <w:szCs w:val="20"/>
          <w:color w:val="auto"/>
        </w:rPr>
      </w:pPr>
      <w:r>
        <w:rPr>
          <w:rFonts w:ascii="Courier New" w:cs="Courier New" w:eastAsia="Courier New" w:hAnsi="Courier New"/>
          <w:sz w:val="16"/>
          <w:szCs w:val="16"/>
          <w:color w:val="auto"/>
        </w:rPr>
        <w:t>assets.................................</w:t>
      </w:r>
    </w:p>
    <w:p>
      <w:pPr>
        <w:ind w:left="744"/>
        <w:spacing w:after="0"/>
        <w:rPr>
          <w:sz w:val="20"/>
          <w:szCs w:val="20"/>
          <w:color w:val="auto"/>
        </w:rPr>
      </w:pPr>
      <w:r>
        <w:rPr>
          <w:rFonts w:ascii="Courier New" w:cs="Courier New" w:eastAsia="Courier New" w:hAnsi="Courier New"/>
          <w:sz w:val="16"/>
          <w:szCs w:val="16"/>
          <w:color w:val="auto"/>
        </w:rPr>
        <w:t>$56,618 -- -- -- -- Long-term</w:t>
      </w:r>
    </w:p>
    <w:p>
      <w:pPr>
        <w:ind w:left="44"/>
        <w:spacing w:after="0" w:line="237" w:lineRule="auto"/>
        <w:rPr>
          <w:sz w:val="20"/>
          <w:szCs w:val="20"/>
          <w:color w:val="auto"/>
        </w:rPr>
      </w:pPr>
      <w:r>
        <w:rPr>
          <w:rFonts w:ascii="Courier New" w:cs="Courier New" w:eastAsia="Courier New" w:hAnsi="Courier New"/>
          <w:sz w:val="16"/>
          <w:szCs w:val="16"/>
          <w:color w:val="auto"/>
        </w:rPr>
        <w:t>debt............................... 21,218 -</w:t>
      </w:r>
    </w:p>
    <w:p>
      <w:pPr>
        <w:ind w:left="744"/>
        <w:spacing w:after="0"/>
        <w:rPr>
          <w:sz w:val="20"/>
          <w:szCs w:val="20"/>
          <w:color w:val="auto"/>
        </w:rPr>
      </w:pPr>
      <w:r>
        <w:rPr>
          <w:rFonts w:ascii="Courier New" w:cs="Courier New" w:eastAsia="Courier New" w:hAnsi="Courier New"/>
          <w:sz w:val="16"/>
          <w:szCs w:val="16"/>
          <w:color w:val="auto"/>
        </w:rPr>
        <w:t>- -- -- -- Total shareowners'</w:t>
      </w:r>
    </w:p>
    <w:p>
      <w:pPr>
        <w:ind w:left="44"/>
        <w:spacing w:after="0" w:line="238" w:lineRule="auto"/>
        <w:rPr>
          <w:sz w:val="20"/>
          <w:szCs w:val="20"/>
          <w:color w:val="auto"/>
        </w:rPr>
      </w:pPr>
      <w:r>
        <w:rPr>
          <w:rFonts w:ascii="Courier New" w:cs="Courier New" w:eastAsia="Courier New" w:hAnsi="Courier New"/>
          <w:sz w:val="16"/>
          <w:szCs w:val="16"/>
          <w:color w:val="auto"/>
        </w:rPr>
        <w:t>equity.................... 12,667 -- -- -- -</w:t>
      </w:r>
    </w:p>
    <w:p>
      <w:pPr>
        <w:ind w:left="2064"/>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8" w:lineRule="auto"/>
        <w:tabs>
          <w:tab w:leader="none" w:pos="38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proposed one-for-five reverse stock split of AT&amp;T common stock, (loss) earnings per basic share would have been $(0.01) and $0.04 for the six months ended June 30, 2002 and 2001, respectively, and $(4.70), $5.53 and $5.54 for the years ended December 31, 2001, 2000 and 1999, respectively. (Loss) earnings per diluted share on the same basis would have been $(0.01) and $0.04 for the six months ended June 30, 2002 and 2001, respectively, and $(4.70), $5.50 and $5.47 for the years ended December 31, 2001, 2000 and 1999, respectively.</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654" w:right="1440" w:bottom="1440" w:gutter="0" w:footer="0" w:header="0"/>
        </w:sectPr>
      </w:pPr>
    </w:p>
    <w:bookmarkStart w:id="36" w:name="page37"/>
    <w:bookmarkEnd w:id="36"/>
    <w:p>
      <w:pPr>
        <w:ind w:left="1504"/>
        <w:spacing w:after="0"/>
        <w:rPr>
          <w:sz w:val="20"/>
          <w:szCs w:val="20"/>
          <w:color w:val="auto"/>
        </w:rPr>
      </w:pPr>
      <w:r>
        <w:rPr>
          <w:rFonts w:ascii="Courier New" w:cs="Courier New" w:eastAsia="Courier New" w:hAnsi="Courier New"/>
          <w:sz w:val="16"/>
          <w:szCs w:val="16"/>
          <w:color w:val="auto"/>
        </w:rPr>
        <w:t>SELECTED FINANCIAL DATA OF AT&amp;T BROADBAND GROUP</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Presented in the table below is selected financial data of AT&amp;T Broadband Group. AT&amp;T Broadband Group is an integrated business of AT&amp;T and not a stand-alone entity. AT&amp;T Broadband Group represents the assets, liabilities and businesses that AT&amp;T will assign and transfer to Broadband, a newly formed company for AT&amp;T's broadband business, in connection with the AT&amp;T Comcast transaction. AT&amp;T Broadband Group consists primarily of the assets, liabilities and business of AT&amp;T Broadband, LLC (formerly known as Tele-Communications, Inc.), acquired by AT&amp;T on March 9, 1999, and MediaOne Group, Inc., acquired by AT&amp;T on June 15, 2000.</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combined income statement data of AT&amp;T Broadband Group for the years ended December 31, 2001 and 2000 and the ten months ended December 31, 1999 and the combined balance sheet data of AT&amp;T Broadband Group at December 31, 2001 and 2000 were derived from the audited combined financial statements of AT&amp;T Broadband Group. The remaining data was derived from unaudited combined financial statements of AT&amp;T Broadband Group.</w:t>
      </w:r>
    </w:p>
    <w:p>
      <w:pPr>
        <w:spacing w:after="0" w:line="189"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 accompanying notes beginning on page F-13 of this prospectus.</w:t>
      </w:r>
    </w:p>
    <w:p>
      <w:pPr>
        <w:spacing w:after="0" w:line="170" w:lineRule="exact"/>
        <w:rPr>
          <w:sz w:val="20"/>
          <w:szCs w:val="20"/>
          <w:color w:val="auto"/>
        </w:rPr>
      </w:pPr>
    </w:p>
    <w:p>
      <w:pPr>
        <w:jc w:val="center"/>
        <w:ind w:right="6555"/>
        <w:spacing w:after="0"/>
        <w:rPr>
          <w:sz w:val="20"/>
          <w:szCs w:val="20"/>
          <w:color w:val="auto"/>
        </w:rPr>
      </w:pPr>
      <w:r>
        <w:rPr>
          <w:rFonts w:ascii="Courier New" w:cs="Courier New" w:eastAsia="Courier New" w:hAnsi="Courier New"/>
          <w:sz w:val="16"/>
          <w:szCs w:val="16"/>
          <w:color w:val="auto"/>
        </w:rPr>
        <w:t>AT OR FOR THE AT OR FOR THE SIX MONTHS</w:t>
      </w:r>
    </w:p>
    <w:p>
      <w:pPr>
        <w:jc w:val="center"/>
        <w:ind w:right="6555"/>
        <w:spacing w:after="0"/>
        <w:rPr>
          <w:sz w:val="20"/>
          <w:szCs w:val="20"/>
          <w:color w:val="auto"/>
        </w:rPr>
      </w:pPr>
      <w:r>
        <w:rPr>
          <w:rFonts w:ascii="Courier New" w:cs="Courier New" w:eastAsia="Courier New" w:hAnsi="Courier New"/>
          <w:sz w:val="16"/>
          <w:szCs w:val="16"/>
          <w:color w:val="auto"/>
        </w:rPr>
        <w:t>AT OR FOR THE YEARS TEN MONTHS ENDED</w:t>
      </w:r>
    </w:p>
    <w:p>
      <w:pPr>
        <w:jc w:val="center"/>
        <w:ind w:right="6555"/>
        <w:spacing w:after="0" w:line="237" w:lineRule="auto"/>
        <w:rPr>
          <w:sz w:val="20"/>
          <w:szCs w:val="20"/>
          <w:color w:val="auto"/>
        </w:rPr>
      </w:pPr>
      <w:r>
        <w:rPr>
          <w:rFonts w:ascii="Courier New" w:cs="Courier New" w:eastAsia="Courier New" w:hAnsi="Courier New"/>
          <w:sz w:val="16"/>
          <w:szCs w:val="16"/>
          <w:color w:val="auto"/>
        </w:rPr>
        <w:t>JUNE 30, ENDED DECEMBER 31, ENDED ----</w:t>
      </w:r>
    </w:p>
    <w:p>
      <w:pPr>
        <w:ind w:left="224"/>
        <w:spacing w:after="0"/>
        <w:rPr>
          <w:sz w:val="20"/>
          <w:szCs w:val="20"/>
          <w:color w:val="auto"/>
        </w:rPr>
      </w:pPr>
      <w:r>
        <w:rPr>
          <w:rFonts w:ascii="Courier New" w:cs="Courier New" w:eastAsia="Courier New" w:hAnsi="Courier New"/>
          <w:sz w:val="16"/>
          <w:szCs w:val="16"/>
          <w:color w:val="auto"/>
        </w:rPr>
        <w:t>-------------- -------------------</w:t>
      </w:r>
    </w:p>
    <w:p>
      <w:pPr>
        <w:jc w:val="center"/>
        <w:ind w:right="6555"/>
        <w:spacing w:after="0" w:line="238" w:lineRule="auto"/>
        <w:rPr>
          <w:sz w:val="20"/>
          <w:szCs w:val="20"/>
          <w:color w:val="auto"/>
        </w:rPr>
      </w:pPr>
      <w:r>
        <w:rPr>
          <w:rFonts w:ascii="Courier New" w:cs="Courier New" w:eastAsia="Courier New" w:hAnsi="Courier New"/>
          <w:sz w:val="16"/>
          <w:szCs w:val="16"/>
          <w:color w:val="auto"/>
        </w:rPr>
        <w:t>DECEMBER 31, 2002 2001 2001 2000(1)</w:t>
      </w:r>
    </w:p>
    <w:p>
      <w:pPr>
        <w:jc w:val="center"/>
        <w:ind w:right="6555"/>
        <w:spacing w:after="0"/>
        <w:rPr>
          <w:sz w:val="20"/>
          <w:szCs w:val="20"/>
          <w:color w:val="auto"/>
        </w:rPr>
      </w:pPr>
      <w:r>
        <w:rPr>
          <w:rFonts w:ascii="Courier New" w:cs="Courier New" w:eastAsia="Courier New" w:hAnsi="Courier New"/>
          <w:sz w:val="16"/>
          <w:szCs w:val="16"/>
          <w:color w:val="auto"/>
        </w:rPr>
        <w:t>1999(2) -------- ------- -------- ----</w:t>
      </w:r>
    </w:p>
    <w:p>
      <w:pPr>
        <w:jc w:val="center"/>
        <w:ind w:right="6555"/>
        <w:spacing w:after="0" w:line="238" w:lineRule="auto"/>
        <w:rPr>
          <w:sz w:val="20"/>
          <w:szCs w:val="20"/>
          <w:color w:val="auto"/>
        </w:rPr>
      </w:pPr>
      <w:r>
        <w:rPr>
          <w:rFonts w:ascii="Courier New" w:cs="Courier New" w:eastAsia="Courier New" w:hAnsi="Courier New"/>
          <w:sz w:val="16"/>
          <w:szCs w:val="16"/>
          <w:color w:val="auto"/>
        </w:rPr>
        <w:t>---- ------------- (UNAUDITED)</w:t>
      </w:r>
    </w:p>
    <w:p>
      <w:pPr>
        <w:jc w:val="center"/>
        <w:ind w:right="6555"/>
        <w:spacing w:after="0"/>
        <w:rPr>
          <w:sz w:val="20"/>
          <w:szCs w:val="20"/>
          <w:color w:val="auto"/>
        </w:rPr>
      </w:pPr>
      <w:r>
        <w:rPr>
          <w:rFonts w:ascii="Courier New" w:cs="Courier New" w:eastAsia="Courier New" w:hAnsi="Courier New"/>
          <w:sz w:val="16"/>
          <w:szCs w:val="16"/>
          <w:color w:val="auto"/>
        </w:rPr>
        <w:t>(DOLLARS IN MILLIONS) INCOME STATEMENT</w:t>
      </w:r>
    </w:p>
    <w:p>
      <w:pPr>
        <w:jc w:val="center"/>
        <w:ind w:right="6555"/>
        <w:spacing w:after="0" w:line="237" w:lineRule="auto"/>
        <w:rPr>
          <w:sz w:val="20"/>
          <w:szCs w:val="20"/>
          <w:color w:val="auto"/>
        </w:rPr>
      </w:pPr>
      <w:r>
        <w:rPr>
          <w:rFonts w:ascii="Courier New" w:cs="Courier New" w:eastAsia="Courier New" w:hAnsi="Courier New"/>
          <w:sz w:val="16"/>
          <w:szCs w:val="16"/>
          <w:color w:val="auto"/>
        </w:rPr>
        <w:t>DATA:</w:t>
      </w:r>
    </w:p>
    <w:p>
      <w:pPr>
        <w:spacing w:after="0" w:line="5" w:lineRule="exact"/>
        <w:rPr>
          <w:sz w:val="20"/>
          <w:szCs w:val="20"/>
          <w:color w:val="auto"/>
        </w:rPr>
      </w:pPr>
    </w:p>
    <w:p>
      <w:pPr>
        <w:jc w:val="center"/>
        <w:ind w:right="6555"/>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6555"/>
        <w:spacing w:after="0"/>
        <w:rPr>
          <w:sz w:val="20"/>
          <w:szCs w:val="20"/>
          <w:color w:val="auto"/>
        </w:rPr>
      </w:pPr>
      <w:r>
        <w:rPr>
          <w:rFonts w:ascii="Courier New" w:cs="Courier New" w:eastAsia="Courier New" w:hAnsi="Courier New"/>
          <w:sz w:val="16"/>
          <w:szCs w:val="16"/>
          <w:color w:val="auto"/>
        </w:rPr>
        <w:t>$ 4,965 $ 5,256 $ 10,132 $ 8,445 $</w:t>
      </w:r>
    </w:p>
    <w:p>
      <w:pPr>
        <w:jc w:val="center"/>
        <w:ind w:right="6555"/>
        <w:spacing w:after="0"/>
        <w:rPr>
          <w:sz w:val="20"/>
          <w:szCs w:val="20"/>
          <w:color w:val="auto"/>
        </w:rPr>
      </w:pPr>
      <w:r>
        <w:rPr>
          <w:rFonts w:ascii="Courier New" w:cs="Courier New" w:eastAsia="Courier New" w:hAnsi="Courier New"/>
          <w:sz w:val="16"/>
          <w:szCs w:val="16"/>
          <w:color w:val="auto"/>
        </w:rPr>
        <w:t>5,080 Operating</w:t>
      </w:r>
    </w:p>
    <w:p>
      <w:pPr>
        <w:jc w:val="center"/>
        <w:ind w:right="6555"/>
        <w:spacing w:after="0" w:line="237" w:lineRule="auto"/>
        <w:rPr>
          <w:sz w:val="20"/>
          <w:szCs w:val="20"/>
          <w:color w:val="auto"/>
        </w:rPr>
      </w:pPr>
      <w:r>
        <w:rPr>
          <w:rFonts w:ascii="Courier New" w:cs="Courier New" w:eastAsia="Courier New" w:hAnsi="Courier New"/>
          <w:sz w:val="16"/>
          <w:szCs w:val="16"/>
          <w:color w:val="auto"/>
        </w:rPr>
        <w:t>loss......................... (17,015)</w:t>
      </w:r>
    </w:p>
    <w:p>
      <w:pPr>
        <w:jc w:val="center"/>
        <w:ind w:right="6555"/>
        <w:spacing w:after="0"/>
        <w:rPr>
          <w:sz w:val="20"/>
          <w:szCs w:val="20"/>
          <w:color w:val="auto"/>
        </w:rPr>
      </w:pPr>
      <w:r>
        <w:rPr>
          <w:rFonts w:ascii="Courier New" w:cs="Courier New" w:eastAsia="Courier New" w:hAnsi="Courier New"/>
          <w:sz w:val="16"/>
          <w:szCs w:val="16"/>
          <w:color w:val="auto"/>
        </w:rPr>
        <w:t>(2,594) (4,183) (8,656) (1,177) Loss</w:t>
      </w:r>
    </w:p>
    <w:p>
      <w:pPr>
        <w:jc w:val="center"/>
        <w:ind w:right="6555"/>
        <w:spacing w:after="0" w:line="238" w:lineRule="auto"/>
        <w:rPr>
          <w:sz w:val="20"/>
          <w:szCs w:val="20"/>
          <w:color w:val="auto"/>
        </w:rPr>
      </w:pPr>
      <w:r>
        <w:rPr>
          <w:rFonts w:ascii="Courier New" w:cs="Courier New" w:eastAsia="Courier New" w:hAnsi="Courier New"/>
          <w:sz w:val="16"/>
          <w:szCs w:val="16"/>
          <w:color w:val="auto"/>
        </w:rPr>
        <w:t>before extraordinary gain and</w:t>
      </w:r>
    </w:p>
    <w:p>
      <w:pPr>
        <w:jc w:val="center"/>
        <w:ind w:right="6555"/>
        <w:spacing w:after="0"/>
        <w:rPr>
          <w:sz w:val="20"/>
          <w:szCs w:val="20"/>
          <w:color w:val="auto"/>
        </w:rPr>
      </w:pPr>
      <w:r>
        <w:rPr>
          <w:rFonts w:ascii="Courier New" w:cs="Courier New" w:eastAsia="Courier New" w:hAnsi="Courier New"/>
          <w:sz w:val="16"/>
          <w:szCs w:val="16"/>
          <w:color w:val="auto"/>
        </w:rPr>
        <w:t>cumulative effect of accounting</w:t>
      </w:r>
    </w:p>
    <w:p>
      <w:pPr>
        <w:jc w:val="center"/>
        <w:ind w:right="6555"/>
        <w:spacing w:after="0" w:line="238" w:lineRule="auto"/>
        <w:rPr>
          <w:sz w:val="20"/>
          <w:szCs w:val="20"/>
          <w:color w:val="auto"/>
        </w:rPr>
      </w:pPr>
      <w:r>
        <w:rPr>
          <w:rFonts w:ascii="Courier New" w:cs="Courier New" w:eastAsia="Courier New" w:hAnsi="Courier New"/>
          <w:sz w:val="16"/>
          <w:szCs w:val="16"/>
          <w:color w:val="auto"/>
        </w:rPr>
        <w:t>changes..............................</w:t>
      </w:r>
    </w:p>
    <w:p>
      <w:pPr>
        <w:jc w:val="center"/>
        <w:ind w:right="6555"/>
        <w:spacing w:after="0"/>
        <w:rPr>
          <w:sz w:val="20"/>
          <w:szCs w:val="20"/>
          <w:color w:val="auto"/>
        </w:rPr>
      </w:pPr>
      <w:r>
        <w:rPr>
          <w:rFonts w:ascii="Courier New" w:cs="Courier New" w:eastAsia="Courier New" w:hAnsi="Courier New"/>
          <w:sz w:val="16"/>
          <w:szCs w:val="16"/>
          <w:color w:val="auto"/>
        </w:rPr>
        <w:t>(13,884) (2,529) (4,171) (5,370)</w:t>
      </w:r>
    </w:p>
    <w:p>
      <w:pPr>
        <w:jc w:val="center"/>
        <w:ind w:right="6555"/>
        <w:spacing w:after="0" w:line="237" w:lineRule="auto"/>
        <w:rPr>
          <w:sz w:val="20"/>
          <w:szCs w:val="20"/>
          <w:color w:val="auto"/>
        </w:rPr>
      </w:pPr>
      <w:r>
        <w:rPr>
          <w:rFonts w:ascii="Courier New" w:cs="Courier New" w:eastAsia="Courier New" w:hAnsi="Courier New"/>
          <w:sz w:val="16"/>
          <w:szCs w:val="16"/>
          <w:color w:val="auto"/>
        </w:rPr>
        <w:t>(2,200) BALANCE SHEET DATA: Total</w:t>
      </w:r>
    </w:p>
    <w:p>
      <w:pPr>
        <w:jc w:val="center"/>
        <w:ind w:right="6555"/>
        <w:spacing w:after="0"/>
        <w:rPr>
          <w:sz w:val="20"/>
          <w:szCs w:val="20"/>
          <w:color w:val="auto"/>
        </w:rPr>
      </w:pPr>
      <w:r>
        <w:rPr>
          <w:rFonts w:ascii="Courier New" w:cs="Courier New" w:eastAsia="Courier New" w:hAnsi="Courier New"/>
          <w:sz w:val="16"/>
          <w:szCs w:val="16"/>
          <w:color w:val="auto"/>
        </w:rPr>
        <w:t>assets........................... $</w:t>
      </w:r>
    </w:p>
    <w:p>
      <w:pPr>
        <w:jc w:val="center"/>
        <w:ind w:right="6555"/>
        <w:spacing w:after="0" w:line="238" w:lineRule="auto"/>
        <w:rPr>
          <w:sz w:val="20"/>
          <w:szCs w:val="20"/>
          <w:color w:val="auto"/>
        </w:rPr>
      </w:pPr>
      <w:r>
        <w:rPr>
          <w:rFonts w:ascii="Courier New" w:cs="Courier New" w:eastAsia="Courier New" w:hAnsi="Courier New"/>
          <w:sz w:val="16"/>
          <w:szCs w:val="16"/>
          <w:color w:val="auto"/>
        </w:rPr>
        <w:t>81,840 -- $103,187 $117,534 $58,228</w:t>
      </w:r>
    </w:p>
    <w:p>
      <w:pPr>
        <w:jc w:val="center"/>
        <w:ind w:right="6555"/>
        <w:spacing w:after="0"/>
        <w:rPr>
          <w:sz w:val="20"/>
          <w:szCs w:val="20"/>
          <w:color w:val="auto"/>
        </w:rPr>
      </w:pPr>
      <w:r>
        <w:rPr>
          <w:rFonts w:ascii="Courier New" w:cs="Courier New" w:eastAsia="Courier New" w:hAnsi="Courier New"/>
          <w:sz w:val="16"/>
          <w:szCs w:val="16"/>
          <w:color w:val="auto"/>
        </w:rPr>
        <w:t>Total</w:t>
      </w:r>
    </w:p>
    <w:p>
      <w:pPr>
        <w:jc w:val="center"/>
        <w:ind w:right="6555"/>
        <w:spacing w:after="0" w:line="238" w:lineRule="auto"/>
        <w:rPr>
          <w:sz w:val="20"/>
          <w:szCs w:val="20"/>
          <w:color w:val="auto"/>
        </w:rPr>
      </w:pPr>
      <w:r>
        <w:rPr>
          <w:rFonts w:ascii="Courier New" w:cs="Courier New" w:eastAsia="Courier New" w:hAnsi="Courier New"/>
          <w:sz w:val="16"/>
          <w:szCs w:val="16"/>
          <w:color w:val="auto"/>
        </w:rPr>
        <w:t>debt.............................</w:t>
      </w:r>
    </w:p>
    <w:p>
      <w:pPr>
        <w:jc w:val="center"/>
        <w:ind w:right="6555"/>
        <w:spacing w:after="0"/>
        <w:rPr>
          <w:sz w:val="20"/>
          <w:szCs w:val="20"/>
          <w:color w:val="auto"/>
        </w:rPr>
      </w:pPr>
      <w:r>
        <w:rPr>
          <w:rFonts w:ascii="Courier New" w:cs="Courier New" w:eastAsia="Courier New" w:hAnsi="Courier New"/>
          <w:sz w:val="16"/>
          <w:szCs w:val="16"/>
          <w:color w:val="auto"/>
        </w:rPr>
        <w:t>21,942 -- 23,285 28,420 14,900</w:t>
      </w:r>
    </w:p>
    <w:p>
      <w:pPr>
        <w:jc w:val="center"/>
        <w:ind w:right="6555"/>
        <w:spacing w:after="0" w:line="237" w:lineRule="auto"/>
        <w:rPr>
          <w:sz w:val="20"/>
          <w:szCs w:val="20"/>
          <w:color w:val="auto"/>
        </w:rPr>
      </w:pPr>
      <w:r>
        <w:rPr>
          <w:rFonts w:ascii="Courier New" w:cs="Courier New" w:eastAsia="Courier New" w:hAnsi="Courier New"/>
          <w:sz w:val="16"/>
          <w:szCs w:val="16"/>
          <w:color w:val="auto"/>
        </w:rPr>
        <w:t>Minority</w:t>
      </w:r>
    </w:p>
    <w:p>
      <w:pPr>
        <w:jc w:val="center"/>
        <w:ind w:right="6555"/>
        <w:spacing w:after="0"/>
        <w:rPr>
          <w:sz w:val="20"/>
          <w:szCs w:val="20"/>
          <w:color w:val="auto"/>
        </w:rPr>
      </w:pPr>
      <w:r>
        <w:rPr>
          <w:rFonts w:ascii="Courier New" w:cs="Courier New" w:eastAsia="Courier New" w:hAnsi="Courier New"/>
          <w:sz w:val="16"/>
          <w:szCs w:val="16"/>
          <w:color w:val="auto"/>
        </w:rPr>
        <w:t>interest...................... 1,210 -</w:t>
      </w:r>
    </w:p>
    <w:p>
      <w:pPr>
        <w:spacing w:after="0" w:line="4" w:lineRule="exact"/>
        <w:rPr>
          <w:sz w:val="20"/>
          <w:szCs w:val="20"/>
          <w:color w:val="auto"/>
        </w:rPr>
      </w:pPr>
    </w:p>
    <w:p>
      <w:pPr>
        <w:ind w:left="384" w:right="6659" w:hanging="291"/>
        <w:spacing w:after="0" w:line="254" w:lineRule="auto"/>
        <w:tabs>
          <w:tab w:leader="none" w:pos="29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3,302 4,421 2,327 Company-Obligated Convertible Quarterly Preferred</w:t>
      </w:r>
    </w:p>
    <w:tbl>
      <w:tblPr>
        <w:tblLayout w:type="fixed"/>
        <w:tblInd w:w="144" w:type="dxa"/>
        <w:tblCellMar>
          <w:top w:w="0" w:type="dxa"/>
          <w:left w:w="0" w:type="dxa"/>
          <w:bottom w:w="0" w:type="dxa"/>
          <w:right w:w="0" w:type="dxa"/>
        </w:tblCellMar>
      </w:tblPr>
      <w:tr>
        <w:trPr>
          <w:trHeight w:val="177"/>
        </w:trPr>
        <w:tc>
          <w:tcPr>
            <w:tcW w:w="202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w w:val="77"/>
              </w:rPr>
              <w:t>Securities.................</w:t>
            </w:r>
          </w:p>
        </w:tc>
        <w:tc>
          <w:tcPr>
            <w:tcW w:w="136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4,725 --</w:t>
            </w:r>
          </w:p>
        </w:tc>
      </w:tr>
      <w:tr>
        <w:trPr>
          <w:trHeight w:val="180"/>
        </w:trPr>
        <w:tc>
          <w:tcPr>
            <w:tcW w:w="2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4,720 4,710</w:t>
            </w:r>
          </w:p>
        </w:tc>
        <w:tc>
          <w:tcPr>
            <w:tcW w:w="1360" w:type="dxa"/>
            <w:vAlign w:val="bottom"/>
          </w:tcPr>
          <w:p>
            <w:pPr>
              <w:jc w:val="right"/>
              <w:ind w:right="822"/>
              <w:spacing w:after="0"/>
              <w:rPr>
                <w:sz w:val="20"/>
                <w:szCs w:val="20"/>
                <w:color w:val="auto"/>
              </w:rPr>
            </w:pPr>
            <w:r>
              <w:rPr>
                <w:rFonts w:ascii="Courier New" w:cs="Courier New" w:eastAsia="Courier New" w:hAnsi="Courier New"/>
                <w:sz w:val="16"/>
                <w:szCs w:val="16"/>
                <w:color w:val="auto"/>
                <w:w w:val="91"/>
              </w:rPr>
              <w:t>4,700</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19" w:hanging="384"/>
        <w:spacing w:after="0" w:line="237" w:lineRule="auto"/>
        <w:tabs>
          <w:tab w:leader="none" w:pos="38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15, 2000, AT&amp;T acquired MediaOne Group, Inc. which is attributed to AT&amp;T Broadband Group. The acquisition was accounted for under the purchase method of accounting.</w:t>
      </w:r>
    </w:p>
    <w:p>
      <w:pPr>
        <w:spacing w:after="0" w:line="184"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March 1, 1999, AT&amp;T acquired TCI which is attributed to AT&amp;T Broadband Group. The acquisition was accounted for under the purchase method of accounting.</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3"/>
          </w:cols>
          <w:pgMar w:left="236" w:top="654" w:right="1440" w:bottom="1440" w:gutter="0" w:footer="0" w:header="0"/>
        </w:sectPr>
      </w:pPr>
    </w:p>
    <w:bookmarkStart w:id="37" w:name="page38"/>
    <w:bookmarkEnd w:id="37"/>
    <w:p>
      <w:pPr>
        <w:ind w:left="2060"/>
        <w:spacing w:after="0"/>
        <w:rPr>
          <w:sz w:val="20"/>
          <w:szCs w:val="20"/>
          <w:color w:val="auto"/>
        </w:rPr>
      </w:pPr>
      <w:r>
        <w:rPr>
          <w:rFonts w:ascii="Courier New" w:cs="Courier New" w:eastAsia="Courier New" w:hAnsi="Courier New"/>
          <w:sz w:val="16"/>
          <w:szCs w:val="16"/>
          <w:color w:val="auto"/>
        </w:rPr>
        <w:t>SELECTED FINANCIAL DATA OF BROADBAND</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AT&amp;T Broadband Corp. is a newly formed entity for purposes of effectuating the AT&amp;T Comcast transaction. From the date of inception on December 14, 2001 through June 30, 2002, AT&amp;T Broadband Corp. had no operations.</w:t>
      </w:r>
    </w:p>
    <w:p>
      <w:pPr>
        <w:spacing w:after="0" w:line="171"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The balance sheet data at December 31, 2001, was derived from the audited balance sheet of AT&amp;T Broadband Corp. The balance sheet data at June 30, 2002, was derived from an unaudited balance sheet.</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JUNE 30, AT DECEMBER 31, 2002 2001 -------------</w:t>
      </w:r>
    </w:p>
    <w:p>
      <w:pPr>
        <w:ind w:left="280"/>
        <w:spacing w:after="0"/>
        <w:rPr>
          <w:sz w:val="20"/>
          <w:szCs w:val="20"/>
          <w:color w:val="auto"/>
        </w:rPr>
      </w:pPr>
      <w:r>
        <w:rPr>
          <w:rFonts w:ascii="Courier New" w:cs="Courier New" w:eastAsia="Courier New" w:hAnsi="Courier New"/>
          <w:sz w:val="16"/>
          <w:szCs w:val="16"/>
          <w:color w:val="auto"/>
        </w:rPr>
        <w:t>------ ------------------- (UNAUDITED) BALANCE</w:t>
      </w:r>
    </w:p>
    <w:p>
      <w:pPr>
        <w:jc w:val="center"/>
        <w:ind w:right="5359"/>
        <w:spacing w:after="0" w:line="237" w:lineRule="auto"/>
        <w:rPr>
          <w:sz w:val="20"/>
          <w:szCs w:val="20"/>
          <w:color w:val="auto"/>
        </w:rPr>
      </w:pPr>
      <w:r>
        <w:rPr>
          <w:rFonts w:ascii="Courier New" w:cs="Courier New" w:eastAsia="Courier New" w:hAnsi="Courier New"/>
          <w:sz w:val="16"/>
          <w:szCs w:val="16"/>
          <w:color w:val="auto"/>
        </w:rPr>
        <w:t>SHEET DATA: Total</w:t>
      </w:r>
    </w:p>
    <w:p>
      <w:pPr>
        <w:spacing w:after="0"/>
        <w:rPr>
          <w:sz w:val="20"/>
          <w:szCs w:val="20"/>
          <w:color w:val="auto"/>
        </w:rPr>
      </w:pPr>
      <w:r>
        <w:rPr>
          <w:rFonts w:ascii="Courier New" w:cs="Courier New" w:eastAsia="Courier New" w:hAnsi="Courier New"/>
          <w:sz w:val="16"/>
          <w:szCs w:val="16"/>
          <w:color w:val="auto"/>
        </w:rPr>
        <w:t>assets..............................................</w:t>
      </w:r>
    </w:p>
    <w:p>
      <w:pPr>
        <w:jc w:val="center"/>
        <w:ind w:right="5359"/>
        <w:spacing w:after="0" w:line="238" w:lineRule="auto"/>
        <w:rPr>
          <w:sz w:val="20"/>
          <w:szCs w:val="20"/>
          <w:color w:val="auto"/>
        </w:rPr>
      </w:pPr>
      <w:r>
        <w:rPr>
          <w:rFonts w:ascii="Courier New" w:cs="Courier New" w:eastAsia="Courier New" w:hAnsi="Courier New"/>
          <w:sz w:val="16"/>
          <w:szCs w:val="16"/>
          <w:color w:val="auto"/>
        </w:rPr>
        <w:t>$-- $-- Total</w:t>
      </w:r>
    </w:p>
    <w:p>
      <w:pPr>
        <w:spacing w:after="0"/>
        <w:rPr>
          <w:sz w:val="20"/>
          <w:szCs w:val="20"/>
          <w:color w:val="auto"/>
        </w:rPr>
      </w:pPr>
      <w:r>
        <w:rPr>
          <w:rFonts w:ascii="Courier New" w:cs="Courier New" w:eastAsia="Courier New" w:hAnsi="Courier New"/>
          <w:sz w:val="16"/>
          <w:szCs w:val="16"/>
          <w:color w:val="auto"/>
        </w:rPr>
        <w:t>debt................................................</w:t>
      </w:r>
    </w:p>
    <w:p>
      <w:pPr>
        <w:ind w:left="2200"/>
        <w:spacing w:after="0" w:line="238" w:lineRule="auto"/>
        <w:rPr>
          <w:sz w:val="20"/>
          <w:szCs w:val="20"/>
          <w:color w:val="auto"/>
        </w:rPr>
      </w:pPr>
      <w:r>
        <w:rPr>
          <w:rFonts w:ascii="Courier New" w:cs="Courier New" w:eastAsia="Courier New" w:hAnsi="Courier New"/>
          <w:sz w:val="16"/>
          <w:szCs w:val="16"/>
          <w:color w:val="auto"/>
        </w:rPr>
        <w:t>-- --</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38" w:name="page39"/>
    <w:bookmarkEnd w:id="38"/>
    <w:p>
      <w:pPr>
        <w:jc w:val="center"/>
        <w:ind w:right="2819"/>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jc w:val="center"/>
        <w:ind w:right="2819"/>
        <w:spacing w:after="0"/>
        <w:rPr>
          <w:sz w:val="20"/>
          <w:szCs w:val="20"/>
          <w:color w:val="auto"/>
        </w:rPr>
      </w:pPr>
      <w:r>
        <w:rPr>
          <w:rFonts w:ascii="Courier New" w:cs="Courier New" w:eastAsia="Courier New" w:hAnsi="Courier New"/>
          <w:sz w:val="16"/>
          <w:szCs w:val="16"/>
          <w:color w:val="auto"/>
        </w:rPr>
        <w:t>OF AT&amp;T COMCAST CORPORATION</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Unaudited Pro Forma Combined Condensed Balance Sheet of AT&amp;T Comcast as of June 30, 2002 and the Unaudited Pro Forma Combined Condensed Statements of Operations of AT&amp;T Comcast for the six months ended June 30, 2002 and the year ended December 31, 2001 give effect to the AT&amp;T Comcast transaction. The pro forma financial statements account for the AT&amp;T Comcast transaction under the purchase method of accounting.</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Unaudited Pro Forma Combined Condensed Balance Sheet assumes the AT&amp;T Comcast transaction occurred on June 30, 2002. The Unaudited Pro Forma Combined Condensed Statements of Operations assume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174"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and Comcast have determined that the AT&amp;T Comcast transaction will be accounted for as an acquisition by Comcast of AT&amp;T Broadband Group. See Note 5 to the consolidated financial statements of Comcast for the year ended December 31, 2001 included in this prospectus. As Comcast is considered the accounting acquiror, the historical basis of Comcast's assets and liabilities will not be affected by the AT&amp;T Comcast transaction. For purposes of developing the Unaudited Pro Forma Combined Condensed Balance Sheet as of June 30, 2002, AT&amp;T Broadband Group's assets, including identifiable intangible assets, and liabilities have been recorded at their estimated fair values and the excess purchase price has been assigned to goodwill. No adjustment has been made to AT&amp;T Broadband Group's franchise rights.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35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shareholders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w:t>
      </w:r>
    </w:p>
    <w:p>
      <w:pPr>
        <w:spacing w:after="0" w:line="36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consideration to complete the AT&amp;T Comcast transaction will consist of shares of AT&amp;T Comcast common stock, assumed debt of AT&amp;T Broadband Group, the intercompany indebtedness Broadband must pay AT&amp;T upon closing and Comcast's transaction costs. If the closing date of the AT&amp;T Comcast transaction were as of June 30, 2002, the estimated aggregate consideration to complete the AT&amp;T Comcast transaction would be $47,486 million, consisting of $25,583 million of AT&amp;T Comcast common stock based upon a per share price of $18.80, $21,273 million of assumed debt at estimated fair value, and $630 million of Comcast's transaction costs directly related to the AT&amp;T Comcast transaction.</w:t>
      </w:r>
    </w:p>
    <w:p>
      <w:pPr>
        <w:spacing w:after="0" w:line="35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consideration in the form of AT&amp;T Comcast common stock includes the fair value of the issuance of approximately 1,234 million shares of AT&amp;T Comcast common stock to AT&amp;T shareholders in</w:t>
      </w: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4" w:right="1440" w:bottom="1440" w:gutter="0" w:footer="0" w:header="0"/>
        </w:sectPr>
      </w:pPr>
    </w:p>
    <w:bookmarkStart w:id="39" w:name="page40"/>
    <w:bookmarkEnd w:id="39"/>
    <w:p>
      <w:pPr>
        <w:ind w:right="2719"/>
        <w:spacing w:after="0" w:line="238" w:lineRule="auto"/>
        <w:rPr>
          <w:sz w:val="20"/>
          <w:szCs w:val="20"/>
          <w:color w:val="auto"/>
        </w:rPr>
      </w:pPr>
      <w:r>
        <w:rPr>
          <w:rFonts w:ascii="Courier New" w:cs="Courier New" w:eastAsia="Courier New" w:hAnsi="Courier New"/>
          <w:sz w:val="16"/>
          <w:szCs w:val="16"/>
          <w:color w:val="auto"/>
        </w:rPr>
        <w:t>exchange for all of AT&amp;T's interests in the AT&amp;T Broadband Group, the fair value of the issuance of 115 million shares of AT&amp;T Comcast common stock to Microsoft Corporation in exchange for Broadband shares that Microsoft will receive immediately prior to the completion of the AT&amp;T Comcast transaction for settlement of its $5 billion aggregate principal amount in quarterly income preferred securities (QUIPS), and the fair value of AT&amp;T Comcast stock options and stock appreciation rights issued in exchange for Broadband stock options and stock appreciation rights.</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Subsequent to the original merger agreement, economic and business factors led AT&amp;T and Comcast to agree to change the form of consideration to be paid in the AT&amp;T Comcast transaction. On August 12, 2002, AT&amp;T, among others, filed a registration statement with the SEC for the exchange offer contemplated by this prospectus relating to $11.8 billion aggregate principal amount of AT&amp;T's existing debt securities. Modification of the original merger agreement to provide for the assumption of a portion of AT&amp;T's debt securities by Broadband and the related reduction in the intercompany indebtedness represents a substantive change in the non-equity, or "other" consideration being paid in the AT&amp;T Comcast transaction resulting in a new measurement date for determining the value of the Comcast common stock used to value the AT&amp;T Comcast securities to be issued in the AT&amp;T Comcast transaction. The new measurement date is established as of the date of the substantive modification of the original merger agreement and applies irrespective of whether the exchange offer is completed.</w:t>
      </w:r>
    </w:p>
    <w:p>
      <w:pPr>
        <w:spacing w:after="0" w:line="200" w:lineRule="exact"/>
        <w:rPr>
          <w:sz w:val="20"/>
          <w:szCs w:val="20"/>
          <w:color w:val="auto"/>
        </w:rPr>
      </w:pPr>
    </w:p>
    <w:p>
      <w:pPr>
        <w:spacing w:after="0" w:line="351"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consideration in the form of assumed debt includes the short-term debt due to AT&amp;T, which is due at closing, of $6,486 million, as well as $14,787 million of long-term debt, including current portion, of AT&amp;T Broadband Group. If the exchange offer is successful, then upon completion of the AT&amp;T Comcast transaction a portion of AT&amp;T's debt securities will cease being AT&amp;T obligations and become Broadband obligations (New Broadband Notes) guaranteed by AT&amp;T Comcast and a number of its cable subsidiaries. The AT&amp;T debt securities that become Broadband obligations will reduce the intercompany indebtedness Broadband must pay AT&amp;T. Absent additional deleveraging activities and the effect of the exchange offer, it is expected that the amount of short-term debt due to AT&amp;T will increase to fund capital expenditures, operations and third party debt maturities and redemptions through the completion of the AT&amp;T Comcast transaction. The amount of short-term and long-term debt may be lower or higher at the closing date of the AT&amp;T Comcast transaction.</w:t>
      </w:r>
    </w:p>
    <w:p>
      <w:pPr>
        <w:spacing w:after="0" w:line="200" w:lineRule="exact"/>
        <w:rPr>
          <w:sz w:val="20"/>
          <w:szCs w:val="20"/>
          <w:color w:val="auto"/>
        </w:rPr>
      </w:pPr>
    </w:p>
    <w:p>
      <w:pPr>
        <w:spacing w:after="0" w:line="33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unaudited pro forma financial statements reflect that a substantive modification of the original merger agreement has occurred resulting in a new measurement date for accounting purposes. The unaudited pro forma financial statements reflect a measurement date of August 12, 2002, the date the filing of the registration statement with the SEC related to the exchange offer was announced. Accordingly, the fair value of the shares to be issued for the AT&amp;T Broadband Group is based on a price per share of $18.80 which reflects the weighted average market price of Comcast common stock during the period beginning two days before and ending two days after the new measurement date.</w:t>
      </w:r>
    </w:p>
    <w:p>
      <w:pPr>
        <w:spacing w:after="0" w:line="200" w:lineRule="exact"/>
        <w:rPr>
          <w:sz w:val="20"/>
          <w:szCs w:val="20"/>
          <w:color w:val="auto"/>
        </w:rPr>
      </w:pPr>
    </w:p>
    <w:p>
      <w:pPr>
        <w:spacing w:after="0" w:line="34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limited circumstances, the number of shares of AT&amp;T Comcast stock to be issued to certain AT&amp;T security holders in connection with the AT&amp;T Comcast transaction is subject to adjustment. If this occurs, the fair value of all of the shares to be issued would be based on the market price of Comcast common stock on the closing date for the AT&amp;T Comcast transaction.</w:t>
      </w:r>
    </w:p>
    <w:p>
      <w:pPr>
        <w:spacing w:after="0" w:line="368"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 $1.00 increase/decrease in the per share price of Comcast Class A common stock would result in a $1,349 million increase/decrease in the recorded value of the estimated aggregate consideration in the form of AT&amp;T Comcast common stock.</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Subsequent to the adoption of SFAS 142 on January 1, 2002, goodwill and franchise rights are no longer amortized. An increase or decrease in goodwill and/or franchise rights as a result of a change in the measurement date or in the allocation of fair value through the appraisal process would not affect AT&amp;T Comcast's future results of operations other than in periods in which AT&amp;T Comcast may recognize an impairment charge. A change in the recorded value of these intangible assets could increase or decrease the likelihood that AT&amp;T Comcast will recognize an impairment charge related to these intangible assets at some time in the future.</w:t>
      </w:r>
    </w:p>
    <w:p>
      <w:pPr>
        <w:spacing w:after="0" w:line="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9" w:right="1440" w:bottom="1440" w:gutter="0" w:footer="0" w:header="0"/>
        </w:sectPr>
      </w:pPr>
    </w:p>
    <w:bookmarkStart w:id="40" w:name="page41"/>
    <w:bookmarkEnd w:id="40"/>
    <w:p>
      <w:pPr>
        <w:ind w:right="2719" w:firstLine="469"/>
        <w:spacing w:after="0" w:line="255" w:lineRule="auto"/>
        <w:rPr>
          <w:sz w:val="20"/>
          <w:szCs w:val="20"/>
          <w:color w:val="auto"/>
        </w:rPr>
      </w:pPr>
      <w:r>
        <w:rPr>
          <w:rFonts w:ascii="Courier New" w:cs="Courier New" w:eastAsia="Courier New" w:hAnsi="Courier New"/>
          <w:sz w:val="15"/>
          <w:szCs w:val="15"/>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Statements of Operations exclude any benefits that may result from synergies that may be derived, or the elimination of duplicative efforts.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provides, among other guidelines, that goodwill and intangible assets with indefinite lives will not be amortized, but rather will be tested for impairment on at least an annual basis. Management of both companies believes that cable franchise rights have indefinite lives based upon an analysis utilizing the criteria in paragraph 11 of SFAS No. 142. The pro forma adjustments to the Unaudited Pro Forma Combined Condensed Statement of Operations for the year ended December 31, 2001 reflect the elimination of AT&amp;T Broadband Group's amortization expense related to goodwill and cable franchise rights since this acquisition will be accounted for under the provisions of SFAS No. 142.</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incurred goodwill and cable and sports franchise rights amortization expense of approximately $2,002 million for the year ended December 31, 2001. The historical consolidated financial statements of Comcast included in the Unaudited Pro Forma Combined Condensed Statement of Operations for the year ended December 31, 2001 include the amortization expense related to Comcast's goodwill and cable and sports franchise rights, which has not been eliminated in the pro forma adjustments. Effective January 1, 2002, Comcast, in accordance with the provisions of SFAS No. 142, no longer amortizes goodwill and cable and sports franchise rights.</w:t>
      </w:r>
    </w:p>
    <w:p>
      <w:pPr>
        <w:spacing w:after="0" w:line="186"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Management of both companies believes that the assumptions used provide a reasonable basis on which to present the unaudited pro forma financial data. Both companies have completed other acquisitions and dispositions that are not significant, individually or in the aggregate, and, accordingly, have not been included in the accompanying unaudited pro forma financial data. The unaudited pro forma financial data may not be indicative of the financial position or results that would have occurred if the AT&amp;T Comcast transaction had been in effect on the dates indicated or which may be obtained in the future.</w:t>
      </w:r>
    </w:p>
    <w:p>
      <w:pPr>
        <w:spacing w:after="0" w:line="173"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included herein.</w:t>
      </w:r>
    </w:p>
    <w:p>
      <w:pPr>
        <w:spacing w:after="0" w:line="1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9" w:right="1440" w:bottom="1440" w:gutter="0" w:footer="0" w:header="0"/>
        </w:sectPr>
      </w:pPr>
    </w:p>
    <w:bookmarkStart w:id="41" w:name="page42"/>
    <w:bookmarkEnd w:id="41"/>
    <w:p>
      <w:pPr>
        <w:jc w:val="center"/>
        <w:ind w:right="2739"/>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UNAUDITED PRO FORMA COMBINED CONDENSED BALANCE SHEET</w:t>
      </w:r>
    </w:p>
    <w:p>
      <w:pPr>
        <w:jc w:val="center"/>
        <w:ind w:right="2819"/>
        <w:spacing w:after="0"/>
        <w:rPr>
          <w:sz w:val="20"/>
          <w:szCs w:val="20"/>
          <w:color w:val="auto"/>
        </w:rPr>
      </w:pPr>
      <w:r>
        <w:rPr>
          <w:rFonts w:ascii="Courier New" w:cs="Courier New" w:eastAsia="Courier New" w:hAnsi="Courier New"/>
          <w:sz w:val="16"/>
          <w:szCs w:val="16"/>
          <w:color w:val="auto"/>
        </w:rPr>
        <w:t>AS OF JUNE 30, 2002</w:t>
      </w:r>
    </w:p>
    <w:p>
      <w:pPr>
        <w:spacing w:after="0" w:line="364" w:lineRule="exact"/>
        <w:rPr>
          <w:sz w:val="20"/>
          <w:szCs w:val="20"/>
          <w:color w:val="auto"/>
        </w:rPr>
      </w:pPr>
    </w:p>
    <w:p>
      <w:pPr>
        <w:ind w:left="40" w:right="4839"/>
        <w:spacing w:after="0" w:line="254" w:lineRule="auto"/>
        <w:rPr>
          <w:sz w:val="20"/>
          <w:szCs w:val="20"/>
          <w:color w:val="auto"/>
        </w:rPr>
      </w:pPr>
      <w:r>
        <w:rPr>
          <w:rFonts w:ascii="Courier New" w:cs="Courier New" w:eastAsia="Courier New" w:hAnsi="Courier New"/>
          <w:sz w:val="15"/>
          <w:szCs w:val="15"/>
          <w:color w:val="auto"/>
        </w:rPr>
        <w:t>HISTORICAL HISTORICAL AT&amp;T PRO FORMA PRO FORMA COMCAST(A) BROADBAND(A) ADJUSTMENTS AT&amp;T COMCAST ---------- --------</w:t>
      </w:r>
    </w:p>
    <w:p>
      <w:pPr>
        <w:ind w:left="320"/>
        <w:spacing w:after="0" w:line="234" w:lineRule="auto"/>
        <w:rPr>
          <w:sz w:val="20"/>
          <w:szCs w:val="20"/>
          <w:color w:val="auto"/>
        </w:rPr>
      </w:pPr>
      <w:r>
        <w:rPr>
          <w:rFonts w:ascii="Courier New" w:cs="Courier New" w:eastAsia="Courier New" w:hAnsi="Courier New"/>
          <w:sz w:val="16"/>
          <w:szCs w:val="16"/>
          <w:color w:val="auto"/>
        </w:rPr>
        <w:t>---- ----------- ------------ (AMOUNTS IN MILLIONS)</w:t>
      </w:r>
    </w:p>
    <w:p>
      <w:pPr>
        <w:ind w:left="1080"/>
        <w:spacing w:after="0"/>
        <w:rPr>
          <w:sz w:val="20"/>
          <w:szCs w:val="20"/>
          <w:color w:val="auto"/>
        </w:rPr>
      </w:pPr>
      <w:r>
        <w:rPr>
          <w:rFonts w:ascii="Courier New" w:cs="Courier New" w:eastAsia="Courier New" w:hAnsi="Courier New"/>
          <w:sz w:val="16"/>
          <w:szCs w:val="16"/>
          <w:color w:val="auto"/>
        </w:rPr>
        <w:t>ASSETS Current Assets Cash and cash</w:t>
      </w:r>
    </w:p>
    <w:p>
      <w:pPr>
        <w:ind w:left="80"/>
        <w:spacing w:after="0" w:line="238" w:lineRule="auto"/>
        <w:rPr>
          <w:sz w:val="20"/>
          <w:szCs w:val="20"/>
          <w:color w:val="auto"/>
        </w:rPr>
      </w:pPr>
      <w:r>
        <w:rPr>
          <w:rFonts w:ascii="Courier New" w:cs="Courier New" w:eastAsia="Courier New" w:hAnsi="Courier New"/>
          <w:sz w:val="16"/>
          <w:szCs w:val="16"/>
          <w:color w:val="auto"/>
        </w:rPr>
        <w:t>equivalents............................... $ 557.8 $ $ $</w:t>
      </w:r>
    </w:p>
    <w:p>
      <w:pPr>
        <w:ind w:left="2480"/>
        <w:spacing w:after="0"/>
        <w:rPr>
          <w:sz w:val="20"/>
          <w:szCs w:val="20"/>
          <w:color w:val="auto"/>
        </w:rPr>
      </w:pPr>
      <w:r>
        <w:rPr>
          <w:rFonts w:ascii="Courier New" w:cs="Courier New" w:eastAsia="Courier New" w:hAnsi="Courier New"/>
          <w:sz w:val="16"/>
          <w:szCs w:val="16"/>
          <w:color w:val="auto"/>
        </w:rPr>
        <w:t>557.8</w:t>
      </w:r>
    </w:p>
    <w:p>
      <w:pPr>
        <w:ind w:left="80"/>
        <w:spacing w:after="0" w:line="238" w:lineRule="auto"/>
        <w:rPr>
          <w:sz w:val="20"/>
          <w:szCs w:val="20"/>
          <w:color w:val="auto"/>
        </w:rPr>
      </w:pPr>
      <w:r>
        <w:rPr>
          <w:rFonts w:ascii="Courier New" w:cs="Courier New" w:eastAsia="Courier New" w:hAnsi="Courier New"/>
          <w:sz w:val="16"/>
          <w:szCs w:val="16"/>
          <w:color w:val="auto"/>
        </w:rPr>
        <w:t>Investments.............................................</w:t>
      </w:r>
    </w:p>
    <w:p>
      <w:pPr>
        <w:ind w:left="740"/>
        <w:spacing w:after="0"/>
        <w:rPr>
          <w:sz w:val="20"/>
          <w:szCs w:val="20"/>
          <w:color w:val="auto"/>
        </w:rPr>
      </w:pPr>
      <w:r>
        <w:rPr>
          <w:rFonts w:ascii="Courier New" w:cs="Courier New" w:eastAsia="Courier New" w:hAnsi="Courier New"/>
          <w:sz w:val="16"/>
          <w:szCs w:val="16"/>
          <w:color w:val="auto"/>
        </w:rPr>
        <w:t>1,057.6 414.0 1,471.6 Accounts receivable,</w:t>
      </w:r>
    </w:p>
    <w:p>
      <w:pPr>
        <w:ind w:left="140"/>
        <w:spacing w:after="0" w:line="237" w:lineRule="auto"/>
        <w:rPr>
          <w:sz w:val="20"/>
          <w:szCs w:val="20"/>
          <w:color w:val="auto"/>
        </w:rPr>
      </w:pPr>
      <w:r>
        <w:rPr>
          <w:rFonts w:ascii="Courier New" w:cs="Courier New" w:eastAsia="Courier New" w:hAnsi="Courier New"/>
          <w:sz w:val="16"/>
          <w:szCs w:val="16"/>
          <w:color w:val="auto"/>
        </w:rPr>
        <w:t>net................................ 957.0 592.0 1,549.0</w:t>
      </w:r>
    </w:p>
    <w:p>
      <w:pPr>
        <w:ind w:left="80"/>
        <w:spacing w:after="0"/>
        <w:rPr>
          <w:sz w:val="20"/>
          <w:szCs w:val="20"/>
          <w:color w:val="auto"/>
        </w:rPr>
      </w:pPr>
      <w:r>
        <w:rPr>
          <w:rFonts w:ascii="Courier New" w:cs="Courier New" w:eastAsia="Courier New" w:hAnsi="Courier New"/>
          <w:sz w:val="16"/>
          <w:szCs w:val="16"/>
          <w:color w:val="auto"/>
        </w:rPr>
        <w:t>Inventories, net........................................</w:t>
      </w:r>
    </w:p>
    <w:p>
      <w:pPr>
        <w:ind w:left="1440"/>
        <w:spacing w:after="0" w:line="238" w:lineRule="auto"/>
        <w:rPr>
          <w:sz w:val="20"/>
          <w:szCs w:val="20"/>
          <w:color w:val="auto"/>
        </w:rPr>
      </w:pPr>
      <w:r>
        <w:rPr>
          <w:rFonts w:ascii="Courier New" w:cs="Courier New" w:eastAsia="Courier New" w:hAnsi="Courier New"/>
          <w:sz w:val="16"/>
          <w:szCs w:val="16"/>
          <w:color w:val="auto"/>
        </w:rPr>
        <w:t>414.0 414.0 Deferred income</w:t>
      </w:r>
    </w:p>
    <w:p>
      <w:pPr>
        <w:ind w:left="280"/>
        <w:spacing w:after="0"/>
        <w:rPr>
          <w:sz w:val="20"/>
          <w:szCs w:val="20"/>
          <w:color w:val="auto"/>
        </w:rPr>
      </w:pPr>
      <w:r>
        <w:rPr>
          <w:rFonts w:ascii="Courier New" w:cs="Courier New" w:eastAsia="Courier New" w:hAnsi="Courier New"/>
          <w:sz w:val="16"/>
          <w:szCs w:val="16"/>
          <w:color w:val="auto"/>
        </w:rPr>
        <w:t>taxes................................... 135.9 135.9</w:t>
      </w:r>
    </w:p>
    <w:p>
      <w:pPr>
        <w:ind w:left="80"/>
        <w:spacing w:after="0" w:line="238" w:lineRule="auto"/>
        <w:rPr>
          <w:sz w:val="20"/>
          <w:szCs w:val="20"/>
          <w:color w:val="auto"/>
        </w:rPr>
      </w:pPr>
      <w:r>
        <w:rPr>
          <w:rFonts w:ascii="Courier New" w:cs="Courier New" w:eastAsia="Courier New" w:hAnsi="Courier New"/>
          <w:sz w:val="16"/>
          <w:szCs w:val="16"/>
          <w:color w:val="auto"/>
        </w:rPr>
        <w:t>Other current assets....................................</w:t>
      </w:r>
    </w:p>
    <w:p>
      <w:pPr>
        <w:ind w:left="40"/>
        <w:spacing w:after="0"/>
        <w:rPr>
          <w:sz w:val="20"/>
          <w:szCs w:val="20"/>
          <w:color w:val="auto"/>
        </w:rPr>
      </w:pPr>
      <w:r>
        <w:rPr>
          <w:rFonts w:ascii="Courier New" w:cs="Courier New" w:eastAsia="Courier New" w:hAnsi="Courier New"/>
          <w:sz w:val="16"/>
          <w:szCs w:val="16"/>
          <w:color w:val="auto"/>
        </w:rPr>
        <w:t>337.7 420.0 57.5(b1) 815.2 --------- ---------- ---------</w:t>
      </w:r>
    </w:p>
    <w:p>
      <w:pPr>
        <w:ind w:left="1500"/>
        <w:spacing w:after="0" w:line="237" w:lineRule="auto"/>
        <w:rPr>
          <w:sz w:val="20"/>
          <w:szCs w:val="20"/>
          <w:color w:val="auto"/>
        </w:rPr>
      </w:pPr>
      <w:r>
        <w:rPr>
          <w:rFonts w:ascii="Courier New" w:cs="Courier New" w:eastAsia="Courier New" w:hAnsi="Courier New"/>
          <w:sz w:val="16"/>
          <w:szCs w:val="16"/>
          <w:color w:val="auto"/>
        </w:rPr>
        <w:t>- ---------- Total current</w:t>
      </w:r>
    </w:p>
    <w:p>
      <w:pPr>
        <w:ind w:left="80"/>
        <w:spacing w:after="0"/>
        <w:rPr>
          <w:sz w:val="20"/>
          <w:szCs w:val="20"/>
          <w:color w:val="auto"/>
        </w:rPr>
      </w:pPr>
      <w:r>
        <w:rPr>
          <w:rFonts w:ascii="Courier New" w:cs="Courier New" w:eastAsia="Courier New" w:hAnsi="Courier New"/>
          <w:sz w:val="16"/>
          <w:szCs w:val="16"/>
          <w:color w:val="auto"/>
        </w:rPr>
        <w:t>assets.................................. 3,460.0 1,426.0</w:t>
      </w:r>
    </w:p>
    <w:p>
      <w:pPr>
        <w:ind w:left="140"/>
        <w:spacing w:after="0" w:line="238" w:lineRule="auto"/>
        <w:rPr>
          <w:sz w:val="20"/>
          <w:szCs w:val="20"/>
          <w:color w:val="auto"/>
        </w:rPr>
      </w:pPr>
      <w:r>
        <w:rPr>
          <w:rFonts w:ascii="Courier New" w:cs="Courier New" w:eastAsia="Courier New" w:hAnsi="Courier New"/>
          <w:sz w:val="16"/>
          <w:szCs w:val="16"/>
          <w:color w:val="auto"/>
        </w:rPr>
        <w:t>57.5 4,943.5 --------- ---------- ---------- ----------</w:t>
      </w:r>
    </w:p>
    <w:p>
      <w:pPr>
        <w:spacing w:after="0"/>
        <w:rPr>
          <w:sz w:val="20"/>
          <w:szCs w:val="20"/>
          <w:color w:val="auto"/>
        </w:rPr>
      </w:pPr>
      <w:r>
        <w:rPr>
          <w:rFonts w:ascii="Courier New" w:cs="Courier New" w:eastAsia="Courier New" w:hAnsi="Courier New"/>
          <w:sz w:val="16"/>
          <w:szCs w:val="16"/>
          <w:color w:val="auto"/>
        </w:rPr>
        <w:t>INVESTMENTS...............................................</w:t>
      </w:r>
    </w:p>
    <w:p>
      <w:pPr>
        <w:ind w:left="40"/>
        <w:spacing w:after="0" w:line="238" w:lineRule="auto"/>
        <w:rPr>
          <w:sz w:val="20"/>
          <w:szCs w:val="20"/>
          <w:color w:val="auto"/>
        </w:rPr>
      </w:pPr>
      <w:r>
        <w:rPr>
          <w:rFonts w:ascii="Courier New" w:cs="Courier New" w:eastAsia="Courier New" w:hAnsi="Courier New"/>
          <w:sz w:val="16"/>
          <w:szCs w:val="16"/>
          <w:color w:val="auto"/>
        </w:rPr>
        <w:t>727.6 17,896.0 (1,164.0)(d) 17,459.6 --------- ----------</w:t>
      </w:r>
    </w:p>
    <w:p>
      <w:pPr>
        <w:ind w:left="600"/>
        <w:spacing w:after="0"/>
        <w:rPr>
          <w:sz w:val="20"/>
          <w:szCs w:val="20"/>
          <w:color w:val="auto"/>
        </w:rPr>
      </w:pPr>
      <w:r>
        <w:rPr>
          <w:rFonts w:ascii="Courier New" w:cs="Courier New" w:eastAsia="Courier New" w:hAnsi="Courier New"/>
          <w:sz w:val="16"/>
          <w:szCs w:val="16"/>
          <w:color w:val="auto"/>
        </w:rPr>
        <w:t>---------- ---------- PROPERTY AND EQUIPMENT,</w:t>
      </w:r>
    </w:p>
    <w:p>
      <w:pPr>
        <w:ind w:left="320"/>
        <w:spacing w:after="0" w:line="237" w:lineRule="auto"/>
        <w:rPr>
          <w:sz w:val="20"/>
          <w:szCs w:val="20"/>
          <w:color w:val="auto"/>
        </w:rPr>
      </w:pPr>
      <w:r>
        <w:rPr>
          <w:rFonts w:ascii="Courier New" w:cs="Courier New" w:eastAsia="Courier New" w:hAnsi="Courier New"/>
          <w:sz w:val="16"/>
          <w:szCs w:val="16"/>
          <w:color w:val="auto"/>
        </w:rPr>
        <w:t>NET............................... 7,023.1 14,861.0</w:t>
      </w:r>
    </w:p>
    <w:p>
      <w:pPr>
        <w:ind w:left="320"/>
        <w:spacing w:after="0"/>
        <w:rPr>
          <w:sz w:val="20"/>
          <w:szCs w:val="20"/>
          <w:color w:val="auto"/>
        </w:rPr>
      </w:pPr>
      <w:r>
        <w:rPr>
          <w:rFonts w:ascii="Courier New" w:cs="Courier New" w:eastAsia="Courier New" w:hAnsi="Courier New"/>
          <w:sz w:val="16"/>
          <w:szCs w:val="16"/>
          <w:color w:val="auto"/>
        </w:rPr>
        <w:t>21,884.1 --------- ---------- ---------- ----------</w:t>
      </w:r>
    </w:p>
    <w:p>
      <w:pPr>
        <w:spacing w:after="0" w:line="238" w:lineRule="auto"/>
        <w:rPr>
          <w:sz w:val="20"/>
          <w:szCs w:val="20"/>
          <w:color w:val="auto"/>
        </w:rPr>
      </w:pPr>
      <w:r>
        <w:rPr>
          <w:rFonts w:ascii="Courier New" w:cs="Courier New" w:eastAsia="Courier New" w:hAnsi="Courier New"/>
          <w:sz w:val="16"/>
          <w:szCs w:val="16"/>
          <w:color w:val="auto"/>
        </w:rPr>
        <w:t>GOODWILL..................................................</w:t>
      </w:r>
    </w:p>
    <w:p>
      <w:pPr>
        <w:ind w:left="420"/>
        <w:spacing w:after="0"/>
        <w:rPr>
          <w:sz w:val="20"/>
          <w:szCs w:val="20"/>
          <w:color w:val="auto"/>
        </w:rPr>
      </w:pPr>
      <w:r>
        <w:rPr>
          <w:rFonts w:ascii="Courier New" w:cs="Courier New" w:eastAsia="Courier New" w:hAnsi="Courier New"/>
          <w:sz w:val="16"/>
          <w:szCs w:val="16"/>
          <w:color w:val="auto"/>
        </w:rPr>
        <w:t>6,446.3 15,134.0 (7,591.0)(b2) 13,989.3 FRANCHISE</w:t>
      </w:r>
    </w:p>
    <w:p>
      <w:pPr>
        <w:ind w:left="40"/>
        <w:spacing w:after="0" w:line="238" w:lineRule="auto"/>
        <w:rPr>
          <w:sz w:val="20"/>
          <w:szCs w:val="20"/>
          <w:color w:val="auto"/>
        </w:rPr>
      </w:pPr>
      <w:r>
        <w:rPr>
          <w:rFonts w:ascii="Courier New" w:cs="Courier New" w:eastAsia="Courier New" w:hAnsi="Courier New"/>
          <w:sz w:val="16"/>
          <w:szCs w:val="16"/>
          <w:color w:val="auto"/>
        </w:rPr>
        <w:t>RIGHTS.......................................... 16,599.4</w:t>
      </w:r>
    </w:p>
    <w:p>
      <w:pPr>
        <w:ind w:left="740"/>
        <w:spacing w:after="0"/>
        <w:rPr>
          <w:sz w:val="20"/>
          <w:szCs w:val="20"/>
          <w:color w:val="auto"/>
        </w:rPr>
      </w:pPr>
      <w:r>
        <w:rPr>
          <w:rFonts w:ascii="Courier New" w:cs="Courier New" w:eastAsia="Courier New" w:hAnsi="Courier New"/>
          <w:sz w:val="16"/>
          <w:szCs w:val="16"/>
          <w:color w:val="auto"/>
        </w:rPr>
        <w:t>29,083.0 45,682.4 OTHER INTANGIBLE ASSETS,</w:t>
      </w:r>
    </w:p>
    <w:p>
      <w:pPr>
        <w:ind w:left="40"/>
        <w:spacing w:after="0" w:line="237" w:lineRule="auto"/>
        <w:rPr>
          <w:sz w:val="20"/>
          <w:szCs w:val="20"/>
          <w:color w:val="auto"/>
        </w:rPr>
      </w:pPr>
      <w:r>
        <w:rPr>
          <w:rFonts w:ascii="Courier New" w:cs="Courier New" w:eastAsia="Courier New" w:hAnsi="Courier New"/>
          <w:sz w:val="16"/>
          <w:szCs w:val="16"/>
          <w:color w:val="auto"/>
        </w:rPr>
        <w:t>NET.............................. 1,471.7 1,465.0 2,936.7</w:t>
      </w:r>
    </w:p>
    <w:p>
      <w:pPr>
        <w:ind w:left="1540"/>
        <w:spacing w:after="0"/>
        <w:rPr>
          <w:sz w:val="20"/>
          <w:szCs w:val="20"/>
          <w:color w:val="auto"/>
        </w:rPr>
      </w:pPr>
      <w:r>
        <w:rPr>
          <w:rFonts w:ascii="Courier New" w:cs="Courier New" w:eastAsia="Courier New" w:hAnsi="Courier New"/>
          <w:sz w:val="16"/>
          <w:szCs w:val="16"/>
          <w:color w:val="auto"/>
        </w:rPr>
        <w:t>OTHER NON-CURRENT ASSETS,</w:t>
      </w:r>
    </w:p>
    <w:p>
      <w:pPr>
        <w:ind w:left="140"/>
        <w:spacing w:after="0" w:line="238" w:lineRule="auto"/>
        <w:rPr>
          <w:sz w:val="20"/>
          <w:szCs w:val="20"/>
          <w:color w:val="auto"/>
        </w:rPr>
      </w:pPr>
      <w:r>
        <w:rPr>
          <w:rFonts w:ascii="Courier New" w:cs="Courier New" w:eastAsia="Courier New" w:hAnsi="Courier New"/>
          <w:sz w:val="16"/>
          <w:szCs w:val="16"/>
          <w:color w:val="auto"/>
        </w:rPr>
        <w:t>NET............................. 390.7 1,975.0 57.5(b3)</w:t>
      </w:r>
    </w:p>
    <w:p>
      <w:pPr>
        <w:ind w:left="360"/>
        <w:spacing w:after="0"/>
        <w:rPr>
          <w:sz w:val="20"/>
          <w:szCs w:val="20"/>
          <w:color w:val="auto"/>
        </w:rPr>
      </w:pPr>
      <w:r>
        <w:rPr>
          <w:rFonts w:ascii="Courier New" w:cs="Courier New" w:eastAsia="Courier New" w:hAnsi="Courier New"/>
          <w:sz w:val="16"/>
          <w:szCs w:val="16"/>
          <w:color w:val="auto"/>
        </w:rPr>
        <w:t>2,423.2 --------- ---------- ---------- ----------</w:t>
      </w:r>
    </w:p>
    <w:p>
      <w:pPr>
        <w:ind w:left="220"/>
        <w:spacing w:after="0" w:line="238" w:lineRule="auto"/>
        <w:rPr>
          <w:sz w:val="20"/>
          <w:szCs w:val="20"/>
          <w:color w:val="auto"/>
        </w:rPr>
      </w:pPr>
      <w:r>
        <w:rPr>
          <w:rFonts w:ascii="Courier New" w:cs="Courier New" w:eastAsia="Courier New" w:hAnsi="Courier New"/>
          <w:sz w:val="16"/>
          <w:szCs w:val="16"/>
          <w:color w:val="auto"/>
        </w:rPr>
        <w:t>$36,118.8 $ 81,840.0 $ (8,640.0) $109,318.8 =========</w:t>
      </w:r>
    </w:p>
    <w:p>
      <w:pPr>
        <w:ind w:left="460"/>
        <w:spacing w:after="0"/>
        <w:rPr>
          <w:sz w:val="20"/>
          <w:szCs w:val="20"/>
          <w:color w:val="auto"/>
        </w:rPr>
      </w:pPr>
      <w:r>
        <w:rPr>
          <w:rFonts w:ascii="Courier New" w:cs="Courier New" w:eastAsia="Courier New" w:hAnsi="Courier New"/>
          <w:sz w:val="16"/>
          <w:szCs w:val="16"/>
          <w:color w:val="auto"/>
        </w:rPr>
        <w:t>========== ========== ========== LIABILITIES AND</w:t>
      </w:r>
    </w:p>
    <w:p>
      <w:pPr>
        <w:ind w:left="420"/>
        <w:spacing w:after="0" w:line="237" w:lineRule="auto"/>
        <w:rPr>
          <w:sz w:val="20"/>
          <w:szCs w:val="20"/>
          <w:color w:val="auto"/>
        </w:rPr>
      </w:pPr>
      <w:r>
        <w:rPr>
          <w:rFonts w:ascii="Courier New" w:cs="Courier New" w:eastAsia="Courier New" w:hAnsi="Courier New"/>
          <w:sz w:val="16"/>
          <w:szCs w:val="16"/>
          <w:color w:val="auto"/>
        </w:rPr>
        <w:t>STOCKHOLDERS' EQUITY Current Liabilities Accounts</w:t>
      </w:r>
    </w:p>
    <w:p>
      <w:pPr>
        <w:ind w:left="40"/>
        <w:spacing w:after="0"/>
        <w:rPr>
          <w:sz w:val="20"/>
          <w:szCs w:val="20"/>
          <w:color w:val="auto"/>
        </w:rPr>
      </w:pPr>
      <w:r>
        <w:rPr>
          <w:rFonts w:ascii="Courier New" w:cs="Courier New" w:eastAsia="Courier New" w:hAnsi="Courier New"/>
          <w:sz w:val="16"/>
          <w:szCs w:val="16"/>
          <w:color w:val="auto"/>
        </w:rPr>
        <w:t>payable........................................ $ 680.1 $</w:t>
      </w:r>
    </w:p>
    <w:p>
      <w:pPr>
        <w:ind w:left="140"/>
        <w:spacing w:after="0" w:line="238" w:lineRule="auto"/>
        <w:rPr>
          <w:sz w:val="20"/>
          <w:szCs w:val="20"/>
          <w:color w:val="auto"/>
        </w:rPr>
      </w:pPr>
      <w:r>
        <w:rPr>
          <w:rFonts w:ascii="Courier New" w:cs="Courier New" w:eastAsia="Courier New" w:hAnsi="Courier New"/>
          <w:sz w:val="16"/>
          <w:szCs w:val="16"/>
          <w:color w:val="auto"/>
        </w:rPr>
        <w:t>712.0 $ $ 1,392.1 (40.0)(b4) Accrued expenses and other</w:t>
      </w:r>
    </w:p>
    <w:tbl>
      <w:tblPr>
        <w:tblLayout w:type="fixed"/>
        <w:tblInd w:w="40" w:type="dxa"/>
        <w:tblCellMar>
          <w:top w:w="0" w:type="dxa"/>
          <w:left w:w="0" w:type="dxa"/>
          <w:bottom w:w="0" w:type="dxa"/>
          <w:right w:w="0" w:type="dxa"/>
        </w:tblCellMar>
      </w:tblPr>
      <w:tr>
        <w:trPr>
          <w:trHeight w:val="181"/>
        </w:trPr>
        <w:tc>
          <w:tcPr>
            <w:tcW w:w="182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79"/>
              </w:rPr>
              <w:t>current liabilities..........</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1,371.7 2,244.0 1,786.8(b5)</w:t>
            </w:r>
          </w:p>
        </w:tc>
      </w:tr>
      <w:tr>
        <w:trPr>
          <w:trHeight w:val="180"/>
        </w:trPr>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300" w:type="dxa"/>
            <w:vAlign w:val="bottom"/>
            <w:gridSpan w:val="3"/>
          </w:tcPr>
          <w:p>
            <w:pPr>
              <w:jc w:val="center"/>
              <w:ind w:right="942"/>
              <w:spacing w:after="0"/>
              <w:rPr>
                <w:sz w:val="20"/>
                <w:szCs w:val="20"/>
                <w:color w:val="auto"/>
              </w:rPr>
            </w:pPr>
            <w:r>
              <w:rPr>
                <w:rFonts w:ascii="Courier New" w:cs="Courier New" w:eastAsia="Courier New" w:hAnsi="Courier New"/>
                <w:sz w:val="16"/>
                <w:szCs w:val="16"/>
                <w:color w:val="auto"/>
                <w:w w:val="97"/>
              </w:rPr>
              <w:t>5,362.5 Deferred income</w:t>
            </w:r>
          </w:p>
        </w:tc>
      </w:tr>
      <w:tr>
        <w:trPr>
          <w:trHeight w:val="180"/>
        </w:trPr>
        <w:tc>
          <w:tcPr>
            <w:tcW w:w="10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0"/>
              </w:rPr>
              <w:t>taxes...................................</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121.8 488.0</w:t>
            </w:r>
          </w:p>
        </w:tc>
      </w:tr>
      <w:tr>
        <w:trPr>
          <w:trHeight w:val="180"/>
        </w:trPr>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300" w:type="dxa"/>
            <w:vAlign w:val="bottom"/>
            <w:gridSpan w:val="3"/>
          </w:tcPr>
          <w:p>
            <w:pPr>
              <w:jc w:val="center"/>
              <w:ind w:right="962"/>
              <w:spacing w:after="0"/>
              <w:rPr>
                <w:sz w:val="20"/>
                <w:szCs w:val="20"/>
                <w:color w:val="auto"/>
              </w:rPr>
            </w:pPr>
            <w:r>
              <w:rPr>
                <w:rFonts w:ascii="Courier New" w:cs="Courier New" w:eastAsia="Courier New" w:hAnsi="Courier New"/>
                <w:sz w:val="16"/>
                <w:szCs w:val="16"/>
                <w:color w:val="auto"/>
                <w:w w:val="97"/>
              </w:rPr>
              <w:t>609.8 57.5(b6) Short-term</w:t>
            </w:r>
          </w:p>
        </w:tc>
      </w:tr>
      <w:tr>
        <w:trPr>
          <w:trHeight w:val="180"/>
        </w:trPr>
        <w:tc>
          <w:tcPr>
            <w:tcW w:w="10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4"/>
              </w:rPr>
              <w:t>debt.........................................</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6,486.0</w:t>
            </w:r>
          </w:p>
        </w:tc>
      </w:tr>
      <w:tr>
        <w:trPr>
          <w:trHeight w:val="180"/>
        </w:trPr>
        <w:tc>
          <w:tcPr>
            <w:tcW w:w="534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(1,993.7)(c) 4,549.8 Current portion of long-term</w:t>
            </w:r>
          </w:p>
        </w:tc>
      </w:tr>
      <w:tr>
        <w:trPr>
          <w:trHeight w:val="180"/>
        </w:trPr>
        <w:tc>
          <w:tcPr>
            <w:tcW w:w="10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debt.......................</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206.9 2,050.0 (1,681.8)(c)</w:t>
            </w:r>
          </w:p>
        </w:tc>
      </w:tr>
      <w:tr>
        <w:trPr>
          <w:trHeight w:val="180"/>
        </w:trPr>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575.1 ---------</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w:t>
            </w:r>
          </w:p>
        </w:tc>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 Total</w:t>
            </w:r>
          </w:p>
        </w:tc>
      </w:tr>
      <w:tr>
        <w:trPr>
          <w:trHeight w:val="180"/>
        </w:trPr>
        <w:tc>
          <w:tcPr>
            <w:tcW w:w="18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current liabilities</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w w:val="97"/>
              </w:rPr>
              <w:t>............................. 2,380.5</w:t>
            </w:r>
          </w:p>
        </w:tc>
      </w:tr>
      <w:tr>
        <w:trPr>
          <w:trHeight w:val="180"/>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11,980.0</w:t>
            </w:r>
          </w:p>
        </w:tc>
        <w:tc>
          <w:tcPr>
            <w:tcW w:w="10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(1,871.2)</w:t>
            </w:r>
          </w:p>
        </w:tc>
        <w:tc>
          <w:tcPr>
            <w:tcW w:w="3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12,489.3 --------- ---------- --------</w:t>
            </w:r>
          </w:p>
        </w:tc>
      </w:tr>
      <w:tr>
        <w:trPr>
          <w:trHeight w:val="180"/>
        </w:trPr>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 ----------</w:t>
            </w:r>
          </w:p>
        </w:tc>
        <w:tc>
          <w:tcPr>
            <w:tcW w:w="4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572.5(b6) (669.2)(b7) LONG-TERM DEBT, LESS</w:t>
            </w:r>
          </w:p>
        </w:tc>
      </w:tr>
      <w:tr>
        <w:trPr>
          <w:trHeight w:val="180"/>
        </w:trPr>
        <w:tc>
          <w:tcPr>
            <w:tcW w:w="1820" w:type="dxa"/>
            <w:vAlign w:val="bottom"/>
            <w:gridSpan w:val="4"/>
          </w:tcPr>
          <w:p>
            <w:pPr>
              <w:jc w:val="right"/>
              <w:spacing w:after="0"/>
              <w:rPr>
                <w:sz w:val="20"/>
                <w:szCs w:val="20"/>
                <w:color w:val="auto"/>
              </w:rPr>
            </w:pPr>
            <w:r>
              <w:rPr>
                <w:rFonts w:ascii="Courier New" w:cs="Courier New" w:eastAsia="Courier New" w:hAnsi="Courier New"/>
                <w:sz w:val="11"/>
                <w:szCs w:val="11"/>
                <w:color w:val="auto"/>
                <w:w w:val="73"/>
              </w:rPr>
              <w:t>CURRENT PORTION......................</w:t>
            </w:r>
          </w:p>
        </w:tc>
        <w:tc>
          <w:tcPr>
            <w:tcW w:w="35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10,543.5 13,406.0</w:t>
            </w:r>
          </w:p>
        </w:tc>
      </w:tr>
      <w:tr>
        <w:trPr>
          <w:trHeight w:val="180"/>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3,675.5(c)</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27,528.3</w:t>
            </w:r>
          </w:p>
        </w:tc>
        <w:tc>
          <w:tcPr>
            <w:tcW w:w="40" w:type="dxa"/>
            <w:vAlign w:val="bottom"/>
          </w:tcPr>
          <w:p>
            <w:pPr>
              <w:spacing w:after="0"/>
              <w:rPr>
                <w:sz w:val="15"/>
                <w:szCs w:val="15"/>
                <w:color w:val="auto"/>
              </w:rPr>
            </w:pP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w w:val="98"/>
              </w:rPr>
              <w:t>--------- ---------- ---------- -----</w:t>
            </w:r>
          </w:p>
        </w:tc>
      </w:tr>
      <w:tr>
        <w:trPr>
          <w:trHeight w:val="180"/>
        </w:trPr>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300" w:type="dxa"/>
            <w:vAlign w:val="bottom"/>
            <w:gridSpan w:val="3"/>
          </w:tcPr>
          <w:p>
            <w:pPr>
              <w:jc w:val="center"/>
              <w:ind w:right="962"/>
              <w:spacing w:after="0"/>
              <w:rPr>
                <w:sz w:val="20"/>
                <w:szCs w:val="20"/>
                <w:color w:val="auto"/>
              </w:rPr>
            </w:pPr>
            <w:r>
              <w:rPr>
                <w:rFonts w:ascii="Courier New" w:cs="Courier New" w:eastAsia="Courier New" w:hAnsi="Courier New"/>
                <w:sz w:val="16"/>
                <w:szCs w:val="16"/>
                <w:color w:val="auto"/>
                <w:w w:val="98"/>
              </w:rPr>
              <w:t>----- DEFERRED INCOME</w:t>
            </w:r>
          </w:p>
        </w:tc>
      </w:tr>
      <w:tr>
        <w:trPr>
          <w:trHeight w:val="180"/>
        </w:trPr>
        <w:tc>
          <w:tcPr>
            <w:tcW w:w="178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7"/>
              </w:rPr>
              <w:t>TAXES.....................................</w:t>
            </w:r>
          </w:p>
        </w:tc>
        <w:tc>
          <w:tcPr>
            <w:tcW w:w="40" w:type="dxa"/>
            <w:vAlign w:val="bottom"/>
          </w:tcPr>
          <w:p>
            <w:pPr>
              <w:spacing w:after="0"/>
              <w:rPr>
                <w:sz w:val="15"/>
                <w:szCs w:val="15"/>
                <w:color w:val="auto"/>
              </w:rPr>
            </w:pPr>
          </w:p>
        </w:tc>
        <w:tc>
          <w:tcPr>
            <w:tcW w:w="35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6,755.2</w:t>
            </w:r>
          </w:p>
        </w:tc>
      </w:tr>
      <w:tr>
        <w:trPr>
          <w:trHeight w:val="180"/>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19,906.0</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(79.2)(b8)</w:t>
            </w:r>
          </w:p>
        </w:tc>
        <w:tc>
          <w:tcPr>
            <w:tcW w:w="40" w:type="dxa"/>
            <w:vAlign w:val="bottom"/>
          </w:tcPr>
          <w:p>
            <w:pPr>
              <w:spacing w:after="0"/>
              <w:rPr>
                <w:sz w:val="15"/>
                <w:szCs w:val="15"/>
                <w:color w:val="auto"/>
              </w:rPr>
            </w:pP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w w:val="98"/>
              </w:rPr>
              <w:t>26,582.0 --------- ---------- -------</w:t>
            </w:r>
          </w:p>
        </w:tc>
      </w:tr>
      <w:tr>
        <w:trPr>
          <w:trHeight w:val="180"/>
        </w:trPr>
        <w:tc>
          <w:tcPr>
            <w:tcW w:w="1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c>
          <w:tcPr>
            <w:tcW w:w="40" w:type="dxa"/>
            <w:vAlign w:val="bottom"/>
          </w:tcPr>
          <w:p>
            <w:pPr>
              <w:spacing w:after="0"/>
              <w:rPr>
                <w:sz w:val="15"/>
                <w:szCs w:val="15"/>
                <w:color w:val="auto"/>
              </w:rPr>
            </w:pPr>
          </w:p>
        </w:tc>
        <w:tc>
          <w:tcPr>
            <w:tcW w:w="35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(179.0)(b9) OTHER NON-CURRENT</w:t>
            </w:r>
          </w:p>
        </w:tc>
      </w:tr>
      <w:tr>
        <w:trPr>
          <w:trHeight w:val="180"/>
        </w:trPr>
        <w:tc>
          <w:tcPr>
            <w:tcW w:w="1820" w:type="dxa"/>
            <w:vAlign w:val="bottom"/>
            <w:gridSpan w:val="4"/>
          </w:tcPr>
          <w:p>
            <w:pPr>
              <w:jc w:val="right"/>
              <w:spacing w:after="0"/>
              <w:rPr>
                <w:sz w:val="20"/>
                <w:szCs w:val="20"/>
                <w:color w:val="auto"/>
              </w:rPr>
            </w:pPr>
            <w:r>
              <w:rPr>
                <w:rFonts w:ascii="Courier New" w:cs="Courier New" w:eastAsia="Courier New" w:hAnsi="Courier New"/>
                <w:sz w:val="10"/>
                <w:szCs w:val="10"/>
                <w:color w:val="auto"/>
                <w:w w:val="74"/>
              </w:rPr>
              <w:t>LIABILITIES.............................</w:t>
            </w:r>
          </w:p>
        </w:tc>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1,421.1 836.0</w:t>
            </w:r>
          </w:p>
        </w:tc>
      </w:tr>
      <w:tr>
        <w:trPr>
          <w:trHeight w:val="180"/>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(6.4)(b10)</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2,071.7</w:t>
            </w:r>
          </w:p>
        </w:tc>
        <w:tc>
          <w:tcPr>
            <w:tcW w:w="3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 ---------- ------</w:t>
            </w:r>
          </w:p>
        </w:tc>
      </w:tr>
      <w:tr>
        <w:trPr>
          <w:trHeight w:val="180"/>
        </w:trPr>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Pr>
          <w:p>
            <w:pPr>
              <w:jc w:val="center"/>
              <w:ind w:right="1742"/>
              <w:spacing w:after="0"/>
              <w:rPr>
                <w:sz w:val="20"/>
                <w:szCs w:val="20"/>
                <w:color w:val="auto"/>
              </w:rPr>
            </w:pPr>
            <w:r>
              <w:rPr>
                <w:rFonts w:ascii="Courier New" w:cs="Courier New" w:eastAsia="Courier New" w:hAnsi="Courier New"/>
                <w:sz w:val="16"/>
                <w:szCs w:val="16"/>
                <w:color w:val="auto"/>
                <w:w w:val="97"/>
              </w:rPr>
              <w:t>---- MINORITY</w:t>
            </w:r>
          </w:p>
        </w:tc>
      </w:tr>
      <w:tr>
        <w:trPr>
          <w:trHeight w:val="180"/>
        </w:trPr>
        <w:tc>
          <w:tcPr>
            <w:tcW w:w="178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4"/>
              </w:rPr>
              <w:t>INTEREST.........................................</w:t>
            </w:r>
          </w:p>
        </w:tc>
        <w:tc>
          <w:tcPr>
            <w:tcW w:w="40" w:type="dxa"/>
            <w:vAlign w:val="bottom"/>
          </w:tcPr>
          <w:p>
            <w:pPr>
              <w:spacing w:after="0"/>
              <w:rPr>
                <w:sz w:val="15"/>
                <w:szCs w:val="15"/>
                <w:color w:val="auto"/>
              </w:rPr>
            </w:pPr>
          </w:p>
        </w:tc>
        <w:tc>
          <w:tcPr>
            <w:tcW w:w="35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986.7</w:t>
            </w:r>
          </w:p>
        </w:tc>
      </w:tr>
      <w:tr>
        <w:trPr>
          <w:trHeight w:val="180"/>
        </w:trPr>
        <w:tc>
          <w:tcPr>
            <w:tcW w:w="760" w:type="dxa"/>
            <w:vAlign w:val="bottom"/>
          </w:tcPr>
          <w:p>
            <w:pPr>
              <w:spacing w:after="0"/>
              <w:rPr>
                <w:sz w:val="20"/>
                <w:szCs w:val="20"/>
                <w:color w:val="auto"/>
              </w:rPr>
            </w:pPr>
            <w:r>
              <w:rPr>
                <w:rFonts w:ascii="Courier New" w:cs="Courier New" w:eastAsia="Courier New" w:hAnsi="Courier New"/>
                <w:sz w:val="16"/>
                <w:szCs w:val="16"/>
                <w:color w:val="auto"/>
              </w:rPr>
              <w:t>1,210.0</w:t>
            </w:r>
          </w:p>
        </w:tc>
        <w:tc>
          <w:tcPr>
            <w:tcW w:w="106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8"/>
              </w:rPr>
              <w:t>2,196.7 ---------</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 ---------- ---------</w:t>
            </w:r>
          </w:p>
        </w:tc>
      </w:tr>
    </w:tbl>
    <w:p>
      <w:pPr>
        <w:spacing w:after="0" w:line="4" w:lineRule="exact"/>
        <w:rPr>
          <w:sz w:val="20"/>
          <w:szCs w:val="20"/>
          <w:color w:val="auto"/>
        </w:rPr>
      </w:pPr>
    </w:p>
    <w:p>
      <w:pPr>
        <w:ind w:left="140" w:right="4919" w:firstLine="322"/>
        <w:spacing w:after="0" w:line="263" w:lineRule="auto"/>
        <w:tabs>
          <w:tab w:leader="none" w:pos="65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Company-Obligated Convertible Quarterly Income Preferred Securities of Subsidiary Trust Holding Solely</w:t>
      </w:r>
    </w:p>
    <w:p>
      <w:pPr>
        <w:spacing w:after="0" w:line="16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4,725.0 (4,725.0)(b11) --------- ---------- ---------- --</w:t>
      </w:r>
    </w:p>
    <w:p>
      <w:pPr>
        <w:ind w:left="420"/>
        <w:spacing w:after="0"/>
        <w:rPr>
          <w:sz w:val="20"/>
          <w:szCs w:val="20"/>
          <w:color w:val="auto"/>
        </w:rPr>
      </w:pPr>
      <w:r>
        <w:rPr>
          <w:rFonts w:ascii="Courier New" w:cs="Courier New" w:eastAsia="Courier New" w:hAnsi="Courier New"/>
          <w:sz w:val="16"/>
          <w:szCs w:val="16"/>
          <w:color w:val="auto"/>
        </w:rPr>
        <w:t>-------- STOCKHOLDERS' EQUITY 1,348.6(b12) Common</w:t>
      </w:r>
    </w:p>
    <w:p>
      <w:pPr>
        <w:ind w:left="140"/>
        <w:spacing w:after="0" w:line="237" w:lineRule="auto"/>
        <w:rPr>
          <w:sz w:val="20"/>
          <w:szCs w:val="20"/>
          <w:color w:val="auto"/>
        </w:rPr>
      </w:pPr>
      <w:r>
        <w:rPr>
          <w:rFonts w:ascii="Courier New" w:cs="Courier New" w:eastAsia="Courier New" w:hAnsi="Courier New"/>
          <w:sz w:val="16"/>
          <w:szCs w:val="16"/>
          <w:color w:val="auto"/>
        </w:rPr>
        <w:t>stock............................................ 946.7</w:t>
      </w:r>
    </w:p>
    <w:p>
      <w:pPr>
        <w:ind w:left="800"/>
        <w:spacing w:after="0"/>
        <w:rPr>
          <w:sz w:val="20"/>
          <w:szCs w:val="20"/>
          <w:color w:val="auto"/>
        </w:rPr>
      </w:pPr>
      <w:r>
        <w:rPr>
          <w:rFonts w:ascii="Courier New" w:cs="Courier New" w:eastAsia="Courier New" w:hAnsi="Courier New"/>
          <w:sz w:val="16"/>
          <w:szCs w:val="16"/>
          <w:color w:val="auto"/>
        </w:rPr>
        <w:t>(47.3)(d) 2,248.0 (1,116.7)(d) Additional</w:t>
      </w:r>
    </w:p>
    <w:p>
      <w:pPr>
        <w:ind w:left="180"/>
        <w:spacing w:after="0" w:line="238" w:lineRule="auto"/>
        <w:rPr>
          <w:sz w:val="20"/>
          <w:szCs w:val="20"/>
          <w:color w:val="auto"/>
        </w:rPr>
      </w:pPr>
      <w:r>
        <w:rPr>
          <w:rFonts w:ascii="Courier New" w:cs="Courier New" w:eastAsia="Courier New" w:hAnsi="Courier New"/>
          <w:sz w:val="16"/>
          <w:szCs w:val="16"/>
          <w:color w:val="auto"/>
        </w:rPr>
        <w:t>capital...................................... 11,791.5</w:t>
      </w:r>
    </w:p>
    <w:p>
      <w:pPr>
        <w:ind w:left="1260"/>
        <w:spacing w:after="0"/>
        <w:rPr>
          <w:sz w:val="20"/>
          <w:szCs w:val="20"/>
          <w:color w:val="auto"/>
        </w:rPr>
      </w:pPr>
      <w:r>
        <w:rPr>
          <w:rFonts w:ascii="Courier New" w:cs="Courier New" w:eastAsia="Courier New" w:hAnsi="Courier New"/>
          <w:sz w:val="16"/>
          <w:szCs w:val="16"/>
          <w:color w:val="auto"/>
        </w:rPr>
        <w:t>24,234.4(b12) 34,909.2 Retained</w:t>
      </w:r>
    </w:p>
    <w:p>
      <w:pPr>
        <w:ind w:left="140"/>
        <w:spacing w:after="0" w:line="238" w:lineRule="auto"/>
        <w:rPr>
          <w:sz w:val="20"/>
          <w:szCs w:val="20"/>
          <w:color w:val="auto"/>
        </w:rPr>
      </w:pPr>
      <w:r>
        <w:rPr>
          <w:rFonts w:ascii="Courier New" w:cs="Courier New" w:eastAsia="Courier New" w:hAnsi="Courier New"/>
          <w:sz w:val="16"/>
          <w:szCs w:val="16"/>
          <w:color w:val="auto"/>
        </w:rPr>
        <w:t>earnings....................................... 1,317.3</w:t>
      </w:r>
    </w:p>
    <w:p>
      <w:pPr>
        <w:ind w:left="880"/>
        <w:spacing w:after="0"/>
        <w:rPr>
          <w:sz w:val="20"/>
          <w:szCs w:val="20"/>
          <w:color w:val="auto"/>
        </w:rPr>
      </w:pPr>
      <w:r>
        <w:rPr>
          <w:rFonts w:ascii="Courier New" w:cs="Courier New" w:eastAsia="Courier New" w:hAnsi="Courier New"/>
          <w:sz w:val="16"/>
          <w:szCs w:val="16"/>
          <w:color w:val="auto"/>
        </w:rPr>
        <w:t>1,317.3 Accumulated other comprehensive</w:t>
      </w:r>
    </w:p>
    <w:p>
      <w:pPr>
        <w:ind w:left="500"/>
        <w:spacing w:after="0" w:line="237" w:lineRule="auto"/>
        <w:rPr>
          <w:sz w:val="20"/>
          <w:szCs w:val="20"/>
          <w:color w:val="auto"/>
        </w:rPr>
      </w:pPr>
      <w:r>
        <w:rPr>
          <w:rFonts w:ascii="Courier New" w:cs="Courier New" w:eastAsia="Courier New" w:hAnsi="Courier New"/>
          <w:sz w:val="16"/>
          <w:szCs w:val="16"/>
          <w:color w:val="auto"/>
        </w:rPr>
        <w:t>loss.................... (23.7) (23.7) Combined</w:t>
      </w:r>
    </w:p>
    <w:p>
      <w:pPr>
        <w:ind w:left="80"/>
        <w:spacing w:after="0"/>
        <w:rPr>
          <w:sz w:val="20"/>
          <w:szCs w:val="20"/>
          <w:color w:val="auto"/>
        </w:rPr>
      </w:pPr>
      <w:r>
        <w:rPr>
          <w:rFonts w:ascii="Courier New" w:cs="Courier New" w:eastAsia="Courier New" w:hAnsi="Courier New"/>
          <w:sz w:val="16"/>
          <w:szCs w:val="16"/>
          <w:color w:val="auto"/>
        </w:rPr>
        <w:t>attributed net assets.......................... 29,777.0</w:t>
      </w:r>
    </w:p>
    <w:p>
      <w:pPr>
        <w:ind w:left="40"/>
        <w:spacing w:after="0" w:line="238" w:lineRule="auto"/>
        <w:rPr>
          <w:sz w:val="20"/>
          <w:szCs w:val="20"/>
          <w:color w:val="auto"/>
        </w:rPr>
      </w:pPr>
      <w:r>
        <w:rPr>
          <w:rFonts w:ascii="Courier New" w:cs="Courier New" w:eastAsia="Courier New" w:hAnsi="Courier New"/>
          <w:sz w:val="16"/>
          <w:szCs w:val="16"/>
          <w:color w:val="auto"/>
        </w:rPr>
        <w:t>(29,777.0)(b13) --------- ---------- ---------- ---------</w:t>
      </w:r>
    </w:p>
    <w:p>
      <w:pPr>
        <w:ind w:left="280" w:hanging="193"/>
        <w:spacing w:after="0"/>
        <w:tabs>
          <w:tab w:leader="none" w:pos="2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stockholders' equity............................</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14,031.8 29,777.0 (5,358.0) 38,450.8 --------- ----------</w:t>
      </w:r>
    </w:p>
    <w:p>
      <w:pPr>
        <w:ind w:left="180"/>
        <w:spacing w:after="0" w:line="237" w:lineRule="auto"/>
        <w:rPr>
          <w:sz w:val="20"/>
          <w:szCs w:val="20"/>
          <w:color w:val="auto"/>
        </w:rPr>
      </w:pPr>
      <w:r>
        <w:rPr>
          <w:rFonts w:ascii="Courier New" w:cs="Courier New" w:eastAsia="Courier New" w:hAnsi="Courier New"/>
          <w:sz w:val="16"/>
          <w:szCs w:val="16"/>
          <w:color w:val="auto"/>
        </w:rPr>
        <w:t>---------- ---------- $36,118.8 $ 81,840.0 $ (8,640.0)</w:t>
      </w:r>
    </w:p>
    <w:p>
      <w:pPr>
        <w:ind w:left="220"/>
        <w:spacing w:after="0"/>
        <w:rPr>
          <w:sz w:val="20"/>
          <w:szCs w:val="20"/>
          <w:color w:val="auto"/>
        </w:rPr>
      </w:pPr>
      <w:r>
        <w:rPr>
          <w:rFonts w:ascii="Courier New" w:cs="Courier New" w:eastAsia="Courier New" w:hAnsi="Courier New"/>
          <w:sz w:val="16"/>
          <w:szCs w:val="16"/>
          <w:color w:val="auto"/>
        </w:rPr>
        <w:t>$109,318.8 ========= ========== ========== ==========</w:t>
      </w:r>
    </w:p>
    <w:p>
      <w:pPr>
        <w:spacing w:after="0" w:line="200" w:lineRule="exact"/>
        <w:rPr>
          <w:sz w:val="20"/>
          <w:szCs w:val="20"/>
          <w:color w:val="auto"/>
        </w:rPr>
      </w:pPr>
    </w:p>
    <w:p>
      <w:pPr>
        <w:spacing w:after="0" w:line="34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Unaudited Pro Forma Combined Condensed Balance Sheet</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54" w:right="1440" w:bottom="107" w:gutter="0" w:footer="0" w:header="0"/>
        </w:sectPr>
      </w:pPr>
    </w:p>
    <w:bookmarkStart w:id="42" w:name="page43"/>
    <w:bookmarkEnd w:id="42"/>
    <w:p>
      <w:pPr>
        <w:jc w:val="center"/>
        <w:ind w:right="2735"/>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NOTES TO UNAUDITED PRO FORMA COMBINED CONDENSED BALANCE SHEET</w:t>
      </w:r>
    </w:p>
    <w:p>
      <w:pPr>
        <w:ind w:left="1684"/>
        <w:spacing w:after="0"/>
        <w:rPr>
          <w:sz w:val="20"/>
          <w:szCs w:val="20"/>
          <w:color w:val="auto"/>
        </w:rPr>
      </w:pPr>
      <w:r>
        <w:rPr>
          <w:rFonts w:ascii="Courier New" w:cs="Courier New" w:eastAsia="Courier New" w:hAnsi="Courier New"/>
          <w:sz w:val="16"/>
          <w:szCs w:val="16"/>
          <w:color w:val="auto"/>
        </w:rPr>
        <w:t>(AMOUNTS IN MILLIONS, EXCEPT PER SHARE DATA)</w:t>
      </w:r>
    </w:p>
    <w:p>
      <w:pPr>
        <w:spacing w:after="0" w:line="184" w:lineRule="exact"/>
        <w:rPr>
          <w:sz w:val="20"/>
          <w:szCs w:val="20"/>
          <w:color w:val="auto"/>
        </w:rPr>
      </w:pPr>
    </w:p>
    <w:p>
      <w:pPr>
        <w:ind w:left="384" w:right="2999" w:hanging="384"/>
        <w:spacing w:after="0" w:line="237" w:lineRule="auto"/>
        <w:tabs>
          <w:tab w:leader="none" w:pos="38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185" w:lineRule="exact"/>
        <w:rPr>
          <w:rFonts w:ascii="Courier New" w:cs="Courier New" w:eastAsia="Courier New" w:hAnsi="Courier New"/>
          <w:sz w:val="16"/>
          <w:szCs w:val="16"/>
          <w:color w:val="auto"/>
        </w:rPr>
      </w:pPr>
    </w:p>
    <w:p>
      <w:pPr>
        <w:ind w:left="384" w:right="2819" w:hanging="384"/>
        <w:spacing w:after="0" w:line="263" w:lineRule="auto"/>
        <w:tabs>
          <w:tab w:leader="none" w:pos="38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entry reflects the preliminary allocation of the purchase price to identifiable net assets acquired and the excess purchase price to goodwill.</w:t>
      </w:r>
    </w:p>
    <w:p>
      <w:pPr>
        <w:spacing w:after="0" w:line="349"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COMMON ADDITIONAL STOCK CAPITAL TOTAL -------- -----</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6"/>
          <w:szCs w:val="16"/>
          <w:color w:val="auto"/>
        </w:rPr>
        <w:t>----- ---------- Calculation of consideration</w:t>
      </w:r>
    </w:p>
    <w:p>
      <w:pPr>
        <w:jc w:val="center"/>
        <w:ind w:right="5255"/>
        <w:spacing w:after="0"/>
        <w:rPr>
          <w:sz w:val="20"/>
          <w:szCs w:val="20"/>
          <w:color w:val="auto"/>
        </w:rPr>
      </w:pPr>
      <w:r>
        <w:rPr>
          <w:rFonts w:ascii="Courier New" w:cs="Courier New" w:eastAsia="Courier New" w:hAnsi="Courier New"/>
          <w:sz w:val="16"/>
          <w:szCs w:val="16"/>
          <w:color w:val="auto"/>
        </w:rPr>
        <w:t>Issuance of common stock to AT&amp;T shareholders</w:t>
      </w:r>
    </w:p>
    <w:p>
      <w:pPr>
        <w:jc w:val="center"/>
        <w:ind w:right="5255"/>
        <w:spacing w:after="0" w:line="237" w:lineRule="auto"/>
        <w:rPr>
          <w:sz w:val="20"/>
          <w:szCs w:val="20"/>
          <w:color w:val="auto"/>
        </w:rPr>
      </w:pPr>
      <w:r>
        <w:rPr>
          <w:rFonts w:ascii="Courier New" w:cs="Courier New" w:eastAsia="Courier New" w:hAnsi="Courier New"/>
          <w:sz w:val="16"/>
          <w:szCs w:val="16"/>
          <w:color w:val="auto"/>
        </w:rPr>
        <w:t>(1,233.6 million shares x</w:t>
      </w:r>
    </w:p>
    <w:p>
      <w:pPr>
        <w:jc w:val="center"/>
        <w:ind w:right="5255"/>
        <w:spacing w:after="0"/>
        <w:rPr>
          <w:sz w:val="20"/>
          <w:szCs w:val="20"/>
          <w:color w:val="auto"/>
        </w:rPr>
      </w:pPr>
      <w:r>
        <w:rPr>
          <w:rFonts w:ascii="Courier New" w:cs="Courier New" w:eastAsia="Courier New" w:hAnsi="Courier New"/>
          <w:sz w:val="16"/>
          <w:szCs w:val="16"/>
          <w:color w:val="auto"/>
        </w:rPr>
        <w:t>$18.80).................... $1,233.6 $21,958.1 $</w:t>
      </w:r>
    </w:p>
    <w:p>
      <w:pPr>
        <w:jc w:val="center"/>
        <w:ind w:right="5255"/>
        <w:spacing w:after="0" w:line="238" w:lineRule="auto"/>
        <w:rPr>
          <w:sz w:val="20"/>
          <w:szCs w:val="20"/>
          <w:color w:val="auto"/>
        </w:rPr>
      </w:pPr>
      <w:r>
        <w:rPr>
          <w:rFonts w:ascii="Courier New" w:cs="Courier New" w:eastAsia="Courier New" w:hAnsi="Courier New"/>
          <w:sz w:val="16"/>
          <w:szCs w:val="16"/>
          <w:color w:val="auto"/>
        </w:rPr>
        <w:t>23,191.7 Issuance of common stock to Microsoft</w:t>
      </w:r>
    </w:p>
    <w:p>
      <w:pPr>
        <w:jc w:val="center"/>
        <w:ind w:right="5255"/>
        <w:spacing w:after="0"/>
        <w:rPr>
          <w:sz w:val="20"/>
          <w:szCs w:val="20"/>
          <w:color w:val="auto"/>
        </w:rPr>
      </w:pPr>
      <w:r>
        <w:rPr>
          <w:rFonts w:ascii="Courier New" w:cs="Courier New" w:eastAsia="Courier New" w:hAnsi="Courier New"/>
          <w:sz w:val="16"/>
          <w:szCs w:val="16"/>
          <w:color w:val="auto"/>
        </w:rPr>
        <w:t>Corporation (115.0 million shares x</w:t>
      </w:r>
    </w:p>
    <w:p>
      <w:pPr>
        <w:jc w:val="center"/>
        <w:ind w:right="5255"/>
        <w:spacing w:after="0" w:line="238" w:lineRule="auto"/>
        <w:rPr>
          <w:sz w:val="20"/>
          <w:szCs w:val="20"/>
          <w:color w:val="auto"/>
        </w:rPr>
      </w:pPr>
      <w:r>
        <w:rPr>
          <w:rFonts w:ascii="Courier New" w:cs="Courier New" w:eastAsia="Courier New" w:hAnsi="Courier New"/>
          <w:sz w:val="16"/>
          <w:szCs w:val="16"/>
          <w:color w:val="auto"/>
        </w:rPr>
        <w:t>$18.80)...................... 115.0 2,047.0 2,162.0</w:t>
      </w:r>
    </w:p>
    <w:p>
      <w:pPr>
        <w:jc w:val="center"/>
        <w:ind w:right="5255"/>
        <w:spacing w:after="0"/>
        <w:rPr>
          <w:sz w:val="20"/>
          <w:szCs w:val="20"/>
          <w:color w:val="auto"/>
        </w:rPr>
      </w:pPr>
      <w:r>
        <w:rPr>
          <w:rFonts w:ascii="Courier New" w:cs="Courier New" w:eastAsia="Courier New" w:hAnsi="Courier New"/>
          <w:sz w:val="16"/>
          <w:szCs w:val="16"/>
          <w:color w:val="auto"/>
        </w:rPr>
        <w:t>Fair value of AT&amp;T Comcast stock options resulting</w:t>
      </w:r>
    </w:p>
    <w:p>
      <w:pPr>
        <w:jc w:val="center"/>
        <w:ind w:right="5255"/>
        <w:spacing w:after="0" w:line="237" w:lineRule="auto"/>
        <w:rPr>
          <w:sz w:val="20"/>
          <w:szCs w:val="20"/>
          <w:color w:val="auto"/>
        </w:rPr>
      </w:pPr>
      <w:r>
        <w:rPr>
          <w:rFonts w:ascii="Courier New" w:cs="Courier New" w:eastAsia="Courier New" w:hAnsi="Courier New"/>
          <w:sz w:val="16"/>
          <w:szCs w:val="16"/>
          <w:color w:val="auto"/>
        </w:rPr>
        <w:t>from the conversion of AT&amp;T Broadband Group stock</w:t>
      </w:r>
    </w:p>
    <w:p>
      <w:pPr>
        <w:jc w:val="center"/>
        <w:ind w:right="5255"/>
        <w:spacing w:after="0"/>
        <w:rPr>
          <w:sz w:val="20"/>
          <w:szCs w:val="20"/>
          <w:color w:val="auto"/>
        </w:rPr>
      </w:pPr>
      <w:r>
        <w:rPr>
          <w:rFonts w:ascii="Courier New" w:cs="Courier New" w:eastAsia="Courier New" w:hAnsi="Courier New"/>
          <w:sz w:val="16"/>
          <w:szCs w:val="16"/>
          <w:color w:val="auto"/>
        </w:rPr>
        <w:t>options in the merger based on Black-Scholes option</w:t>
      </w:r>
    </w:p>
    <w:tbl>
      <w:tblPr>
        <w:tblLayout w:type="fixed"/>
        <w:tblInd w:w="44" w:type="dxa"/>
        <w:tblCellMar>
          <w:top w:w="0" w:type="dxa"/>
          <w:left w:w="0" w:type="dxa"/>
          <w:bottom w:w="0" w:type="dxa"/>
          <w:right w:w="0" w:type="dxa"/>
        </w:tblCellMar>
      </w:tblPr>
      <w:tr>
        <w:trPr>
          <w:trHeight w:val="180"/>
        </w:trPr>
        <w:tc>
          <w:tcPr>
            <w:tcW w:w="3520" w:type="dxa"/>
            <w:vAlign w:val="bottom"/>
          </w:tcPr>
          <w:p>
            <w:pPr>
              <w:jc w:val="right"/>
              <w:ind w:right="682"/>
              <w:spacing w:after="0" w:line="180" w:lineRule="exact"/>
              <w:rPr>
                <w:sz w:val="20"/>
                <w:szCs w:val="20"/>
                <w:color w:val="auto"/>
              </w:rPr>
            </w:pPr>
            <w:r>
              <w:rPr>
                <w:rFonts w:ascii="Courier New" w:cs="Courier New" w:eastAsia="Courier New" w:hAnsi="Courier New"/>
                <w:sz w:val="16"/>
                <w:szCs w:val="16"/>
                <w:color w:val="auto"/>
              </w:rPr>
              <w:t>pricing</w:t>
            </w:r>
          </w:p>
        </w:tc>
        <w:tc>
          <w:tcPr>
            <w:tcW w:w="1360" w:type="dxa"/>
            <w:vAlign w:val="bottom"/>
          </w:tcPr>
          <w:p>
            <w:pPr>
              <w:spacing w:after="0"/>
              <w:rPr>
                <w:sz w:val="15"/>
                <w:szCs w:val="15"/>
                <w:color w:val="auto"/>
              </w:rPr>
            </w:pPr>
          </w:p>
        </w:tc>
      </w:tr>
      <w:tr>
        <w:trPr>
          <w:trHeight w:val="180"/>
        </w:trPr>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w w:val="81"/>
              </w:rPr>
              <w:t>model........................................</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0"/>
        </w:trPr>
        <w:tc>
          <w:tcPr>
            <w:tcW w:w="3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229.3 -------- --------- ----------</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(b12) Comcast</w:t>
            </w:r>
          </w:p>
        </w:tc>
      </w:tr>
      <w:tr>
        <w:trPr>
          <w:trHeight w:val="180"/>
        </w:trPr>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w w:val="82"/>
              </w:rPr>
              <w:t>common stock equity consideration...........</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1,348.6</w:t>
            </w:r>
          </w:p>
        </w:tc>
      </w:tr>
    </w:tbl>
    <w:p>
      <w:pPr>
        <w:ind w:left="44"/>
        <w:spacing w:after="0"/>
        <w:rPr>
          <w:sz w:val="20"/>
          <w:szCs w:val="20"/>
          <w:color w:val="auto"/>
        </w:rPr>
      </w:pPr>
      <w:r>
        <w:rPr>
          <w:rFonts w:ascii="Courier New" w:cs="Courier New" w:eastAsia="Courier New" w:hAnsi="Courier New"/>
          <w:sz w:val="16"/>
          <w:szCs w:val="16"/>
          <w:color w:val="auto"/>
        </w:rPr>
        <w:t>24,234.4 25,583.0 (b6) Transaction costs (assumed to</w:t>
      </w:r>
    </w:p>
    <w:p>
      <w:pPr>
        <w:jc w:val="center"/>
        <w:ind w:right="5255"/>
        <w:spacing w:after="0" w:line="237" w:lineRule="auto"/>
        <w:rPr>
          <w:sz w:val="20"/>
          <w:szCs w:val="20"/>
          <w:color w:val="auto"/>
        </w:rPr>
      </w:pPr>
      <w:r>
        <w:rPr>
          <w:rFonts w:ascii="Courier New" w:cs="Courier New" w:eastAsia="Courier New" w:hAnsi="Courier New"/>
          <w:sz w:val="16"/>
          <w:szCs w:val="16"/>
          <w:color w:val="auto"/>
        </w:rPr>
        <w:t>be funded -- $57.5 short-term debt and $572.5 long-</w:t>
      </w:r>
    </w:p>
    <w:p>
      <w:pPr>
        <w:jc w:val="center"/>
        <w:ind w:right="5255"/>
        <w:spacing w:after="0"/>
        <w:rPr>
          <w:sz w:val="20"/>
          <w:szCs w:val="20"/>
          <w:color w:val="auto"/>
        </w:rPr>
      </w:pPr>
      <w:r>
        <w:rPr>
          <w:rFonts w:ascii="Courier New" w:cs="Courier New" w:eastAsia="Courier New" w:hAnsi="Courier New"/>
          <w:sz w:val="16"/>
          <w:szCs w:val="16"/>
          <w:color w:val="auto"/>
        </w:rPr>
        <w:t>term debt)........... 630.0 ----------</w:t>
      </w:r>
    </w:p>
    <w:p>
      <w:pPr>
        <w:jc w:val="center"/>
        <w:ind w:right="5255"/>
        <w:spacing w:after="0" w:line="238" w:lineRule="auto"/>
        <w:rPr>
          <w:sz w:val="20"/>
          <w:szCs w:val="20"/>
          <w:color w:val="auto"/>
        </w:rPr>
      </w:pPr>
      <w:r>
        <w:rPr>
          <w:rFonts w:ascii="Courier New" w:cs="Courier New" w:eastAsia="Courier New" w:hAnsi="Courier New"/>
          <w:sz w:val="16"/>
          <w:szCs w:val="16"/>
          <w:color w:val="auto"/>
        </w:rPr>
        <w:t>Total............................................ $</w:t>
      </w:r>
    </w:p>
    <w:p>
      <w:pPr>
        <w:jc w:val="center"/>
        <w:ind w:right="5255"/>
        <w:spacing w:after="0"/>
        <w:rPr>
          <w:sz w:val="20"/>
          <w:szCs w:val="20"/>
          <w:color w:val="auto"/>
        </w:rPr>
      </w:pPr>
      <w:r>
        <w:rPr>
          <w:rFonts w:ascii="Courier New" w:cs="Courier New" w:eastAsia="Courier New" w:hAnsi="Courier New"/>
          <w:sz w:val="16"/>
          <w:szCs w:val="16"/>
          <w:color w:val="auto"/>
        </w:rPr>
        <w:t>26,213.0 ========== Preliminary estimate of fair</w:t>
      </w:r>
    </w:p>
    <w:p>
      <w:pPr>
        <w:spacing w:after="0" w:line="4"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value of identifiable net assets acquired (b13) Book</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6"/>
          <w:szCs w:val="16"/>
          <w:color w:val="auto"/>
        </w:rPr>
        <w:t>value of AT&amp;T Broadband Group................... $</w:t>
      </w:r>
    </w:p>
    <w:p>
      <w:pPr>
        <w:jc w:val="center"/>
        <w:ind w:right="5255"/>
        <w:spacing w:after="0"/>
        <w:rPr>
          <w:sz w:val="20"/>
          <w:szCs w:val="20"/>
          <w:color w:val="auto"/>
        </w:rPr>
      </w:pPr>
      <w:r>
        <w:rPr>
          <w:rFonts w:ascii="Courier New" w:cs="Courier New" w:eastAsia="Courier New" w:hAnsi="Courier New"/>
          <w:sz w:val="16"/>
          <w:szCs w:val="16"/>
          <w:color w:val="auto"/>
        </w:rPr>
        <w:t>29,777.0 Elimination of AT&amp;T Broadband Group</w:t>
      </w:r>
    </w:p>
    <w:p>
      <w:pPr>
        <w:spacing w:after="0" w:line="3"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goodwill......... (15,134.0) (b1) Current portion of</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6"/>
          <w:szCs w:val="16"/>
          <w:color w:val="auto"/>
        </w:rPr>
        <w:t>deferred financing fees........... 57.5 (b3) Long-</w:t>
      </w:r>
    </w:p>
    <w:p>
      <w:pPr>
        <w:jc w:val="center"/>
        <w:ind w:right="5255"/>
        <w:spacing w:after="0"/>
        <w:rPr>
          <w:sz w:val="20"/>
          <w:szCs w:val="20"/>
          <w:color w:val="auto"/>
        </w:rPr>
      </w:pPr>
      <w:r>
        <w:rPr>
          <w:rFonts w:ascii="Courier New" w:cs="Courier New" w:eastAsia="Courier New" w:hAnsi="Courier New"/>
          <w:sz w:val="16"/>
          <w:szCs w:val="16"/>
          <w:color w:val="auto"/>
        </w:rPr>
        <w:t>term portion of deferred financing fees.........</w:t>
      </w:r>
    </w:p>
    <w:p>
      <w:pPr>
        <w:jc w:val="center"/>
        <w:ind w:right="5255"/>
        <w:spacing w:after="0" w:line="237" w:lineRule="auto"/>
        <w:rPr>
          <w:sz w:val="20"/>
          <w:szCs w:val="20"/>
          <w:color w:val="auto"/>
        </w:rPr>
      </w:pPr>
      <w:r>
        <w:rPr>
          <w:rFonts w:ascii="Courier New" w:cs="Courier New" w:eastAsia="Courier New" w:hAnsi="Courier New"/>
          <w:sz w:val="16"/>
          <w:szCs w:val="16"/>
          <w:color w:val="auto"/>
        </w:rPr>
        <w:t>57.5 (b4) Elimination of accrued dividend for</w:t>
      </w:r>
    </w:p>
    <w:p>
      <w:pPr>
        <w:jc w:val="center"/>
        <w:ind w:right="5255"/>
        <w:spacing w:after="0"/>
        <w:rPr>
          <w:sz w:val="20"/>
          <w:szCs w:val="20"/>
          <w:color w:val="auto"/>
        </w:rPr>
      </w:pPr>
      <w:r>
        <w:rPr>
          <w:rFonts w:ascii="Courier New" w:cs="Courier New" w:eastAsia="Courier New" w:hAnsi="Courier New"/>
          <w:sz w:val="16"/>
          <w:szCs w:val="16"/>
          <w:color w:val="auto"/>
        </w:rPr>
        <w:t>Microsoft Corporation QUIPS (net of tax</w:t>
      </w:r>
    </w:p>
    <w:p>
      <w:pPr>
        <w:jc w:val="center"/>
        <w:ind w:right="5255"/>
        <w:spacing w:after="0" w:line="238" w:lineRule="auto"/>
        <w:rPr>
          <w:sz w:val="20"/>
          <w:szCs w:val="20"/>
          <w:color w:val="auto"/>
        </w:rPr>
      </w:pPr>
      <w:r>
        <w:rPr>
          <w:rFonts w:ascii="Courier New" w:cs="Courier New" w:eastAsia="Courier New" w:hAnsi="Courier New"/>
          <w:sz w:val="16"/>
          <w:szCs w:val="16"/>
          <w:color w:val="auto"/>
        </w:rPr>
        <w:t>benefit)............... 40.0 (b5) Preliminary</w:t>
      </w:r>
    </w:p>
    <w:p>
      <w:pPr>
        <w:jc w:val="center"/>
        <w:ind w:right="5255"/>
        <w:spacing w:after="0"/>
        <w:rPr>
          <w:sz w:val="20"/>
          <w:szCs w:val="20"/>
          <w:color w:val="auto"/>
        </w:rPr>
      </w:pPr>
      <w:r>
        <w:rPr>
          <w:rFonts w:ascii="Courier New" w:cs="Courier New" w:eastAsia="Courier New" w:hAnsi="Courier New"/>
          <w:sz w:val="16"/>
          <w:szCs w:val="16"/>
          <w:color w:val="auto"/>
        </w:rPr>
        <w:t>estimate of current tax liability arising from the</w:t>
      </w:r>
    </w:p>
    <w:p>
      <w:pPr>
        <w:ind w:left="424"/>
        <w:spacing w:after="0" w:line="238"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(1,786.8) (b7) Preliminary estimate of adjustment to</w:t>
      </w:r>
    </w:p>
    <w:p>
      <w:pPr>
        <w:spacing w:after="0" w:line="10"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5"/>
          <w:szCs w:val="15"/>
          <w:color w:val="auto"/>
        </w:rPr>
        <w:t>fair value of AT&amp;T Broadband Group assumed long-term</w:t>
      </w:r>
    </w:p>
    <w:p>
      <w:pPr>
        <w:spacing w:after="0" w:line="5" w:lineRule="exact"/>
        <w:rPr>
          <w:sz w:val="20"/>
          <w:szCs w:val="20"/>
          <w:color w:val="auto"/>
        </w:rPr>
      </w:pPr>
    </w:p>
    <w:p>
      <w:pPr>
        <w:jc w:val="center"/>
        <w:ind w:right="5255"/>
        <w:spacing w:after="0"/>
        <w:rPr>
          <w:sz w:val="20"/>
          <w:szCs w:val="20"/>
          <w:color w:val="auto"/>
        </w:rPr>
      </w:pPr>
      <w:r>
        <w:rPr>
          <w:rFonts w:ascii="Courier New" w:cs="Courier New" w:eastAsia="Courier New" w:hAnsi="Courier New"/>
          <w:sz w:val="16"/>
          <w:szCs w:val="16"/>
          <w:color w:val="auto"/>
        </w:rPr>
        <w:t>debt.......... 669.2 (b8) Preliminary estimate of</w:t>
      </w:r>
    </w:p>
    <w:p>
      <w:pPr>
        <w:jc w:val="center"/>
        <w:ind w:right="5255"/>
        <w:spacing w:after="0"/>
        <w:rPr>
          <w:sz w:val="20"/>
          <w:szCs w:val="20"/>
          <w:color w:val="auto"/>
        </w:rPr>
      </w:pPr>
      <w:r>
        <w:rPr>
          <w:rFonts w:ascii="Courier New" w:cs="Courier New" w:eastAsia="Courier New" w:hAnsi="Courier New"/>
          <w:sz w:val="16"/>
          <w:szCs w:val="16"/>
          <w:color w:val="auto"/>
        </w:rPr>
        <w:t>adjustment to deferred tax liability on adjustments</w:t>
      </w:r>
    </w:p>
    <w:p>
      <w:pPr>
        <w:jc w:val="center"/>
        <w:ind w:right="5255"/>
        <w:spacing w:after="0" w:line="237" w:lineRule="auto"/>
        <w:rPr>
          <w:sz w:val="20"/>
          <w:szCs w:val="20"/>
          <w:color w:val="auto"/>
        </w:rPr>
      </w:pPr>
      <w:r>
        <w:rPr>
          <w:rFonts w:ascii="Courier New" w:cs="Courier New" w:eastAsia="Courier New" w:hAnsi="Courier New"/>
          <w:sz w:val="16"/>
          <w:szCs w:val="16"/>
          <w:color w:val="auto"/>
        </w:rPr>
        <w:t>at combined federal and state statutory</w:t>
      </w:r>
    </w:p>
    <w:tbl>
      <w:tblPr>
        <w:tblLayout w:type="fixed"/>
        <w:tblInd w:w="4" w:type="dxa"/>
        <w:tblCellMar>
          <w:top w:w="0" w:type="dxa"/>
          <w:left w:w="0" w:type="dxa"/>
          <w:bottom w:w="0" w:type="dxa"/>
          <w:right w:w="0" w:type="dxa"/>
        </w:tblCellMar>
      </w:tblPr>
      <w:tr>
        <w:trPr>
          <w:trHeight w:val="181"/>
        </w:trPr>
        <w:tc>
          <w:tcPr>
            <w:tcW w:w="1400" w:type="dxa"/>
            <w:vAlign w:val="bottom"/>
          </w:tcPr>
          <w:p>
            <w:pPr>
              <w:jc w:val="right"/>
              <w:spacing w:after="0"/>
              <w:rPr>
                <w:sz w:val="20"/>
                <w:szCs w:val="20"/>
                <w:color w:val="auto"/>
              </w:rPr>
            </w:pPr>
            <w:r>
              <w:rPr>
                <w:rFonts w:ascii="Courier New" w:cs="Courier New" w:eastAsia="Courier New" w:hAnsi="Courier New"/>
                <w:sz w:val="8"/>
                <w:szCs w:val="8"/>
                <w:color w:val="auto"/>
                <w:w w:val="77"/>
              </w:rPr>
              <w:t>rate.................................</w:t>
            </w:r>
          </w:p>
        </w:tc>
        <w:tc>
          <w:tcPr>
            <w:tcW w:w="3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79.2 (b9)</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7"/>
              </w:rPr>
              <w:t>Certain liabilities retained by AT&amp;T related to</w:t>
            </w:r>
          </w:p>
        </w:tc>
      </w:tr>
      <w:tr>
        <w:trPr>
          <w:trHeight w:val="180"/>
        </w:trPr>
        <w:tc>
          <w:tcPr>
            <w:tcW w:w="4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Excite@Home..........................................</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7"/>
              </w:rPr>
              <w:t>179.0 (b10) Preliminary estimate of adjustment to</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8"/>
              </w:rPr>
              <w:t>fair value of other non-current</w:t>
            </w: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liabilities</w:t>
            </w:r>
          </w:p>
        </w:tc>
        <w:tc>
          <w:tcPr>
            <w:tcW w:w="348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6"/>
              </w:rPr>
              <w:t>........................ 6.4 (b11)</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7"/>
              </w:rPr>
              <w:t>Redemption of Microsoft Corporation</w:t>
            </w: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w w:val="84"/>
              </w:rPr>
              <w:t>QUIPS............</w:t>
            </w:r>
          </w:p>
        </w:tc>
        <w:tc>
          <w:tcPr>
            <w:tcW w:w="3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4,725.0 ---------- Preliminary</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7"/>
              </w:rPr>
              <w:t>estimate of adjustments to fair value of</w:t>
            </w:r>
          </w:p>
        </w:tc>
      </w:tr>
      <w:tr>
        <w:trPr>
          <w:trHeight w:val="180"/>
        </w:trPr>
        <w:tc>
          <w:tcPr>
            <w:tcW w:w="1400" w:type="dxa"/>
            <w:vAlign w:val="bottom"/>
          </w:tcPr>
          <w:p>
            <w:pPr>
              <w:spacing w:after="0"/>
              <w:rPr>
                <w:sz w:val="15"/>
                <w:szCs w:val="15"/>
                <w:color w:val="auto"/>
              </w:rPr>
            </w:pPr>
          </w:p>
        </w:tc>
        <w:tc>
          <w:tcPr>
            <w:tcW w:w="348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7"/>
              </w:rPr>
              <w:t>identifiable net assets</w:t>
            </w: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10"/>
                <w:szCs w:val="10"/>
                <w:color w:val="auto"/>
                <w:w w:val="74"/>
              </w:rPr>
              <w:t>acquired.......................</w:t>
            </w: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18,670.0 ----------</w:t>
            </w:r>
          </w:p>
        </w:tc>
      </w:tr>
      <w:tr>
        <w:trPr>
          <w:trHeight w:val="180"/>
        </w:trPr>
        <w:tc>
          <w:tcPr>
            <w:tcW w:w="1400" w:type="dxa"/>
            <w:vAlign w:val="bottom"/>
          </w:tcPr>
          <w:p>
            <w:pPr>
              <w:spacing w:after="0"/>
              <w:rPr>
                <w:sz w:val="15"/>
                <w:szCs w:val="15"/>
                <w:color w:val="auto"/>
              </w:rPr>
            </w:pPr>
          </w:p>
        </w:tc>
        <w:tc>
          <w:tcPr>
            <w:tcW w:w="348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8"/>
              </w:rPr>
              <w:t>Acquisition</w:t>
            </w: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7"/>
                <w:szCs w:val="7"/>
                <w:color w:val="auto"/>
                <w:w w:val="76"/>
              </w:rPr>
              <w:t>goodwill...................................</w:t>
            </w:r>
          </w:p>
        </w:tc>
        <w:tc>
          <w:tcPr>
            <w:tcW w:w="34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7,543.0 ========== Calculation of goodwill</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8"/>
              </w:rPr>
              <w:t>acquisition adjustment Acquisition</w:t>
            </w: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7"/>
                <w:szCs w:val="7"/>
                <w:color w:val="auto"/>
                <w:w w:val="76"/>
              </w:rPr>
              <w:t>goodwill...................................</w:t>
            </w:r>
          </w:p>
        </w:tc>
        <w:tc>
          <w:tcPr>
            <w:tcW w:w="34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7"/>
              </w:rPr>
              <w:t>7,543.0 Gross value of AT&amp;T Broadband Group</w:t>
            </w: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w w:val="75"/>
              </w:rPr>
              <w:t>goodwill...........</w:t>
            </w:r>
          </w:p>
        </w:tc>
        <w:tc>
          <w:tcPr>
            <w:tcW w:w="34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(15,134.0) ---------- (b2)</w:t>
            </w:r>
          </w:p>
        </w:tc>
      </w:tr>
      <w:tr>
        <w:trPr>
          <w:trHeight w:val="180"/>
        </w:trPr>
        <w:tc>
          <w:tcPr>
            <w:tcW w:w="1400" w:type="dxa"/>
            <w:vAlign w:val="bottom"/>
          </w:tcPr>
          <w:p>
            <w:pPr>
              <w:spacing w:after="0"/>
              <w:rPr>
                <w:sz w:val="15"/>
                <w:szCs w:val="15"/>
                <w:color w:val="auto"/>
              </w:rPr>
            </w:pPr>
          </w:p>
        </w:tc>
        <w:tc>
          <w:tcPr>
            <w:tcW w:w="348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7"/>
              </w:rPr>
              <w:t>Goodwill acquisition</w:t>
            </w: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10"/>
                <w:szCs w:val="10"/>
                <w:color w:val="auto"/>
                <w:w w:val="71"/>
              </w:rPr>
              <w:t>adjustment......................</w:t>
            </w:r>
          </w:p>
        </w:tc>
        <w:tc>
          <w:tcPr>
            <w:tcW w:w="34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(7,591.0)</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7"/>
              </w:rPr>
              <w:t>========== (i) Maximum number of shares of common</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7"/>
              </w:rPr>
              <w:t>stock that could be issued in the AT&amp;T Comcast</w:t>
            </w:r>
          </w:p>
        </w:tc>
      </w:tr>
      <w:tr>
        <w:trPr>
          <w:trHeight w:val="180"/>
        </w:trPr>
        <w:tc>
          <w:tcPr>
            <w:tcW w:w="4880" w:type="dxa"/>
            <w:vAlign w:val="bottom"/>
            <w:gridSpan w:val="2"/>
          </w:tcPr>
          <w:p>
            <w:pPr>
              <w:jc w:val="center"/>
              <w:ind w:left="11"/>
              <w:spacing w:after="0"/>
              <w:rPr>
                <w:sz w:val="20"/>
                <w:szCs w:val="20"/>
                <w:color w:val="auto"/>
              </w:rPr>
            </w:pPr>
            <w:r>
              <w:rPr>
                <w:rFonts w:ascii="Courier New" w:cs="Courier New" w:eastAsia="Courier New" w:hAnsi="Courier New"/>
                <w:sz w:val="16"/>
                <w:szCs w:val="16"/>
                <w:color w:val="auto"/>
                <w:w w:val="98"/>
              </w:rPr>
              <w:t>transaction.....................................</w:t>
            </w:r>
          </w:p>
        </w:tc>
      </w:tr>
    </w:tbl>
    <w:p>
      <w:pPr>
        <w:ind w:left="84"/>
        <w:spacing w:after="0"/>
        <w:rPr>
          <w:sz w:val="20"/>
          <w:szCs w:val="20"/>
          <w:color w:val="auto"/>
        </w:rPr>
      </w:pPr>
      <w:r>
        <w:rPr>
          <w:rFonts w:ascii="Courier New" w:cs="Courier New" w:eastAsia="Courier New" w:hAnsi="Courier New"/>
          <w:sz w:val="16"/>
          <w:szCs w:val="16"/>
          <w:color w:val="auto"/>
        </w:rPr>
        <w:t>1,235.0 Share equivalent of intrinsic value of AT&amp;T</w:t>
      </w:r>
    </w:p>
    <w:p>
      <w:pPr>
        <w:ind w:left="44"/>
        <w:spacing w:after="0" w:line="237" w:lineRule="auto"/>
        <w:rPr>
          <w:sz w:val="20"/>
          <w:szCs w:val="20"/>
          <w:color w:val="auto"/>
        </w:rPr>
      </w:pPr>
      <w:r>
        <w:rPr>
          <w:rFonts w:ascii="Courier New" w:cs="Courier New" w:eastAsia="Courier New" w:hAnsi="Courier New"/>
          <w:sz w:val="16"/>
          <w:szCs w:val="16"/>
          <w:color w:val="auto"/>
        </w:rPr>
        <w:t>Broadband Group stock options and stock appreciation</w:t>
      </w:r>
    </w:p>
    <w:tbl>
      <w:tblPr>
        <w:tblLayout w:type="fixed"/>
        <w:tblInd w:w="144" w:type="dxa"/>
        <w:tblCellMar>
          <w:top w:w="0" w:type="dxa"/>
          <w:left w:w="0" w:type="dxa"/>
          <w:bottom w:w="0" w:type="dxa"/>
          <w:right w:w="0" w:type="dxa"/>
        </w:tblCellMar>
      </w:tblPr>
      <w:tr>
        <w:trPr>
          <w:trHeight w:val="181"/>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1"/>
              </w:rPr>
              <w:t>rights.............................</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(1.4) --------</w:t>
            </w:r>
          </w:p>
        </w:tc>
      </w:tr>
      <w:tr>
        <w:trPr>
          <w:trHeight w:val="180"/>
        </w:trPr>
        <w:tc>
          <w:tcPr>
            <w:tcW w:w="4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Common stock to be issued to AT&amp;T</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3"/>
              </w:rPr>
              <w:t>shareholders............................</w:t>
            </w:r>
          </w:p>
        </w:tc>
        <w:tc>
          <w:tcPr>
            <w:tcW w:w="27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1,233.6</w:t>
            </w:r>
          </w:p>
        </w:tc>
      </w:tr>
      <w:tr>
        <w:trPr>
          <w:trHeight w:val="180"/>
        </w:trPr>
        <w:tc>
          <w:tcPr>
            <w:tcW w:w="1960" w:type="dxa"/>
            <w:vAlign w:val="bottom"/>
          </w:tcPr>
          <w:p>
            <w:pPr>
              <w:spacing w:after="0"/>
              <w:rPr>
                <w:sz w:val="15"/>
                <w:szCs w:val="15"/>
                <w:color w:val="auto"/>
              </w:rPr>
            </w:pPr>
          </w:p>
        </w:tc>
        <w:tc>
          <w:tcPr>
            <w:tcW w:w="2720" w:type="dxa"/>
            <w:vAlign w:val="bottom"/>
          </w:tcPr>
          <w:p>
            <w:pPr>
              <w:jc w:val="right"/>
              <w:ind w:right="1882"/>
              <w:spacing w:after="0"/>
              <w:rPr>
                <w:sz w:val="20"/>
                <w:szCs w:val="20"/>
                <w:color w:val="auto"/>
              </w:rPr>
            </w:pPr>
            <w:r>
              <w:rPr>
                <w:rFonts w:ascii="Courier New" w:cs="Courier New" w:eastAsia="Courier New" w:hAnsi="Courier New"/>
                <w:sz w:val="16"/>
                <w:szCs w:val="16"/>
                <w:color w:val="auto"/>
                <w:w w:val="96"/>
              </w:rPr>
              <w:t>========</w:t>
            </w:r>
          </w:p>
        </w:tc>
      </w:tr>
      <w:tr>
        <w:trPr>
          <w:trHeight w:val="721"/>
        </w:trPr>
        <w:tc>
          <w:tcPr>
            <w:tcW w:w="1960" w:type="dxa"/>
            <w:vAlign w:val="bottom"/>
          </w:tcPr>
          <w:p>
            <w:pPr>
              <w:spacing w:after="0"/>
              <w:rPr>
                <w:sz w:val="24"/>
                <w:szCs w:val="24"/>
                <w:color w:val="auto"/>
              </w:rPr>
            </w:pPr>
          </w:p>
        </w:tc>
        <w:tc>
          <w:tcPr>
            <w:tcW w:w="272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28</w:t>
            </w:r>
          </w:p>
        </w:tc>
      </w:tr>
    </w:tbl>
    <w:p>
      <w:pPr>
        <w:sectPr>
          <w:pgSz w:w="11900" w:h="16838" w:orient="portrait"/>
          <w:cols w:equalWidth="0" w:num="1">
            <w:col w:w="10223"/>
          </w:cols>
          <w:pgMar w:left="236" w:top="654" w:right="1440" w:bottom="648" w:gutter="0" w:footer="0" w:header="0"/>
        </w:sectPr>
      </w:pPr>
    </w:p>
    <w:bookmarkStart w:id="43" w:name="page44"/>
    <w:bookmarkEnd w:id="43"/>
    <w:p>
      <w:pPr>
        <w:jc w:val="center"/>
        <w:ind w:right="2715"/>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UNAUDITED PRO FORMA COMBINED CONDENSED BALANCE SHEET</w:t>
      </w:r>
    </w:p>
    <w:p>
      <w:pPr>
        <w:jc w:val="center"/>
        <w:ind w:right="2815"/>
        <w:spacing w:after="0"/>
        <w:rPr>
          <w:sz w:val="20"/>
          <w:szCs w:val="20"/>
          <w:color w:val="auto"/>
        </w:rPr>
      </w:pPr>
      <w:r>
        <w:rPr>
          <w:rFonts w:ascii="Courier New" w:cs="Courier New" w:eastAsia="Courier New" w:hAnsi="Courier New"/>
          <w:sz w:val="16"/>
          <w:szCs w:val="16"/>
          <w:color w:val="auto"/>
        </w:rPr>
        <w:t>(CONCLUDED)</w:t>
      </w:r>
    </w:p>
    <w:p>
      <w:pPr>
        <w:spacing w:after="0" w:line="184" w:lineRule="exact"/>
        <w:rPr>
          <w:sz w:val="20"/>
          <w:szCs w:val="20"/>
          <w:color w:val="auto"/>
        </w:rPr>
      </w:pPr>
    </w:p>
    <w:p>
      <w:pPr>
        <w:ind w:left="464" w:right="2719"/>
        <w:spacing w:after="0" w:line="238" w:lineRule="auto"/>
        <w:rPr>
          <w:sz w:val="20"/>
          <w:szCs w:val="20"/>
          <w:color w:val="auto"/>
        </w:rPr>
      </w:pPr>
      <w:r>
        <w:rPr>
          <w:rFonts w:ascii="Courier New" w:cs="Courier New" w:eastAsia="Courier New" w:hAnsi="Courier New"/>
          <w:sz w:val="16"/>
          <w:szCs w:val="16"/>
          <w:color w:val="auto"/>
        </w:rPr>
        <w:t>Certain programming and other contracts of AT&amp;T Broadband Group and Comcast may, by their terms, be assumed, altered or terminated as a result of the completion of the AT&amp;T Comcast transaction. However, prior to closing management does not expect to be able to estimate the impact, if any, of favorable or unfavorable contracts that may result from the ultimate allocation of purchase price. See note (l) to the Unaudited Pro Forma Combined Condensed Statements of Operations for a sensitivity analysis of purchase price allocation.</w:t>
      </w:r>
    </w:p>
    <w:p>
      <w:pPr>
        <w:spacing w:after="0" w:line="180" w:lineRule="exact"/>
        <w:rPr>
          <w:sz w:val="20"/>
          <w:szCs w:val="20"/>
          <w:color w:val="auto"/>
        </w:rPr>
      </w:pPr>
    </w:p>
    <w:p>
      <w:pPr>
        <w:ind w:left="384" w:hanging="384"/>
        <w:spacing w:after="0"/>
        <w:tabs>
          <w:tab w:leader="none" w:pos="38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refinancing of existing short-term debt due to AT&amp;T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($6,486.0) and certain components of the current portion of long-term debt</w:t>
      </w:r>
    </w:p>
    <w:p>
      <w:pPr>
        <w:spacing w:after="0" w:line="3" w:lineRule="exact"/>
        <w:rPr>
          <w:rFonts w:ascii="Courier New" w:cs="Courier New" w:eastAsia="Courier New" w:hAnsi="Courier New"/>
          <w:sz w:val="16"/>
          <w:szCs w:val="16"/>
          <w:color w:val="auto"/>
        </w:rPr>
      </w:pPr>
    </w:p>
    <w:p>
      <w:pPr>
        <w:ind w:left="384" w:right="28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($1,681.8) with new debt of AT&amp;T Comcast. The refinancing is assumed to be funded 55% with short-term debt and 45% with long-term debt. Short-term and long-term debt amounts do not give effect to the Exchange Offer. The amount of short-term debt will be reduced and the amount of long-term debt will be increased based upon the amount of New Broadband Notes to be issued in connection with the Exchange Offer in an amount to be mutually agreed.</w:t>
      </w:r>
    </w:p>
    <w:p>
      <w:pPr>
        <w:spacing w:after="0" w:line="175" w:lineRule="exact"/>
        <w:rPr>
          <w:rFonts w:ascii="Courier New" w:cs="Courier New" w:eastAsia="Courier New" w:hAnsi="Courier New"/>
          <w:sz w:val="16"/>
          <w:szCs w:val="16"/>
          <w:color w:val="auto"/>
        </w:rPr>
      </w:pPr>
    </w:p>
    <w:p>
      <w:pPr>
        <w:ind w:left="384" w:right="3179" w:hanging="384"/>
        <w:spacing w:after="0" w:line="236" w:lineRule="auto"/>
        <w:tabs>
          <w:tab w:leader="none" w:pos="38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AT&amp;T Broadband Group's investment in Comcast as follows:</w:t>
      </w:r>
    </w:p>
    <w:p>
      <w:pPr>
        <w:sectPr>
          <w:pgSz w:w="11900" w:h="16838" w:orient="portrait"/>
          <w:cols w:equalWidth="0" w:num="1">
            <w:col w:w="10223"/>
          </w:cols>
          <w:pgMar w:left="236" w:top="473"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184"/>
        <w:spacing w:after="0"/>
        <w:rPr>
          <w:sz w:val="20"/>
          <w:szCs w:val="20"/>
          <w:color w:val="auto"/>
        </w:rPr>
      </w:pPr>
      <w:r>
        <w:rPr>
          <w:rFonts w:ascii="Courier New" w:cs="Courier New" w:eastAsia="Courier New" w:hAnsi="Courier New"/>
          <w:sz w:val="15"/>
          <w:szCs w:val="15"/>
          <w:color w:val="auto"/>
        </w:rPr>
        <w:t>Elimination of Comcast stock held by AT&amp;T Broadband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$(1,164.0)</w:t>
      </w:r>
    </w:p>
    <w:p>
      <w:pPr>
        <w:spacing w:after="0" w:line="10" w:lineRule="exact"/>
        <w:rPr>
          <w:sz w:val="20"/>
          <w:szCs w:val="20"/>
          <w:color w:val="auto"/>
        </w:rPr>
      </w:pPr>
    </w:p>
    <w:p>
      <w:pPr>
        <w:sectPr>
          <w:pgSz w:w="11900" w:h="16838" w:orient="portrait"/>
          <w:cols w:equalWidth="0" w:num="2">
            <w:col w:w="5824" w:space="280"/>
            <w:col w:w="4119"/>
          </w:cols>
          <w:pgMar w:left="236" w:top="473" w:right="1440" w:bottom="1440" w:gutter="0" w:footer="0" w:header="0"/>
          <w:type w:val="continuous"/>
        </w:sectPr>
      </w:pPr>
    </w:p>
    <w:p>
      <w:pPr>
        <w:ind w:left="184"/>
        <w:spacing w:after="0"/>
        <w:rPr>
          <w:sz w:val="20"/>
          <w:szCs w:val="20"/>
          <w:color w:val="auto"/>
        </w:rPr>
      </w:pPr>
      <w:r>
        <w:rPr>
          <w:rFonts w:ascii="Courier New" w:cs="Courier New" w:eastAsia="Courier New" w:hAnsi="Courier New"/>
          <w:sz w:val="15"/>
          <w:szCs w:val="15"/>
          <w:color w:val="auto"/>
        </w:rPr>
        <w:t>Reclassification of Comcast stock held by AT&amp;T Broadband</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Group to equity (par value common stock $47.3 and</w:t>
      </w:r>
    </w:p>
    <w:p>
      <w:pPr>
        <w:sectPr>
          <w:pgSz w:w="11900" w:h="16838" w:orient="portrait"/>
          <w:cols w:equalWidth="0" w:num="1">
            <w:col w:w="10223"/>
          </w:cols>
          <w:pgMar w:left="236" w:top="473" w:right="1440" w:bottom="1440" w:gutter="0" w:footer="0" w:header="0"/>
          <w:type w:val="continuous"/>
        </w:sectPr>
      </w:pPr>
    </w:p>
    <w:p>
      <w:pPr>
        <w:spacing w:after="0" w:line="4"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additional capital $1,116.7)..............................</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1,164.0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824" w:space="280"/>
            <w:col w:w="4119"/>
          </w:cols>
          <w:pgMar w:left="236" w:top="473" w:right="1440" w:bottom="1440" w:gutter="0" w:footer="0" w:header="0"/>
          <w:type w:val="continuous"/>
        </w:sectPr>
      </w:pPr>
    </w:p>
    <w:p>
      <w:pPr>
        <w:spacing w:after="0" w:line="166"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3"/>
          </w:cols>
          <w:pgMar w:left="236" w:top="473" w:right="1440" w:bottom="1440" w:gutter="0" w:footer="0" w:header="0"/>
          <w:type w:val="continuous"/>
        </w:sectPr>
      </w:pPr>
    </w:p>
    <w:bookmarkStart w:id="44" w:name="page45"/>
    <w:bookmarkEnd w:id="44"/>
    <w:p>
      <w:pPr>
        <w:jc w:val="center"/>
        <w:ind w:right="2719"/>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jc w:val="center"/>
        <w:ind w:right="2719"/>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17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HISTORICAL PRO FORMA HISTORICAL AT&amp;T</w:t>
      </w:r>
    </w:p>
    <w:p>
      <w:pPr>
        <w:jc w:val="center"/>
        <w:ind w:right="5819"/>
        <w:spacing w:after="0"/>
        <w:rPr>
          <w:sz w:val="20"/>
          <w:szCs w:val="20"/>
          <w:color w:val="auto"/>
        </w:rPr>
      </w:pPr>
      <w:r>
        <w:rPr>
          <w:rFonts w:ascii="Courier New" w:cs="Courier New" w:eastAsia="Courier New" w:hAnsi="Courier New"/>
          <w:sz w:val="16"/>
          <w:szCs w:val="16"/>
          <w:color w:val="auto"/>
        </w:rPr>
        <w:t>INTERCOMPANY PRO FORMA AT&amp;T COMCAST(A)</w:t>
      </w:r>
    </w:p>
    <w:p>
      <w:pPr>
        <w:jc w:val="center"/>
        <w:ind w:right="5819"/>
        <w:spacing w:after="0" w:line="237" w:lineRule="auto"/>
        <w:rPr>
          <w:sz w:val="20"/>
          <w:szCs w:val="20"/>
          <w:color w:val="auto"/>
        </w:rPr>
      </w:pPr>
      <w:r>
        <w:rPr>
          <w:rFonts w:ascii="Courier New" w:cs="Courier New" w:eastAsia="Courier New" w:hAnsi="Courier New"/>
          <w:sz w:val="16"/>
          <w:szCs w:val="16"/>
          <w:color w:val="auto"/>
        </w:rPr>
        <w:t>BROADBAND(A) ADJUSTMENTS ADJUSTMENTS(D)</w:t>
      </w:r>
    </w:p>
    <w:p>
      <w:pPr>
        <w:ind w:left="40"/>
        <w:spacing w:after="0"/>
        <w:rPr>
          <w:sz w:val="20"/>
          <w:szCs w:val="20"/>
          <w:color w:val="auto"/>
        </w:rPr>
      </w:pPr>
      <w:r>
        <w:rPr>
          <w:rFonts w:ascii="Courier New" w:cs="Courier New" w:eastAsia="Courier New" w:hAnsi="Courier New"/>
          <w:sz w:val="16"/>
          <w:szCs w:val="16"/>
          <w:color w:val="auto"/>
        </w:rPr>
        <w:t>COMCAST(L) ---------- ------------ -----------</w:t>
      </w:r>
    </w:p>
    <w:p>
      <w:pPr>
        <w:ind w:left="360"/>
        <w:spacing w:after="0" w:line="238" w:lineRule="auto"/>
        <w:rPr>
          <w:sz w:val="20"/>
          <w:szCs w:val="20"/>
          <w:color w:val="auto"/>
        </w:rPr>
      </w:pPr>
      <w:r>
        <w:rPr>
          <w:rFonts w:ascii="Courier New" w:cs="Courier New" w:eastAsia="Courier New" w:hAnsi="Courier New"/>
          <w:sz w:val="16"/>
          <w:szCs w:val="16"/>
          <w:color w:val="auto"/>
        </w:rPr>
        <w:t>- -------------- ---------- (AMOUNTS IN</w:t>
      </w:r>
    </w:p>
    <w:p>
      <w:pPr>
        <w:ind w:left="140"/>
        <w:spacing w:after="0"/>
        <w:rPr>
          <w:sz w:val="20"/>
          <w:szCs w:val="20"/>
          <w:color w:val="auto"/>
        </w:rPr>
      </w:pPr>
      <w:r>
        <w:rPr>
          <w:rFonts w:ascii="Courier New" w:cs="Courier New" w:eastAsia="Courier New" w:hAnsi="Courier New"/>
          <w:sz w:val="16"/>
          <w:szCs w:val="16"/>
          <w:color w:val="auto"/>
        </w:rPr>
        <w:t>MILLIONS, EXCEPT PER SHARE AMOUNTS) REVENUES</w:t>
      </w:r>
    </w:p>
    <w:p>
      <w:pPr>
        <w:ind w:left="1860"/>
        <w:spacing w:after="0" w:line="238" w:lineRule="auto"/>
        <w:rPr>
          <w:sz w:val="20"/>
          <w:szCs w:val="20"/>
          <w:color w:val="auto"/>
        </w:rPr>
      </w:pPr>
      <w:r>
        <w:rPr>
          <w:rFonts w:ascii="Courier New" w:cs="Courier New" w:eastAsia="Courier New" w:hAnsi="Courier New"/>
          <w:sz w:val="16"/>
          <w:szCs w:val="16"/>
          <w:color w:val="auto"/>
        </w:rPr>
        <w:t>Service</w:t>
      </w:r>
    </w:p>
    <w:p>
      <w:pPr>
        <w:ind w:left="280"/>
        <w:spacing w:after="0"/>
        <w:rPr>
          <w:sz w:val="20"/>
          <w:szCs w:val="20"/>
          <w:color w:val="auto"/>
        </w:rPr>
      </w:pPr>
      <w:r>
        <w:rPr>
          <w:rFonts w:ascii="Courier New" w:cs="Courier New" w:eastAsia="Courier New" w:hAnsi="Courier New"/>
          <w:sz w:val="16"/>
          <w:szCs w:val="16"/>
          <w:color w:val="auto"/>
        </w:rPr>
        <w:t>revenues(m)............................ $</w:t>
      </w:r>
    </w:p>
    <w:p>
      <w:pPr>
        <w:ind w:left="80"/>
        <w:spacing w:after="0" w:line="237" w:lineRule="auto"/>
        <w:rPr>
          <w:sz w:val="20"/>
          <w:szCs w:val="20"/>
          <w:color w:val="auto"/>
        </w:rPr>
      </w:pPr>
      <w:r>
        <w:rPr>
          <w:rFonts w:ascii="Courier New" w:cs="Courier New" w:eastAsia="Courier New" w:hAnsi="Courier New"/>
          <w:sz w:val="16"/>
          <w:szCs w:val="16"/>
          <w:color w:val="auto"/>
        </w:rPr>
        <w:t>5,756.9 $10,132.0 $(108.9)(b) $ $15,780.0 Net</w:t>
      </w:r>
    </w:p>
    <w:p>
      <w:pPr>
        <w:ind w:left="180"/>
        <w:spacing w:after="0"/>
        <w:rPr>
          <w:sz w:val="20"/>
          <w:szCs w:val="20"/>
          <w:color w:val="auto"/>
        </w:rPr>
      </w:pPr>
      <w:r>
        <w:rPr>
          <w:rFonts w:ascii="Courier New" w:cs="Courier New" w:eastAsia="Courier New" w:hAnsi="Courier New"/>
          <w:sz w:val="16"/>
          <w:szCs w:val="16"/>
          <w:color w:val="auto"/>
        </w:rPr>
        <w:t>sales from electronic retailing............</w:t>
      </w:r>
    </w:p>
    <w:p>
      <w:pPr>
        <w:ind w:left="40"/>
        <w:spacing w:after="0" w:line="238" w:lineRule="auto"/>
        <w:rPr>
          <w:sz w:val="20"/>
          <w:szCs w:val="20"/>
          <w:color w:val="auto"/>
        </w:rPr>
      </w:pPr>
      <w:r>
        <w:rPr>
          <w:rFonts w:ascii="Courier New" w:cs="Courier New" w:eastAsia="Courier New" w:hAnsi="Courier New"/>
          <w:sz w:val="16"/>
          <w:szCs w:val="16"/>
          <w:color w:val="auto"/>
        </w:rPr>
        <w:t>3,917.3 3,917.3 --------- --------- ------- --</w:t>
      </w:r>
    </w:p>
    <w:p>
      <w:pPr>
        <w:ind w:left="220"/>
        <w:spacing w:after="0"/>
        <w:rPr>
          <w:sz w:val="20"/>
          <w:szCs w:val="20"/>
          <w:color w:val="auto"/>
        </w:rPr>
      </w:pPr>
      <w:r>
        <w:rPr>
          <w:rFonts w:ascii="Courier New" w:cs="Courier New" w:eastAsia="Courier New" w:hAnsi="Courier New"/>
          <w:sz w:val="16"/>
          <w:szCs w:val="16"/>
          <w:color w:val="auto"/>
        </w:rPr>
        <w:t>------- --------- 9,674.2 10,132.0 (108.9)</w:t>
      </w:r>
    </w:p>
    <w:p>
      <w:pPr>
        <w:ind w:left="40"/>
        <w:spacing w:after="0" w:line="238" w:lineRule="auto"/>
        <w:rPr>
          <w:sz w:val="20"/>
          <w:szCs w:val="20"/>
          <w:color w:val="auto"/>
        </w:rPr>
      </w:pPr>
      <w:r>
        <w:rPr>
          <w:rFonts w:ascii="Courier New" w:cs="Courier New" w:eastAsia="Courier New" w:hAnsi="Courier New"/>
          <w:sz w:val="16"/>
          <w:szCs w:val="16"/>
          <w:color w:val="auto"/>
        </w:rPr>
        <w:t>19,697.3 --------- --------- ------- ---------</w:t>
      </w:r>
    </w:p>
    <w:p>
      <w:pPr>
        <w:ind w:left="420"/>
        <w:spacing w:after="0"/>
        <w:rPr>
          <w:sz w:val="20"/>
          <w:szCs w:val="20"/>
          <w:color w:val="auto"/>
        </w:rPr>
      </w:pPr>
      <w:r>
        <w:rPr>
          <w:rFonts w:ascii="Courier New" w:cs="Courier New" w:eastAsia="Courier New" w:hAnsi="Courier New"/>
          <w:sz w:val="16"/>
          <w:szCs w:val="16"/>
          <w:color w:val="auto"/>
        </w:rPr>
        <w:t>--------- COSTS AND EXPENSES Operating</w:t>
      </w:r>
    </w:p>
    <w:p>
      <w:pPr>
        <w:ind w:left="80"/>
        <w:spacing w:after="0" w:line="237" w:lineRule="auto"/>
        <w:rPr>
          <w:sz w:val="20"/>
          <w:szCs w:val="20"/>
          <w:color w:val="auto"/>
        </w:rPr>
      </w:pPr>
      <w:r>
        <w:rPr>
          <w:rFonts w:ascii="Courier New" w:cs="Courier New" w:eastAsia="Courier New" w:hAnsi="Courier New"/>
          <w:sz w:val="16"/>
          <w:szCs w:val="16"/>
          <w:color w:val="auto"/>
        </w:rPr>
        <w:t>(excluding depreciation)............. 2,905.8</w:t>
      </w:r>
    </w:p>
    <w:p>
      <w:pPr>
        <w:ind w:left="140"/>
        <w:spacing w:after="0"/>
        <w:rPr>
          <w:sz w:val="20"/>
          <w:szCs w:val="20"/>
          <w:color w:val="auto"/>
        </w:rPr>
      </w:pPr>
      <w:r>
        <w:rPr>
          <w:rFonts w:ascii="Courier New" w:cs="Courier New" w:eastAsia="Courier New" w:hAnsi="Courier New"/>
          <w:sz w:val="16"/>
          <w:szCs w:val="16"/>
          <w:color w:val="auto"/>
        </w:rPr>
        <w:t>5,459.0 (62.8)(b) 8,302.0 Cost of goods sold</w:t>
      </w:r>
    </w:p>
    <w:p>
      <w:pPr>
        <w:ind w:left="500"/>
        <w:spacing w:after="0" w:line="238" w:lineRule="auto"/>
        <w:rPr>
          <w:sz w:val="20"/>
          <w:szCs w:val="20"/>
          <w:color w:val="auto"/>
        </w:rPr>
      </w:pPr>
      <w:r>
        <w:rPr>
          <w:rFonts w:ascii="Courier New" w:cs="Courier New" w:eastAsia="Courier New" w:hAnsi="Courier New"/>
          <w:sz w:val="16"/>
          <w:szCs w:val="16"/>
          <w:color w:val="auto"/>
        </w:rPr>
        <w:t>from electronic retailing (excluding</w:t>
      </w:r>
    </w:p>
    <w:p>
      <w:pPr>
        <w:ind w:left="220"/>
        <w:spacing w:after="0"/>
        <w:rPr>
          <w:sz w:val="20"/>
          <w:szCs w:val="20"/>
          <w:color w:val="auto"/>
        </w:rPr>
      </w:pPr>
      <w:r>
        <w:rPr>
          <w:rFonts w:ascii="Courier New" w:cs="Courier New" w:eastAsia="Courier New" w:hAnsi="Courier New"/>
          <w:sz w:val="16"/>
          <w:szCs w:val="16"/>
          <w:color w:val="auto"/>
        </w:rPr>
        <w:t>depreciation)..................... 2,514.0</w:t>
      </w:r>
    </w:p>
    <w:p>
      <w:pPr>
        <w:ind w:left="880"/>
        <w:spacing w:after="0" w:line="238" w:lineRule="auto"/>
        <w:rPr>
          <w:sz w:val="20"/>
          <w:szCs w:val="20"/>
          <w:color w:val="auto"/>
        </w:rPr>
      </w:pPr>
      <w:r>
        <w:rPr>
          <w:rFonts w:ascii="Courier New" w:cs="Courier New" w:eastAsia="Courier New" w:hAnsi="Courier New"/>
          <w:sz w:val="16"/>
          <w:szCs w:val="16"/>
          <w:color w:val="auto"/>
        </w:rPr>
        <w:t>2,514.0 Selling, general and</w:t>
      </w:r>
    </w:p>
    <w:p>
      <w:pPr>
        <w:ind w:left="220"/>
        <w:spacing w:after="0"/>
        <w:rPr>
          <w:sz w:val="20"/>
          <w:szCs w:val="20"/>
          <w:color w:val="auto"/>
        </w:rPr>
      </w:pPr>
      <w:r>
        <w:rPr>
          <w:rFonts w:ascii="Courier New" w:cs="Courier New" w:eastAsia="Courier New" w:hAnsi="Courier New"/>
          <w:sz w:val="16"/>
          <w:szCs w:val="16"/>
          <w:color w:val="auto"/>
        </w:rPr>
        <w:t>administrative(m)......... 1,552.6 2,582.0</w:t>
      </w:r>
    </w:p>
    <w:p>
      <w:pPr>
        <w:ind w:left="1400"/>
        <w:spacing w:after="0" w:line="237" w:lineRule="auto"/>
        <w:rPr>
          <w:sz w:val="20"/>
          <w:szCs w:val="20"/>
          <w:color w:val="auto"/>
        </w:rPr>
      </w:pPr>
      <w:r>
        <w:rPr>
          <w:rFonts w:ascii="Courier New" w:cs="Courier New" w:eastAsia="Courier New" w:hAnsi="Courier New"/>
          <w:sz w:val="16"/>
          <w:szCs w:val="16"/>
          <w:color w:val="auto"/>
        </w:rPr>
        <w:t>(22.6)(b) 4,112.0</w:t>
      </w:r>
    </w:p>
    <w:p>
      <w:pPr>
        <w:spacing w:after="0"/>
        <w:rPr>
          <w:sz w:val="20"/>
          <w:szCs w:val="20"/>
          <w:color w:val="auto"/>
        </w:rPr>
      </w:pPr>
      <w:r>
        <w:rPr>
          <w:rFonts w:ascii="Courier New" w:cs="Courier New" w:eastAsia="Courier New" w:hAnsi="Courier New"/>
          <w:sz w:val="16"/>
          <w:szCs w:val="16"/>
          <w:color w:val="auto"/>
        </w:rPr>
        <w:t>Depreciation...................................</w:t>
      </w:r>
    </w:p>
    <w:p>
      <w:pPr>
        <w:ind w:left="1120"/>
        <w:spacing w:after="0" w:line="238" w:lineRule="auto"/>
        <w:rPr>
          <w:sz w:val="20"/>
          <w:szCs w:val="20"/>
          <w:color w:val="auto"/>
        </w:rPr>
      </w:pPr>
      <w:r>
        <w:rPr>
          <w:rFonts w:ascii="Courier New" w:cs="Courier New" w:eastAsia="Courier New" w:hAnsi="Courier New"/>
          <w:sz w:val="16"/>
          <w:szCs w:val="16"/>
          <w:color w:val="auto"/>
        </w:rPr>
        <w:t>1,141.8 2,626.0 3,767.8</w:t>
      </w:r>
    </w:p>
    <w:p>
      <w:pPr>
        <w:spacing w:after="0"/>
        <w:rPr>
          <w:sz w:val="20"/>
          <w:szCs w:val="20"/>
          <w:color w:val="auto"/>
        </w:rPr>
      </w:pPr>
      <w:r>
        <w:rPr>
          <w:rFonts w:ascii="Courier New" w:cs="Courier New" w:eastAsia="Courier New" w:hAnsi="Courier New"/>
          <w:sz w:val="16"/>
          <w:szCs w:val="16"/>
          <w:color w:val="auto"/>
        </w:rPr>
        <w:t>Amortization...................................</w:t>
      </w:r>
    </w:p>
    <w:p>
      <w:pPr>
        <w:ind w:left="220"/>
        <w:spacing w:after="0" w:line="238" w:lineRule="auto"/>
        <w:rPr>
          <w:sz w:val="20"/>
          <w:szCs w:val="20"/>
          <w:color w:val="auto"/>
        </w:rPr>
      </w:pPr>
      <w:r>
        <w:rPr>
          <w:rFonts w:ascii="Courier New" w:cs="Courier New" w:eastAsia="Courier New" w:hAnsi="Courier New"/>
          <w:sz w:val="16"/>
          <w:szCs w:val="16"/>
          <w:color w:val="auto"/>
        </w:rPr>
        <w:t>2,306.2 2,154.0 (1,882.9)(e) 2,577.3 Asset</w:t>
      </w:r>
    </w:p>
    <w:p>
      <w:pPr>
        <w:ind w:left="560"/>
        <w:spacing w:after="0"/>
        <w:rPr>
          <w:sz w:val="20"/>
          <w:szCs w:val="20"/>
          <w:color w:val="auto"/>
        </w:rPr>
      </w:pPr>
      <w:r>
        <w:rPr>
          <w:rFonts w:ascii="Courier New" w:cs="Courier New" w:eastAsia="Courier New" w:hAnsi="Courier New"/>
          <w:sz w:val="16"/>
          <w:szCs w:val="16"/>
          <w:color w:val="auto"/>
        </w:rPr>
        <w:t>impairment, restructuring and other</w:t>
      </w:r>
    </w:p>
    <w:p>
      <w:pPr>
        <w:ind w:left="80"/>
        <w:spacing w:after="0" w:line="237" w:lineRule="auto"/>
        <w:rPr>
          <w:sz w:val="20"/>
          <w:szCs w:val="20"/>
          <w:color w:val="auto"/>
        </w:rPr>
      </w:pPr>
      <w:r>
        <w:rPr>
          <w:rFonts w:ascii="Courier New" w:cs="Courier New" w:eastAsia="Courier New" w:hAnsi="Courier New"/>
          <w:sz w:val="16"/>
          <w:szCs w:val="16"/>
          <w:color w:val="auto"/>
        </w:rPr>
        <w:t>charges......................................</w:t>
      </w:r>
    </w:p>
    <w:p>
      <w:pPr>
        <w:ind w:left="40"/>
        <w:spacing w:after="0"/>
        <w:rPr>
          <w:sz w:val="20"/>
          <w:szCs w:val="20"/>
          <w:color w:val="auto"/>
        </w:rPr>
      </w:pPr>
      <w:r>
        <w:rPr>
          <w:rFonts w:ascii="Courier New" w:cs="Courier New" w:eastAsia="Courier New" w:hAnsi="Courier New"/>
          <w:sz w:val="16"/>
          <w:szCs w:val="16"/>
          <w:color w:val="auto"/>
        </w:rPr>
        <w:t>1,494.0 1,494.0 --------- --------- ------- --</w:t>
      </w:r>
    </w:p>
    <w:p>
      <w:pPr>
        <w:ind w:left="220"/>
        <w:spacing w:after="0" w:line="238" w:lineRule="auto"/>
        <w:rPr>
          <w:sz w:val="20"/>
          <w:szCs w:val="20"/>
          <w:color w:val="auto"/>
        </w:rPr>
      </w:pPr>
      <w:r>
        <w:rPr>
          <w:rFonts w:ascii="Courier New" w:cs="Courier New" w:eastAsia="Courier New" w:hAnsi="Courier New"/>
          <w:sz w:val="16"/>
          <w:szCs w:val="16"/>
          <w:color w:val="auto"/>
        </w:rPr>
        <w:t>------- --------- 10,420.4 14,315.0 (85.4)</w:t>
      </w:r>
    </w:p>
    <w:p>
      <w:pPr>
        <w:ind w:left="40"/>
        <w:spacing w:after="0"/>
        <w:rPr>
          <w:sz w:val="20"/>
          <w:szCs w:val="20"/>
          <w:color w:val="auto"/>
        </w:rPr>
      </w:pPr>
      <w:r>
        <w:rPr>
          <w:rFonts w:ascii="Courier New" w:cs="Courier New" w:eastAsia="Courier New" w:hAnsi="Courier New"/>
          <w:sz w:val="16"/>
          <w:szCs w:val="16"/>
          <w:color w:val="auto"/>
        </w:rPr>
        <w:t>(1,882.9) 22,767.1 --------- --------- -------</w:t>
      </w:r>
    </w:p>
    <w:p>
      <w:pPr>
        <w:ind w:left="840"/>
        <w:spacing w:after="0" w:line="238" w:lineRule="auto"/>
        <w:rPr>
          <w:sz w:val="20"/>
          <w:szCs w:val="20"/>
          <w:color w:val="auto"/>
        </w:rPr>
      </w:pPr>
      <w:r>
        <w:rPr>
          <w:rFonts w:ascii="Courier New" w:cs="Courier New" w:eastAsia="Courier New" w:hAnsi="Courier New"/>
          <w:sz w:val="16"/>
          <w:szCs w:val="16"/>
          <w:color w:val="auto"/>
        </w:rPr>
        <w:t>--------- --------- OPERATING</w:t>
      </w:r>
    </w:p>
    <w:p>
      <w:pPr>
        <w:ind w:left="360"/>
        <w:spacing w:after="0"/>
        <w:rPr>
          <w:sz w:val="20"/>
          <w:szCs w:val="20"/>
          <w:color w:val="auto"/>
        </w:rPr>
      </w:pPr>
      <w:r>
        <w:rPr>
          <w:rFonts w:ascii="Courier New" w:cs="Courier New" w:eastAsia="Courier New" w:hAnsi="Courier New"/>
          <w:sz w:val="16"/>
          <w:szCs w:val="16"/>
          <w:color w:val="auto"/>
        </w:rPr>
        <w:t>LOSS...................................</w:t>
      </w:r>
    </w:p>
    <w:p>
      <w:pPr>
        <w:ind w:left="220"/>
        <w:spacing w:after="0" w:line="237" w:lineRule="auto"/>
        <w:rPr>
          <w:sz w:val="20"/>
          <w:szCs w:val="20"/>
          <w:color w:val="auto"/>
        </w:rPr>
      </w:pPr>
      <w:r>
        <w:rPr>
          <w:rFonts w:ascii="Courier New" w:cs="Courier New" w:eastAsia="Courier New" w:hAnsi="Courier New"/>
          <w:sz w:val="16"/>
          <w:szCs w:val="16"/>
          <w:color w:val="auto"/>
        </w:rPr>
        <w:t>(746.2) (4,183.0) (23.5) 1,882.9 (3,069.8)</w:t>
      </w:r>
    </w:p>
    <w:p>
      <w:pPr>
        <w:ind w:left="360"/>
        <w:spacing w:after="0"/>
        <w:rPr>
          <w:sz w:val="20"/>
          <w:szCs w:val="20"/>
          <w:color w:val="auto"/>
        </w:rPr>
      </w:pPr>
      <w:r>
        <w:rPr>
          <w:rFonts w:ascii="Courier New" w:cs="Courier New" w:eastAsia="Courier New" w:hAnsi="Courier New"/>
          <w:sz w:val="16"/>
          <w:szCs w:val="16"/>
          <w:color w:val="auto"/>
        </w:rPr>
        <w:t>OTHER INCOME (EXPENSE) 61.4(f) Interest</w:t>
      </w:r>
    </w:p>
    <w:p>
      <w:pPr>
        <w:ind w:left="40"/>
        <w:spacing w:after="0" w:line="238" w:lineRule="auto"/>
        <w:rPr>
          <w:sz w:val="20"/>
          <w:szCs w:val="20"/>
          <w:color w:val="auto"/>
        </w:rPr>
      </w:pPr>
      <w:r>
        <w:rPr>
          <w:rFonts w:ascii="Courier New" w:cs="Courier New" w:eastAsia="Courier New" w:hAnsi="Courier New"/>
          <w:sz w:val="16"/>
          <w:szCs w:val="16"/>
          <w:color w:val="auto"/>
        </w:rPr>
        <w:t>expense............................... (731.8)</w:t>
      </w:r>
    </w:p>
    <w:p>
      <w:pPr>
        <w:jc w:val="center"/>
        <w:ind w:right="5819"/>
        <w:spacing w:after="0"/>
        <w:rPr>
          <w:sz w:val="20"/>
          <w:szCs w:val="20"/>
          <w:color w:val="auto"/>
        </w:rPr>
      </w:pPr>
      <w:r>
        <w:rPr>
          <w:rFonts w:ascii="Courier New" w:cs="Courier New" w:eastAsia="Courier New" w:hAnsi="Courier New"/>
          <w:sz w:val="16"/>
          <w:szCs w:val="16"/>
          <w:color w:val="auto"/>
        </w:rPr>
        <w:t>(1,735.0) 64.9(g) (2,340.5) Investment income</w:t>
      </w:r>
    </w:p>
    <w:p>
      <w:pPr>
        <w:ind w:left="460"/>
        <w:spacing w:after="0" w:line="238" w:lineRule="auto"/>
        <w:rPr>
          <w:sz w:val="20"/>
          <w:szCs w:val="20"/>
          <w:color w:val="auto"/>
        </w:rPr>
      </w:pPr>
      <w:r>
        <w:rPr>
          <w:rFonts w:ascii="Courier New" w:cs="Courier New" w:eastAsia="Courier New" w:hAnsi="Courier New"/>
          <w:sz w:val="16"/>
          <w:szCs w:val="16"/>
          <w:color w:val="auto"/>
        </w:rPr>
        <w:t>(expense).................... 1,061.7</w:t>
      </w:r>
    </w:p>
    <w:p>
      <w:pPr>
        <w:ind w:left="80"/>
        <w:spacing w:after="0"/>
        <w:rPr>
          <w:sz w:val="20"/>
          <w:szCs w:val="20"/>
          <w:color w:val="auto"/>
        </w:rPr>
      </w:pPr>
      <w:r>
        <w:rPr>
          <w:rFonts w:ascii="Courier New" w:cs="Courier New" w:eastAsia="Courier New" w:hAnsi="Courier New"/>
          <w:sz w:val="16"/>
          <w:szCs w:val="16"/>
          <w:color w:val="auto"/>
        </w:rPr>
        <w:t>(1,947.0) (18.7)(b) (904.0) (106.0)(h) Equity</w:t>
      </w:r>
    </w:p>
    <w:p>
      <w:pPr>
        <w:ind w:left="320"/>
        <w:spacing w:after="0" w:line="237" w:lineRule="auto"/>
        <w:rPr>
          <w:sz w:val="20"/>
          <w:szCs w:val="20"/>
          <w:color w:val="auto"/>
        </w:rPr>
      </w:pPr>
      <w:r>
        <w:rPr>
          <w:rFonts w:ascii="Courier New" w:cs="Courier New" w:eastAsia="Courier New" w:hAnsi="Courier New"/>
          <w:sz w:val="16"/>
          <w:szCs w:val="16"/>
          <w:color w:val="auto"/>
        </w:rPr>
        <w:t>in net income (losses) of affiliates....</w:t>
      </w:r>
    </w:p>
    <w:p>
      <w:pPr>
        <w:ind w:left="640"/>
        <w:spacing w:after="0"/>
        <w:rPr>
          <w:sz w:val="20"/>
          <w:szCs w:val="20"/>
          <w:color w:val="auto"/>
        </w:rPr>
      </w:pPr>
      <w:r>
        <w:rPr>
          <w:rFonts w:ascii="Courier New" w:cs="Courier New" w:eastAsia="Courier New" w:hAnsi="Courier New"/>
          <w:sz w:val="16"/>
          <w:szCs w:val="16"/>
          <w:color w:val="auto"/>
        </w:rPr>
        <w:t>(28.5) 148.0(e) 13.5 Other income</w:t>
      </w:r>
    </w:p>
    <w:p>
      <w:pPr>
        <w:ind w:left="220"/>
        <w:spacing w:after="0" w:line="238" w:lineRule="auto"/>
        <w:rPr>
          <w:sz w:val="20"/>
          <w:szCs w:val="20"/>
          <w:color w:val="auto"/>
        </w:rPr>
      </w:pPr>
      <w:r>
        <w:rPr>
          <w:rFonts w:ascii="Courier New" w:cs="Courier New" w:eastAsia="Courier New" w:hAnsi="Courier New"/>
          <w:sz w:val="16"/>
          <w:szCs w:val="16"/>
          <w:color w:val="auto"/>
        </w:rPr>
        <w:t>(expense)......................... 1,301.0</w:t>
      </w:r>
    </w:p>
    <w:p>
      <w:pPr>
        <w:ind w:left="40"/>
        <w:spacing w:after="0"/>
        <w:rPr>
          <w:sz w:val="20"/>
          <w:szCs w:val="20"/>
          <w:color w:val="auto"/>
        </w:rPr>
      </w:pPr>
      <w:r>
        <w:rPr>
          <w:rFonts w:ascii="Courier New" w:cs="Courier New" w:eastAsia="Courier New" w:hAnsi="Courier New"/>
          <w:sz w:val="16"/>
          <w:szCs w:val="16"/>
          <w:color w:val="auto"/>
        </w:rPr>
        <w:t>(927.0) 374.0 --------- --------- ------- ----</w:t>
      </w:r>
    </w:p>
    <w:p>
      <w:pPr>
        <w:ind w:left="40"/>
        <w:spacing w:after="0" w:line="238" w:lineRule="auto"/>
        <w:rPr>
          <w:sz w:val="20"/>
          <w:szCs w:val="20"/>
          <w:color w:val="auto"/>
        </w:rPr>
      </w:pPr>
      <w:r>
        <w:rPr>
          <w:rFonts w:ascii="Courier New" w:cs="Courier New" w:eastAsia="Courier New" w:hAnsi="Courier New"/>
          <w:sz w:val="16"/>
          <w:szCs w:val="16"/>
          <w:color w:val="auto"/>
        </w:rPr>
        <w:t>----- --------- 1,602.4 (4,609.0) (18.7) 168.3</w:t>
      </w:r>
    </w:p>
    <w:p>
      <w:pPr>
        <w:ind w:left="40"/>
        <w:spacing w:after="0"/>
        <w:rPr>
          <w:sz w:val="20"/>
          <w:szCs w:val="20"/>
          <w:color w:val="auto"/>
        </w:rPr>
      </w:pPr>
      <w:r>
        <w:rPr>
          <w:rFonts w:ascii="Courier New" w:cs="Courier New" w:eastAsia="Courier New" w:hAnsi="Courier New"/>
          <w:sz w:val="16"/>
          <w:szCs w:val="16"/>
          <w:color w:val="auto"/>
        </w:rPr>
        <w:t>(2,857.0) --------- --------- ------- --------</w:t>
      </w:r>
    </w:p>
    <w:p>
      <w:pPr>
        <w:ind w:left="40"/>
        <w:spacing w:after="0" w:line="237" w:lineRule="auto"/>
        <w:rPr>
          <w:sz w:val="20"/>
          <w:szCs w:val="20"/>
          <w:color w:val="auto"/>
        </w:rPr>
      </w:pPr>
      <w:r>
        <w:rPr>
          <w:rFonts w:ascii="Courier New" w:cs="Courier New" w:eastAsia="Courier New" w:hAnsi="Courier New"/>
          <w:sz w:val="16"/>
          <w:szCs w:val="16"/>
          <w:color w:val="auto"/>
        </w:rPr>
        <w:t>- --------- INCOME (LOSS) BEFORE INCOME TAXES,</w:t>
      </w:r>
    </w:p>
    <w:p>
      <w:pPr>
        <w:ind w:left="220"/>
        <w:spacing w:after="0"/>
        <w:rPr>
          <w:sz w:val="20"/>
          <w:szCs w:val="20"/>
          <w:color w:val="auto"/>
        </w:rPr>
      </w:pPr>
      <w:r>
        <w:rPr>
          <w:rFonts w:ascii="Courier New" w:cs="Courier New" w:eastAsia="Courier New" w:hAnsi="Courier New"/>
          <w:sz w:val="16"/>
          <w:szCs w:val="16"/>
          <w:color w:val="auto"/>
        </w:rPr>
        <w:t>MINORITY INTEREST, EXTRAORDINARY ITEMS AND</w:t>
      </w:r>
    </w:p>
    <w:p>
      <w:pPr>
        <w:ind w:left="740"/>
        <w:spacing w:after="0" w:line="238" w:lineRule="auto"/>
        <w:rPr>
          <w:sz w:val="20"/>
          <w:szCs w:val="20"/>
          <w:color w:val="auto"/>
        </w:rPr>
      </w:pPr>
      <w:r>
        <w:rPr>
          <w:rFonts w:ascii="Courier New" w:cs="Courier New" w:eastAsia="Courier New" w:hAnsi="Courier New"/>
          <w:sz w:val="16"/>
          <w:szCs w:val="16"/>
          <w:color w:val="auto"/>
        </w:rPr>
        <w:t>CUMULATIVE EFFECT OF ACCOUNTING</w:t>
      </w:r>
    </w:p>
    <w:p>
      <w:pPr>
        <w:ind w:left="220"/>
        <w:spacing w:after="0"/>
        <w:rPr>
          <w:sz w:val="20"/>
          <w:szCs w:val="20"/>
          <w:color w:val="auto"/>
        </w:rPr>
      </w:pPr>
      <w:r>
        <w:rPr>
          <w:rFonts w:ascii="Courier New" w:cs="Courier New" w:eastAsia="Courier New" w:hAnsi="Courier New"/>
          <w:sz w:val="16"/>
          <w:szCs w:val="16"/>
          <w:color w:val="auto"/>
        </w:rPr>
        <w:t>CHANGE.................... 856.2 (8,792.0)</w:t>
      </w:r>
    </w:p>
    <w:p>
      <w:pPr>
        <w:ind w:left="40"/>
        <w:spacing w:after="0" w:line="238" w:lineRule="auto"/>
        <w:rPr>
          <w:sz w:val="20"/>
          <w:szCs w:val="20"/>
          <w:color w:val="auto"/>
        </w:rPr>
      </w:pPr>
      <w:r>
        <w:rPr>
          <w:rFonts w:ascii="Courier New" w:cs="Courier New" w:eastAsia="Courier New" w:hAnsi="Courier New"/>
          <w:sz w:val="16"/>
          <w:szCs w:val="16"/>
          <w:color w:val="auto"/>
        </w:rPr>
        <w:t>(42.2) 2,051.2 (5,926.8) (576.7)(i) INCOME TAX</w:t>
      </w:r>
    </w:p>
    <w:p>
      <w:pPr>
        <w:ind w:left="40"/>
        <w:spacing w:after="0"/>
        <w:rPr>
          <w:sz w:val="20"/>
          <w:szCs w:val="20"/>
          <w:color w:val="auto"/>
        </w:rPr>
      </w:pPr>
      <w:r>
        <w:rPr>
          <w:rFonts w:ascii="Courier New" w:cs="Courier New" w:eastAsia="Courier New" w:hAnsi="Courier New"/>
          <w:sz w:val="16"/>
          <w:szCs w:val="16"/>
          <w:color w:val="auto"/>
        </w:rPr>
        <w:t>(EXPENSE) BENEFIT..................... (470.2)</w:t>
      </w:r>
    </w:p>
    <w:p>
      <w:pPr>
        <w:ind w:left="40"/>
        <w:spacing w:after="0" w:line="237" w:lineRule="auto"/>
        <w:rPr>
          <w:sz w:val="20"/>
          <w:szCs w:val="20"/>
          <w:color w:val="auto"/>
        </w:rPr>
      </w:pPr>
      <w:r>
        <w:rPr>
          <w:rFonts w:ascii="Courier New" w:cs="Courier New" w:eastAsia="Courier New" w:hAnsi="Courier New"/>
          <w:sz w:val="16"/>
          <w:szCs w:val="16"/>
          <w:color w:val="auto"/>
        </w:rPr>
        <w:t>3,857.0 (750.3)(c) 37.0(h) 2,096.8 --------- -</w:t>
      </w:r>
    </w:p>
    <w:p>
      <w:pPr>
        <w:ind w:left="180"/>
        <w:spacing w:after="0"/>
        <w:rPr>
          <w:sz w:val="20"/>
          <w:szCs w:val="20"/>
          <w:color w:val="auto"/>
        </w:rPr>
      </w:pPr>
      <w:r>
        <w:rPr>
          <w:rFonts w:ascii="Courier New" w:cs="Courier New" w:eastAsia="Courier New" w:hAnsi="Courier New"/>
          <w:sz w:val="16"/>
          <w:szCs w:val="16"/>
          <w:color w:val="auto"/>
        </w:rPr>
        <w:t>-------- ------- --------- --------- INCOME</w:t>
      </w:r>
    </w:p>
    <w:p>
      <w:pPr>
        <w:ind w:left="40"/>
        <w:spacing w:after="0" w:line="238" w:lineRule="auto"/>
        <w:rPr>
          <w:sz w:val="20"/>
          <w:szCs w:val="20"/>
          <w:color w:val="auto"/>
        </w:rPr>
      </w:pPr>
      <w:r>
        <w:rPr>
          <w:rFonts w:ascii="Courier New" w:cs="Courier New" w:eastAsia="Courier New" w:hAnsi="Courier New"/>
          <w:sz w:val="16"/>
          <w:szCs w:val="16"/>
          <w:color w:val="auto"/>
        </w:rPr>
        <w:t>(LOSS) BEFORE MINORITY INTEREST, EXTRAORDINARY</w:t>
      </w:r>
    </w:p>
    <w:p>
      <w:pPr>
        <w:ind w:left="280"/>
        <w:spacing w:after="0"/>
        <w:rPr>
          <w:sz w:val="20"/>
          <w:szCs w:val="20"/>
          <w:color w:val="auto"/>
        </w:rPr>
      </w:pPr>
      <w:r>
        <w:rPr>
          <w:rFonts w:ascii="Courier New" w:cs="Courier New" w:eastAsia="Courier New" w:hAnsi="Courier New"/>
          <w:sz w:val="16"/>
          <w:szCs w:val="16"/>
          <w:color w:val="auto"/>
        </w:rPr>
        <w:t>ITEMS AND CUMULATIVE EFFECT OF ACCOUNTING</w:t>
      </w:r>
    </w:p>
    <w:p>
      <w:pPr>
        <w:ind w:left="220"/>
        <w:spacing w:after="0" w:line="238" w:lineRule="auto"/>
        <w:rPr>
          <w:sz w:val="20"/>
          <w:szCs w:val="20"/>
          <w:color w:val="auto"/>
        </w:rPr>
      </w:pPr>
      <w:r>
        <w:rPr>
          <w:rFonts w:ascii="Courier New" w:cs="Courier New" w:eastAsia="Courier New" w:hAnsi="Courier New"/>
          <w:sz w:val="16"/>
          <w:szCs w:val="16"/>
          <w:color w:val="auto"/>
        </w:rPr>
        <w:t>CHANGE.............................. 386.0</w:t>
      </w:r>
    </w:p>
    <w:p>
      <w:pPr>
        <w:jc w:val="center"/>
        <w:ind w:right="5819"/>
        <w:spacing w:after="0"/>
        <w:rPr>
          <w:sz w:val="20"/>
          <w:szCs w:val="20"/>
          <w:color w:val="auto"/>
        </w:rPr>
      </w:pPr>
      <w:r>
        <w:rPr>
          <w:rFonts w:ascii="Courier New" w:cs="Courier New" w:eastAsia="Courier New" w:hAnsi="Courier New"/>
          <w:sz w:val="16"/>
          <w:szCs w:val="16"/>
          <w:color w:val="auto"/>
        </w:rPr>
        <w:t>(4,935.0) (792.5) 1,511.5 (3,830.0) Net loss</w:t>
      </w:r>
    </w:p>
    <w:p>
      <w:pPr>
        <w:ind w:left="320"/>
        <w:spacing w:after="0" w:line="237" w:lineRule="auto"/>
        <w:rPr>
          <w:sz w:val="20"/>
          <w:szCs w:val="20"/>
          <w:color w:val="auto"/>
        </w:rPr>
      </w:pPr>
      <w:r>
        <w:rPr>
          <w:rFonts w:ascii="Courier New" w:cs="Courier New" w:eastAsia="Courier New" w:hAnsi="Courier New"/>
          <w:sz w:val="16"/>
          <w:szCs w:val="16"/>
          <w:color w:val="auto"/>
        </w:rPr>
        <w:t>from equity investments.................</w:t>
      </w:r>
    </w:p>
    <w:p>
      <w:pPr>
        <w:jc w:val="center"/>
        <w:ind w:right="5819"/>
        <w:spacing w:after="0"/>
        <w:rPr>
          <w:sz w:val="20"/>
          <w:szCs w:val="20"/>
          <w:color w:val="auto"/>
        </w:rPr>
      </w:pPr>
      <w:r>
        <w:rPr>
          <w:rFonts w:ascii="Courier New" w:cs="Courier New" w:eastAsia="Courier New" w:hAnsi="Courier New"/>
          <w:sz w:val="16"/>
          <w:szCs w:val="16"/>
          <w:color w:val="auto"/>
        </w:rPr>
        <w:t>(69.0) 69.0(h) MINORITY INTEREST INCOME</w:t>
      </w:r>
    </w:p>
    <w:p>
      <w:pPr>
        <w:ind w:left="80"/>
        <w:spacing w:after="0" w:line="238" w:lineRule="auto"/>
        <w:rPr>
          <w:sz w:val="20"/>
          <w:szCs w:val="20"/>
          <w:color w:val="auto"/>
        </w:rPr>
      </w:pPr>
      <w:r>
        <w:rPr>
          <w:rFonts w:ascii="Courier New" w:cs="Courier New" w:eastAsia="Courier New" w:hAnsi="Courier New"/>
          <w:sz w:val="16"/>
          <w:szCs w:val="16"/>
          <w:color w:val="auto"/>
        </w:rPr>
        <w:t>(EXPENSE)............... (160.4) 833.0 (24.0)</w:t>
      </w:r>
    </w:p>
    <w:p>
      <w:pPr>
        <w:ind w:left="40"/>
        <w:spacing w:after="0"/>
        <w:rPr>
          <w:sz w:val="20"/>
          <w:szCs w:val="20"/>
          <w:color w:val="auto"/>
        </w:rPr>
      </w:pPr>
      <w:r>
        <w:rPr>
          <w:rFonts w:ascii="Courier New" w:cs="Courier New" w:eastAsia="Courier New" w:hAnsi="Courier New"/>
          <w:sz w:val="16"/>
          <w:szCs w:val="16"/>
          <w:color w:val="auto"/>
        </w:rPr>
        <w:t>(b) 160.0(j) 808.6 --------- --------- -------</w:t>
      </w:r>
    </w:p>
    <w:p>
      <w:pPr>
        <w:ind w:left="320"/>
        <w:spacing w:after="0" w:line="238" w:lineRule="auto"/>
        <w:rPr>
          <w:sz w:val="20"/>
          <w:szCs w:val="20"/>
          <w:color w:val="auto"/>
        </w:rPr>
      </w:pPr>
      <w:r>
        <w:rPr>
          <w:rFonts w:ascii="Courier New" w:cs="Courier New" w:eastAsia="Courier New" w:hAnsi="Courier New"/>
          <w:sz w:val="16"/>
          <w:szCs w:val="16"/>
          <w:color w:val="auto"/>
        </w:rPr>
        <w:t>--------- --------- INCOME (LOSS) BEFORE</w:t>
      </w:r>
    </w:p>
    <w:p>
      <w:pPr>
        <w:ind w:left="140"/>
        <w:spacing w:after="0"/>
        <w:rPr>
          <w:sz w:val="20"/>
          <w:szCs w:val="20"/>
          <w:color w:val="auto"/>
        </w:rPr>
      </w:pPr>
      <w:r>
        <w:rPr>
          <w:rFonts w:ascii="Courier New" w:cs="Courier New" w:eastAsia="Courier New" w:hAnsi="Courier New"/>
          <w:sz w:val="16"/>
          <w:szCs w:val="16"/>
          <w:color w:val="auto"/>
        </w:rPr>
        <w:t>EXTRAORDINARY ITEMS AND CUMULATIVE EFFECT OF</w:t>
      </w:r>
    </w:p>
    <w:p>
      <w:pPr>
        <w:ind w:left="80"/>
        <w:spacing w:after="0" w:line="237" w:lineRule="auto"/>
        <w:rPr>
          <w:sz w:val="20"/>
          <w:szCs w:val="20"/>
          <w:color w:val="auto"/>
        </w:rPr>
      </w:pPr>
      <w:r>
        <w:rPr>
          <w:rFonts w:ascii="Courier New" w:cs="Courier New" w:eastAsia="Courier New" w:hAnsi="Courier New"/>
          <w:sz w:val="16"/>
          <w:szCs w:val="16"/>
          <w:color w:val="auto"/>
        </w:rPr>
        <w:t>ACCOUNTING CHANGE......... $ 225.6 $(4,171.0)</w:t>
      </w:r>
    </w:p>
    <w:p>
      <w:pPr>
        <w:ind w:left="360"/>
        <w:spacing w:after="0"/>
        <w:rPr>
          <w:sz w:val="20"/>
          <w:szCs w:val="20"/>
          <w:color w:val="auto"/>
        </w:rPr>
      </w:pPr>
      <w:r>
        <w:rPr>
          <w:rFonts w:ascii="Courier New" w:cs="Courier New" w:eastAsia="Courier New" w:hAnsi="Courier New"/>
          <w:sz w:val="16"/>
          <w:szCs w:val="16"/>
          <w:color w:val="auto"/>
        </w:rPr>
        <w:t>$(816.5) $ 1,740.5 $(3,021.4) =========</w:t>
      </w:r>
    </w:p>
    <w:p>
      <w:pPr>
        <w:ind w:left="40"/>
        <w:spacing w:after="0" w:line="238" w:lineRule="auto"/>
        <w:rPr>
          <w:sz w:val="20"/>
          <w:szCs w:val="20"/>
          <w:color w:val="auto"/>
        </w:rPr>
      </w:pPr>
      <w:r>
        <w:rPr>
          <w:rFonts w:ascii="Courier New" w:cs="Courier New" w:eastAsia="Courier New" w:hAnsi="Courier New"/>
          <w:sz w:val="16"/>
          <w:szCs w:val="16"/>
          <w:color w:val="auto"/>
        </w:rPr>
        <w:t>========= ======= ========= ========= Earnings</w:t>
      </w:r>
    </w:p>
    <w:p>
      <w:pPr>
        <w:ind w:left="40"/>
        <w:spacing w:after="0"/>
        <w:rPr>
          <w:sz w:val="20"/>
          <w:szCs w:val="20"/>
          <w:color w:val="auto"/>
        </w:rPr>
      </w:pPr>
      <w:r>
        <w:rPr>
          <w:rFonts w:ascii="Courier New" w:cs="Courier New" w:eastAsia="Courier New" w:hAnsi="Courier New"/>
          <w:sz w:val="16"/>
          <w:szCs w:val="16"/>
          <w:color w:val="auto"/>
        </w:rPr>
        <w:t>(loss) per share from continuing operations --</w:t>
      </w:r>
    </w:p>
    <w:p>
      <w:pPr>
        <w:ind w:left="220"/>
        <w:spacing w:after="0" w:line="238" w:lineRule="auto"/>
        <w:rPr>
          <w:sz w:val="20"/>
          <w:szCs w:val="20"/>
          <w:color w:val="auto"/>
        </w:rPr>
      </w:pPr>
      <w:r>
        <w:rPr>
          <w:rFonts w:ascii="Courier New" w:cs="Courier New" w:eastAsia="Courier New" w:hAnsi="Courier New"/>
          <w:sz w:val="16"/>
          <w:szCs w:val="16"/>
          <w:color w:val="auto"/>
        </w:rPr>
        <w:t>basic............................ $ 0.24 $</w:t>
      </w:r>
    </w:p>
    <w:p>
      <w:pPr>
        <w:ind w:left="460"/>
        <w:spacing w:after="0"/>
        <w:rPr>
          <w:sz w:val="20"/>
          <w:szCs w:val="20"/>
          <w:color w:val="auto"/>
        </w:rPr>
      </w:pPr>
      <w:r>
        <w:rPr>
          <w:rFonts w:ascii="Courier New" w:cs="Courier New" w:eastAsia="Courier New" w:hAnsi="Courier New"/>
          <w:sz w:val="16"/>
          <w:szCs w:val="16"/>
          <w:color w:val="auto"/>
        </w:rPr>
        <w:t>(1.34) Earnings (loss) per share from</w:t>
      </w:r>
    </w:p>
    <w:p>
      <w:pPr>
        <w:ind w:left="640"/>
        <w:spacing w:after="0" w:line="237" w:lineRule="auto"/>
        <w:rPr>
          <w:sz w:val="20"/>
          <w:szCs w:val="20"/>
          <w:color w:val="auto"/>
        </w:rPr>
      </w:pPr>
      <w:r>
        <w:rPr>
          <w:rFonts w:ascii="Courier New" w:cs="Courier New" w:eastAsia="Courier New" w:hAnsi="Courier New"/>
          <w:sz w:val="16"/>
          <w:szCs w:val="16"/>
          <w:color w:val="auto"/>
        </w:rPr>
        <w:t>continuing operations -- assuming</w:t>
      </w:r>
    </w:p>
    <w:p>
      <w:pPr>
        <w:ind w:left="320"/>
        <w:spacing w:after="0"/>
        <w:rPr>
          <w:sz w:val="20"/>
          <w:szCs w:val="20"/>
          <w:color w:val="auto"/>
        </w:rPr>
      </w:pPr>
      <w:r>
        <w:rPr>
          <w:rFonts w:ascii="Courier New" w:cs="Courier New" w:eastAsia="Courier New" w:hAnsi="Courier New"/>
          <w:sz w:val="16"/>
          <w:szCs w:val="16"/>
          <w:color w:val="auto"/>
        </w:rPr>
        <w:t>dilution................ $ 0.23 $ (1.34)</w:t>
      </w:r>
    </w:p>
    <w:p>
      <w:pPr>
        <w:ind w:left="320"/>
        <w:spacing w:after="0" w:line="238" w:lineRule="auto"/>
        <w:rPr>
          <w:sz w:val="20"/>
          <w:szCs w:val="20"/>
          <w:color w:val="auto"/>
        </w:rPr>
      </w:pPr>
      <w:r>
        <w:rPr>
          <w:rFonts w:ascii="Courier New" w:cs="Courier New" w:eastAsia="Courier New" w:hAnsi="Courier New"/>
          <w:sz w:val="16"/>
          <w:szCs w:val="16"/>
          <w:color w:val="auto"/>
        </w:rPr>
        <w:t>Weighted average number of common shares</w:t>
      </w:r>
    </w:p>
    <w:p>
      <w:pPr>
        <w:ind w:left="1540"/>
        <w:spacing w:after="0"/>
        <w:rPr>
          <w:sz w:val="20"/>
          <w:szCs w:val="20"/>
          <w:color w:val="auto"/>
        </w:rPr>
      </w:pPr>
      <w:r>
        <w:rPr>
          <w:rFonts w:ascii="Courier New" w:cs="Courier New" w:eastAsia="Courier New" w:hAnsi="Courier New"/>
          <w:sz w:val="16"/>
          <w:szCs w:val="16"/>
          <w:color w:val="auto"/>
        </w:rPr>
        <w:t>outstanding --</w:t>
      </w:r>
    </w:p>
    <w:p>
      <w:pPr>
        <w:ind w:left="420"/>
        <w:spacing w:after="0" w:line="238" w:lineRule="auto"/>
        <w:rPr>
          <w:sz w:val="20"/>
          <w:szCs w:val="20"/>
          <w:color w:val="auto"/>
        </w:rPr>
      </w:pPr>
      <w:r>
        <w:rPr>
          <w:rFonts w:ascii="Courier New" w:cs="Courier New" w:eastAsia="Courier New" w:hAnsi="Courier New"/>
          <w:sz w:val="16"/>
          <w:szCs w:val="16"/>
          <w:color w:val="auto"/>
        </w:rPr>
        <w:t>basic........................... 949.7</w:t>
      </w:r>
    </w:p>
    <w:p>
      <w:pPr>
        <w:ind w:left="80"/>
        <w:spacing w:after="0"/>
        <w:rPr>
          <w:sz w:val="20"/>
          <w:szCs w:val="20"/>
          <w:color w:val="auto"/>
        </w:rPr>
      </w:pPr>
      <w:r>
        <w:rPr>
          <w:rFonts w:ascii="Courier New" w:cs="Courier New" w:eastAsia="Courier New" w:hAnsi="Courier New"/>
          <w:sz w:val="16"/>
          <w:szCs w:val="16"/>
          <w:color w:val="auto"/>
        </w:rPr>
        <w:t>1,301.3(k) 2,251.0 Weighted average number of</w:t>
      </w:r>
    </w:p>
    <w:p>
      <w:pPr>
        <w:ind w:left="460"/>
        <w:spacing w:after="0" w:line="237" w:lineRule="auto"/>
        <w:rPr>
          <w:sz w:val="20"/>
          <w:szCs w:val="20"/>
          <w:color w:val="auto"/>
        </w:rPr>
      </w:pPr>
      <w:r>
        <w:rPr>
          <w:rFonts w:ascii="Courier New" w:cs="Courier New" w:eastAsia="Courier New" w:hAnsi="Courier New"/>
          <w:sz w:val="16"/>
          <w:szCs w:val="16"/>
          <w:color w:val="auto"/>
        </w:rPr>
        <w:t>common shares outstanding -- assuming</w:t>
      </w:r>
    </w:p>
    <w:p>
      <w:pPr>
        <w:ind w:left="320"/>
        <w:spacing w:after="0"/>
        <w:rPr>
          <w:sz w:val="20"/>
          <w:szCs w:val="20"/>
          <w:color w:val="auto"/>
        </w:rPr>
      </w:pPr>
      <w:r>
        <w:rPr>
          <w:rFonts w:ascii="Courier New" w:cs="Courier New" w:eastAsia="Courier New" w:hAnsi="Courier New"/>
          <w:sz w:val="16"/>
          <w:szCs w:val="16"/>
          <w:color w:val="auto"/>
        </w:rPr>
        <w:t>dilution............... 964.5 1,286.5(k)</w:t>
      </w:r>
    </w:p>
    <w:p>
      <w:pPr>
        <w:ind w:left="1860"/>
        <w:spacing w:after="0" w:line="238" w:lineRule="auto"/>
        <w:rPr>
          <w:sz w:val="20"/>
          <w:szCs w:val="20"/>
          <w:color w:val="auto"/>
        </w:rPr>
      </w:pPr>
      <w:r>
        <w:rPr>
          <w:rFonts w:ascii="Courier New" w:cs="Courier New" w:eastAsia="Courier New" w:hAnsi="Courier New"/>
          <w:sz w:val="16"/>
          <w:szCs w:val="16"/>
          <w:color w:val="auto"/>
        </w:rPr>
        <w:t>2,251.0</w:t>
      </w:r>
    </w:p>
    <w:p>
      <w:pPr>
        <w:spacing w:after="0" w:line="36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Unaudited Pro Forma Combined Condensed Statement of Operations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4" w:right="1440" w:bottom="0" w:gutter="0" w:footer="0" w:header="0"/>
        </w:sectPr>
      </w:pPr>
    </w:p>
    <w:bookmarkStart w:id="45" w:name="page46"/>
    <w:bookmarkEnd w:id="45"/>
    <w:p>
      <w:pPr>
        <w:spacing w:after="0" w:line="7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COMCAST CORPORATION</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 THE SIX MONTHS ENDED JUNE 30, 2002</w:t>
      </w:r>
    </w:p>
    <w:p>
      <w:pPr>
        <w:spacing w:after="0" w:line="17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HISTORICAL PRO FORMA HISTORICAL AT&amp;T</w:t>
      </w:r>
    </w:p>
    <w:p>
      <w:pPr>
        <w:jc w:val="center"/>
        <w:ind w:right="6759"/>
        <w:spacing w:after="0"/>
        <w:rPr>
          <w:sz w:val="20"/>
          <w:szCs w:val="20"/>
          <w:color w:val="auto"/>
        </w:rPr>
      </w:pPr>
      <w:r>
        <w:rPr>
          <w:rFonts w:ascii="Courier New" w:cs="Courier New" w:eastAsia="Courier New" w:hAnsi="Courier New"/>
          <w:sz w:val="16"/>
          <w:szCs w:val="16"/>
          <w:color w:val="auto"/>
        </w:rPr>
        <w:t>INTERCOMPANY PRO FORMA AT&amp;T</w:t>
      </w:r>
    </w:p>
    <w:p>
      <w:pPr>
        <w:ind w:left="80"/>
        <w:spacing w:after="0" w:line="237" w:lineRule="auto"/>
        <w:rPr>
          <w:sz w:val="20"/>
          <w:szCs w:val="20"/>
          <w:color w:val="auto"/>
        </w:rPr>
      </w:pPr>
      <w:r>
        <w:rPr>
          <w:rFonts w:ascii="Courier New" w:cs="Courier New" w:eastAsia="Courier New" w:hAnsi="Courier New"/>
          <w:sz w:val="16"/>
          <w:szCs w:val="16"/>
          <w:color w:val="auto"/>
        </w:rPr>
        <w:t>COMCAST(A) BROADBAND(A) ADJUSTMENTS</w:t>
      </w:r>
    </w:p>
    <w:p>
      <w:pPr>
        <w:ind w:left="40"/>
        <w:spacing w:after="0"/>
        <w:rPr>
          <w:sz w:val="20"/>
          <w:szCs w:val="20"/>
          <w:color w:val="auto"/>
        </w:rPr>
      </w:pPr>
      <w:r>
        <w:rPr>
          <w:rFonts w:ascii="Courier New" w:cs="Courier New" w:eastAsia="Courier New" w:hAnsi="Courier New"/>
          <w:sz w:val="16"/>
          <w:szCs w:val="16"/>
          <w:color w:val="auto"/>
        </w:rPr>
        <w:t>ADJUSTMENTS(D) COMCAST(L) ----------</w:t>
      </w:r>
    </w:p>
    <w:p>
      <w:pPr>
        <w:ind w:left="40"/>
        <w:spacing w:after="0" w:line="238" w:lineRule="auto"/>
        <w:rPr>
          <w:sz w:val="20"/>
          <w:szCs w:val="20"/>
          <w:color w:val="auto"/>
        </w:rPr>
      </w:pPr>
      <w:r>
        <w:rPr>
          <w:rFonts w:ascii="Courier New" w:cs="Courier New" w:eastAsia="Courier New" w:hAnsi="Courier New"/>
          <w:sz w:val="16"/>
          <w:szCs w:val="16"/>
          <w:color w:val="auto"/>
        </w:rPr>
        <w:t>------------ ------------ ----------</w:t>
      </w:r>
    </w:p>
    <w:p>
      <w:pPr>
        <w:jc w:val="center"/>
        <w:ind w:right="6759"/>
        <w:spacing w:after="0"/>
        <w:rPr>
          <w:sz w:val="20"/>
          <w:szCs w:val="20"/>
          <w:color w:val="auto"/>
        </w:rPr>
      </w:pPr>
      <w:r>
        <w:rPr>
          <w:rFonts w:ascii="Courier New" w:cs="Courier New" w:eastAsia="Courier New" w:hAnsi="Courier New"/>
          <w:sz w:val="16"/>
          <w:szCs w:val="16"/>
          <w:color w:val="auto"/>
        </w:rPr>
        <w:t>---- ---------- (AMOUNTS IN</w:t>
      </w:r>
    </w:p>
    <w:p>
      <w:pPr>
        <w:jc w:val="center"/>
        <w:ind w:right="6759"/>
        <w:spacing w:after="0" w:line="238" w:lineRule="auto"/>
        <w:rPr>
          <w:sz w:val="20"/>
          <w:szCs w:val="20"/>
          <w:color w:val="auto"/>
        </w:rPr>
      </w:pPr>
      <w:r>
        <w:rPr>
          <w:rFonts w:ascii="Courier New" w:cs="Courier New" w:eastAsia="Courier New" w:hAnsi="Courier New"/>
          <w:sz w:val="16"/>
          <w:szCs w:val="16"/>
          <w:color w:val="auto"/>
        </w:rPr>
        <w:t>MILLIONS, EXCEPT PER SHARE AMOUNTS)</w:t>
      </w:r>
    </w:p>
    <w:p>
      <w:pPr>
        <w:jc w:val="center"/>
        <w:ind w:right="6759"/>
        <w:spacing w:after="0"/>
        <w:rPr>
          <w:sz w:val="20"/>
          <w:szCs w:val="20"/>
          <w:color w:val="auto"/>
        </w:rPr>
      </w:pPr>
      <w:r>
        <w:rPr>
          <w:rFonts w:ascii="Courier New" w:cs="Courier New" w:eastAsia="Courier New" w:hAnsi="Courier New"/>
          <w:sz w:val="16"/>
          <w:szCs w:val="16"/>
          <w:color w:val="auto"/>
        </w:rPr>
        <w:t>REVENUES Service</w:t>
      </w:r>
    </w:p>
    <w:p>
      <w:pPr>
        <w:jc w:val="center"/>
        <w:ind w:right="6759"/>
        <w:spacing w:after="0" w:line="237" w:lineRule="auto"/>
        <w:rPr>
          <w:sz w:val="20"/>
          <w:szCs w:val="20"/>
          <w:color w:val="auto"/>
        </w:rPr>
      </w:pPr>
      <w:r>
        <w:rPr>
          <w:rFonts w:ascii="Courier New" w:cs="Courier New" w:eastAsia="Courier New" w:hAnsi="Courier New"/>
          <w:sz w:val="16"/>
          <w:szCs w:val="16"/>
          <w:color w:val="auto"/>
        </w:rPr>
        <w:t>revenues..................... $</w:t>
      </w:r>
    </w:p>
    <w:p>
      <w:pPr>
        <w:jc w:val="center"/>
        <w:ind w:right="6759"/>
        <w:spacing w:after="0"/>
        <w:rPr>
          <w:sz w:val="20"/>
          <w:szCs w:val="20"/>
          <w:color w:val="auto"/>
        </w:rPr>
      </w:pPr>
      <w:r>
        <w:rPr>
          <w:rFonts w:ascii="Courier New" w:cs="Courier New" w:eastAsia="Courier New" w:hAnsi="Courier New"/>
          <w:sz w:val="16"/>
          <w:szCs w:val="16"/>
          <w:color w:val="auto"/>
        </w:rPr>
        <w:t>3,393.4 $ 4,965.0 $(23.5)(b) $ $</w:t>
      </w:r>
    </w:p>
    <w:p>
      <w:pPr>
        <w:jc w:val="center"/>
        <w:ind w:right="6759"/>
        <w:spacing w:after="0" w:line="238" w:lineRule="auto"/>
        <w:rPr>
          <w:sz w:val="20"/>
          <w:szCs w:val="20"/>
          <w:color w:val="auto"/>
        </w:rPr>
      </w:pPr>
      <w:r>
        <w:rPr>
          <w:rFonts w:ascii="Courier New" w:cs="Courier New" w:eastAsia="Courier New" w:hAnsi="Courier New"/>
          <w:sz w:val="16"/>
          <w:szCs w:val="16"/>
          <w:color w:val="auto"/>
        </w:rPr>
        <w:t>8,334.9 Net sales from electronic</w:t>
      </w:r>
    </w:p>
    <w:p>
      <w:pPr>
        <w:jc w:val="center"/>
        <w:ind w:right="6759"/>
        <w:spacing w:after="0"/>
        <w:rPr>
          <w:sz w:val="20"/>
          <w:szCs w:val="20"/>
          <w:color w:val="auto"/>
        </w:rPr>
      </w:pPr>
      <w:r>
        <w:rPr>
          <w:rFonts w:ascii="Courier New" w:cs="Courier New" w:eastAsia="Courier New" w:hAnsi="Courier New"/>
          <w:sz w:val="16"/>
          <w:szCs w:val="16"/>
          <w:color w:val="auto"/>
        </w:rPr>
        <w:t>retailing..........................</w:t>
      </w:r>
    </w:p>
    <w:p>
      <w:pPr>
        <w:jc w:val="center"/>
        <w:ind w:right="6759"/>
        <w:spacing w:after="0" w:line="238" w:lineRule="auto"/>
        <w:rPr>
          <w:sz w:val="20"/>
          <w:szCs w:val="20"/>
          <w:color w:val="auto"/>
        </w:rPr>
      </w:pPr>
      <w:r>
        <w:rPr>
          <w:rFonts w:ascii="Courier New" w:cs="Courier New" w:eastAsia="Courier New" w:hAnsi="Courier New"/>
          <w:sz w:val="16"/>
          <w:szCs w:val="16"/>
          <w:color w:val="auto"/>
        </w:rPr>
        <w:t>1,988.0 1,988.0 --------- ----------</w:t>
      </w:r>
    </w:p>
    <w:p>
      <w:pPr>
        <w:jc w:val="center"/>
        <w:ind w:right="6759"/>
        <w:spacing w:after="0"/>
        <w:rPr>
          <w:sz w:val="20"/>
          <w:szCs w:val="20"/>
          <w:color w:val="auto"/>
        </w:rPr>
      </w:pPr>
      <w:r>
        <w:rPr>
          <w:rFonts w:ascii="Courier New" w:cs="Courier New" w:eastAsia="Courier New" w:hAnsi="Courier New"/>
          <w:sz w:val="16"/>
          <w:szCs w:val="16"/>
          <w:color w:val="auto"/>
        </w:rPr>
        <w:t>------ --------- ---------- 5,381.4</w:t>
      </w:r>
    </w:p>
    <w:p>
      <w:pPr>
        <w:jc w:val="center"/>
        <w:ind w:right="6759"/>
        <w:spacing w:after="0" w:line="237" w:lineRule="auto"/>
        <w:rPr>
          <w:sz w:val="20"/>
          <w:szCs w:val="20"/>
          <w:color w:val="auto"/>
        </w:rPr>
      </w:pPr>
      <w:r>
        <w:rPr>
          <w:rFonts w:ascii="Courier New" w:cs="Courier New" w:eastAsia="Courier New" w:hAnsi="Courier New"/>
          <w:sz w:val="16"/>
          <w:szCs w:val="16"/>
          <w:color w:val="auto"/>
        </w:rPr>
        <w:t>4,965.0 (23.5) 10,322.9 --------- --</w:t>
      </w:r>
    </w:p>
    <w:p>
      <w:pPr>
        <w:ind w:left="40"/>
        <w:spacing w:after="0"/>
        <w:rPr>
          <w:sz w:val="20"/>
          <w:szCs w:val="20"/>
          <w:color w:val="auto"/>
        </w:rPr>
      </w:pPr>
      <w:r>
        <w:rPr>
          <w:rFonts w:ascii="Courier New" w:cs="Courier New" w:eastAsia="Courier New" w:hAnsi="Courier New"/>
          <w:sz w:val="16"/>
          <w:szCs w:val="16"/>
          <w:color w:val="auto"/>
        </w:rPr>
        <w:t>-------- ------ --------- ----------</w:t>
      </w:r>
    </w:p>
    <w:p>
      <w:pPr>
        <w:ind w:left="420"/>
        <w:spacing w:after="0" w:line="238" w:lineRule="auto"/>
        <w:rPr>
          <w:sz w:val="20"/>
          <w:szCs w:val="20"/>
          <w:color w:val="auto"/>
        </w:rPr>
      </w:pPr>
      <w:r>
        <w:rPr>
          <w:rFonts w:ascii="Courier New" w:cs="Courier New" w:eastAsia="Courier New" w:hAnsi="Courier New"/>
          <w:sz w:val="16"/>
          <w:szCs w:val="16"/>
          <w:color w:val="auto"/>
        </w:rPr>
        <w:t>COSTS AND EXPENSES Operating</w:t>
      </w:r>
    </w:p>
    <w:tbl>
      <w:tblPr>
        <w:tblLayout w:type="fixed"/>
        <w:tblInd w:w="80" w:type="dxa"/>
        <w:tblCellMar>
          <w:top w:w="0" w:type="dxa"/>
          <w:left w:w="0" w:type="dxa"/>
          <w:bottom w:w="0" w:type="dxa"/>
          <w:right w:w="0" w:type="dxa"/>
        </w:tblCellMar>
      </w:tblP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(excluding depreciation)...</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1,469.4</w:t>
            </w:r>
          </w:p>
        </w:tc>
      </w:tr>
    </w:tbl>
    <w:p>
      <w:pPr>
        <w:jc w:val="center"/>
        <w:ind w:right="6759"/>
        <w:spacing w:after="0"/>
        <w:rPr>
          <w:sz w:val="20"/>
          <w:szCs w:val="20"/>
          <w:color w:val="auto"/>
        </w:rPr>
      </w:pPr>
      <w:r>
        <w:rPr>
          <w:rFonts w:ascii="Courier New" w:cs="Courier New" w:eastAsia="Courier New" w:hAnsi="Courier New"/>
          <w:sz w:val="16"/>
          <w:szCs w:val="16"/>
          <w:color w:val="auto"/>
        </w:rPr>
        <w:t>2,591.0 (13.2)(b) 4,047.2 Cost of</w:t>
      </w:r>
    </w:p>
    <w:p>
      <w:pPr>
        <w:jc w:val="center"/>
        <w:ind w:right="6759"/>
        <w:spacing w:after="0" w:line="237" w:lineRule="auto"/>
        <w:rPr>
          <w:sz w:val="20"/>
          <w:szCs w:val="20"/>
          <w:color w:val="auto"/>
        </w:rPr>
      </w:pPr>
      <w:r>
        <w:rPr>
          <w:rFonts w:ascii="Courier New" w:cs="Courier New" w:eastAsia="Courier New" w:hAnsi="Courier New"/>
          <w:sz w:val="16"/>
          <w:szCs w:val="16"/>
          <w:color w:val="auto"/>
        </w:rPr>
        <w:t>goods sold from electronic retailing</w:t>
      </w:r>
    </w:p>
    <w:p>
      <w:pPr>
        <w:jc w:val="center"/>
        <w:ind w:right="6759"/>
        <w:spacing w:after="0"/>
        <w:rPr>
          <w:sz w:val="20"/>
          <w:szCs w:val="20"/>
          <w:color w:val="auto"/>
        </w:rPr>
      </w:pPr>
      <w:r>
        <w:rPr>
          <w:rFonts w:ascii="Courier New" w:cs="Courier New" w:eastAsia="Courier New" w:hAnsi="Courier New"/>
          <w:sz w:val="16"/>
          <w:szCs w:val="16"/>
          <w:color w:val="auto"/>
        </w:rPr>
        <w:t>(excluding</w:t>
      </w:r>
    </w:p>
    <w:p>
      <w:pPr>
        <w:jc w:val="center"/>
        <w:ind w:right="6759"/>
        <w:spacing w:after="0" w:line="238" w:lineRule="auto"/>
        <w:rPr>
          <w:sz w:val="20"/>
          <w:szCs w:val="20"/>
          <w:color w:val="auto"/>
        </w:rPr>
      </w:pPr>
      <w:r>
        <w:rPr>
          <w:rFonts w:ascii="Courier New" w:cs="Courier New" w:eastAsia="Courier New" w:hAnsi="Courier New"/>
          <w:sz w:val="16"/>
          <w:szCs w:val="16"/>
          <w:color w:val="auto"/>
        </w:rPr>
        <w:t>depreciation)......................</w:t>
      </w:r>
    </w:p>
    <w:p>
      <w:pPr>
        <w:ind w:left="40"/>
        <w:spacing w:after="0"/>
        <w:rPr>
          <w:sz w:val="20"/>
          <w:szCs w:val="20"/>
          <w:color w:val="auto"/>
        </w:rPr>
      </w:pPr>
      <w:r>
        <w:rPr>
          <w:rFonts w:ascii="Courier New" w:cs="Courier New" w:eastAsia="Courier New" w:hAnsi="Courier New"/>
          <w:sz w:val="16"/>
          <w:szCs w:val="16"/>
          <w:color w:val="auto"/>
        </w:rPr>
        <w:t>1,260.0 1,260.0 Selling, general and</w:t>
      </w:r>
    </w:p>
    <w:p>
      <w:pPr>
        <w:jc w:val="center"/>
        <w:ind w:right="6759"/>
        <w:spacing w:after="0" w:line="238" w:lineRule="auto"/>
        <w:rPr>
          <w:sz w:val="20"/>
          <w:szCs w:val="20"/>
          <w:color w:val="auto"/>
        </w:rPr>
      </w:pPr>
      <w:r>
        <w:rPr>
          <w:rFonts w:ascii="Courier New" w:cs="Courier New" w:eastAsia="Courier New" w:hAnsi="Courier New"/>
          <w:sz w:val="16"/>
          <w:szCs w:val="16"/>
          <w:color w:val="auto"/>
        </w:rPr>
        <w:t>administrative.....................</w:t>
      </w:r>
    </w:p>
    <w:p>
      <w:pPr>
        <w:jc w:val="center"/>
        <w:ind w:right="6759"/>
        <w:spacing w:after="0"/>
        <w:rPr>
          <w:sz w:val="20"/>
          <w:szCs w:val="20"/>
          <w:color w:val="auto"/>
        </w:rPr>
      </w:pPr>
      <w:r>
        <w:rPr>
          <w:rFonts w:ascii="Courier New" w:cs="Courier New" w:eastAsia="Courier New" w:hAnsi="Courier New"/>
          <w:sz w:val="16"/>
          <w:szCs w:val="16"/>
          <w:color w:val="auto"/>
        </w:rPr>
        <w:t>977.2 1,342.0 (10.3)(b) 2,308.9</w:t>
      </w:r>
    </w:p>
    <w:p>
      <w:pPr>
        <w:spacing w:after="0" w:line="3"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5"/>
          <w:szCs w:val="15"/>
          <w:color w:val="auto"/>
        </w:rPr>
        <w:t>Depreciation.........................</w:t>
      </w:r>
    </w:p>
    <w:p>
      <w:pPr>
        <w:spacing w:after="0" w:line="5"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676.6 1,357.0 2.033.6</w:t>
      </w:r>
    </w:p>
    <w:p>
      <w:pPr>
        <w:spacing w:after="0" w:line="4"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5"/>
          <w:szCs w:val="15"/>
          <w:color w:val="auto"/>
        </w:rPr>
        <w:t>Amortization.........................</w:t>
      </w:r>
    </w:p>
    <w:p>
      <w:pPr>
        <w:spacing w:after="0" w:line="5"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98.7 109.0 207.7 Goodwill and</w:t>
      </w:r>
    </w:p>
    <w:p>
      <w:pPr>
        <w:jc w:val="center"/>
        <w:ind w:right="6759"/>
        <w:spacing w:after="0"/>
        <w:rPr>
          <w:sz w:val="20"/>
          <w:szCs w:val="20"/>
          <w:color w:val="auto"/>
        </w:rPr>
      </w:pPr>
      <w:r>
        <w:rPr>
          <w:rFonts w:ascii="Courier New" w:cs="Courier New" w:eastAsia="Courier New" w:hAnsi="Courier New"/>
          <w:sz w:val="16"/>
          <w:szCs w:val="16"/>
          <w:color w:val="auto"/>
        </w:rPr>
        <w:t>franchise impairment</w:t>
      </w:r>
    </w:p>
    <w:p>
      <w:pPr>
        <w:jc w:val="center"/>
        <w:ind w:right="6759"/>
        <w:spacing w:after="0" w:line="237" w:lineRule="auto"/>
        <w:rPr>
          <w:sz w:val="20"/>
          <w:szCs w:val="20"/>
          <w:color w:val="auto"/>
        </w:rPr>
      </w:pPr>
      <w:r>
        <w:rPr>
          <w:rFonts w:ascii="Courier New" w:cs="Courier New" w:eastAsia="Courier New" w:hAnsi="Courier New"/>
          <w:sz w:val="16"/>
          <w:szCs w:val="16"/>
          <w:color w:val="auto"/>
        </w:rPr>
        <w:t>charges............................</w:t>
      </w:r>
    </w:p>
    <w:p>
      <w:pPr>
        <w:jc w:val="center"/>
        <w:ind w:right="6759"/>
        <w:spacing w:after="0"/>
        <w:rPr>
          <w:sz w:val="20"/>
          <w:szCs w:val="20"/>
          <w:color w:val="auto"/>
        </w:rPr>
      </w:pPr>
      <w:r>
        <w:rPr>
          <w:rFonts w:ascii="Courier New" w:cs="Courier New" w:eastAsia="Courier New" w:hAnsi="Courier New"/>
          <w:sz w:val="16"/>
          <w:szCs w:val="16"/>
          <w:color w:val="auto"/>
        </w:rPr>
        <w:t>16,525.0 16,525.0 Asset impairment,</w:t>
      </w:r>
    </w:p>
    <w:p>
      <w:pPr>
        <w:jc w:val="center"/>
        <w:ind w:right="6759"/>
        <w:spacing w:after="0" w:line="238" w:lineRule="auto"/>
        <w:rPr>
          <w:sz w:val="20"/>
          <w:szCs w:val="20"/>
          <w:color w:val="auto"/>
        </w:rPr>
      </w:pPr>
      <w:r>
        <w:rPr>
          <w:rFonts w:ascii="Courier New" w:cs="Courier New" w:eastAsia="Courier New" w:hAnsi="Courier New"/>
          <w:sz w:val="16"/>
          <w:szCs w:val="16"/>
          <w:color w:val="auto"/>
        </w:rPr>
        <w:t>restructuring and other</w:t>
      </w:r>
    </w:p>
    <w:tbl>
      <w:tblPr>
        <w:tblLayout w:type="fixed"/>
        <w:tblInd w:w="40" w:type="dxa"/>
        <w:tblCellMar>
          <w:top w:w="0" w:type="dxa"/>
          <w:left w:w="0" w:type="dxa"/>
          <w:bottom w:w="0" w:type="dxa"/>
          <w:right w:w="0" w:type="dxa"/>
        </w:tblCellMar>
      </w:tblPr>
      <w:tr>
        <w:trPr>
          <w:trHeight w:val="181"/>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charges......................</w:t>
            </w:r>
          </w:p>
        </w:tc>
        <w:tc>
          <w:tcPr>
            <w:tcW w:w="3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56.0</w:t>
            </w:r>
          </w:p>
        </w:tc>
      </w:tr>
      <w:tr>
        <w:trPr>
          <w:trHeight w:val="180"/>
        </w:trPr>
        <w:tc>
          <w:tcPr>
            <w:tcW w:w="24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56.0 --------- ----------</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 ---</w:t>
            </w:r>
          </w:p>
        </w:tc>
      </w:tr>
      <w:tr>
        <w:trPr>
          <w:trHeight w:val="180"/>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w w:val="73"/>
              </w:rPr>
              <w:t>------ ----------</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4,481.9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21,980.0</w:t>
            </w:r>
          </w:p>
        </w:tc>
      </w:tr>
      <w:tr>
        <w:trPr>
          <w:trHeight w:val="180"/>
        </w:trPr>
        <w:tc>
          <w:tcPr>
            <w:tcW w:w="24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(23.5) 26,438.4 ---------</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33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 --------- ----------</w:t>
            </w:r>
          </w:p>
        </w:tc>
      </w:tr>
      <w:tr>
        <w:trPr>
          <w:trHeight w:val="180"/>
        </w:trPr>
        <w:tc>
          <w:tcPr>
            <w:tcW w:w="2440" w:type="dxa"/>
            <w:vAlign w:val="bottom"/>
            <w:gridSpan w:val="3"/>
          </w:tcPr>
          <w:p>
            <w:pPr>
              <w:jc w:val="center"/>
              <w:ind w:left="862"/>
              <w:spacing w:after="0"/>
              <w:rPr>
                <w:sz w:val="20"/>
                <w:szCs w:val="20"/>
                <w:color w:val="auto"/>
              </w:rPr>
            </w:pPr>
            <w:r>
              <w:rPr>
                <w:rFonts w:ascii="Courier New" w:cs="Courier New" w:eastAsia="Courier New" w:hAnsi="Courier New"/>
                <w:sz w:val="16"/>
                <w:szCs w:val="16"/>
                <w:color w:val="auto"/>
                <w:w w:val="97"/>
              </w:rPr>
              <w:t>OPERATING INCOME</w:t>
            </w:r>
          </w:p>
        </w:tc>
        <w:tc>
          <w:tcPr>
            <w:tcW w:w="940" w:type="dxa"/>
            <w:vAlign w:val="bottom"/>
          </w:tcPr>
          <w:p>
            <w:pPr>
              <w:spacing w:after="0"/>
              <w:rPr>
                <w:sz w:val="15"/>
                <w:szCs w:val="15"/>
                <w:color w:val="auto"/>
              </w:rPr>
            </w:pPr>
          </w:p>
        </w:tc>
      </w:tr>
      <w:tr>
        <w:trPr>
          <w:trHeight w:val="180"/>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(LOSS)................</w:t>
            </w:r>
          </w:p>
        </w:tc>
        <w:tc>
          <w:tcPr>
            <w:tcW w:w="38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899.5</w:t>
            </w:r>
          </w:p>
        </w:tc>
      </w:tr>
      <w:tr>
        <w:trPr>
          <w:trHeight w:val="180"/>
        </w:trPr>
        <w:tc>
          <w:tcPr>
            <w:tcW w:w="33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(17,015.0) (16,115.5) OTHER INCOME</w:t>
            </w:r>
          </w:p>
        </w:tc>
      </w:tr>
      <w:tr>
        <w:trPr>
          <w:trHeight w:val="180"/>
        </w:trPr>
        <w:tc>
          <w:tcPr>
            <w:tcW w:w="33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(EXPENSE) (42.8)(f) Interest</w:t>
            </w:r>
          </w:p>
        </w:tc>
      </w:tr>
      <w:tr>
        <w:trPr>
          <w:trHeight w:val="180"/>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expense.....................</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(369.3)</w:t>
            </w:r>
          </w:p>
        </w:tc>
      </w:tr>
      <w:tr>
        <w:trPr>
          <w:trHeight w:val="180"/>
        </w:trPr>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(732.0)</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(0.8)(g)</w:t>
            </w:r>
          </w:p>
        </w:tc>
        <w:tc>
          <w:tcPr>
            <w:tcW w:w="132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w w:val="94"/>
              </w:rPr>
              <w:t>(1,144.9)</w:t>
            </w:r>
          </w:p>
        </w:tc>
      </w:tr>
      <w:tr>
        <w:trPr>
          <w:trHeight w:val="180"/>
        </w:trPr>
        <w:tc>
          <w:tcPr>
            <w:tcW w:w="1220" w:type="dxa"/>
            <w:vAlign w:val="bottom"/>
          </w:tcPr>
          <w:p>
            <w:pPr>
              <w:spacing w:after="0"/>
              <w:rPr>
                <w:sz w:val="15"/>
                <w:szCs w:val="15"/>
                <w:color w:val="auto"/>
              </w:rPr>
            </w:pPr>
          </w:p>
        </w:tc>
        <w:tc>
          <w:tcPr>
            <w:tcW w:w="1220" w:type="dxa"/>
            <w:vAlign w:val="bottom"/>
            <w:gridSpan w:val="2"/>
          </w:tcPr>
          <w:p>
            <w:pPr>
              <w:jc w:val="center"/>
              <w:ind w:right="202"/>
              <w:spacing w:after="0"/>
              <w:rPr>
                <w:sz w:val="20"/>
                <w:szCs w:val="20"/>
                <w:color w:val="auto"/>
              </w:rPr>
            </w:pPr>
            <w:r>
              <w:rPr>
                <w:rFonts w:ascii="Courier New" w:cs="Courier New" w:eastAsia="Courier New" w:hAnsi="Courier New"/>
                <w:sz w:val="16"/>
                <w:szCs w:val="16"/>
                <w:color w:val="auto"/>
                <w:w w:val="97"/>
              </w:rPr>
              <w:t>Investment</w:t>
            </w:r>
          </w:p>
        </w:tc>
        <w:tc>
          <w:tcPr>
            <w:tcW w:w="940" w:type="dxa"/>
            <w:vAlign w:val="bottom"/>
          </w:tcPr>
          <w:p>
            <w:pPr>
              <w:spacing w:after="0"/>
              <w:rPr>
                <w:sz w:val="15"/>
                <w:szCs w:val="15"/>
                <w:color w:val="auto"/>
              </w:rPr>
            </w:pPr>
          </w:p>
        </w:tc>
      </w:tr>
      <w:tr>
        <w:trPr>
          <w:trHeight w:val="180"/>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expense...................</w:t>
            </w:r>
          </w:p>
        </w:tc>
        <w:tc>
          <w:tcPr>
            <w:tcW w:w="3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(707.1)</w:t>
            </w:r>
          </w:p>
        </w:tc>
      </w:tr>
      <w:tr>
        <w:trPr>
          <w:trHeight w:val="180"/>
        </w:trPr>
        <w:tc>
          <w:tcPr>
            <w:tcW w:w="33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(1,217.0) (1,924.1) Equity in net</w:t>
            </w:r>
          </w:p>
        </w:tc>
      </w:tr>
      <w:tr>
        <w:trPr>
          <w:trHeight w:val="180"/>
        </w:trPr>
        <w:tc>
          <w:tcPr>
            <w:tcW w:w="24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losses of affiliates...</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(48.4)</w:t>
            </w:r>
          </w:p>
        </w:tc>
      </w:tr>
    </w:tbl>
    <w:p>
      <w:pPr>
        <w:ind w:left="80"/>
        <w:spacing w:after="0"/>
        <w:rPr>
          <w:sz w:val="20"/>
          <w:szCs w:val="20"/>
          <w:color w:val="auto"/>
        </w:rPr>
      </w:pPr>
      <w:r>
        <w:rPr>
          <w:rFonts w:ascii="Courier New" w:cs="Courier New" w:eastAsia="Courier New" w:hAnsi="Courier New"/>
          <w:sz w:val="16"/>
          <w:szCs w:val="16"/>
          <w:color w:val="auto"/>
        </w:rPr>
        <w:t>(1,004.0)(h) (1,052.4) Other income</w:t>
      </w:r>
    </w:p>
    <w:tbl>
      <w:tblPr>
        <w:tblLayout w:type="fixed"/>
        <w:tblInd w:w="40" w:type="dxa"/>
        <w:tblCellMar>
          <w:top w:w="0" w:type="dxa"/>
          <w:left w:w="0" w:type="dxa"/>
          <w:bottom w:w="0" w:type="dxa"/>
          <w:right w:w="0" w:type="dxa"/>
        </w:tblCellMar>
      </w:tblPr>
      <w:tr>
        <w:trPr>
          <w:trHeight w:val="179"/>
        </w:trPr>
        <w:tc>
          <w:tcPr>
            <w:tcW w:w="18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0"/>
              </w:rPr>
              <w:t>(expense)...............</w:t>
            </w:r>
          </w:p>
        </w:tc>
        <w:tc>
          <w:tcPr>
            <w:tcW w:w="15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(14.0)</w:t>
            </w:r>
          </w:p>
        </w:tc>
      </w:tr>
      <w:tr>
        <w:trPr>
          <w:trHeight w:val="180"/>
        </w:trPr>
        <w:tc>
          <w:tcPr>
            <w:tcW w:w="460" w:type="dxa"/>
            <w:vAlign w:val="bottom"/>
          </w:tcPr>
          <w:p>
            <w:pPr>
              <w:spacing w:after="0"/>
              <w:rPr>
                <w:sz w:val="20"/>
                <w:szCs w:val="20"/>
                <w:color w:val="auto"/>
              </w:rPr>
            </w:pPr>
            <w:r>
              <w:rPr>
                <w:rFonts w:ascii="Courier New" w:cs="Courier New" w:eastAsia="Courier New" w:hAnsi="Courier New"/>
                <w:sz w:val="16"/>
                <w:szCs w:val="16"/>
                <w:color w:val="auto"/>
                <w:w w:val="91"/>
              </w:rPr>
              <w:t>331.0</w:t>
            </w:r>
          </w:p>
        </w:tc>
        <w:tc>
          <w:tcPr>
            <w:tcW w:w="2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317.0 --------- ---------- ---</w:t>
            </w:r>
          </w:p>
        </w:tc>
      </w:tr>
      <w:tr>
        <w:trPr>
          <w:trHeight w:val="180"/>
        </w:trPr>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 ----------</w:t>
            </w:r>
          </w:p>
        </w:tc>
        <w:tc>
          <w:tcPr>
            <w:tcW w:w="1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(1,138.8)</w:t>
            </w: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(1,618.0)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(1,047.6)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6"/>
              </w:rPr>
              <w:t>(3,804.4) ------</w:t>
            </w:r>
          </w:p>
        </w:tc>
      </w:tr>
    </w:tbl>
    <w:p>
      <w:pPr>
        <w:ind w:left="420" w:hanging="381"/>
        <w:spacing w:after="0"/>
        <w:tabs>
          <w:tab w:leader="none" w:pos="4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LOSS BEFORE INCOME TAXES,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ACCOUNTING</w:t>
            </w:r>
          </w:p>
        </w:tc>
        <w:tc>
          <w:tcPr>
            <w:tcW w:w="1220" w:type="dxa"/>
            <w:vAlign w:val="bottom"/>
          </w:tcPr>
          <w:p>
            <w:pPr>
              <w:spacing w:after="0"/>
              <w:rPr>
                <w:sz w:val="15"/>
                <w:szCs w:val="15"/>
                <w:color w:val="auto"/>
              </w:rPr>
            </w:pPr>
          </w:p>
        </w:tc>
      </w:tr>
      <w:tr>
        <w:trPr>
          <w:trHeight w:val="180"/>
        </w:trPr>
        <w:tc>
          <w:tcPr>
            <w:tcW w:w="11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CHANGE...............................</w:t>
            </w: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(239.3)</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(18,633.0)</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(1,047.6)</w:t>
            </w:r>
          </w:p>
        </w:tc>
      </w:tr>
      <w:tr>
        <w:trPr>
          <w:trHeight w:val="180"/>
        </w:trPr>
        <w:tc>
          <w:tcPr>
            <w:tcW w:w="342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rPr>
              <w:t>(19,919.9) 16.8(i) INCOME TAX</w:t>
            </w:r>
          </w:p>
        </w:tc>
      </w:tr>
      <w:tr>
        <w:trPr>
          <w:trHeight w:val="180"/>
        </w:trPr>
        <w:tc>
          <w:tcPr>
            <w:tcW w:w="2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1"/>
              </w:rPr>
              <w:t>BENEFIT.....................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30.2</w:t>
            </w:r>
          </w:p>
        </w:tc>
      </w:tr>
      <w:tr>
        <w:trPr>
          <w:trHeight w:val="180"/>
        </w:trPr>
        <w:tc>
          <w:tcPr>
            <w:tcW w:w="780" w:type="dxa"/>
            <w:vAlign w:val="bottom"/>
          </w:tcPr>
          <w:p>
            <w:pPr>
              <w:jc w:val="right"/>
              <w:ind w:right="11"/>
              <w:spacing w:after="0"/>
              <w:rPr>
                <w:sz w:val="20"/>
                <w:szCs w:val="20"/>
                <w:color w:val="auto"/>
              </w:rPr>
            </w:pPr>
            <w:r>
              <w:rPr>
                <w:rFonts w:ascii="Courier New" w:cs="Courier New" w:eastAsia="Courier New" w:hAnsi="Courier New"/>
                <w:sz w:val="16"/>
                <w:szCs w:val="16"/>
                <w:color w:val="auto"/>
              </w:rPr>
              <w:t>5,506.0</w:t>
            </w:r>
          </w:p>
        </w:tc>
        <w:tc>
          <w:tcPr>
            <w:tcW w:w="26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387.0(h) 5,940.0 --------- -</w:t>
            </w:r>
          </w:p>
        </w:tc>
      </w:tr>
    </w:tbl>
    <w:p>
      <w:pPr>
        <w:ind w:left="40"/>
        <w:spacing w:after="0"/>
        <w:rPr>
          <w:sz w:val="20"/>
          <w:szCs w:val="20"/>
          <w:color w:val="auto"/>
        </w:rPr>
      </w:pPr>
      <w:r>
        <w:rPr>
          <w:rFonts w:ascii="Courier New" w:cs="Courier New" w:eastAsia="Courier New" w:hAnsi="Courier New"/>
          <w:sz w:val="16"/>
          <w:szCs w:val="16"/>
          <w:color w:val="auto"/>
        </w:rPr>
        <w:t>--------- ------ --------- ---------</w:t>
      </w:r>
    </w:p>
    <w:p>
      <w:pPr>
        <w:spacing w:after="0" w:line="3" w:lineRule="exact"/>
        <w:rPr>
          <w:sz w:val="20"/>
          <w:szCs w:val="20"/>
          <w:color w:val="auto"/>
        </w:rPr>
      </w:pPr>
    </w:p>
    <w:p>
      <w:pPr>
        <w:ind w:left="140" w:right="6899" w:firstLine="87"/>
        <w:spacing w:after="0" w:line="254" w:lineRule="auto"/>
        <w:tabs>
          <w:tab w:leader="none" w:pos="42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BEFORE MINORITY INTEREST, EXTRAORDINARY ITEMS AND CUMULATIVE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EFFECT OF ACCOUNTING</w:t>
      </w:r>
    </w:p>
    <w:tbl>
      <w:tblPr>
        <w:tblLayout w:type="fixed"/>
        <w:tblInd w:w="80" w:type="dxa"/>
        <w:tblCellMar>
          <w:top w:w="0" w:type="dxa"/>
          <w:left w:w="0" w:type="dxa"/>
          <w:bottom w:w="0" w:type="dxa"/>
          <w:right w:w="0" w:type="dxa"/>
        </w:tblCellMar>
      </w:tblPr>
      <w:tr>
        <w:trPr>
          <w:trHeight w:val="179"/>
        </w:trPr>
        <w:tc>
          <w:tcPr>
            <w:tcW w:w="156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(209.1) (13,127.0)</w:t>
            </w:r>
          </w:p>
        </w:tc>
      </w:tr>
    </w:tbl>
    <w:p>
      <w:pPr>
        <w:jc w:val="center"/>
        <w:ind w:right="6759"/>
        <w:spacing w:after="0"/>
        <w:rPr>
          <w:sz w:val="20"/>
          <w:szCs w:val="20"/>
          <w:color w:val="auto"/>
        </w:rPr>
      </w:pPr>
      <w:r>
        <w:rPr>
          <w:rFonts w:ascii="Courier New" w:cs="Courier New" w:eastAsia="Courier New" w:hAnsi="Courier New"/>
          <w:sz w:val="16"/>
          <w:szCs w:val="16"/>
          <w:color w:val="auto"/>
        </w:rPr>
        <w:t>(643.8) (13,979.9) Net loss related</w:t>
      </w:r>
    </w:p>
    <w:p>
      <w:pPr>
        <w:jc w:val="center"/>
        <w:ind w:right="6759"/>
        <w:spacing w:after="0" w:line="237" w:lineRule="auto"/>
        <w:rPr>
          <w:sz w:val="20"/>
          <w:szCs w:val="20"/>
          <w:color w:val="auto"/>
        </w:rPr>
      </w:pPr>
      <w:r>
        <w:rPr>
          <w:rFonts w:ascii="Courier New" w:cs="Courier New" w:eastAsia="Courier New" w:hAnsi="Courier New"/>
          <w:sz w:val="16"/>
          <w:szCs w:val="16"/>
          <w:color w:val="auto"/>
        </w:rPr>
        <w:t>to equity</w:t>
      </w:r>
    </w:p>
    <w:p>
      <w:pPr>
        <w:spacing w:after="0"/>
        <w:rPr>
          <w:sz w:val="20"/>
          <w:szCs w:val="20"/>
          <w:color w:val="auto"/>
        </w:rPr>
      </w:pPr>
      <w:r>
        <w:rPr>
          <w:rFonts w:ascii="Courier New" w:cs="Courier New" w:eastAsia="Courier New" w:hAnsi="Courier New"/>
          <w:sz w:val="16"/>
          <w:szCs w:val="16"/>
          <w:color w:val="auto"/>
        </w:rPr>
        <w:t>investments..........................</w:t>
      </w:r>
    </w:p>
    <w:p>
      <w:pPr>
        <w:ind w:left="140"/>
        <w:spacing w:after="0" w:line="238" w:lineRule="auto"/>
        <w:rPr>
          <w:sz w:val="20"/>
          <w:szCs w:val="20"/>
          <w:color w:val="auto"/>
        </w:rPr>
      </w:pPr>
      <w:r>
        <w:rPr>
          <w:rFonts w:ascii="Courier New" w:cs="Courier New" w:eastAsia="Courier New" w:hAnsi="Courier New"/>
          <w:sz w:val="16"/>
          <w:szCs w:val="16"/>
          <w:color w:val="auto"/>
        </w:rPr>
        <w:t>(617.0) 617.0(h) MINORITY INTEREST</w:t>
      </w:r>
    </w:p>
    <w:tbl>
      <w:tblPr>
        <w:tblLayout w:type="fixed"/>
        <w:tblInd w:w="40" w:type="dxa"/>
        <w:tblCellMar>
          <w:top w:w="0" w:type="dxa"/>
          <w:left w:w="0" w:type="dxa"/>
          <w:bottom w:w="0" w:type="dxa"/>
          <w:right w:w="0" w:type="dxa"/>
        </w:tblCellMar>
      </w:tblPr>
      <w:tr>
        <w:trPr>
          <w:trHeight w:val="181"/>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EXPENSE</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w w:val="96"/>
              </w:rPr>
              <w:t>.............. (89.4) (140.0)</w:t>
            </w:r>
          </w:p>
        </w:tc>
      </w:tr>
      <w:tr>
        <w:trPr>
          <w:trHeight w:val="180"/>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80.0(j)</w:t>
            </w:r>
          </w:p>
        </w:tc>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rPr>
              <w:t>(149.4) --------- ----------</w:t>
            </w:r>
          </w:p>
        </w:tc>
      </w:tr>
      <w:tr>
        <w:trPr>
          <w:trHeight w:val="180"/>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 LOSS</w:t>
            </w:r>
          </w:p>
        </w:tc>
      </w:tr>
    </w:tbl>
    <w:p>
      <w:pPr>
        <w:spacing w:after="0" w:line="200" w:lineRule="exact"/>
        <w:rPr>
          <w:sz w:val="20"/>
          <w:szCs w:val="20"/>
          <w:color w:val="auto"/>
        </w:rPr>
      </w:pPr>
    </w:p>
    <w:p>
      <w:pPr>
        <w:spacing w:after="0" w:line="345" w:lineRule="exact"/>
        <w:rPr>
          <w:sz w:val="20"/>
          <w:szCs w:val="20"/>
          <w:color w:val="auto"/>
        </w:rPr>
      </w:pPr>
    </w:p>
    <w:p>
      <w:pPr>
        <w:ind w:left="220" w:right="6999" w:firstLine="101"/>
        <w:spacing w:after="0" w:line="254" w:lineRule="auto"/>
        <w:tabs>
          <w:tab w:leader="none" w:pos="50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(298.5) $(13,884.0) $ $ 53.2 $(14,129.3) ========= ==========</w:t>
      </w:r>
    </w:p>
    <w:p>
      <w:pPr>
        <w:jc w:val="center"/>
        <w:ind w:right="6759"/>
        <w:spacing w:after="0" w:line="234" w:lineRule="auto"/>
        <w:rPr>
          <w:sz w:val="20"/>
          <w:szCs w:val="20"/>
          <w:color w:val="auto"/>
        </w:rPr>
      </w:pPr>
      <w:r>
        <w:rPr>
          <w:rFonts w:ascii="Courier New" w:cs="Courier New" w:eastAsia="Courier New" w:hAnsi="Courier New"/>
          <w:sz w:val="16"/>
          <w:szCs w:val="16"/>
          <w:color w:val="auto"/>
        </w:rPr>
        <w:t>====== ========= ========== Loss per</w:t>
      </w:r>
    </w:p>
    <w:p>
      <w:pPr>
        <w:jc w:val="center"/>
        <w:ind w:right="6759"/>
        <w:spacing w:after="0"/>
        <w:rPr>
          <w:sz w:val="20"/>
          <w:szCs w:val="20"/>
          <w:color w:val="auto"/>
        </w:rPr>
      </w:pPr>
      <w:r>
        <w:rPr>
          <w:rFonts w:ascii="Courier New" w:cs="Courier New" w:eastAsia="Courier New" w:hAnsi="Courier New"/>
          <w:sz w:val="16"/>
          <w:szCs w:val="16"/>
          <w:color w:val="auto"/>
        </w:rPr>
        <w:t>share from continuing operations --</w:t>
      </w:r>
    </w:p>
    <w:p>
      <w:pPr>
        <w:jc w:val="center"/>
        <w:ind w:right="6759"/>
        <w:spacing w:after="0" w:line="238" w:lineRule="auto"/>
        <w:rPr>
          <w:sz w:val="20"/>
          <w:szCs w:val="20"/>
          <w:color w:val="auto"/>
        </w:rPr>
      </w:pPr>
      <w:r>
        <w:rPr>
          <w:rFonts w:ascii="Courier New" w:cs="Courier New" w:eastAsia="Courier New" w:hAnsi="Courier New"/>
          <w:sz w:val="16"/>
          <w:szCs w:val="16"/>
          <w:color w:val="auto"/>
        </w:rPr>
        <w:t>basic.................. $ (0.31) $</w:t>
      </w:r>
    </w:p>
    <w:p>
      <w:pPr>
        <w:jc w:val="center"/>
        <w:ind w:right="6759"/>
        <w:spacing w:after="0"/>
        <w:rPr>
          <w:sz w:val="20"/>
          <w:szCs w:val="20"/>
          <w:color w:val="auto"/>
        </w:rPr>
      </w:pPr>
      <w:r>
        <w:rPr>
          <w:rFonts w:ascii="Courier New" w:cs="Courier New" w:eastAsia="Courier New" w:hAnsi="Courier New"/>
          <w:sz w:val="16"/>
          <w:szCs w:val="16"/>
          <w:color w:val="auto"/>
        </w:rPr>
        <w:t>(6.27) Loss per share from</w:t>
      </w:r>
    </w:p>
    <w:p>
      <w:pPr>
        <w:sectPr>
          <w:pgSz w:w="11900" w:h="16909" w:orient="portrait"/>
          <w:cols w:equalWidth="0" w:num="1">
            <w:col w:w="10219"/>
          </w:cols>
          <w:pgMar w:left="240" w:top="654" w:right="1440" w:bottom="0" w:gutter="0" w:footer="0" w:header="0"/>
        </w:sectPr>
      </w:pPr>
    </w:p>
    <w:bookmarkStart w:id="46" w:name="page47"/>
    <w:bookmarkEnd w:id="46"/>
    <w:p>
      <w:pPr>
        <w:ind w:left="180"/>
        <w:spacing w:after="0"/>
        <w:rPr>
          <w:sz w:val="20"/>
          <w:szCs w:val="20"/>
          <w:color w:val="auto"/>
        </w:rPr>
      </w:pPr>
      <w:r>
        <w:rPr>
          <w:rFonts w:ascii="Courier New" w:cs="Courier New" w:eastAsia="Courier New" w:hAnsi="Courier New"/>
          <w:sz w:val="16"/>
          <w:szCs w:val="16"/>
          <w:color w:val="auto"/>
        </w:rPr>
        <w:t>continuing operations -- assuming</w:t>
      </w:r>
    </w:p>
    <w:p>
      <w:pPr>
        <w:ind w:left="220"/>
        <w:spacing w:after="0"/>
        <w:rPr>
          <w:sz w:val="20"/>
          <w:szCs w:val="20"/>
          <w:color w:val="auto"/>
        </w:rPr>
      </w:pPr>
      <w:r>
        <w:rPr>
          <w:rFonts w:ascii="Courier New" w:cs="Courier New" w:eastAsia="Courier New" w:hAnsi="Courier New"/>
          <w:sz w:val="16"/>
          <w:szCs w:val="16"/>
          <w:color w:val="auto"/>
        </w:rPr>
        <w:t>dilution...... $ (0.31) $ (6.27)</w:t>
      </w:r>
    </w:p>
    <w:p>
      <w:pPr>
        <w:spacing w:after="0" w:line="17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shares outstanding --</w:t>
      </w:r>
    </w:p>
    <w:p>
      <w:pPr>
        <w:jc w:val="center"/>
        <w:ind w:right="6759"/>
        <w:spacing w:after="0"/>
        <w:rPr>
          <w:sz w:val="20"/>
          <w:szCs w:val="20"/>
          <w:color w:val="auto"/>
        </w:rPr>
      </w:pPr>
      <w:r>
        <w:rPr>
          <w:rFonts w:ascii="Courier New" w:cs="Courier New" w:eastAsia="Courier New" w:hAnsi="Courier New"/>
          <w:sz w:val="16"/>
          <w:szCs w:val="16"/>
          <w:color w:val="auto"/>
        </w:rPr>
        <w:t>basic.......... 951.9 1,301.3(k)</w:t>
      </w:r>
    </w:p>
    <w:p>
      <w:pPr>
        <w:jc w:val="center"/>
        <w:ind w:right="6759"/>
        <w:spacing w:after="0" w:line="237" w:lineRule="auto"/>
        <w:rPr>
          <w:sz w:val="20"/>
          <w:szCs w:val="20"/>
          <w:color w:val="auto"/>
        </w:rPr>
      </w:pPr>
      <w:r>
        <w:rPr>
          <w:rFonts w:ascii="Courier New" w:cs="Courier New" w:eastAsia="Courier New" w:hAnsi="Courier New"/>
          <w:sz w:val="16"/>
          <w:szCs w:val="16"/>
          <w:color w:val="auto"/>
        </w:rPr>
        <w:t>2,253.2 Weighted average number of</w:t>
      </w:r>
    </w:p>
    <w:p>
      <w:pPr>
        <w:jc w:val="center"/>
        <w:ind w:right="6759"/>
        <w:spacing w:after="0"/>
        <w:rPr>
          <w:sz w:val="20"/>
          <w:szCs w:val="20"/>
          <w:color w:val="auto"/>
        </w:rPr>
      </w:pPr>
      <w:r>
        <w:rPr>
          <w:rFonts w:ascii="Courier New" w:cs="Courier New" w:eastAsia="Courier New" w:hAnsi="Courier New"/>
          <w:sz w:val="16"/>
          <w:szCs w:val="16"/>
          <w:color w:val="auto"/>
        </w:rPr>
        <w:t>common shares outstanding --</w:t>
      </w:r>
    </w:p>
    <w:p>
      <w:pPr>
        <w:jc w:val="center"/>
        <w:ind w:right="6759"/>
        <w:spacing w:after="0" w:line="238" w:lineRule="auto"/>
        <w:rPr>
          <w:sz w:val="20"/>
          <w:szCs w:val="20"/>
          <w:color w:val="auto"/>
        </w:rPr>
      </w:pPr>
      <w:r>
        <w:rPr>
          <w:rFonts w:ascii="Courier New" w:cs="Courier New" w:eastAsia="Courier New" w:hAnsi="Courier New"/>
          <w:sz w:val="16"/>
          <w:szCs w:val="16"/>
          <w:color w:val="auto"/>
        </w:rPr>
        <w:t>assuming</w:t>
      </w:r>
    </w:p>
    <w:p>
      <w:pPr>
        <w:spacing w:after="0"/>
        <w:rPr>
          <w:sz w:val="20"/>
          <w:szCs w:val="20"/>
          <w:color w:val="auto"/>
        </w:rPr>
      </w:pPr>
      <w:r>
        <w:rPr>
          <w:rFonts w:ascii="Courier New" w:cs="Courier New" w:eastAsia="Courier New" w:hAnsi="Courier New"/>
          <w:sz w:val="16"/>
          <w:szCs w:val="16"/>
          <w:color w:val="auto"/>
        </w:rPr>
        <w:t>dilution.............................</w:t>
      </w:r>
    </w:p>
    <w:p>
      <w:pPr>
        <w:ind w:left="600"/>
        <w:spacing w:after="0" w:line="238" w:lineRule="auto"/>
        <w:rPr>
          <w:sz w:val="20"/>
          <w:szCs w:val="20"/>
          <w:color w:val="auto"/>
        </w:rPr>
      </w:pPr>
      <w:r>
        <w:rPr>
          <w:rFonts w:ascii="Courier New" w:cs="Courier New" w:eastAsia="Courier New" w:hAnsi="Courier New"/>
          <w:sz w:val="16"/>
          <w:szCs w:val="16"/>
          <w:color w:val="auto"/>
        </w:rPr>
        <w:t>951.9 1,301.3(k) 2,253.2</w:t>
      </w:r>
    </w:p>
    <w:p>
      <w:pPr>
        <w:spacing w:after="0" w:line="36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Unaudited Pro Forma Combined Condensed Statement of Operations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137" w:right="1440" w:bottom="1440" w:gutter="0" w:footer="0" w:header="0"/>
        </w:sectPr>
      </w:pPr>
    </w:p>
    <w:bookmarkStart w:id="47" w:name="page48"/>
    <w:bookmarkEnd w:id="47"/>
    <w:p>
      <w:pPr>
        <w:jc w:val="center"/>
        <w:ind w:right="2715"/>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UNAUDITED PRO FORMA COMBINED CONDENSED</w:t>
      </w:r>
    </w:p>
    <w:p>
      <w:pPr>
        <w:jc w:val="center"/>
        <w:ind w:right="2815"/>
        <w:spacing w:after="0"/>
        <w:rPr>
          <w:sz w:val="20"/>
          <w:szCs w:val="20"/>
          <w:color w:val="auto"/>
        </w:rPr>
      </w:pPr>
      <w:r>
        <w:rPr>
          <w:rFonts w:ascii="Courier New" w:cs="Courier New" w:eastAsia="Courier New" w:hAnsi="Courier New"/>
          <w:sz w:val="16"/>
          <w:szCs w:val="16"/>
          <w:color w:val="auto"/>
        </w:rPr>
        <w:t>STATEMENT OF OPERATIONS</w:t>
      </w:r>
    </w:p>
    <w:p>
      <w:pPr>
        <w:jc w:val="center"/>
        <w:ind w:right="2715"/>
        <w:spacing w:after="0" w:line="237" w:lineRule="auto"/>
        <w:rPr>
          <w:sz w:val="20"/>
          <w:szCs w:val="20"/>
          <w:color w:val="auto"/>
        </w:rPr>
      </w:pPr>
      <w:r>
        <w:rPr>
          <w:rFonts w:ascii="Courier New" w:cs="Courier New" w:eastAsia="Courier New" w:hAnsi="Courier New"/>
          <w:sz w:val="16"/>
          <w:szCs w:val="16"/>
          <w:color w:val="auto"/>
        </w:rPr>
        <w:t>(DOLLARS IN MILLIONS, EXCEPT PER SHARE DATA)</w:t>
      </w:r>
    </w:p>
    <w:p>
      <w:pPr>
        <w:spacing w:after="0" w:line="185" w:lineRule="exact"/>
        <w:rPr>
          <w:sz w:val="20"/>
          <w:szCs w:val="20"/>
          <w:color w:val="auto"/>
        </w:rPr>
      </w:pPr>
    </w:p>
    <w:p>
      <w:pPr>
        <w:ind w:left="464" w:right="3379" w:hanging="464"/>
        <w:spacing w:after="0" w:line="236" w:lineRule="auto"/>
        <w:tabs>
          <w:tab w:leader="none" w:pos="4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statements of operations of the respective companies.</w:t>
      </w:r>
    </w:p>
    <w:p>
      <w:pPr>
        <w:spacing w:after="0" w:line="184" w:lineRule="exact"/>
        <w:rPr>
          <w:rFonts w:ascii="Courier New" w:cs="Courier New" w:eastAsia="Courier New" w:hAnsi="Courier New"/>
          <w:sz w:val="16"/>
          <w:szCs w:val="16"/>
          <w:color w:val="auto"/>
        </w:rPr>
      </w:pPr>
    </w:p>
    <w:p>
      <w:pPr>
        <w:ind w:left="464" w:right="2719" w:hanging="464"/>
        <w:spacing w:after="0" w:line="237" w:lineRule="auto"/>
        <w:tabs>
          <w:tab w:leader="none" w:pos="4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187" w:lineRule="exact"/>
        <w:rPr>
          <w:rFonts w:ascii="Courier New" w:cs="Courier New" w:eastAsia="Courier New" w:hAnsi="Courier New"/>
          <w:sz w:val="16"/>
          <w:szCs w:val="16"/>
          <w:color w:val="auto"/>
        </w:rPr>
      </w:pPr>
    </w:p>
    <w:p>
      <w:pPr>
        <w:ind w:left="464" w:right="2719" w:hanging="464"/>
        <w:spacing w:after="0" w:line="263" w:lineRule="auto"/>
        <w:tabs>
          <w:tab w:leader="none" w:pos="46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the aggregate historical income tax effects recorded by Comcast and AT&amp;T Broadband Group on Note (b) adjustments above.</w:t>
      </w:r>
    </w:p>
    <w:p>
      <w:pPr>
        <w:spacing w:after="0" w:line="168" w:lineRule="exact"/>
        <w:rPr>
          <w:rFonts w:ascii="Courier New" w:cs="Courier New" w:eastAsia="Courier New" w:hAnsi="Courier New"/>
          <w:sz w:val="15"/>
          <w:szCs w:val="15"/>
          <w:color w:val="auto"/>
        </w:rPr>
      </w:pPr>
    </w:p>
    <w:p>
      <w:pPr>
        <w:ind w:left="464" w:right="2819" w:hanging="464"/>
        <w:spacing w:after="0" w:line="237" w:lineRule="auto"/>
        <w:tabs>
          <w:tab w:leader="none" w:pos="4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185" w:lineRule="exact"/>
        <w:rPr>
          <w:rFonts w:ascii="Courier New" w:cs="Courier New" w:eastAsia="Courier New" w:hAnsi="Courier New"/>
          <w:sz w:val="16"/>
          <w:szCs w:val="16"/>
          <w:color w:val="auto"/>
        </w:rPr>
      </w:pPr>
    </w:p>
    <w:p>
      <w:pPr>
        <w:ind w:left="464" w:right="2719" w:hanging="464"/>
        <w:spacing w:after="0" w:line="256" w:lineRule="auto"/>
        <w:tabs>
          <w:tab w:leader="none" w:pos="46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AT&amp;T Broadband Group's historical goodwill and cable franchise rights amortization expense for consolidated subsidiaries and equity method investments. Under the accounting rules set forth in SFAS No. 142 issued by the Financial Accounting Standards Board in June 2001, goodwill and intangibles with indefinite lives are not amortized against earnings other than in connection with an impairment.</w:t>
      </w:r>
    </w:p>
    <w:p>
      <w:pPr>
        <w:spacing w:after="0" w:line="175" w:lineRule="exact"/>
        <w:rPr>
          <w:rFonts w:ascii="Courier New" w:cs="Courier New" w:eastAsia="Courier New" w:hAnsi="Courier New"/>
          <w:sz w:val="15"/>
          <w:szCs w:val="15"/>
          <w:color w:val="auto"/>
        </w:rPr>
      </w:pPr>
    </w:p>
    <w:p>
      <w:pPr>
        <w:ind w:left="464" w:right="2719" w:hanging="464"/>
        <w:spacing w:after="0" w:line="238" w:lineRule="auto"/>
        <w:tabs>
          <w:tab w:leader="none" w:pos="4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on interest expense resulting from the financings described in Note (c) to the Unaudited Pro Forma Combined Condensed Balance Sheet. Pro forma interest expense was calculated based on the historical interest rates for the historical debt outstanding and assumed interest rates for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$10.3 million for the year ended December 31, 2001 and $5.2 million for the six months ended June 30, 2002.</w:t>
      </w:r>
    </w:p>
    <w:p>
      <w:pPr>
        <w:spacing w:after="0" w:line="187" w:lineRule="exact"/>
        <w:rPr>
          <w:rFonts w:ascii="Courier New" w:cs="Courier New" w:eastAsia="Courier New" w:hAnsi="Courier New"/>
          <w:sz w:val="16"/>
          <w:szCs w:val="16"/>
          <w:color w:val="auto"/>
        </w:rPr>
      </w:pPr>
    </w:p>
    <w:p>
      <w:pPr>
        <w:ind w:left="464" w:right="2719" w:hanging="464"/>
        <w:spacing w:after="0" w:line="256" w:lineRule="auto"/>
        <w:tabs>
          <w:tab w:leader="none" w:pos="46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effect in interest expense as a result of the adjustment of AT&amp;T Broadband Group's long-term debt to its fair value as described in Note (b7) to the Unaudited Pro Forma Combined Condensed Balance Sheet. The difference between the fair value and the face amount of each borrowing is amortized to interest expense over the remaining term of the borrowing.</w:t>
      </w:r>
    </w:p>
    <w:p>
      <w:pPr>
        <w:spacing w:after="0" w:line="176" w:lineRule="exact"/>
        <w:rPr>
          <w:rFonts w:ascii="Courier New" w:cs="Courier New" w:eastAsia="Courier New" w:hAnsi="Courier New"/>
          <w:sz w:val="15"/>
          <w:szCs w:val="15"/>
          <w:color w:val="auto"/>
        </w:rPr>
      </w:pPr>
    </w:p>
    <w:p>
      <w:pPr>
        <w:ind w:left="464" w:right="3099" w:hanging="464"/>
        <w:spacing w:after="0" w:line="237" w:lineRule="auto"/>
        <w:tabs>
          <w:tab w:leader="none" w:pos="4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losses in equity investments for the year ended December 31, 2001 and losses related to equity method investments for the six months ended June 30, 2002 to conform with the presentation currently used by Comcast.</w:t>
      </w:r>
    </w:p>
    <w:p>
      <w:pPr>
        <w:spacing w:after="0" w:line="185"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pro forma income tax effect of Notes (e) through</w:t>
      </w:r>
    </w:p>
    <w:p>
      <w:pPr>
        <w:spacing w:after="0" w:line="6" w:lineRule="exact"/>
        <w:rPr>
          <w:rFonts w:ascii="Courier New" w:cs="Courier New" w:eastAsia="Courier New" w:hAnsi="Courier New"/>
          <w:sz w:val="15"/>
          <w:szCs w:val="15"/>
          <w:color w:val="auto"/>
        </w:rPr>
      </w:pPr>
    </w:p>
    <w:p>
      <w:pPr>
        <w:ind w:left="944" w:hanging="381"/>
        <w:spacing w:after="0"/>
        <w:tabs>
          <w:tab w:leader="none" w:pos="944"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at the combined federal and state statutory rate.</w:t>
      </w:r>
    </w:p>
    <w:p>
      <w:pPr>
        <w:spacing w:after="0" w:line="183" w:lineRule="exact"/>
        <w:rPr>
          <w:rFonts w:ascii="Courier New" w:cs="Courier New" w:eastAsia="Courier New" w:hAnsi="Courier New"/>
          <w:sz w:val="16"/>
          <w:szCs w:val="16"/>
          <w:color w:val="auto"/>
        </w:rPr>
      </w:pPr>
    </w:p>
    <w:p>
      <w:pPr>
        <w:ind w:left="564" w:right="2719" w:hanging="564"/>
        <w:spacing w:after="0" w:line="236" w:lineRule="auto"/>
        <w:tabs>
          <w:tab w:leader="none" w:pos="5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historical impact of the QUIPS exchanged for AT&amp;T Broadband Group common stock.</w:t>
      </w:r>
    </w:p>
    <w:p>
      <w:pPr>
        <w:spacing w:after="0" w:line="184" w:lineRule="exact"/>
        <w:rPr>
          <w:rFonts w:ascii="Courier New" w:cs="Courier New" w:eastAsia="Courier New" w:hAnsi="Courier New"/>
          <w:sz w:val="16"/>
          <w:szCs w:val="16"/>
          <w:color w:val="auto"/>
        </w:rPr>
      </w:pPr>
    </w:p>
    <w:p>
      <w:pPr>
        <w:ind w:left="464" w:right="2719" w:hanging="464"/>
        <w:spacing w:after="0" w:line="238" w:lineRule="auto"/>
        <w:tabs>
          <w:tab w:leader="none" w:pos="4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basic earnings (loss)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 as well as adjustment for the year-ended December 31,</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23"/>
          </w:cols>
          <w:pgMar w:left="236" w:top="654" w:right="1440" w:bottom="1440" w:gutter="0" w:footer="0" w:header="0"/>
        </w:sectPr>
      </w:pPr>
    </w:p>
    <w:bookmarkStart w:id="48" w:name="page49"/>
    <w:bookmarkEnd w:id="48"/>
    <w:p>
      <w:pPr>
        <w:jc w:val="center"/>
        <w:ind w:right="2715"/>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NOTES TO UNAUDITED PRO FORMA COMBINED CONDENSED</w:t>
      </w:r>
    </w:p>
    <w:p>
      <w:pPr>
        <w:ind w:left="1964"/>
        <w:spacing w:after="0"/>
        <w:rPr>
          <w:sz w:val="20"/>
          <w:szCs w:val="20"/>
          <w:color w:val="auto"/>
        </w:rPr>
      </w:pPr>
      <w:r>
        <w:rPr>
          <w:rFonts w:ascii="Courier New" w:cs="Courier New" w:eastAsia="Courier New" w:hAnsi="Courier New"/>
          <w:sz w:val="16"/>
          <w:szCs w:val="16"/>
          <w:color w:val="auto"/>
        </w:rPr>
        <w:t>STATEMENT OF OPERATIONS -- (CONCLUDED)</w:t>
      </w:r>
    </w:p>
    <w:p>
      <w:pPr>
        <w:ind w:left="1684"/>
        <w:spacing w:after="0" w:line="237" w:lineRule="auto"/>
        <w:rPr>
          <w:sz w:val="20"/>
          <w:szCs w:val="20"/>
          <w:color w:val="auto"/>
        </w:rPr>
      </w:pPr>
      <w:r>
        <w:rPr>
          <w:rFonts w:ascii="Courier New" w:cs="Courier New" w:eastAsia="Courier New" w:hAnsi="Courier New"/>
          <w:sz w:val="16"/>
          <w:szCs w:val="16"/>
          <w:color w:val="auto"/>
        </w:rPr>
        <w:t>(DOLLARS IN MILLIONS, EXCEPT PER SHARE DATA)</w:t>
      </w:r>
    </w:p>
    <w:p>
      <w:pPr>
        <w:spacing w:after="0" w:line="185" w:lineRule="exact"/>
        <w:rPr>
          <w:sz w:val="20"/>
          <w:szCs w:val="20"/>
          <w:color w:val="auto"/>
        </w:rPr>
      </w:pPr>
    </w:p>
    <w:p>
      <w:pPr>
        <w:ind w:left="464" w:right="2719"/>
        <w:spacing w:after="0" w:line="236" w:lineRule="auto"/>
        <w:rPr>
          <w:sz w:val="20"/>
          <w:szCs w:val="20"/>
          <w:color w:val="auto"/>
        </w:rPr>
      </w:pPr>
      <w:r>
        <w:rPr>
          <w:rFonts w:ascii="Courier New" w:cs="Courier New" w:eastAsia="Courier New" w:hAnsi="Courier New"/>
          <w:sz w:val="16"/>
          <w:szCs w:val="16"/>
          <w:color w:val="auto"/>
        </w:rPr>
        <w:t>2001 to Comcast's historical average dilutive shares outstanding since such shares would be anti-dilutive on a pro forma basis.</w:t>
      </w:r>
    </w:p>
    <w:p>
      <w:pPr>
        <w:spacing w:after="0" w:line="185" w:lineRule="exact"/>
        <w:rPr>
          <w:sz w:val="20"/>
          <w:szCs w:val="20"/>
          <w:color w:val="auto"/>
        </w:rPr>
      </w:pPr>
    </w:p>
    <w:p>
      <w:pPr>
        <w:ind w:left="564" w:right="2719" w:hanging="564"/>
        <w:spacing w:after="0" w:line="255" w:lineRule="auto"/>
        <w:tabs>
          <w:tab w:leader="none" w:pos="56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354"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SIX MONTHS YEAR ENDED ENDED WEIGHTED AVERAGE</w:t>
      </w:r>
    </w:p>
    <w:p>
      <w:pPr>
        <w:ind w:left="44"/>
        <w:spacing w:after="0"/>
        <w:rPr>
          <w:sz w:val="20"/>
          <w:szCs w:val="20"/>
          <w:color w:val="auto"/>
        </w:rPr>
      </w:pPr>
      <w:r>
        <w:rPr>
          <w:rFonts w:ascii="Courier New" w:cs="Courier New" w:eastAsia="Courier New" w:hAnsi="Courier New"/>
          <w:sz w:val="16"/>
          <w:szCs w:val="16"/>
          <w:color w:val="auto"/>
        </w:rPr>
        <w:t>LIFE DECEMBER 31, 2001 JUNE 30, 2002 - ------</w:t>
      </w:r>
    </w:p>
    <w:p>
      <w:pPr>
        <w:ind w:left="44"/>
        <w:spacing w:after="0" w:line="237" w:lineRule="auto"/>
        <w:rPr>
          <w:sz w:val="20"/>
          <w:szCs w:val="20"/>
          <w:color w:val="auto"/>
        </w:rPr>
      </w:pPr>
      <w:r>
        <w:rPr>
          <w:rFonts w:ascii="Courier New" w:cs="Courier New" w:eastAsia="Courier New" w:hAnsi="Courier New"/>
          <w:sz w:val="16"/>
          <w:szCs w:val="16"/>
          <w:color w:val="auto"/>
        </w:rPr>
        <w:t>--------------- ----------------- -----------</w:t>
      </w:r>
    </w:p>
    <w:p>
      <w:pPr>
        <w:jc w:val="center"/>
        <w:ind w:right="5915"/>
        <w:spacing w:after="0"/>
        <w:rPr>
          <w:sz w:val="20"/>
          <w:szCs w:val="20"/>
          <w:color w:val="auto"/>
        </w:rPr>
      </w:pPr>
      <w:r>
        <w:rPr>
          <w:rFonts w:ascii="Courier New" w:cs="Courier New" w:eastAsia="Courier New" w:hAnsi="Courier New"/>
          <w:sz w:val="16"/>
          <w:szCs w:val="16"/>
          <w:color w:val="auto"/>
        </w:rPr>
        <w:t>-- Five years Net</w:t>
      </w:r>
    </w:p>
    <w:p>
      <w:pPr>
        <w:ind w:left="4"/>
        <w:spacing w:after="0" w:line="238" w:lineRule="auto"/>
        <w:rPr>
          <w:sz w:val="20"/>
          <w:szCs w:val="20"/>
          <w:color w:val="auto"/>
        </w:rPr>
      </w:pPr>
      <w:r>
        <w:rPr>
          <w:rFonts w:ascii="Courier New" w:cs="Courier New" w:eastAsia="Courier New" w:hAnsi="Courier New"/>
          <w:sz w:val="16"/>
          <w:szCs w:val="16"/>
          <w:color w:val="auto"/>
        </w:rPr>
        <w:t>Income........................................</w:t>
      </w:r>
    </w:p>
    <w:p>
      <w:pPr>
        <w:jc w:val="center"/>
        <w:ind w:right="5915"/>
        <w:spacing w:after="0"/>
        <w:rPr>
          <w:sz w:val="20"/>
          <w:szCs w:val="20"/>
          <w:color w:val="auto"/>
        </w:rPr>
      </w:pPr>
      <w:r>
        <w:rPr>
          <w:rFonts w:ascii="Courier New" w:cs="Courier New" w:eastAsia="Courier New" w:hAnsi="Courier New"/>
          <w:sz w:val="16"/>
          <w:szCs w:val="16"/>
          <w:color w:val="auto"/>
        </w:rPr>
        <w:t>$61.5 $30.8 Per</w:t>
      </w:r>
    </w:p>
    <w:p>
      <w:pPr>
        <w:ind w:left="4"/>
        <w:spacing w:after="0" w:line="238" w:lineRule="auto"/>
        <w:rPr>
          <w:sz w:val="20"/>
          <w:szCs w:val="20"/>
          <w:color w:val="auto"/>
        </w:rPr>
      </w:pPr>
      <w:r>
        <w:rPr>
          <w:rFonts w:ascii="Courier New" w:cs="Courier New" w:eastAsia="Courier New" w:hAnsi="Courier New"/>
          <w:sz w:val="16"/>
          <w:szCs w:val="16"/>
          <w:color w:val="auto"/>
        </w:rPr>
        <w:t>Share.........................................</w:t>
      </w:r>
    </w:p>
    <w:p>
      <w:pPr>
        <w:jc w:val="center"/>
        <w:ind w:right="5915"/>
        <w:spacing w:after="0"/>
        <w:rPr>
          <w:sz w:val="20"/>
          <w:szCs w:val="20"/>
          <w:color w:val="auto"/>
        </w:rPr>
      </w:pPr>
      <w:r>
        <w:rPr>
          <w:rFonts w:ascii="Courier New" w:cs="Courier New" w:eastAsia="Courier New" w:hAnsi="Courier New"/>
          <w:sz w:val="16"/>
          <w:szCs w:val="16"/>
          <w:color w:val="auto"/>
        </w:rPr>
        <w:t>$0.03 $0.01 Ten years Net</w:t>
      </w:r>
    </w:p>
    <w:p>
      <w:pPr>
        <w:ind w:left="4"/>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5915"/>
        <w:spacing w:after="0"/>
        <w:rPr>
          <w:sz w:val="20"/>
          <w:szCs w:val="20"/>
          <w:color w:val="auto"/>
        </w:rPr>
      </w:pPr>
      <w:r>
        <w:rPr>
          <w:rFonts w:ascii="Courier New" w:cs="Courier New" w:eastAsia="Courier New" w:hAnsi="Courier New"/>
          <w:sz w:val="16"/>
          <w:szCs w:val="16"/>
          <w:color w:val="auto"/>
        </w:rPr>
        <w:t>$30.8 $15.4 Per</w:t>
      </w:r>
    </w:p>
    <w:p>
      <w:pPr>
        <w:ind w:left="4"/>
        <w:spacing w:after="0" w:line="238" w:lineRule="auto"/>
        <w:rPr>
          <w:sz w:val="20"/>
          <w:szCs w:val="20"/>
          <w:color w:val="auto"/>
        </w:rPr>
      </w:pPr>
      <w:r>
        <w:rPr>
          <w:rFonts w:ascii="Courier New" w:cs="Courier New" w:eastAsia="Courier New" w:hAnsi="Courier New"/>
          <w:sz w:val="16"/>
          <w:szCs w:val="16"/>
          <w:color w:val="auto"/>
        </w:rPr>
        <w:t>Share.........................................</w:t>
      </w:r>
    </w:p>
    <w:p>
      <w:pPr>
        <w:jc w:val="center"/>
        <w:ind w:right="5915"/>
        <w:spacing w:after="0"/>
        <w:rPr>
          <w:sz w:val="20"/>
          <w:szCs w:val="20"/>
          <w:color w:val="auto"/>
        </w:rPr>
      </w:pPr>
      <w:r>
        <w:rPr>
          <w:rFonts w:ascii="Courier New" w:cs="Courier New" w:eastAsia="Courier New" w:hAnsi="Courier New"/>
          <w:sz w:val="16"/>
          <w:szCs w:val="16"/>
          <w:color w:val="auto"/>
        </w:rPr>
        <w:t>$0.01 $0.01 Twenty years Net</w:t>
      </w:r>
    </w:p>
    <w:p>
      <w:pPr>
        <w:ind w:left="4"/>
        <w:spacing w:after="0" w:line="238" w:lineRule="auto"/>
        <w:rPr>
          <w:sz w:val="20"/>
          <w:szCs w:val="20"/>
          <w:color w:val="auto"/>
        </w:rPr>
      </w:pPr>
      <w:r>
        <w:rPr>
          <w:rFonts w:ascii="Courier New" w:cs="Courier New" w:eastAsia="Courier New" w:hAnsi="Courier New"/>
          <w:sz w:val="16"/>
          <w:szCs w:val="16"/>
          <w:color w:val="auto"/>
        </w:rPr>
        <w:t>Income........................................</w:t>
      </w:r>
    </w:p>
    <w:p>
      <w:pPr>
        <w:jc w:val="center"/>
        <w:ind w:right="5915"/>
        <w:spacing w:after="0"/>
        <w:rPr>
          <w:sz w:val="20"/>
          <w:szCs w:val="20"/>
          <w:color w:val="auto"/>
        </w:rPr>
      </w:pPr>
      <w:r>
        <w:rPr>
          <w:rFonts w:ascii="Courier New" w:cs="Courier New" w:eastAsia="Courier New" w:hAnsi="Courier New"/>
          <w:sz w:val="16"/>
          <w:szCs w:val="16"/>
          <w:color w:val="auto"/>
        </w:rPr>
        <w:t>$15.4 $ 7.7 Per</w:t>
      </w:r>
    </w:p>
    <w:p>
      <w:pPr>
        <w:ind w:left="4"/>
        <w:spacing w:after="0" w:line="237" w:lineRule="auto"/>
        <w:rPr>
          <w:sz w:val="20"/>
          <w:szCs w:val="20"/>
          <w:color w:val="auto"/>
        </w:rPr>
      </w:pPr>
      <w:r>
        <w:rPr>
          <w:rFonts w:ascii="Courier New" w:cs="Courier New" w:eastAsia="Courier New" w:hAnsi="Courier New"/>
          <w:sz w:val="16"/>
          <w:szCs w:val="16"/>
          <w:color w:val="auto"/>
        </w:rPr>
        <w:t>Share.........................................</w:t>
      </w:r>
    </w:p>
    <w:p>
      <w:pPr>
        <w:ind w:left="1644"/>
        <w:spacing w:after="0"/>
        <w:rPr>
          <w:sz w:val="20"/>
          <w:szCs w:val="20"/>
          <w:color w:val="auto"/>
        </w:rPr>
      </w:pPr>
      <w:r>
        <w:rPr>
          <w:rFonts w:ascii="Courier New" w:cs="Courier New" w:eastAsia="Courier New" w:hAnsi="Courier New"/>
          <w:sz w:val="16"/>
          <w:szCs w:val="16"/>
          <w:color w:val="auto"/>
        </w:rPr>
        <w:t>$0.01 $0.00</w:t>
      </w:r>
    </w:p>
    <w:p>
      <w:pPr>
        <w:spacing w:after="0" w:line="365" w:lineRule="exact"/>
        <w:rPr>
          <w:sz w:val="20"/>
          <w:szCs w:val="20"/>
          <w:color w:val="auto"/>
        </w:rPr>
      </w:pPr>
    </w:p>
    <w:p>
      <w:pPr>
        <w:ind w:left="384" w:right="2719" w:hanging="384"/>
        <w:spacing w:after="0" w:line="238" w:lineRule="auto"/>
        <w:tabs>
          <w:tab w:leader="none" w:pos="38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consolidated statement of operations for the year ended December 31, 2001 reflects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 reclassified such amounts to service revenues. The change in classification had no impact on the unaudited pro forma operating loss. The effect of the reclassification on the Unaudited Pro Forma Combined Condensed Statement of Operations for the ended December 31, 2001 would be to increase service revenues and selling, general and administrative expenses by $192.3 million.</w:t>
      </w:r>
    </w:p>
    <w:p>
      <w:pPr>
        <w:spacing w:after="0" w:line="182"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3"/>
          </w:cols>
          <w:pgMar w:left="236" w:top="473" w:right="1440" w:bottom="1440" w:gutter="0" w:footer="0" w:header="0"/>
        </w:sectPr>
      </w:pPr>
    </w:p>
    <w:bookmarkStart w:id="49" w:name="page50"/>
    <w:bookmarkEnd w:id="49"/>
    <w:p>
      <w:pPr>
        <w:spacing w:after="0" w:line="7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SELECTED FINANCIAL DATA OF COMCAST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consolidated selected financial data of Comcast below for the six months ended June 30, 2002 and 2001 were derived from the unaudited condensed consolidated financial statements of Comcast, and the consolidated selected financial data of Comcast for the years ended December 31, 2001, 2000, 1999, 1998 and 1997 were derived from the audited consolidated financial statements of Comcast.</w:t>
      </w:r>
    </w:p>
    <w:p>
      <w:pPr>
        <w:spacing w:after="0" w:line="184"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6"/>
          <w:szCs w:val="16"/>
          <w:color w:val="auto"/>
        </w:rPr>
        <w:t>SIX MONTHS ENDED JUNE 30, YEARS</w:t>
      </w:r>
    </w:p>
    <w:p>
      <w:pPr>
        <w:ind w:left="40"/>
        <w:spacing w:after="0"/>
        <w:rPr>
          <w:sz w:val="20"/>
          <w:szCs w:val="20"/>
          <w:color w:val="auto"/>
        </w:rPr>
      </w:pPr>
      <w:r>
        <w:rPr>
          <w:rFonts w:ascii="Courier New" w:cs="Courier New" w:eastAsia="Courier New" w:hAnsi="Courier New"/>
          <w:sz w:val="16"/>
          <w:szCs w:val="16"/>
          <w:color w:val="auto"/>
        </w:rPr>
        <w:t>ENDED DECEMBER 31, -----------------</w:t>
      </w:r>
    </w:p>
    <w:p>
      <w:pPr>
        <w:ind w:left="500" w:hanging="461"/>
        <w:spacing w:after="0" w:line="237" w:lineRule="auto"/>
        <w:tabs>
          <w:tab w:leader="none" w:pos="50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-------------------------- 2002 2001</w:t>
      </w:r>
    </w:p>
    <w:p>
      <w:pPr>
        <w:ind w:left="40"/>
        <w:spacing w:after="0" w:line="237" w:lineRule="auto"/>
        <w:rPr>
          <w:sz w:val="20"/>
          <w:szCs w:val="20"/>
          <w:color w:val="auto"/>
        </w:rPr>
      </w:pPr>
      <w:r>
        <w:rPr>
          <w:rFonts w:ascii="Courier New" w:cs="Courier New" w:eastAsia="Courier New" w:hAnsi="Courier New"/>
          <w:sz w:val="16"/>
          <w:szCs w:val="16"/>
          <w:color w:val="auto"/>
        </w:rPr>
        <w:t>2001 2000 1999 1998 1997 --------- -</w:t>
      </w:r>
    </w:p>
    <w:p>
      <w:pPr>
        <w:ind w:left="40"/>
        <w:spacing w:after="0"/>
        <w:rPr>
          <w:sz w:val="20"/>
          <w:szCs w:val="20"/>
          <w:color w:val="auto"/>
        </w:rPr>
      </w:pPr>
      <w:r>
        <w:rPr>
          <w:rFonts w:ascii="Courier New" w:cs="Courier New" w:eastAsia="Courier New" w:hAnsi="Courier New"/>
          <w:sz w:val="16"/>
          <w:szCs w:val="16"/>
          <w:color w:val="auto"/>
        </w:rPr>
        <w:t>-------- --------- --------- -------</w:t>
      </w:r>
    </w:p>
    <w:p>
      <w:pPr>
        <w:ind w:left="140"/>
        <w:spacing w:after="0" w:line="238" w:lineRule="auto"/>
        <w:rPr>
          <w:sz w:val="20"/>
          <w:szCs w:val="20"/>
          <w:color w:val="auto"/>
        </w:rPr>
      </w:pPr>
      <w:r>
        <w:rPr>
          <w:rFonts w:ascii="Courier New" w:cs="Courier New" w:eastAsia="Courier New" w:hAnsi="Courier New"/>
          <w:sz w:val="16"/>
          <w:szCs w:val="16"/>
          <w:color w:val="auto"/>
        </w:rPr>
        <w:t>-- --------- --------- (DOLLARS IN</w:t>
      </w:r>
    </w:p>
    <w:p>
      <w:pPr>
        <w:jc w:val="center"/>
        <w:ind w:right="6759"/>
        <w:spacing w:after="0"/>
        <w:rPr>
          <w:sz w:val="20"/>
          <w:szCs w:val="20"/>
          <w:color w:val="auto"/>
        </w:rPr>
      </w:pPr>
      <w:r>
        <w:rPr>
          <w:rFonts w:ascii="Courier New" w:cs="Courier New" w:eastAsia="Courier New" w:hAnsi="Courier New"/>
          <w:sz w:val="16"/>
          <w:szCs w:val="16"/>
          <w:color w:val="auto"/>
        </w:rPr>
        <w:t>MILLIONS, EXCEPT PER SHARE AMOUNTS)</w:t>
      </w:r>
    </w:p>
    <w:p>
      <w:pPr>
        <w:jc w:val="center"/>
        <w:ind w:right="6759"/>
        <w:spacing w:after="0" w:line="238" w:lineRule="auto"/>
        <w:rPr>
          <w:sz w:val="20"/>
          <w:szCs w:val="20"/>
          <w:color w:val="auto"/>
        </w:rPr>
      </w:pPr>
      <w:r>
        <w:rPr>
          <w:rFonts w:ascii="Courier New" w:cs="Courier New" w:eastAsia="Courier New" w:hAnsi="Courier New"/>
          <w:sz w:val="16"/>
          <w:szCs w:val="16"/>
          <w:color w:val="auto"/>
        </w:rPr>
        <w:t>STATEMENT OF OPERATIONS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6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5"/>
              </w:rPr>
              <w:t>Revenues(1)..........................</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$ 5,381.4</w:t>
            </w:r>
          </w:p>
        </w:tc>
        <w:tc>
          <w:tcPr>
            <w:tcW w:w="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$ 4,570.7</w:t>
            </w: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$ 9,674.2</w:t>
            </w:r>
          </w:p>
        </w:tc>
        <w:tc>
          <w:tcPr>
            <w:tcW w:w="4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r>
      <w:tr>
        <w:trPr>
          <w:trHeight w:val="180"/>
        </w:trPr>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8,218.6</w:t>
            </w:r>
          </w:p>
        </w:tc>
        <w:tc>
          <w:tcPr>
            <w:tcW w:w="940" w:type="dxa"/>
            <w:vAlign w:val="bottom"/>
            <w:gridSpan w:val="3"/>
          </w:tcPr>
          <w:p>
            <w:pPr>
              <w:jc w:val="right"/>
              <w:ind w:right="50"/>
              <w:spacing w:after="0"/>
              <w:rPr>
                <w:sz w:val="20"/>
                <w:szCs w:val="20"/>
                <w:color w:val="auto"/>
              </w:rPr>
            </w:pPr>
            <w:r>
              <w:rPr>
                <w:rFonts w:ascii="Courier New" w:cs="Courier New" w:eastAsia="Courier New" w:hAnsi="Courier New"/>
                <w:sz w:val="16"/>
                <w:szCs w:val="16"/>
                <w:color w:val="auto"/>
                <w:w w:val="94"/>
              </w:rPr>
              <w:t>$ 6,529.2</w:t>
            </w:r>
          </w:p>
        </w:tc>
        <w:tc>
          <w:tcPr>
            <w:tcW w:w="940" w:type="dxa"/>
            <w:vAlign w:val="bottom"/>
            <w:gridSpan w:val="3"/>
          </w:tcPr>
          <w:p>
            <w:pPr>
              <w:jc w:val="center"/>
              <w:ind w:right="22"/>
              <w:spacing w:after="0"/>
              <w:rPr>
                <w:sz w:val="20"/>
                <w:szCs w:val="20"/>
                <w:color w:val="auto"/>
              </w:rPr>
            </w:pPr>
            <w:r>
              <w:rPr>
                <w:rFonts w:ascii="Courier New" w:cs="Courier New" w:eastAsia="Courier New" w:hAnsi="Courier New"/>
                <w:sz w:val="16"/>
                <w:szCs w:val="16"/>
                <w:color w:val="auto"/>
                <w:w w:val="97"/>
              </w:rPr>
              <w:t>$ 5,419.0</w:t>
            </w:r>
          </w:p>
        </w:tc>
        <w:tc>
          <w:tcPr>
            <w:tcW w:w="42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3000" w:type="dxa"/>
            <w:vAlign w:val="bottom"/>
            <w:gridSpan w:val="8"/>
          </w:tcPr>
          <w:p>
            <w:pPr>
              <w:jc w:val="center"/>
              <w:ind w:left="389"/>
              <w:spacing w:after="0"/>
              <w:rPr>
                <w:sz w:val="20"/>
                <w:szCs w:val="20"/>
                <w:color w:val="auto"/>
              </w:rPr>
            </w:pPr>
            <w:r>
              <w:rPr>
                <w:rFonts w:ascii="Courier New" w:cs="Courier New" w:eastAsia="Courier New" w:hAnsi="Courier New"/>
                <w:sz w:val="16"/>
                <w:szCs w:val="16"/>
                <w:color w:val="auto"/>
                <w:w w:val="98"/>
              </w:rPr>
              <w:t>4,700.4 Operating income</w:t>
            </w: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(loss)..............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9"/>
              </w:rPr>
              <w:t>899.5 (233.8)</w:t>
            </w: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(746.2)</w:t>
            </w:r>
          </w:p>
        </w:tc>
        <w:tc>
          <w:tcPr>
            <w:tcW w:w="8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(161.0)</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664.0</w:t>
            </w:r>
          </w:p>
        </w:tc>
        <w:tc>
          <w:tcPr>
            <w:tcW w:w="660" w:type="dxa"/>
            <w:vAlign w:val="bottom"/>
          </w:tcPr>
          <w:p>
            <w:pPr>
              <w:jc w:val="center"/>
              <w:spacing w:after="0"/>
              <w:rPr>
                <w:sz w:val="20"/>
                <w:szCs w:val="20"/>
                <w:color w:val="auto"/>
              </w:rPr>
            </w:pPr>
            <w:r>
              <w:rPr>
                <w:rFonts w:ascii="Courier New" w:cs="Courier New" w:eastAsia="Courier New" w:hAnsi="Courier New"/>
                <w:sz w:val="16"/>
                <w:szCs w:val="16"/>
                <w:color w:val="auto"/>
                <w:w w:val="99"/>
              </w:rPr>
              <w:t>557.1</w:t>
            </w:r>
          </w:p>
        </w:tc>
        <w:tc>
          <w:tcPr>
            <w:tcW w:w="62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9"/>
              </w:rPr>
              <w:t>466.6</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Income (loss) from continuing</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operations before extraordinary</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items and cumulative effect of</w:t>
            </w:r>
          </w:p>
        </w:tc>
      </w:tr>
      <w:tr>
        <w:trPr>
          <w:trHeight w:val="180"/>
        </w:trPr>
        <w:tc>
          <w:tcPr>
            <w:tcW w:w="1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accounting change</w:t>
            </w:r>
          </w:p>
        </w:tc>
        <w:tc>
          <w:tcPr>
            <w:tcW w:w="460" w:type="dxa"/>
            <w:vAlign w:val="bottom"/>
            <w:gridSpan w:val="2"/>
          </w:tcPr>
          <w:p>
            <w:pPr>
              <w:jc w:val="right"/>
              <w:spacing w:after="0"/>
              <w:rPr>
                <w:sz w:val="20"/>
                <w:szCs w:val="20"/>
                <w:color w:val="auto"/>
              </w:rPr>
            </w:pPr>
            <w:r>
              <w:rPr>
                <w:rFonts w:ascii="Courier New" w:cs="Courier New" w:eastAsia="Courier New" w:hAnsi="Courier New"/>
                <w:sz w:val="4"/>
                <w:szCs w:val="4"/>
                <w:color w:val="auto"/>
              </w:rPr>
              <w:t>..................</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(298.5)</w:t>
            </w:r>
          </w:p>
        </w:tc>
        <w:tc>
          <w:tcPr>
            <w:tcW w:w="1220" w:type="dxa"/>
            <w:vAlign w:val="bottom"/>
            <w:gridSpan w:val="4"/>
          </w:tcPr>
          <w:p>
            <w:pPr>
              <w:jc w:val="right"/>
              <w:ind w:right="50"/>
              <w:spacing w:after="0"/>
              <w:rPr>
                <w:sz w:val="20"/>
                <w:szCs w:val="20"/>
                <w:color w:val="auto"/>
              </w:rPr>
            </w:pPr>
            <w:r>
              <w:rPr>
                <w:rFonts w:ascii="Courier New" w:cs="Courier New" w:eastAsia="Courier New" w:hAnsi="Courier New"/>
                <w:sz w:val="16"/>
                <w:szCs w:val="16"/>
                <w:color w:val="auto"/>
              </w:rPr>
              <w:t>651.9 225.6</w:t>
            </w:r>
          </w:p>
        </w:tc>
        <w:tc>
          <w:tcPr>
            <w:tcW w:w="7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5"/>
              </w:rPr>
              <w:t>2,045.1</w:t>
            </w:r>
          </w:p>
        </w:tc>
        <w:tc>
          <w:tcPr>
            <w:tcW w:w="62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9"/>
              </w:rPr>
              <w:t>780.9</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1,007.7 (182.9) Discontinued</w:t>
            </w:r>
          </w:p>
        </w:tc>
      </w:tr>
      <w:tr>
        <w:trPr>
          <w:trHeight w:val="180"/>
        </w:trPr>
        <w:tc>
          <w:tcPr>
            <w:tcW w:w="20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88"/>
              </w:rPr>
              <w:t>operations(2)...........</w:t>
            </w:r>
          </w:p>
        </w:tc>
        <w:tc>
          <w:tcPr>
            <w:tcW w:w="80" w:type="dxa"/>
            <w:vAlign w:val="bottom"/>
          </w:tcPr>
          <w:p>
            <w:pPr>
              <w:spacing w:after="0"/>
              <w:rPr>
                <w:sz w:val="15"/>
                <w:szCs w:val="15"/>
                <w:color w:val="auto"/>
              </w:rPr>
            </w:pPr>
          </w:p>
        </w:tc>
        <w:tc>
          <w:tcPr>
            <w:tcW w:w="128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335.8</w:t>
            </w:r>
          </w:p>
        </w:tc>
      </w:tr>
      <w:tr>
        <w:trPr>
          <w:trHeight w:val="180"/>
        </w:trPr>
        <w:tc>
          <w:tcPr>
            <w:tcW w:w="3000" w:type="dxa"/>
            <w:vAlign w:val="bottom"/>
            <w:gridSpan w:val="8"/>
          </w:tcPr>
          <w:p>
            <w:pPr>
              <w:jc w:val="center"/>
              <w:ind w:left="389"/>
              <w:spacing w:after="0"/>
              <w:rPr>
                <w:sz w:val="20"/>
                <w:szCs w:val="20"/>
                <w:color w:val="auto"/>
              </w:rPr>
            </w:pPr>
            <w:r>
              <w:rPr>
                <w:rFonts w:ascii="Courier New" w:cs="Courier New" w:eastAsia="Courier New" w:hAnsi="Courier New"/>
                <w:sz w:val="16"/>
                <w:szCs w:val="16"/>
                <w:color w:val="auto"/>
                <w:w w:val="97"/>
              </w:rPr>
              <w:t>(31.4) (25.6) Extraordinary</w:t>
            </w: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items..................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(1.5) (23.6)</w:t>
            </w:r>
          </w:p>
        </w:tc>
      </w:tr>
      <w:tr>
        <w:trPr>
          <w:trHeight w:val="180"/>
        </w:trPr>
        <w:tc>
          <w:tcPr>
            <w:tcW w:w="3420" w:type="dxa"/>
            <w:vAlign w:val="bottom"/>
            <w:gridSpan w:val="9"/>
          </w:tcPr>
          <w:p>
            <w:pPr>
              <w:jc w:val="center"/>
              <w:spacing w:after="0"/>
              <w:rPr>
                <w:sz w:val="20"/>
                <w:szCs w:val="20"/>
                <w:color w:val="auto"/>
              </w:rPr>
            </w:pPr>
            <w:r>
              <w:rPr>
                <w:rFonts w:ascii="Courier New" w:cs="Courier New" w:eastAsia="Courier New" w:hAnsi="Courier New"/>
                <w:sz w:val="16"/>
                <w:szCs w:val="16"/>
                <w:color w:val="auto"/>
                <w:w w:val="97"/>
              </w:rPr>
              <w:t>(51.0) (4.2) (30.2) Cumulative</w:t>
            </w:r>
          </w:p>
        </w:tc>
      </w:tr>
      <w:tr>
        <w:trPr>
          <w:trHeight w:val="180"/>
        </w:trPr>
        <w:tc>
          <w:tcPr>
            <w:tcW w:w="2800" w:type="dxa"/>
            <w:vAlign w:val="bottom"/>
            <w:gridSpan w:val="7"/>
          </w:tcPr>
          <w:p>
            <w:pPr>
              <w:jc w:val="center"/>
              <w:ind w:left="569"/>
              <w:spacing w:after="0"/>
              <w:rPr>
                <w:sz w:val="20"/>
                <w:szCs w:val="20"/>
                <w:color w:val="auto"/>
              </w:rPr>
            </w:pPr>
            <w:r>
              <w:rPr>
                <w:rFonts w:ascii="Courier New" w:cs="Courier New" w:eastAsia="Courier New" w:hAnsi="Courier New"/>
                <w:sz w:val="16"/>
                <w:szCs w:val="16"/>
                <w:color w:val="auto"/>
                <w:w w:val="97"/>
              </w:rPr>
              <w:t>effect of accounting</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change.............................</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2800" w:type="dxa"/>
            <w:vAlign w:val="bottom"/>
            <w:gridSpan w:val="7"/>
          </w:tcPr>
          <w:p>
            <w:pPr>
              <w:jc w:val="center"/>
              <w:ind w:left="589"/>
              <w:spacing w:after="0"/>
              <w:rPr>
                <w:sz w:val="20"/>
                <w:szCs w:val="20"/>
                <w:color w:val="auto"/>
              </w:rPr>
            </w:pPr>
            <w:r>
              <w:rPr>
                <w:rFonts w:ascii="Courier New" w:cs="Courier New" w:eastAsia="Courier New" w:hAnsi="Courier New"/>
                <w:sz w:val="16"/>
                <w:szCs w:val="16"/>
                <w:color w:val="auto"/>
                <w:w w:val="97"/>
              </w:rPr>
              <w:t>384.5 384.5 Net income</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1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(loss)....................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(298.5)</w:t>
            </w:r>
          </w:p>
        </w:tc>
      </w:tr>
      <w:tr>
        <w:trPr>
          <w:trHeight w:val="180"/>
        </w:trPr>
        <w:tc>
          <w:tcPr>
            <w:tcW w:w="840" w:type="dxa"/>
            <w:vAlign w:val="bottom"/>
          </w:tcPr>
          <w:p>
            <w:pPr>
              <w:jc w:val="right"/>
              <w:ind w:right="29"/>
              <w:spacing w:after="0"/>
              <w:rPr>
                <w:sz w:val="20"/>
                <w:szCs w:val="20"/>
                <w:color w:val="auto"/>
              </w:rPr>
            </w:pPr>
            <w:r>
              <w:rPr>
                <w:rFonts w:ascii="Courier New" w:cs="Courier New" w:eastAsia="Courier New" w:hAnsi="Courier New"/>
                <w:sz w:val="16"/>
                <w:szCs w:val="16"/>
                <w:color w:val="auto"/>
              </w:rPr>
              <w:t>1,036.4</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608.6</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2,021.5</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6"/>
                <w:szCs w:val="16"/>
                <w:color w:val="auto"/>
                <w:w w:val="98"/>
              </w:rPr>
              <w:t>1,065.7</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972.1</w:t>
            </w:r>
          </w:p>
        </w:tc>
      </w:tr>
    </w:tbl>
    <w:p>
      <w:pPr>
        <w:jc w:val="center"/>
        <w:ind w:right="6759"/>
        <w:spacing w:after="0"/>
        <w:rPr>
          <w:sz w:val="20"/>
          <w:szCs w:val="20"/>
          <w:color w:val="auto"/>
        </w:rPr>
      </w:pPr>
      <w:r>
        <w:rPr>
          <w:rFonts w:ascii="Courier New" w:cs="Courier New" w:eastAsia="Courier New" w:hAnsi="Courier New"/>
          <w:sz w:val="16"/>
          <w:szCs w:val="16"/>
          <w:color w:val="auto"/>
        </w:rPr>
        <w:t>(238.7) BASIC EARNINGS (LOSS) FOR</w:t>
      </w:r>
    </w:p>
    <w:p>
      <w:pPr>
        <w:jc w:val="center"/>
        <w:ind w:right="6759"/>
        <w:spacing w:after="0" w:line="237" w:lineRule="auto"/>
        <w:rPr>
          <w:sz w:val="20"/>
          <w:szCs w:val="20"/>
          <w:color w:val="auto"/>
        </w:rPr>
      </w:pPr>
      <w:r>
        <w:rPr>
          <w:rFonts w:ascii="Courier New" w:cs="Courier New" w:eastAsia="Courier New" w:hAnsi="Courier New"/>
          <w:sz w:val="16"/>
          <w:szCs w:val="16"/>
          <w:color w:val="auto"/>
        </w:rPr>
        <w:t>COMMON STOCKHOLDERS PER COMMON</w:t>
      </w:r>
    </w:p>
    <w:p>
      <w:pPr>
        <w:jc w:val="center"/>
        <w:ind w:right="6759"/>
        <w:spacing w:after="0"/>
        <w:rPr>
          <w:sz w:val="20"/>
          <w:szCs w:val="20"/>
          <w:color w:val="auto"/>
        </w:rPr>
      </w:pPr>
      <w:r>
        <w:rPr>
          <w:rFonts w:ascii="Courier New" w:cs="Courier New" w:eastAsia="Courier New" w:hAnsi="Courier New"/>
          <w:sz w:val="16"/>
          <w:szCs w:val="16"/>
          <w:color w:val="auto"/>
        </w:rPr>
        <w:t>SHARE(3) Income (loss) from</w:t>
      </w:r>
    </w:p>
    <w:p>
      <w:pPr>
        <w:jc w:val="center"/>
        <w:ind w:right="6759"/>
        <w:spacing w:after="0" w:line="238" w:lineRule="auto"/>
        <w:rPr>
          <w:sz w:val="20"/>
          <w:szCs w:val="20"/>
          <w:color w:val="auto"/>
        </w:rPr>
      </w:pPr>
      <w:r>
        <w:rPr>
          <w:rFonts w:ascii="Courier New" w:cs="Courier New" w:eastAsia="Courier New" w:hAnsi="Courier New"/>
          <w:sz w:val="16"/>
          <w:szCs w:val="16"/>
          <w:color w:val="auto"/>
        </w:rPr>
        <w:t>continuing operations before</w:t>
      </w:r>
    </w:p>
    <w:p>
      <w:pPr>
        <w:jc w:val="center"/>
        <w:ind w:right="6759"/>
        <w:spacing w:after="0"/>
        <w:rPr>
          <w:sz w:val="20"/>
          <w:szCs w:val="20"/>
          <w:color w:val="auto"/>
        </w:rPr>
      </w:pPr>
      <w:r>
        <w:rPr>
          <w:rFonts w:ascii="Courier New" w:cs="Courier New" w:eastAsia="Courier New" w:hAnsi="Courier New"/>
          <w:sz w:val="16"/>
          <w:szCs w:val="16"/>
          <w:color w:val="auto"/>
        </w:rPr>
        <w:t>extraordinary items and cumulative</w:t>
      </w:r>
    </w:p>
    <w:p>
      <w:pPr>
        <w:jc w:val="center"/>
        <w:ind w:right="6759"/>
        <w:spacing w:after="0" w:line="238" w:lineRule="auto"/>
        <w:rPr>
          <w:sz w:val="20"/>
          <w:szCs w:val="20"/>
          <w:color w:val="auto"/>
        </w:rPr>
      </w:pPr>
      <w:r>
        <w:rPr>
          <w:rFonts w:ascii="Courier New" w:cs="Courier New" w:eastAsia="Courier New" w:hAnsi="Courier New"/>
          <w:sz w:val="16"/>
          <w:szCs w:val="16"/>
          <w:color w:val="auto"/>
        </w:rPr>
        <w:t>effect of accounting</w:t>
      </w:r>
    </w:p>
    <w:p>
      <w:pPr>
        <w:jc w:val="center"/>
        <w:ind w:right="6759"/>
        <w:spacing w:after="0"/>
        <w:rPr>
          <w:sz w:val="20"/>
          <w:szCs w:val="20"/>
          <w:color w:val="auto"/>
        </w:rPr>
      </w:pPr>
      <w:r>
        <w:rPr>
          <w:rFonts w:ascii="Courier New" w:cs="Courier New" w:eastAsia="Courier New" w:hAnsi="Courier New"/>
          <w:sz w:val="16"/>
          <w:szCs w:val="16"/>
          <w:color w:val="auto"/>
        </w:rPr>
        <w:t>change................ $ (.31) $ .69</w:t>
      </w:r>
    </w:p>
    <w:p>
      <w:pPr>
        <w:spacing w:after="0" w:line="3" w:lineRule="exact"/>
        <w:rPr>
          <w:sz w:val="20"/>
          <w:szCs w:val="20"/>
          <w:color w:val="auto"/>
        </w:rPr>
      </w:pPr>
    </w:p>
    <w:p>
      <w:pPr>
        <w:jc w:val="both"/>
        <w:ind w:left="80" w:right="6859" w:firstLine="53"/>
        <w:spacing w:after="0" w:line="254" w:lineRule="auto"/>
        <w:tabs>
          <w:tab w:leader="none" w:pos="31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.24 $ 2.27 $ 1.00 $ 1.34 $ (.29) Discontinued operations(2).........</w:t>
      </w:r>
    </w:p>
    <w:p>
      <w:pPr>
        <w:ind w:left="3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.45 (.04) (.04) Extraordinary</w:t>
      </w:r>
    </w:p>
    <w:p>
      <w:pPr>
        <w:jc w:val="center"/>
        <w:ind w:right="6759"/>
        <w:spacing w:after="0" w:line="237" w:lineRule="auto"/>
        <w:rPr>
          <w:sz w:val="20"/>
          <w:szCs w:val="20"/>
          <w:color w:val="auto"/>
        </w:rPr>
      </w:pPr>
      <w:r>
        <w:rPr>
          <w:rFonts w:ascii="Courier New" w:cs="Courier New" w:eastAsia="Courier New" w:hAnsi="Courier New"/>
          <w:sz w:val="16"/>
          <w:szCs w:val="16"/>
          <w:color w:val="auto"/>
        </w:rPr>
        <w:t>items................ (.03) (.07)</w:t>
      </w:r>
    </w:p>
    <w:p>
      <w:pPr>
        <w:jc w:val="center"/>
        <w:ind w:right="6759"/>
        <w:spacing w:after="0"/>
        <w:rPr>
          <w:sz w:val="20"/>
          <w:szCs w:val="20"/>
          <w:color w:val="auto"/>
        </w:rPr>
      </w:pPr>
      <w:r>
        <w:rPr>
          <w:rFonts w:ascii="Courier New" w:cs="Courier New" w:eastAsia="Courier New" w:hAnsi="Courier New"/>
          <w:sz w:val="16"/>
          <w:szCs w:val="16"/>
          <w:color w:val="auto"/>
        </w:rPr>
        <w:t>(.01) (.04) Cumulative effect of</w:t>
      </w:r>
    </w:p>
    <w:p>
      <w:pPr>
        <w:jc w:val="center"/>
        <w:ind w:right="6759"/>
        <w:spacing w:after="0" w:line="238" w:lineRule="auto"/>
        <w:rPr>
          <w:sz w:val="20"/>
          <w:szCs w:val="20"/>
          <w:color w:val="auto"/>
        </w:rPr>
      </w:pPr>
      <w:r>
        <w:rPr>
          <w:rFonts w:ascii="Courier New" w:cs="Courier New" w:eastAsia="Courier New" w:hAnsi="Courier New"/>
          <w:sz w:val="16"/>
          <w:szCs w:val="16"/>
          <w:color w:val="auto"/>
        </w:rPr>
        <w:t>accounting</w:t>
      </w:r>
    </w:p>
    <w:p>
      <w:pPr>
        <w:jc w:val="center"/>
        <w:ind w:right="6759"/>
        <w:spacing w:after="0"/>
        <w:rPr>
          <w:sz w:val="20"/>
          <w:szCs w:val="20"/>
          <w:color w:val="auto"/>
        </w:rPr>
      </w:pPr>
      <w:r>
        <w:rPr>
          <w:rFonts w:ascii="Courier New" w:cs="Courier New" w:eastAsia="Courier New" w:hAnsi="Courier New"/>
          <w:sz w:val="16"/>
          <w:szCs w:val="16"/>
          <w:color w:val="auto"/>
        </w:rPr>
        <w:t>change...........................</w:t>
      </w:r>
    </w:p>
    <w:p>
      <w:pPr>
        <w:jc w:val="center"/>
        <w:ind w:right="6759"/>
        <w:spacing w:after="0" w:line="238" w:lineRule="auto"/>
        <w:rPr>
          <w:sz w:val="20"/>
          <w:szCs w:val="20"/>
          <w:color w:val="auto"/>
        </w:rPr>
      </w:pPr>
      <w:r>
        <w:rPr>
          <w:rFonts w:ascii="Courier New" w:cs="Courier New" w:eastAsia="Courier New" w:hAnsi="Courier New"/>
          <w:sz w:val="16"/>
          <w:szCs w:val="16"/>
          <w:color w:val="auto"/>
        </w:rPr>
        <w:t>.40 .40 --------- --------- --------</w:t>
      </w:r>
    </w:p>
    <w:p>
      <w:pPr>
        <w:ind w:left="40"/>
        <w:spacing w:after="0"/>
        <w:rPr>
          <w:sz w:val="20"/>
          <w:szCs w:val="20"/>
          <w:color w:val="auto"/>
        </w:rPr>
      </w:pPr>
      <w:r>
        <w:rPr>
          <w:rFonts w:ascii="Courier New" w:cs="Courier New" w:eastAsia="Courier New" w:hAnsi="Courier New"/>
          <w:sz w:val="16"/>
          <w:szCs w:val="16"/>
          <w:color w:val="auto"/>
        </w:rPr>
        <w:t>- --------- --------- --------- ----</w:t>
      </w:r>
    </w:p>
    <w:tbl>
      <w:tblPr>
        <w:tblLayout w:type="fixed"/>
        <w:tblInd w:w="140" w:type="dxa"/>
        <w:tblCellMar>
          <w:top w:w="0" w:type="dxa"/>
          <w:left w:w="0" w:type="dxa"/>
          <w:bottom w:w="0" w:type="dxa"/>
          <w:right w:w="0" w:type="dxa"/>
        </w:tblCellMar>
      </w:tblPr>
      <w:tr>
        <w:trPr>
          <w:trHeight w:val="180"/>
        </w:trPr>
        <w:tc>
          <w:tcPr>
            <w:tcW w:w="460" w:type="dxa"/>
            <w:vAlign w:val="bottom"/>
          </w:tcPr>
          <w:p>
            <w:pPr>
              <w:spacing w:after="0"/>
              <w:rPr>
                <w:sz w:val="15"/>
                <w:szCs w:val="15"/>
                <w:color w:val="auto"/>
              </w:rPr>
            </w:pPr>
          </w:p>
        </w:tc>
        <w:tc>
          <w:tcPr>
            <w:tcW w:w="18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Net income</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1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2"/>
              </w:rPr>
              <w:t>(loss)..................</w:t>
            </w:r>
          </w:p>
        </w:tc>
        <w:tc>
          <w:tcPr>
            <w:tcW w:w="6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5"/>
              </w:rPr>
              <w:t>$ (.31)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.64</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$ 2.24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$ 1.38</w:t>
            </w:r>
          </w:p>
        </w:tc>
        <w:tc>
          <w:tcPr>
            <w:tcW w:w="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$ 1.29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jc w:val="center"/>
        <w:ind w:right="6759"/>
        <w:spacing w:after="0"/>
        <w:rPr>
          <w:sz w:val="20"/>
          <w:szCs w:val="20"/>
          <w:color w:val="auto"/>
        </w:rPr>
      </w:pPr>
      <w:r>
        <w:rPr>
          <w:rFonts w:ascii="Courier New" w:cs="Courier New" w:eastAsia="Courier New" w:hAnsi="Courier New"/>
          <w:sz w:val="16"/>
          <w:szCs w:val="16"/>
          <w:color w:val="auto"/>
        </w:rPr>
        <w:t>(.37) ========= ========= =========</w:t>
      </w:r>
    </w:p>
    <w:p>
      <w:pPr>
        <w:jc w:val="center"/>
        <w:ind w:right="6759"/>
        <w:spacing w:after="0" w:line="237" w:lineRule="auto"/>
        <w:rPr>
          <w:sz w:val="20"/>
          <w:szCs w:val="20"/>
          <w:color w:val="auto"/>
        </w:rPr>
      </w:pPr>
      <w:r>
        <w:rPr>
          <w:rFonts w:ascii="Courier New" w:cs="Courier New" w:eastAsia="Courier New" w:hAnsi="Courier New"/>
          <w:sz w:val="16"/>
          <w:szCs w:val="16"/>
          <w:color w:val="auto"/>
        </w:rPr>
        <w:t>========= ========= =========</w:t>
      </w:r>
    </w:p>
    <w:p>
      <w:pPr>
        <w:jc w:val="center"/>
        <w:ind w:right="6759"/>
        <w:spacing w:after="0"/>
        <w:rPr>
          <w:sz w:val="20"/>
          <w:szCs w:val="20"/>
          <w:color w:val="auto"/>
        </w:rPr>
      </w:pPr>
      <w:r>
        <w:rPr>
          <w:rFonts w:ascii="Courier New" w:cs="Courier New" w:eastAsia="Courier New" w:hAnsi="Courier New"/>
          <w:sz w:val="16"/>
          <w:szCs w:val="16"/>
          <w:color w:val="auto"/>
        </w:rPr>
        <w:t>========= DILUTED EARNINGS (LOSS)</w:t>
      </w:r>
    </w:p>
    <w:p>
      <w:pPr>
        <w:jc w:val="center"/>
        <w:ind w:right="6759"/>
        <w:spacing w:after="0" w:line="238" w:lineRule="auto"/>
        <w:rPr>
          <w:sz w:val="20"/>
          <w:szCs w:val="20"/>
          <w:color w:val="auto"/>
        </w:rPr>
      </w:pPr>
      <w:r>
        <w:rPr>
          <w:rFonts w:ascii="Courier New" w:cs="Courier New" w:eastAsia="Courier New" w:hAnsi="Courier New"/>
          <w:sz w:val="16"/>
          <w:szCs w:val="16"/>
          <w:color w:val="auto"/>
        </w:rPr>
        <w:t>FOR COMMON STOCKHOLDERS PER COMMON</w:t>
      </w:r>
    </w:p>
    <w:p>
      <w:pPr>
        <w:jc w:val="center"/>
        <w:ind w:right="6759"/>
        <w:spacing w:after="0"/>
        <w:rPr>
          <w:sz w:val="20"/>
          <w:szCs w:val="20"/>
          <w:color w:val="auto"/>
        </w:rPr>
      </w:pPr>
      <w:r>
        <w:rPr>
          <w:rFonts w:ascii="Courier New" w:cs="Courier New" w:eastAsia="Courier New" w:hAnsi="Courier New"/>
          <w:sz w:val="16"/>
          <w:szCs w:val="16"/>
          <w:color w:val="auto"/>
        </w:rPr>
        <w:t>SHARE(3) Income (loss) from</w:t>
      </w:r>
    </w:p>
    <w:p>
      <w:pPr>
        <w:jc w:val="center"/>
        <w:ind w:right="6759"/>
        <w:spacing w:after="0" w:line="238" w:lineRule="auto"/>
        <w:rPr>
          <w:sz w:val="20"/>
          <w:szCs w:val="20"/>
          <w:color w:val="auto"/>
        </w:rPr>
      </w:pPr>
      <w:r>
        <w:rPr>
          <w:rFonts w:ascii="Courier New" w:cs="Courier New" w:eastAsia="Courier New" w:hAnsi="Courier New"/>
          <w:sz w:val="16"/>
          <w:szCs w:val="16"/>
          <w:color w:val="auto"/>
        </w:rPr>
        <w:t>continuing operations before</w:t>
      </w:r>
    </w:p>
    <w:p>
      <w:pPr>
        <w:jc w:val="center"/>
        <w:ind w:right="6759"/>
        <w:spacing w:after="0"/>
        <w:rPr>
          <w:sz w:val="20"/>
          <w:szCs w:val="20"/>
          <w:color w:val="auto"/>
        </w:rPr>
      </w:pPr>
      <w:r>
        <w:rPr>
          <w:rFonts w:ascii="Courier New" w:cs="Courier New" w:eastAsia="Courier New" w:hAnsi="Courier New"/>
          <w:sz w:val="16"/>
          <w:szCs w:val="16"/>
          <w:color w:val="auto"/>
        </w:rPr>
        <w:t>extraordinary items and cumulative</w:t>
      </w:r>
    </w:p>
    <w:tbl>
      <w:tblPr>
        <w:tblLayout w:type="fixed"/>
        <w:tblInd w:w="4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2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effect of accounting</w:t>
            </w:r>
          </w:p>
        </w:tc>
        <w:tc>
          <w:tcPr>
            <w:tcW w:w="520" w:type="dxa"/>
            <w:vAlign w:val="bottom"/>
          </w:tcPr>
          <w:p>
            <w:pPr>
              <w:spacing w:after="0"/>
              <w:rPr>
                <w:sz w:val="15"/>
                <w:szCs w:val="15"/>
                <w:color w:val="auto"/>
              </w:rPr>
            </w:pPr>
          </w:p>
        </w:tc>
      </w:tr>
      <w:tr>
        <w:trPr>
          <w:trHeight w:val="180"/>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change</w:t>
            </w: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w w:val="97"/>
              </w:rPr>
              <w:t>................ $ (.31)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.67</w:t>
            </w:r>
          </w:p>
        </w:tc>
      </w:tr>
    </w:tbl>
    <w:p>
      <w:pPr>
        <w:spacing w:after="0" w:line="4" w:lineRule="exact"/>
        <w:rPr>
          <w:sz w:val="20"/>
          <w:szCs w:val="20"/>
          <w:color w:val="auto"/>
        </w:rPr>
      </w:pPr>
    </w:p>
    <w:p>
      <w:pPr>
        <w:ind w:left="80" w:right="6859" w:firstLine="100"/>
        <w:spacing w:after="0" w:line="254" w:lineRule="auto"/>
        <w:tabs>
          <w:tab w:leader="none" w:pos="36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.23 $ 2.16 $ .95 $ 1.25 $ (.29) Discontinued operations(2).........</w:t>
      </w:r>
    </w:p>
    <w:p>
      <w:pPr>
        <w:ind w:left="3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.41 (.03) (.04) Extraordinary</w:t>
      </w:r>
    </w:p>
    <w:p>
      <w:pPr>
        <w:jc w:val="center"/>
        <w:ind w:right="6759"/>
        <w:spacing w:after="0" w:line="237" w:lineRule="auto"/>
        <w:rPr>
          <w:sz w:val="20"/>
          <w:szCs w:val="20"/>
          <w:color w:val="auto"/>
        </w:rPr>
      </w:pPr>
      <w:r>
        <w:rPr>
          <w:rFonts w:ascii="Courier New" w:cs="Courier New" w:eastAsia="Courier New" w:hAnsi="Courier New"/>
          <w:sz w:val="16"/>
          <w:szCs w:val="16"/>
          <w:color w:val="auto"/>
        </w:rPr>
        <w:t>items................ (.03) (.06)</w:t>
      </w:r>
    </w:p>
    <w:p>
      <w:pPr>
        <w:jc w:val="center"/>
        <w:ind w:right="6759"/>
        <w:spacing w:after="0"/>
        <w:rPr>
          <w:sz w:val="20"/>
          <w:szCs w:val="20"/>
          <w:color w:val="auto"/>
        </w:rPr>
      </w:pPr>
      <w:r>
        <w:rPr>
          <w:rFonts w:ascii="Courier New" w:cs="Courier New" w:eastAsia="Courier New" w:hAnsi="Courier New"/>
          <w:sz w:val="16"/>
          <w:szCs w:val="16"/>
          <w:color w:val="auto"/>
        </w:rPr>
        <w:t>(.01) (.04) Cumulative effect of</w:t>
      </w:r>
    </w:p>
    <w:p>
      <w:pPr>
        <w:jc w:val="center"/>
        <w:ind w:right="6759"/>
        <w:spacing w:after="0" w:line="238" w:lineRule="auto"/>
        <w:rPr>
          <w:sz w:val="20"/>
          <w:szCs w:val="20"/>
          <w:color w:val="auto"/>
        </w:rPr>
      </w:pPr>
      <w:r>
        <w:rPr>
          <w:rFonts w:ascii="Courier New" w:cs="Courier New" w:eastAsia="Courier New" w:hAnsi="Courier New"/>
          <w:sz w:val="16"/>
          <w:szCs w:val="16"/>
          <w:color w:val="auto"/>
        </w:rPr>
        <w:t>accounting</w:t>
      </w:r>
    </w:p>
    <w:p>
      <w:pPr>
        <w:jc w:val="center"/>
        <w:ind w:right="6759"/>
        <w:spacing w:after="0"/>
        <w:rPr>
          <w:sz w:val="20"/>
          <w:szCs w:val="20"/>
          <w:color w:val="auto"/>
        </w:rPr>
      </w:pPr>
      <w:r>
        <w:rPr>
          <w:rFonts w:ascii="Courier New" w:cs="Courier New" w:eastAsia="Courier New" w:hAnsi="Courier New"/>
          <w:sz w:val="16"/>
          <w:szCs w:val="16"/>
          <w:color w:val="auto"/>
        </w:rPr>
        <w:t>change...........................</w:t>
      </w:r>
    </w:p>
    <w:p>
      <w:pPr>
        <w:jc w:val="center"/>
        <w:ind w:right="6759"/>
        <w:spacing w:after="0" w:line="238" w:lineRule="auto"/>
        <w:rPr>
          <w:sz w:val="20"/>
          <w:szCs w:val="20"/>
          <w:color w:val="auto"/>
        </w:rPr>
      </w:pPr>
      <w:r>
        <w:rPr>
          <w:rFonts w:ascii="Courier New" w:cs="Courier New" w:eastAsia="Courier New" w:hAnsi="Courier New"/>
          <w:sz w:val="16"/>
          <w:szCs w:val="16"/>
          <w:color w:val="auto"/>
        </w:rPr>
        <w:t>.40 .40 --------- --------- --------</w:t>
      </w:r>
    </w:p>
    <w:p>
      <w:pPr>
        <w:ind w:left="220" w:hanging="181"/>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540" w:hanging="563"/>
        <w:spacing w:after="0"/>
        <w:tabs>
          <w:tab w:leader="none" w:pos="154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w:t>
      </w:r>
    </w:p>
    <w:p>
      <w:pPr>
        <w:jc w:val="center"/>
        <w:ind w:right="6759"/>
        <w:spacing w:after="0" w:line="237" w:lineRule="auto"/>
        <w:rPr>
          <w:sz w:val="20"/>
          <w:szCs w:val="20"/>
          <w:color w:val="auto"/>
        </w:rPr>
      </w:pPr>
      <w:r>
        <w:rPr>
          <w:rFonts w:ascii="Courier New" w:cs="Courier New" w:eastAsia="Courier New" w:hAnsi="Courier New"/>
          <w:sz w:val="16"/>
          <w:szCs w:val="16"/>
          <w:color w:val="auto"/>
        </w:rPr>
        <w:t>(loss).................. $ (.31) $</w:t>
      </w:r>
    </w:p>
    <w:p>
      <w:pPr>
        <w:jc w:val="center"/>
        <w:ind w:right="6759"/>
        <w:spacing w:after="0"/>
        <w:rPr>
          <w:sz w:val="20"/>
          <w:szCs w:val="20"/>
          <w:color w:val="auto"/>
        </w:rPr>
      </w:pPr>
      <w:r>
        <w:rPr>
          <w:rFonts w:ascii="Courier New" w:cs="Courier New" w:eastAsia="Courier New" w:hAnsi="Courier New"/>
          <w:sz w:val="16"/>
          <w:szCs w:val="16"/>
          <w:color w:val="auto"/>
        </w:rPr>
        <w:t>1.07 $ .63 $ 2.13 $ 1.30 $ 1.21 $</w:t>
      </w:r>
    </w:p>
    <w:p>
      <w:pPr>
        <w:jc w:val="center"/>
        <w:ind w:right="6759"/>
        <w:spacing w:after="0" w:line="238" w:lineRule="auto"/>
        <w:rPr>
          <w:sz w:val="20"/>
          <w:szCs w:val="20"/>
          <w:color w:val="auto"/>
        </w:rPr>
      </w:pPr>
      <w:r>
        <w:rPr>
          <w:rFonts w:ascii="Courier New" w:cs="Courier New" w:eastAsia="Courier New" w:hAnsi="Courier New"/>
          <w:sz w:val="16"/>
          <w:szCs w:val="16"/>
          <w:color w:val="auto"/>
        </w:rPr>
        <w:t>(.37) ========= ========= =========</w:t>
      </w:r>
    </w:p>
    <w:p>
      <w:pPr>
        <w:jc w:val="center"/>
        <w:ind w:right="6759"/>
        <w:spacing w:after="0"/>
        <w:rPr>
          <w:sz w:val="20"/>
          <w:szCs w:val="20"/>
          <w:color w:val="auto"/>
        </w:rPr>
      </w:pPr>
      <w:r>
        <w:rPr>
          <w:rFonts w:ascii="Courier New" w:cs="Courier New" w:eastAsia="Courier New" w:hAnsi="Courier New"/>
          <w:sz w:val="16"/>
          <w:szCs w:val="16"/>
          <w:color w:val="auto"/>
        </w:rPr>
        <w:t>========= ========= =========</w:t>
      </w:r>
    </w:p>
    <w:p>
      <w:pPr>
        <w:jc w:val="center"/>
        <w:ind w:right="6759"/>
        <w:spacing w:after="0" w:line="238" w:lineRule="auto"/>
        <w:rPr>
          <w:sz w:val="20"/>
          <w:szCs w:val="20"/>
          <w:color w:val="auto"/>
        </w:rPr>
      </w:pPr>
      <w:r>
        <w:rPr>
          <w:rFonts w:ascii="Courier New" w:cs="Courier New" w:eastAsia="Courier New" w:hAnsi="Courier New"/>
          <w:sz w:val="16"/>
          <w:szCs w:val="16"/>
          <w:color w:val="auto"/>
        </w:rPr>
        <w:t>========= Cash dividends declared</w:t>
      </w:r>
    </w:p>
    <w:p>
      <w:pPr>
        <w:jc w:val="center"/>
        <w:ind w:right="6759"/>
        <w:spacing w:after="0"/>
        <w:rPr>
          <w:sz w:val="20"/>
          <w:szCs w:val="20"/>
          <w:color w:val="auto"/>
        </w:rPr>
      </w:pPr>
      <w:r>
        <w:rPr>
          <w:rFonts w:ascii="Courier New" w:cs="Courier New" w:eastAsia="Courier New" w:hAnsi="Courier New"/>
          <w:sz w:val="16"/>
          <w:szCs w:val="16"/>
          <w:color w:val="auto"/>
        </w:rPr>
        <w:t>per common</w:t>
      </w:r>
    </w:p>
    <w:p>
      <w:pPr>
        <w:jc w:val="center"/>
        <w:ind w:right="6759"/>
        <w:spacing w:after="0" w:line="237" w:lineRule="auto"/>
        <w:rPr>
          <w:sz w:val="20"/>
          <w:szCs w:val="20"/>
          <w:color w:val="auto"/>
        </w:rPr>
      </w:pPr>
      <w:r>
        <w:rPr>
          <w:rFonts w:ascii="Courier New" w:cs="Courier New" w:eastAsia="Courier New" w:hAnsi="Courier New"/>
          <w:sz w:val="16"/>
          <w:szCs w:val="16"/>
          <w:color w:val="auto"/>
        </w:rPr>
        <w:t>share(3)...........................</w:t>
      </w:r>
    </w:p>
    <w:p>
      <w:pPr>
        <w:spacing w:after="0" w:line="5" w:lineRule="exact"/>
        <w:rPr>
          <w:sz w:val="20"/>
          <w:szCs w:val="20"/>
          <w:color w:val="auto"/>
        </w:rPr>
      </w:pPr>
    </w:p>
    <w:p>
      <w:pPr>
        <w:ind w:left="700" w:right="6899" w:hanging="567"/>
        <w:spacing w:after="0" w:line="236" w:lineRule="auto"/>
        <w:tabs>
          <w:tab w:leader="none" w:pos="32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.0467 $ .0467 BALANCE SHEET DATA (AT PERIOD END): Total</w:t>
      </w:r>
    </w:p>
    <w:p>
      <w:pPr>
        <w:ind w:left="280"/>
        <w:spacing w:after="0"/>
        <w:rPr>
          <w:sz w:val="20"/>
          <w:szCs w:val="20"/>
          <w:color w:val="auto"/>
        </w:rPr>
      </w:pPr>
      <w:r>
        <w:rPr>
          <w:rFonts w:ascii="Courier New" w:cs="Courier New" w:eastAsia="Courier New" w:hAnsi="Courier New"/>
          <w:sz w:val="16"/>
          <w:szCs w:val="16"/>
          <w:color w:val="auto"/>
        </w:rPr>
        <w:t>assets.........................</w:t>
      </w:r>
    </w:p>
    <w:p>
      <w:pPr>
        <w:ind w:left="360"/>
        <w:spacing w:after="0" w:line="237" w:lineRule="auto"/>
        <w:rPr>
          <w:sz w:val="20"/>
          <w:szCs w:val="20"/>
          <w:color w:val="auto"/>
        </w:rPr>
      </w:pPr>
      <w:r>
        <w:rPr>
          <w:rFonts w:ascii="Courier New" w:cs="Courier New" w:eastAsia="Courier New" w:hAnsi="Courier New"/>
          <w:sz w:val="16"/>
          <w:szCs w:val="16"/>
          <w:color w:val="auto"/>
        </w:rPr>
        <w:t>$36,118.8 $38,640.7 $38,131.8</w:t>
      </w:r>
    </w:p>
    <w:p>
      <w:pPr>
        <w:ind w:left="360"/>
        <w:spacing w:after="0"/>
        <w:rPr>
          <w:sz w:val="20"/>
          <w:szCs w:val="20"/>
          <w:color w:val="auto"/>
        </w:rPr>
      </w:pPr>
      <w:r>
        <w:rPr>
          <w:rFonts w:ascii="Courier New" w:cs="Courier New" w:eastAsia="Courier New" w:hAnsi="Courier New"/>
          <w:sz w:val="16"/>
          <w:szCs w:val="16"/>
          <w:color w:val="auto"/>
        </w:rPr>
        <w:t>$35,744.5 $28,685.6 $14,710.5</w:t>
      </w:r>
    </w:p>
    <w:p>
      <w:pPr>
        <w:sectPr>
          <w:pgSz w:w="11900" w:h="16908" w:orient="portrait"/>
          <w:cols w:equalWidth="0" w:num="1">
            <w:col w:w="10219"/>
          </w:cols>
          <w:pgMar w:left="240" w:top="654" w:right="1440"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1660" w:type="dxa"/>
            <w:vAlign w:val="bottom"/>
            <w:gridSpan w:val="8"/>
          </w:tcPr>
          <w:p>
            <w:pPr>
              <w:jc w:val="center"/>
              <w:ind w:right="2"/>
              <w:spacing w:after="0"/>
              <w:rPr>
                <w:sz w:val="20"/>
                <w:szCs w:val="20"/>
                <w:color w:val="auto"/>
              </w:rPr>
            </w:pPr>
            <w:r>
              <w:rPr>
                <w:rFonts w:ascii="Courier New" w:cs="Courier New" w:eastAsia="Courier New" w:hAnsi="Courier New"/>
                <w:sz w:val="16"/>
                <w:szCs w:val="16"/>
                <w:color w:val="auto"/>
                <w:w w:val="96"/>
              </w:rPr>
              <w:t>$11,234.3 Working</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1260" w:type="dxa"/>
            <w:vAlign w:val="bottom"/>
            <w:gridSpan w:val="3"/>
          </w:tcPr>
          <w:p>
            <w:pPr>
              <w:ind w:left="320"/>
              <w:spacing w:after="0"/>
              <w:rPr>
                <w:sz w:val="20"/>
                <w:szCs w:val="20"/>
                <w:color w:val="auto"/>
              </w:rPr>
            </w:pPr>
            <w:r>
              <w:rPr>
                <w:rFonts w:ascii="Courier New" w:cs="Courier New" w:eastAsia="Courier New" w:hAnsi="Courier New"/>
                <w:sz w:val="7"/>
                <w:szCs w:val="7"/>
                <w:color w:val="auto"/>
                <w:w w:val="75"/>
              </w:rPr>
              <w:t>capital......................</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1,079.5</w:t>
            </w:r>
          </w:p>
        </w:tc>
        <w:tc>
          <w:tcPr>
            <w:tcW w:w="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704.6</w:t>
            </w:r>
          </w:p>
        </w:tc>
        <w:tc>
          <w:tcPr>
            <w:tcW w:w="7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5"/>
              </w:rPr>
              <w:t>1,419.5</w:t>
            </w:r>
          </w:p>
        </w:tc>
        <w:tc>
          <w:tcPr>
            <w:tcW w:w="980" w:type="dxa"/>
            <w:vAlign w:val="bottom"/>
            <w:gridSpan w:val="3"/>
          </w:tcPr>
          <w:p>
            <w:pPr>
              <w:jc w:val="right"/>
              <w:ind w:right="262"/>
              <w:spacing w:after="0"/>
              <w:rPr>
                <w:sz w:val="20"/>
                <w:szCs w:val="20"/>
                <w:color w:val="auto"/>
              </w:rPr>
            </w:pPr>
            <w:r>
              <w:rPr>
                <w:rFonts w:ascii="Courier New" w:cs="Courier New" w:eastAsia="Courier New" w:hAnsi="Courier New"/>
                <w:sz w:val="16"/>
                <w:szCs w:val="16"/>
                <w:color w:val="auto"/>
                <w:w w:val="92"/>
              </w:rPr>
              <w:t>1,670.9</w:t>
            </w:r>
          </w:p>
        </w:tc>
      </w:tr>
      <w:tr>
        <w:trPr>
          <w:trHeight w:val="180"/>
        </w:trPr>
        <w:tc>
          <w:tcPr>
            <w:tcW w:w="3380" w:type="dxa"/>
            <w:vAlign w:val="bottom"/>
            <w:gridSpan w:val="11"/>
          </w:tcPr>
          <w:p>
            <w:pPr>
              <w:jc w:val="center"/>
              <w:spacing w:after="0"/>
              <w:rPr>
                <w:sz w:val="20"/>
                <w:szCs w:val="20"/>
                <w:color w:val="auto"/>
              </w:rPr>
            </w:pPr>
            <w:r>
              <w:rPr>
                <w:rFonts w:ascii="Courier New" w:cs="Courier New" w:eastAsia="Courier New" w:hAnsi="Courier New"/>
                <w:sz w:val="16"/>
                <w:szCs w:val="16"/>
                <w:color w:val="auto"/>
                <w:w w:val="97"/>
              </w:rPr>
              <w:t>4,771.6 2,497.0 13.6 Long-term</w:t>
            </w:r>
          </w:p>
        </w:tc>
      </w:tr>
      <w:tr>
        <w:trPr>
          <w:trHeight w:val="180"/>
        </w:trPr>
        <w:tc>
          <w:tcPr>
            <w:tcW w:w="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debt.......................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10,543.5</w:t>
            </w:r>
          </w:p>
        </w:tc>
      </w:tr>
      <w:tr>
        <w:trPr>
          <w:trHeight w:val="180"/>
        </w:trPr>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11,450.7</w:t>
            </w:r>
          </w:p>
        </w:tc>
        <w:tc>
          <w:tcPr>
            <w:tcW w:w="8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11,741.6</w:t>
            </w:r>
          </w:p>
        </w:tc>
        <w:tc>
          <w:tcPr>
            <w:tcW w:w="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10,517.4</w:t>
            </w:r>
          </w:p>
        </w:tc>
        <w:tc>
          <w:tcPr>
            <w:tcW w:w="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8,707.2</w:t>
            </w: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5,464.2</w:t>
            </w:r>
          </w:p>
        </w:tc>
        <w:tc>
          <w:tcPr>
            <w:tcW w:w="2400" w:type="dxa"/>
            <w:vAlign w:val="bottom"/>
            <w:gridSpan w:val="9"/>
          </w:tcPr>
          <w:p>
            <w:pPr>
              <w:jc w:val="right"/>
              <w:ind w:right="262"/>
              <w:spacing w:after="0"/>
              <w:rPr>
                <w:sz w:val="20"/>
                <w:szCs w:val="20"/>
                <w:color w:val="auto"/>
              </w:rPr>
            </w:pPr>
            <w:r>
              <w:rPr>
                <w:rFonts w:ascii="Courier New" w:cs="Courier New" w:eastAsia="Courier New" w:hAnsi="Courier New"/>
                <w:sz w:val="16"/>
                <w:szCs w:val="16"/>
                <w:color w:val="auto"/>
              </w:rPr>
              <w:t>5,334.1 Stockholders'</w:t>
            </w:r>
          </w:p>
        </w:tc>
      </w:tr>
      <w:tr>
        <w:trPr>
          <w:trHeight w:val="180"/>
        </w:trPr>
        <w:tc>
          <w:tcPr>
            <w:tcW w:w="9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equity.................</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w w:val="98"/>
              </w:rPr>
              <w:t>14,031.8</w:t>
            </w:r>
          </w:p>
        </w:tc>
      </w:tr>
      <w:tr>
        <w:trPr>
          <w:trHeight w:val="180"/>
        </w:trPr>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15,060.5</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14,473.0</w:t>
            </w:r>
          </w:p>
        </w:tc>
        <w:tc>
          <w:tcPr>
            <w:tcW w:w="80" w:type="dxa"/>
            <w:vAlign w:val="bottom"/>
          </w:tcPr>
          <w:p>
            <w:pPr>
              <w:spacing w:after="0"/>
              <w:rPr>
                <w:sz w:val="15"/>
                <w:szCs w:val="15"/>
                <w:color w:val="auto"/>
              </w:rPr>
            </w:pPr>
          </w:p>
        </w:tc>
        <w:tc>
          <w:tcPr>
            <w:tcW w:w="84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w w:val="96"/>
              </w:rPr>
              <w:t>14,086.4</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10,341.3</w:t>
            </w: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3,815.3</w:t>
            </w:r>
          </w:p>
        </w:tc>
        <w:tc>
          <w:tcPr>
            <w:tcW w:w="2400" w:type="dxa"/>
            <w:vAlign w:val="bottom"/>
            <w:gridSpan w:val="9"/>
          </w:tcPr>
          <w:p>
            <w:pPr>
              <w:jc w:val="right"/>
              <w:ind w:right="262"/>
              <w:spacing w:after="0"/>
              <w:rPr>
                <w:sz w:val="20"/>
                <w:szCs w:val="20"/>
                <w:color w:val="auto"/>
              </w:rPr>
            </w:pPr>
            <w:r>
              <w:rPr>
                <w:rFonts w:ascii="Courier New" w:cs="Courier New" w:eastAsia="Courier New" w:hAnsi="Courier New"/>
                <w:sz w:val="16"/>
                <w:szCs w:val="16"/>
                <w:color w:val="auto"/>
              </w:rPr>
              <w:t>1,646.5 SUPPLEMENTARY</w:t>
            </w:r>
          </w:p>
        </w:tc>
      </w:tr>
      <w:tr>
        <w:trPr>
          <w:trHeight w:val="180"/>
        </w:trPr>
        <w:tc>
          <w:tcPr>
            <w:tcW w:w="3380" w:type="dxa"/>
            <w:vAlign w:val="bottom"/>
            <w:gridSpan w:val="11"/>
          </w:tcPr>
          <w:p>
            <w:pPr>
              <w:jc w:val="center"/>
              <w:spacing w:after="0"/>
              <w:rPr>
                <w:sz w:val="20"/>
                <w:szCs w:val="20"/>
                <w:color w:val="auto"/>
              </w:rPr>
            </w:pPr>
            <w:r>
              <w:rPr>
                <w:rFonts w:ascii="Courier New" w:cs="Courier New" w:eastAsia="Courier New" w:hAnsi="Courier New"/>
                <w:sz w:val="16"/>
                <w:szCs w:val="16"/>
                <w:color w:val="auto"/>
                <w:w w:val="97"/>
              </w:rPr>
              <w:t>FINANCIAL DATA: Operating income</w:t>
            </w:r>
          </w:p>
        </w:tc>
      </w:tr>
      <w:tr>
        <w:trPr>
          <w:trHeight w:val="180"/>
        </w:trPr>
        <w:tc>
          <w:tcPr>
            <w:tcW w:w="2900" w:type="dxa"/>
            <w:vAlign w:val="bottom"/>
            <w:gridSpan w:val="10"/>
          </w:tcPr>
          <w:p>
            <w:pPr>
              <w:jc w:val="center"/>
              <w:ind w:left="389"/>
              <w:spacing w:after="0"/>
              <w:rPr>
                <w:sz w:val="20"/>
                <w:szCs w:val="20"/>
                <w:color w:val="auto"/>
              </w:rPr>
            </w:pPr>
            <w:r>
              <w:rPr>
                <w:rFonts w:ascii="Courier New" w:cs="Courier New" w:eastAsia="Courier New" w:hAnsi="Courier New"/>
                <w:sz w:val="16"/>
                <w:szCs w:val="16"/>
                <w:color w:val="auto"/>
                <w:w w:val="97"/>
              </w:rPr>
              <w:t>before depreciation and</w:t>
            </w:r>
          </w:p>
        </w:tc>
        <w:tc>
          <w:tcPr>
            <w:tcW w:w="480" w:type="dxa"/>
            <w:vAlign w:val="bottom"/>
          </w:tcPr>
          <w:p>
            <w:pPr>
              <w:spacing w:after="0"/>
              <w:rPr>
                <w:sz w:val="15"/>
                <w:szCs w:val="15"/>
                <w:color w:val="auto"/>
              </w:rPr>
            </w:pPr>
          </w:p>
        </w:tc>
      </w:tr>
      <w:tr>
        <w:trPr>
          <w:trHeight w:val="180"/>
        </w:trPr>
        <w:tc>
          <w:tcPr>
            <w:tcW w:w="1720" w:type="dxa"/>
            <w:vAlign w:val="bottom"/>
            <w:gridSpan w:val="5"/>
          </w:tcPr>
          <w:p>
            <w:pPr>
              <w:ind w:left="140"/>
              <w:spacing w:after="0"/>
              <w:rPr>
                <w:sz w:val="20"/>
                <w:szCs w:val="20"/>
                <w:color w:val="auto"/>
              </w:rPr>
            </w:pPr>
            <w:r>
              <w:rPr>
                <w:rFonts w:ascii="Courier New" w:cs="Courier New" w:eastAsia="Courier New" w:hAnsi="Courier New"/>
                <w:sz w:val="11"/>
                <w:szCs w:val="11"/>
                <w:color w:val="auto"/>
                <w:w w:val="76"/>
              </w:rPr>
              <w:t>amortization(4)................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1,674.8</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5"/>
              </w:rPr>
              <w:t>1,327.1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2,701.8</w:t>
            </w:r>
          </w:p>
        </w:tc>
        <w:tc>
          <w:tcPr>
            <w:tcW w:w="4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r>
      <w:tr>
        <w:trPr>
          <w:trHeight w:val="180"/>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5"/>
              </w:rPr>
              <w:t>2,470.3</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5"/>
              </w:rPr>
              <w:t>1,880.0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1,496.7</w:t>
            </w:r>
          </w:p>
        </w:tc>
        <w:tc>
          <w:tcPr>
            <w:tcW w:w="4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r>
      <w:tr>
        <w:trPr>
          <w:trHeight w:val="180"/>
        </w:trPr>
        <w:tc>
          <w:tcPr>
            <w:tcW w:w="3380" w:type="dxa"/>
            <w:vAlign w:val="bottom"/>
            <w:gridSpan w:val="11"/>
          </w:tcPr>
          <w:p>
            <w:pPr>
              <w:jc w:val="center"/>
              <w:spacing w:after="0"/>
              <w:rPr>
                <w:sz w:val="20"/>
                <w:szCs w:val="20"/>
                <w:color w:val="auto"/>
              </w:rPr>
            </w:pPr>
            <w:r>
              <w:rPr>
                <w:rFonts w:ascii="Courier New" w:cs="Courier New" w:eastAsia="Courier New" w:hAnsi="Courier New"/>
                <w:sz w:val="16"/>
                <w:szCs w:val="16"/>
                <w:color w:val="auto"/>
                <w:w w:val="97"/>
              </w:rPr>
              <w:t>1,293.1 Net cash provided by (used</w:t>
            </w:r>
          </w:p>
        </w:tc>
      </w:tr>
      <w:tr>
        <w:trPr>
          <w:trHeight w:val="180"/>
        </w:trPr>
        <w:tc>
          <w:tcPr>
            <w:tcW w:w="900" w:type="dxa"/>
            <w:vAlign w:val="bottom"/>
          </w:tcPr>
          <w:p>
            <w:pPr>
              <w:spacing w:after="0"/>
              <w:rPr>
                <w:sz w:val="15"/>
                <w:szCs w:val="15"/>
                <w:color w:val="auto"/>
              </w:rPr>
            </w:pPr>
          </w:p>
        </w:tc>
        <w:tc>
          <w:tcPr>
            <w:tcW w:w="1660" w:type="dxa"/>
            <w:vAlign w:val="bottom"/>
            <w:gridSpan w:val="8"/>
          </w:tcPr>
          <w:p>
            <w:pPr>
              <w:jc w:val="center"/>
              <w:ind w:right="2"/>
              <w:spacing w:after="0"/>
              <w:rPr>
                <w:sz w:val="20"/>
                <w:szCs w:val="20"/>
                <w:color w:val="auto"/>
              </w:rPr>
            </w:pPr>
            <w:r>
              <w:rPr>
                <w:rFonts w:ascii="Courier New" w:cs="Courier New" w:eastAsia="Courier New" w:hAnsi="Courier New"/>
                <w:sz w:val="16"/>
                <w:szCs w:val="16"/>
                <w:color w:val="auto"/>
                <w:w w:val="97"/>
              </w:rPr>
              <w:t>in)(5) Operating</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1640" w:type="dxa"/>
            <w:vAlign w:val="bottom"/>
            <w:gridSpan w:val="4"/>
          </w:tcPr>
          <w:p>
            <w:pPr>
              <w:ind w:left="140"/>
              <w:spacing w:after="0"/>
              <w:rPr>
                <w:sz w:val="20"/>
                <w:szCs w:val="20"/>
                <w:color w:val="auto"/>
              </w:rPr>
            </w:pPr>
            <w:r>
              <w:rPr>
                <w:rFonts w:ascii="Courier New" w:cs="Courier New" w:eastAsia="Courier New" w:hAnsi="Courier New"/>
                <w:sz w:val="13"/>
                <w:szCs w:val="13"/>
                <w:color w:val="auto"/>
                <w:w w:val="75"/>
              </w:rPr>
              <w:t>activities...............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1,050.5</w:t>
            </w:r>
          </w:p>
        </w:tc>
      </w:tr>
      <w:tr>
        <w:trPr>
          <w:trHeight w:val="180"/>
        </w:trPr>
        <w:tc>
          <w:tcPr>
            <w:tcW w:w="164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974.6 1,229.5</w:t>
            </w:r>
          </w:p>
        </w:tc>
        <w:tc>
          <w:tcPr>
            <w:tcW w:w="7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5"/>
              </w:rPr>
              <w:t>1,219.3</w:t>
            </w:r>
          </w:p>
        </w:tc>
        <w:tc>
          <w:tcPr>
            <w:tcW w:w="980" w:type="dxa"/>
            <w:vAlign w:val="bottom"/>
            <w:gridSpan w:val="3"/>
          </w:tcPr>
          <w:p>
            <w:pPr>
              <w:jc w:val="right"/>
              <w:ind w:right="262"/>
              <w:spacing w:after="0"/>
              <w:rPr>
                <w:sz w:val="20"/>
                <w:szCs w:val="20"/>
                <w:color w:val="auto"/>
              </w:rPr>
            </w:pPr>
            <w:r>
              <w:rPr>
                <w:rFonts w:ascii="Courier New" w:cs="Courier New" w:eastAsia="Courier New" w:hAnsi="Courier New"/>
                <w:sz w:val="16"/>
                <w:szCs w:val="16"/>
                <w:color w:val="auto"/>
                <w:w w:val="92"/>
              </w:rPr>
              <w:t>1,249.4</w:t>
            </w:r>
          </w:p>
        </w:tc>
      </w:tr>
      <w:tr>
        <w:trPr>
          <w:trHeight w:val="180"/>
        </w:trPr>
        <w:tc>
          <w:tcPr>
            <w:tcW w:w="2900" w:type="dxa"/>
            <w:vAlign w:val="bottom"/>
            <w:gridSpan w:val="10"/>
          </w:tcPr>
          <w:p>
            <w:pPr>
              <w:jc w:val="center"/>
              <w:ind w:left="389"/>
              <w:spacing w:after="0"/>
              <w:rPr>
                <w:sz w:val="20"/>
                <w:szCs w:val="20"/>
                <w:color w:val="auto"/>
              </w:rPr>
            </w:pPr>
            <w:r>
              <w:rPr>
                <w:rFonts w:ascii="Courier New" w:cs="Courier New" w:eastAsia="Courier New" w:hAnsi="Courier New"/>
                <w:sz w:val="16"/>
                <w:szCs w:val="16"/>
                <w:color w:val="auto"/>
                <w:w w:val="97"/>
              </w:rPr>
              <w:t>1,067.7 844.6 Financing</w:t>
            </w:r>
          </w:p>
        </w:tc>
        <w:tc>
          <w:tcPr>
            <w:tcW w:w="480" w:type="dxa"/>
            <w:vAlign w:val="bottom"/>
          </w:tcPr>
          <w:p>
            <w:pPr>
              <w:spacing w:after="0"/>
              <w:rPr>
                <w:sz w:val="15"/>
                <w:szCs w:val="15"/>
                <w:color w:val="auto"/>
              </w:rPr>
            </w:pPr>
          </w:p>
        </w:tc>
      </w:tr>
      <w:tr>
        <w:trPr>
          <w:trHeight w:val="180"/>
        </w:trPr>
        <w:tc>
          <w:tcPr>
            <w:tcW w:w="1640" w:type="dxa"/>
            <w:vAlign w:val="bottom"/>
            <w:gridSpan w:val="4"/>
          </w:tcPr>
          <w:p>
            <w:pPr>
              <w:ind w:left="140"/>
              <w:spacing w:after="0"/>
              <w:rPr>
                <w:sz w:val="20"/>
                <w:szCs w:val="20"/>
                <w:color w:val="auto"/>
              </w:rPr>
            </w:pPr>
            <w:r>
              <w:rPr>
                <w:rFonts w:ascii="Courier New" w:cs="Courier New" w:eastAsia="Courier New" w:hAnsi="Courier New"/>
                <w:sz w:val="13"/>
                <w:szCs w:val="13"/>
                <w:color w:val="auto"/>
                <w:w w:val="75"/>
              </w:rPr>
              <w:t>activities...............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(471.5)</w:t>
            </w:r>
          </w:p>
        </w:tc>
      </w:tr>
      <w:tr>
        <w:trPr>
          <w:trHeight w:val="180"/>
        </w:trPr>
        <w:tc>
          <w:tcPr>
            <w:tcW w:w="900" w:type="dxa"/>
            <w:vAlign w:val="bottom"/>
          </w:tcPr>
          <w:p>
            <w:pPr>
              <w:ind w:left="240"/>
              <w:spacing w:after="0"/>
              <w:rPr>
                <w:sz w:val="20"/>
                <w:szCs w:val="20"/>
                <w:color w:val="auto"/>
              </w:rPr>
            </w:pPr>
            <w:r>
              <w:rPr>
                <w:rFonts w:ascii="Courier New" w:cs="Courier New" w:eastAsia="Courier New" w:hAnsi="Courier New"/>
                <w:sz w:val="16"/>
                <w:szCs w:val="16"/>
                <w:color w:val="auto"/>
                <w:w w:val="95"/>
              </w:rPr>
              <w:t>1,346.0</w:t>
            </w:r>
          </w:p>
        </w:tc>
        <w:tc>
          <w:tcPr>
            <w:tcW w:w="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1,476.3</w:t>
            </w: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(271.4)</w:t>
            </w:r>
          </w:p>
        </w:tc>
        <w:tc>
          <w:tcPr>
            <w:tcW w:w="98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1,341.4</w:t>
            </w:r>
          </w:p>
        </w:tc>
      </w:tr>
      <w:tr>
        <w:trPr>
          <w:trHeight w:val="180"/>
        </w:trPr>
        <w:tc>
          <w:tcPr>
            <w:tcW w:w="2900" w:type="dxa"/>
            <w:vAlign w:val="bottom"/>
            <w:gridSpan w:val="10"/>
          </w:tcPr>
          <w:p>
            <w:pPr>
              <w:jc w:val="center"/>
              <w:ind w:left="409"/>
              <w:spacing w:after="0"/>
              <w:rPr>
                <w:sz w:val="20"/>
                <w:szCs w:val="20"/>
                <w:color w:val="auto"/>
              </w:rPr>
            </w:pPr>
            <w:r>
              <w:rPr>
                <w:rFonts w:ascii="Courier New" w:cs="Courier New" w:eastAsia="Courier New" w:hAnsi="Courier New"/>
                <w:sz w:val="16"/>
                <w:szCs w:val="16"/>
                <w:color w:val="auto"/>
                <w:w w:val="98"/>
              </w:rPr>
              <w:t>809.2 283.9 Investing</w:t>
            </w:r>
          </w:p>
        </w:tc>
        <w:tc>
          <w:tcPr>
            <w:tcW w:w="480" w:type="dxa"/>
            <w:vAlign w:val="bottom"/>
          </w:tcPr>
          <w:p>
            <w:pPr>
              <w:spacing w:after="0"/>
              <w:rPr>
                <w:sz w:val="15"/>
                <w:szCs w:val="15"/>
                <w:color w:val="auto"/>
              </w:rPr>
            </w:pPr>
          </w:p>
        </w:tc>
      </w:tr>
      <w:tr>
        <w:trPr>
          <w:trHeight w:val="180"/>
        </w:trPr>
        <w:tc>
          <w:tcPr>
            <w:tcW w:w="1640" w:type="dxa"/>
            <w:vAlign w:val="bottom"/>
            <w:gridSpan w:val="4"/>
          </w:tcPr>
          <w:p>
            <w:pPr>
              <w:ind w:left="140"/>
              <w:spacing w:after="0"/>
              <w:rPr>
                <w:sz w:val="20"/>
                <w:szCs w:val="20"/>
                <w:color w:val="auto"/>
              </w:rPr>
            </w:pPr>
            <w:r>
              <w:rPr>
                <w:rFonts w:ascii="Courier New" w:cs="Courier New" w:eastAsia="Courier New" w:hAnsi="Courier New"/>
                <w:sz w:val="13"/>
                <w:szCs w:val="13"/>
                <w:color w:val="auto"/>
                <w:w w:val="75"/>
              </w:rPr>
              <w:t>activities...............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(371.2)</w:t>
            </w:r>
          </w:p>
        </w:tc>
      </w:tr>
      <w:tr>
        <w:trPr>
          <w:trHeight w:val="180"/>
        </w:trPr>
        <w:tc>
          <w:tcPr>
            <w:tcW w:w="126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(2,226.2)</w:t>
            </w:r>
          </w:p>
        </w:tc>
        <w:tc>
          <w:tcPr>
            <w:tcW w:w="9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4"/>
              </w:rPr>
              <w:t>(3,007.3)</w:t>
            </w:r>
          </w:p>
        </w:tc>
        <w:tc>
          <w:tcPr>
            <w:tcW w:w="122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w w:val="99"/>
              </w:rPr>
              <w:t>(1,218.6)</w:t>
            </w:r>
          </w:p>
        </w:tc>
      </w:tr>
      <w:tr>
        <w:trPr>
          <w:trHeight w:val="180"/>
        </w:trPr>
        <w:tc>
          <w:tcPr>
            <w:tcW w:w="126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(2,539.3)</w:t>
            </w:r>
          </w:p>
        </w:tc>
        <w:tc>
          <w:tcPr>
            <w:tcW w:w="9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4"/>
              </w:rPr>
              <w:t>(1,415.3)</w:t>
            </w:r>
          </w:p>
        </w:tc>
        <w:tc>
          <w:tcPr>
            <w:tcW w:w="122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w w:val="99"/>
              </w:rPr>
              <w:t>(1,045.8)</w:t>
            </w:r>
          </w:p>
        </w:tc>
      </w:tr>
    </w:tbl>
    <w:p>
      <w:pPr>
        <w:spacing w:after="0" w:line="360"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179"/>
          </w:cols>
          <w:pgMar w:left="280" w:top="137" w:right="1440" w:bottom="1440" w:gutter="0" w:footer="0" w:header="0"/>
        </w:sectPr>
      </w:pPr>
    </w:p>
    <w:bookmarkStart w:id="51" w:name="page52"/>
    <w:bookmarkEnd w:id="51"/>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8" w:lineRule="auto"/>
        <w:tabs>
          <w:tab w:leader="none" w:pos="38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consolidated statement of operations for the years ended December 31, 2001, 2000, 1999, 1998 and 1997 reflect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 reclassified such amounts to revenues. The effect of the reclassification on the statement of operations for the years ended 2001, 2000, 1999, 1998 and 1997 would be to increase revenues and selling, general and administrative expenses by $192.3 million, $152.3 million, $105.6 million, $94.7 million and $72.8 million, respectively.</w:t>
      </w:r>
    </w:p>
    <w:p>
      <w:pPr>
        <w:spacing w:after="0" w:line="187" w:lineRule="exact"/>
        <w:rPr>
          <w:rFonts w:ascii="Courier New" w:cs="Courier New" w:eastAsia="Courier New" w:hAnsi="Courier New"/>
          <w:sz w:val="16"/>
          <w:szCs w:val="16"/>
          <w:color w:val="auto"/>
        </w:rPr>
      </w:pPr>
    </w:p>
    <w:p>
      <w:pPr>
        <w:ind w:left="384" w:right="3479" w:hanging="384"/>
        <w:spacing w:after="0" w:line="237" w:lineRule="auto"/>
        <w:tabs>
          <w:tab w:leader="none" w:pos="38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Comcast sold Comcast Cellular Corporation to SBC Communications, Inc. Comcast Cellular is presented as a discontinued operation for all periods presented.</w:t>
      </w:r>
    </w:p>
    <w:p>
      <w:pPr>
        <w:spacing w:after="0" w:line="184" w:lineRule="exact"/>
        <w:rPr>
          <w:rFonts w:ascii="Courier New" w:cs="Courier New" w:eastAsia="Courier New" w:hAnsi="Courier New"/>
          <w:sz w:val="16"/>
          <w:szCs w:val="16"/>
          <w:color w:val="auto"/>
        </w:rPr>
      </w:pPr>
    </w:p>
    <w:p>
      <w:pPr>
        <w:ind w:left="384" w:right="2899" w:hanging="384"/>
        <w:spacing w:after="0" w:line="236" w:lineRule="auto"/>
        <w:tabs>
          <w:tab w:leader="none" w:pos="38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Comcast's two-for-one stock split in the form of a 100% stock dividend in May 1999.</w:t>
      </w:r>
    </w:p>
    <w:p>
      <w:pPr>
        <w:spacing w:after="0" w:line="184" w:lineRule="exact"/>
        <w:rPr>
          <w:rFonts w:ascii="Courier New" w:cs="Courier New" w:eastAsia="Courier New" w:hAnsi="Courier New"/>
          <w:sz w:val="16"/>
          <w:szCs w:val="16"/>
          <w:color w:val="auto"/>
        </w:rPr>
      </w:pPr>
    </w:p>
    <w:p>
      <w:pPr>
        <w:ind w:left="384" w:right="2719" w:hanging="384"/>
        <w:spacing w:after="0" w:line="255" w:lineRule="auto"/>
        <w:tabs>
          <w:tab w:leader="none" w:pos="38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Comcast's business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Comcast's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our performance.</w:t>
      </w:r>
    </w:p>
    <w:p>
      <w:pPr>
        <w:spacing w:after="0" w:line="177" w:lineRule="exact"/>
        <w:rPr>
          <w:rFonts w:ascii="Courier New" w:cs="Courier New" w:eastAsia="Courier New" w:hAnsi="Courier New"/>
          <w:sz w:val="15"/>
          <w:szCs w:val="15"/>
          <w:color w:val="auto"/>
        </w:rPr>
      </w:pPr>
    </w:p>
    <w:p>
      <w:pPr>
        <w:ind w:left="384" w:right="2899" w:hanging="384"/>
        <w:spacing w:after="0" w:line="237" w:lineRule="auto"/>
        <w:tabs>
          <w:tab w:leader="none" w:pos="38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net cash provided by (used in) operating activities, financing activities and investing activities as presented in Comcast's consolidated statement of cash flows.</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3"/>
          </w:cols>
          <w:pgMar w:left="236" w:top="654" w:right="1440" w:bottom="1440" w:gutter="0" w:footer="0" w:header="0"/>
        </w:sectPr>
      </w:pPr>
    </w:p>
    <w:bookmarkStart w:id="52" w:name="page53"/>
    <w:bookmarkEnd w:id="52"/>
    <w:p>
      <w:pPr>
        <w:ind w:right="2819" w:firstLine="469"/>
        <w:spacing w:after="0" w:line="256" w:lineRule="auto"/>
        <w:rPr>
          <w:sz w:val="20"/>
          <w:szCs w:val="20"/>
          <w:color w:val="auto"/>
        </w:rPr>
      </w:pPr>
      <w:r>
        <w:rPr>
          <w:rFonts w:ascii="Courier New" w:cs="Courier New" w:eastAsia="Courier New" w:hAnsi="Courier New"/>
          <w:sz w:val="15"/>
          <w:szCs w:val="15"/>
          <w:color w:val="auto"/>
        </w:rPr>
        <w:t>Comcast adopted SFAS No. 142 on January 1, 2002. Upon adoption of SFAS No. 142, Comcast no longer amortizes goodwill and other indefinite lived intangible assets, which consist of cable and sports franchise rights. The following pro forma financial information for the six months ended June 30, 2001, and for the years ended December 31, 2001, 2000 and 1999, is presented as if SFAS No. 142 was adopted as of January 1, 1999 (amounts in millions, except per share data):</w:t>
      </w:r>
    </w:p>
    <w:p>
      <w:pPr>
        <w:spacing w:after="0" w:line="170"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6"/>
          <w:szCs w:val="16"/>
          <w:color w:val="auto"/>
        </w:rPr>
        <w:t>SIX MONTHS ENDED YEARS ENDED DECEMBER 31, JUNE</w:t>
      </w:r>
    </w:p>
    <w:p>
      <w:pPr>
        <w:jc w:val="center"/>
        <w:ind w:right="5719"/>
        <w:spacing w:after="0"/>
        <w:rPr>
          <w:sz w:val="20"/>
          <w:szCs w:val="20"/>
          <w:color w:val="auto"/>
        </w:rPr>
      </w:pPr>
      <w:r>
        <w:rPr>
          <w:rFonts w:ascii="Courier New" w:cs="Courier New" w:eastAsia="Courier New" w:hAnsi="Courier New"/>
          <w:sz w:val="16"/>
          <w:szCs w:val="16"/>
          <w:color w:val="auto"/>
        </w:rPr>
        <w:t>30, ------------------------------ 2001 2001</w:t>
      </w:r>
    </w:p>
    <w:p>
      <w:pPr>
        <w:ind w:left="80"/>
        <w:spacing w:after="0" w:line="237" w:lineRule="auto"/>
        <w:rPr>
          <w:sz w:val="20"/>
          <w:szCs w:val="20"/>
          <w:color w:val="auto"/>
        </w:rPr>
      </w:pPr>
      <w:r>
        <w:rPr>
          <w:rFonts w:ascii="Courier New" w:cs="Courier New" w:eastAsia="Courier New" w:hAnsi="Courier New"/>
          <w:sz w:val="16"/>
          <w:szCs w:val="16"/>
          <w:color w:val="auto"/>
        </w:rPr>
        <w:t>2000 1999 --------- -------- -------- --------</w:t>
      </w:r>
    </w:p>
    <w:p>
      <w:pPr>
        <w:ind w:left="1640"/>
        <w:spacing w:after="0"/>
        <w:rPr>
          <w:sz w:val="20"/>
          <w:szCs w:val="20"/>
          <w:color w:val="auto"/>
        </w:rPr>
      </w:pPr>
      <w:r>
        <w:rPr>
          <w:rFonts w:ascii="Courier New" w:cs="Courier New" w:eastAsia="Courier New" w:hAnsi="Courier New"/>
          <w:sz w:val="16"/>
          <w:szCs w:val="16"/>
          <w:color w:val="auto"/>
        </w:rPr>
        <w:t>Net Income As</w:t>
      </w:r>
    </w:p>
    <w:p>
      <w:pPr>
        <w:spacing w:after="0" w:line="238" w:lineRule="auto"/>
        <w:rPr>
          <w:sz w:val="20"/>
          <w:szCs w:val="20"/>
          <w:color w:val="auto"/>
        </w:rPr>
      </w:pPr>
      <w:r>
        <w:rPr>
          <w:rFonts w:ascii="Courier New" w:cs="Courier New" w:eastAsia="Courier New" w:hAnsi="Courier New"/>
          <w:sz w:val="16"/>
          <w:szCs w:val="16"/>
          <w:color w:val="auto"/>
        </w:rPr>
        <w:t>reported........................................</w:t>
      </w:r>
    </w:p>
    <w:p>
      <w:pPr>
        <w:ind w:left="40"/>
        <w:spacing w:after="0"/>
        <w:rPr>
          <w:sz w:val="20"/>
          <w:szCs w:val="20"/>
          <w:color w:val="auto"/>
        </w:rPr>
      </w:pPr>
      <w:r>
        <w:rPr>
          <w:rFonts w:ascii="Courier New" w:cs="Courier New" w:eastAsia="Courier New" w:hAnsi="Courier New"/>
          <w:sz w:val="16"/>
          <w:szCs w:val="16"/>
          <w:color w:val="auto"/>
        </w:rPr>
        <w:t>$1,036.4 $ 608.6 $2,021.5 $1,065.7 Amortization</w:t>
      </w:r>
    </w:p>
    <w:p>
      <w:pPr>
        <w:ind w:left="40"/>
        <w:spacing w:after="0" w:line="238" w:lineRule="auto"/>
        <w:rPr>
          <w:sz w:val="20"/>
          <w:szCs w:val="20"/>
          <w:color w:val="auto"/>
        </w:rPr>
      </w:pPr>
      <w:r>
        <w:rPr>
          <w:rFonts w:ascii="Courier New" w:cs="Courier New" w:eastAsia="Courier New" w:hAnsi="Courier New"/>
          <w:sz w:val="16"/>
          <w:szCs w:val="16"/>
          <w:color w:val="auto"/>
        </w:rPr>
        <w:t>of goodwill........................ 154.4 334.8</w:t>
      </w:r>
    </w:p>
    <w:p>
      <w:pPr>
        <w:ind w:left="320"/>
        <w:spacing w:after="0"/>
        <w:rPr>
          <w:sz w:val="20"/>
          <w:szCs w:val="20"/>
          <w:color w:val="auto"/>
        </w:rPr>
      </w:pPr>
      <w:r>
        <w:rPr>
          <w:rFonts w:ascii="Courier New" w:cs="Courier New" w:eastAsia="Courier New" w:hAnsi="Courier New"/>
          <w:sz w:val="16"/>
          <w:szCs w:val="16"/>
          <w:color w:val="auto"/>
        </w:rPr>
        <w:t>303.5 128.5 Amortization of equity method</w:t>
      </w:r>
    </w:p>
    <w:p>
      <w:pPr>
        <w:ind w:left="500"/>
        <w:spacing w:after="0" w:line="237" w:lineRule="auto"/>
        <w:rPr>
          <w:sz w:val="20"/>
          <w:szCs w:val="20"/>
          <w:color w:val="auto"/>
        </w:rPr>
      </w:pPr>
      <w:r>
        <w:rPr>
          <w:rFonts w:ascii="Courier New" w:cs="Courier New" w:eastAsia="Courier New" w:hAnsi="Courier New"/>
          <w:sz w:val="16"/>
          <w:szCs w:val="16"/>
          <w:color w:val="auto"/>
        </w:rPr>
        <w:t>goodwill.......... 11.1 15.0 15.2 4.4</w:t>
      </w:r>
    </w:p>
    <w:p>
      <w:pPr>
        <w:ind w:left="1080"/>
        <w:spacing w:after="0"/>
        <w:rPr>
          <w:sz w:val="20"/>
          <w:szCs w:val="20"/>
          <w:color w:val="auto"/>
        </w:rPr>
      </w:pPr>
      <w:r>
        <w:rPr>
          <w:rFonts w:ascii="Courier New" w:cs="Courier New" w:eastAsia="Courier New" w:hAnsi="Courier New"/>
          <w:sz w:val="16"/>
          <w:szCs w:val="16"/>
          <w:color w:val="auto"/>
        </w:rPr>
        <w:t>Amortization of franchise</w:t>
      </w:r>
    </w:p>
    <w:p>
      <w:pPr>
        <w:ind w:left="280"/>
        <w:spacing w:after="0" w:line="238" w:lineRule="auto"/>
        <w:rPr>
          <w:sz w:val="20"/>
          <w:szCs w:val="20"/>
          <w:color w:val="auto"/>
        </w:rPr>
      </w:pPr>
      <w:r>
        <w:rPr>
          <w:rFonts w:ascii="Courier New" w:cs="Courier New" w:eastAsia="Courier New" w:hAnsi="Courier New"/>
          <w:sz w:val="16"/>
          <w:szCs w:val="16"/>
          <w:color w:val="auto"/>
        </w:rPr>
        <w:t>rights................ 529.4 1,083.7 858.1</w:t>
      </w:r>
    </w:p>
    <w:p>
      <w:pPr>
        <w:ind w:left="180"/>
        <w:spacing w:after="0"/>
        <w:rPr>
          <w:sz w:val="20"/>
          <w:szCs w:val="20"/>
          <w:color w:val="auto"/>
        </w:rPr>
      </w:pPr>
      <w:r>
        <w:rPr>
          <w:rFonts w:ascii="Courier New" w:cs="Courier New" w:eastAsia="Courier New" w:hAnsi="Courier New"/>
          <w:sz w:val="16"/>
          <w:szCs w:val="16"/>
          <w:color w:val="auto"/>
        </w:rPr>
        <w:t>258.3 -------- -------- -------- -------- As</w:t>
      </w:r>
    </w:p>
    <w:p>
      <w:pPr>
        <w:spacing w:after="0" w:line="238" w:lineRule="auto"/>
        <w:rPr>
          <w:sz w:val="20"/>
          <w:szCs w:val="20"/>
          <w:color w:val="auto"/>
        </w:rPr>
      </w:pPr>
      <w:r>
        <w:rPr>
          <w:rFonts w:ascii="Courier New" w:cs="Courier New" w:eastAsia="Courier New" w:hAnsi="Courier New"/>
          <w:sz w:val="16"/>
          <w:szCs w:val="16"/>
          <w:color w:val="auto"/>
        </w:rPr>
        <w:t>adjusted........................................</w:t>
      </w:r>
    </w:p>
    <w:p>
      <w:pPr>
        <w:ind w:left="180"/>
        <w:spacing w:after="0"/>
        <w:rPr>
          <w:sz w:val="20"/>
          <w:szCs w:val="20"/>
          <w:color w:val="auto"/>
        </w:rPr>
      </w:pPr>
      <w:r>
        <w:rPr>
          <w:rFonts w:ascii="Courier New" w:cs="Courier New" w:eastAsia="Courier New" w:hAnsi="Courier New"/>
          <w:sz w:val="16"/>
          <w:szCs w:val="16"/>
          <w:color w:val="auto"/>
        </w:rPr>
        <w:t>$1,731.3 $2,042.1 $3,198.3 $1,456.9 ========</w:t>
      </w:r>
    </w:p>
    <w:p>
      <w:pPr>
        <w:ind w:left="360"/>
        <w:spacing w:after="0" w:line="237" w:lineRule="auto"/>
        <w:rPr>
          <w:sz w:val="20"/>
          <w:szCs w:val="20"/>
          <w:color w:val="auto"/>
        </w:rPr>
      </w:pPr>
      <w:r>
        <w:rPr>
          <w:rFonts w:ascii="Courier New" w:cs="Courier New" w:eastAsia="Courier New" w:hAnsi="Courier New"/>
          <w:sz w:val="16"/>
          <w:szCs w:val="16"/>
          <w:color w:val="auto"/>
        </w:rPr>
        <w:t>======== ======== ======== Income before</w:t>
      </w:r>
    </w:p>
    <w:p>
      <w:pPr>
        <w:ind w:left="180"/>
        <w:spacing w:after="0"/>
        <w:rPr>
          <w:sz w:val="20"/>
          <w:szCs w:val="20"/>
          <w:color w:val="auto"/>
        </w:rPr>
      </w:pPr>
      <w:r>
        <w:rPr>
          <w:rFonts w:ascii="Courier New" w:cs="Courier New" w:eastAsia="Courier New" w:hAnsi="Courier New"/>
          <w:sz w:val="16"/>
          <w:szCs w:val="16"/>
          <w:color w:val="auto"/>
        </w:rPr>
        <w:t>extraordinary items and cumulative effect of</w:t>
      </w:r>
    </w:p>
    <w:p>
      <w:pPr>
        <w:ind w:left="40"/>
        <w:spacing w:after="0" w:line="238" w:lineRule="auto"/>
        <w:rPr>
          <w:sz w:val="20"/>
          <w:szCs w:val="20"/>
          <w:color w:val="auto"/>
        </w:rPr>
      </w:pPr>
      <w:r>
        <w:rPr>
          <w:rFonts w:ascii="Courier New" w:cs="Courier New" w:eastAsia="Courier New" w:hAnsi="Courier New"/>
          <w:sz w:val="16"/>
          <w:szCs w:val="16"/>
          <w:color w:val="auto"/>
        </w:rPr>
        <w:t>accounting change, as adjusted........ $1,346.8</w:t>
      </w:r>
    </w:p>
    <w:p>
      <w:pPr>
        <w:ind w:left="180"/>
        <w:spacing w:after="0"/>
        <w:rPr>
          <w:sz w:val="20"/>
          <w:szCs w:val="20"/>
          <w:color w:val="auto"/>
        </w:rPr>
      </w:pPr>
      <w:r>
        <w:rPr>
          <w:rFonts w:ascii="Courier New" w:cs="Courier New" w:eastAsia="Courier New" w:hAnsi="Courier New"/>
          <w:sz w:val="16"/>
          <w:szCs w:val="16"/>
          <w:color w:val="auto"/>
        </w:rPr>
        <w:t>$1,659.1 $3,221.9 $1,507.9 ======== ========</w:t>
      </w:r>
    </w:p>
    <w:p>
      <w:pPr>
        <w:ind w:left="840"/>
        <w:spacing w:after="0" w:line="238" w:lineRule="auto"/>
        <w:rPr>
          <w:sz w:val="20"/>
          <w:szCs w:val="20"/>
          <w:color w:val="auto"/>
        </w:rPr>
      </w:pPr>
      <w:r>
        <w:rPr>
          <w:rFonts w:ascii="Courier New" w:cs="Courier New" w:eastAsia="Courier New" w:hAnsi="Courier New"/>
          <w:sz w:val="16"/>
          <w:szCs w:val="16"/>
          <w:color w:val="auto"/>
        </w:rPr>
        <w:t>======== ======== Basic EPS As</w:t>
      </w:r>
    </w:p>
    <w:p>
      <w:pPr>
        <w:spacing w:after="0"/>
        <w:rPr>
          <w:sz w:val="20"/>
          <w:szCs w:val="20"/>
          <w:color w:val="auto"/>
        </w:rPr>
      </w:pPr>
      <w:r>
        <w:rPr>
          <w:rFonts w:ascii="Courier New" w:cs="Courier New" w:eastAsia="Courier New" w:hAnsi="Courier New"/>
          <w:sz w:val="16"/>
          <w:szCs w:val="16"/>
          <w:color w:val="auto"/>
        </w:rPr>
        <w:t>reported........................................</w:t>
      </w:r>
    </w:p>
    <w:p>
      <w:pPr>
        <w:ind w:left="220"/>
        <w:spacing w:after="0" w:line="237" w:lineRule="auto"/>
        <w:rPr>
          <w:sz w:val="20"/>
          <w:szCs w:val="20"/>
          <w:color w:val="auto"/>
        </w:rPr>
      </w:pPr>
      <w:r>
        <w:rPr>
          <w:rFonts w:ascii="Courier New" w:cs="Courier New" w:eastAsia="Courier New" w:hAnsi="Courier New"/>
          <w:sz w:val="16"/>
          <w:szCs w:val="16"/>
          <w:color w:val="auto"/>
        </w:rPr>
        <w:t>$ 1.09 $ 0.64 $ 2.24 $ 1.38 Amortization of</w:t>
      </w:r>
    </w:p>
    <w:p>
      <w:pPr>
        <w:ind w:left="40"/>
        <w:spacing w:after="0"/>
        <w:rPr>
          <w:sz w:val="20"/>
          <w:szCs w:val="20"/>
          <w:color w:val="auto"/>
        </w:rPr>
      </w:pPr>
      <w:r>
        <w:rPr>
          <w:rFonts w:ascii="Courier New" w:cs="Courier New" w:eastAsia="Courier New" w:hAnsi="Courier New"/>
          <w:sz w:val="16"/>
          <w:szCs w:val="16"/>
          <w:color w:val="auto"/>
        </w:rPr>
        <w:t>goodwill........................ 0.17 0.35 0.34</w:t>
      </w:r>
    </w:p>
    <w:p>
      <w:pPr>
        <w:ind w:left="660"/>
        <w:spacing w:after="0" w:line="238" w:lineRule="auto"/>
        <w:rPr>
          <w:sz w:val="20"/>
          <w:szCs w:val="20"/>
          <w:color w:val="auto"/>
        </w:rPr>
      </w:pPr>
      <w:r>
        <w:rPr>
          <w:rFonts w:ascii="Courier New" w:cs="Courier New" w:eastAsia="Courier New" w:hAnsi="Courier New"/>
          <w:sz w:val="16"/>
          <w:szCs w:val="16"/>
          <w:color w:val="auto"/>
        </w:rPr>
        <w:t>0.17 Amortization of equity method</w:t>
      </w:r>
    </w:p>
    <w:p>
      <w:pPr>
        <w:ind w:left="460"/>
        <w:spacing w:after="0"/>
        <w:rPr>
          <w:sz w:val="20"/>
          <w:szCs w:val="20"/>
          <w:color w:val="auto"/>
        </w:rPr>
      </w:pPr>
      <w:r>
        <w:rPr>
          <w:rFonts w:ascii="Courier New" w:cs="Courier New" w:eastAsia="Courier New" w:hAnsi="Courier New"/>
          <w:sz w:val="16"/>
          <w:szCs w:val="16"/>
          <w:color w:val="auto"/>
        </w:rPr>
        <w:t>goodwill.......... 0.01 0.02 0.02 0.01</w:t>
      </w:r>
    </w:p>
    <w:p>
      <w:pPr>
        <w:ind w:left="1080"/>
        <w:spacing w:after="0" w:line="238" w:lineRule="auto"/>
        <w:rPr>
          <w:sz w:val="20"/>
          <w:szCs w:val="20"/>
          <w:color w:val="auto"/>
        </w:rPr>
      </w:pPr>
      <w:r>
        <w:rPr>
          <w:rFonts w:ascii="Courier New" w:cs="Courier New" w:eastAsia="Courier New" w:hAnsi="Courier New"/>
          <w:sz w:val="16"/>
          <w:szCs w:val="16"/>
          <w:color w:val="auto"/>
        </w:rPr>
        <w:t>Amortization of franchise</w:t>
      </w:r>
    </w:p>
    <w:p>
      <w:pPr>
        <w:ind w:left="40"/>
        <w:spacing w:after="0"/>
        <w:rPr>
          <w:sz w:val="20"/>
          <w:szCs w:val="20"/>
          <w:color w:val="auto"/>
        </w:rPr>
      </w:pPr>
      <w:r>
        <w:rPr>
          <w:rFonts w:ascii="Courier New" w:cs="Courier New" w:eastAsia="Courier New" w:hAnsi="Courier New"/>
          <w:sz w:val="16"/>
          <w:szCs w:val="16"/>
          <w:color w:val="auto"/>
        </w:rPr>
        <w:t>rights................ 0.56 1.14 0.96 0.35 ----</w:t>
      </w:r>
    </w:p>
    <w:p>
      <w:pPr>
        <w:ind w:left="660"/>
        <w:spacing w:after="0" w:line="237" w:lineRule="auto"/>
        <w:rPr>
          <w:sz w:val="20"/>
          <w:szCs w:val="20"/>
          <w:color w:val="auto"/>
        </w:rPr>
      </w:pPr>
      <w:r>
        <w:rPr>
          <w:rFonts w:ascii="Courier New" w:cs="Courier New" w:eastAsia="Courier New" w:hAnsi="Courier New"/>
          <w:sz w:val="16"/>
          <w:szCs w:val="16"/>
          <w:color w:val="auto"/>
        </w:rPr>
        <w:t>---- -------- -------- -------- As</w:t>
      </w:r>
    </w:p>
    <w:p>
      <w:pPr>
        <w:spacing w:after="0"/>
        <w:rPr>
          <w:sz w:val="20"/>
          <w:szCs w:val="20"/>
          <w:color w:val="auto"/>
        </w:rPr>
      </w:pPr>
      <w:r>
        <w:rPr>
          <w:rFonts w:ascii="Courier New" w:cs="Courier New" w:eastAsia="Courier New" w:hAnsi="Courier New"/>
          <w:sz w:val="16"/>
          <w:szCs w:val="16"/>
          <w:color w:val="auto"/>
        </w:rPr>
        <w:t>adjusted........................................</w:t>
      </w:r>
    </w:p>
    <w:p>
      <w:pPr>
        <w:ind w:left="320" w:hanging="186"/>
        <w:spacing w:after="0" w:line="238" w:lineRule="auto"/>
        <w:tabs>
          <w:tab w:leader="none" w:pos="3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1.83 $ 2.15 $ 3.56 $ 1.91 ======== ========</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Diluted EPS As</w:t>
      </w:r>
    </w:p>
    <w:p>
      <w:pPr>
        <w:spacing w:after="0" w:line="237" w:lineRule="auto"/>
        <w:rPr>
          <w:sz w:val="20"/>
          <w:szCs w:val="20"/>
          <w:color w:val="auto"/>
        </w:rPr>
      </w:pPr>
      <w:r>
        <w:rPr>
          <w:rFonts w:ascii="Courier New" w:cs="Courier New" w:eastAsia="Courier New" w:hAnsi="Courier New"/>
          <w:sz w:val="16"/>
          <w:szCs w:val="16"/>
          <w:color w:val="auto"/>
        </w:rPr>
        <w:t>reported........................................</w:t>
      </w:r>
    </w:p>
    <w:p>
      <w:pPr>
        <w:ind w:left="220"/>
        <w:spacing w:after="0"/>
        <w:rPr>
          <w:sz w:val="20"/>
          <w:szCs w:val="20"/>
          <w:color w:val="auto"/>
        </w:rPr>
      </w:pPr>
      <w:r>
        <w:rPr>
          <w:rFonts w:ascii="Courier New" w:cs="Courier New" w:eastAsia="Courier New" w:hAnsi="Courier New"/>
          <w:sz w:val="16"/>
          <w:szCs w:val="16"/>
          <w:color w:val="auto"/>
        </w:rPr>
        <w:t>$ 1.07 $ 0.63 $ 2.13 $ 1.30 Amortization of</w:t>
      </w:r>
    </w:p>
    <w:p>
      <w:pPr>
        <w:ind w:left="40"/>
        <w:spacing w:after="0" w:line="238" w:lineRule="auto"/>
        <w:rPr>
          <w:sz w:val="20"/>
          <w:szCs w:val="20"/>
          <w:color w:val="auto"/>
        </w:rPr>
      </w:pPr>
      <w:r>
        <w:rPr>
          <w:rFonts w:ascii="Courier New" w:cs="Courier New" w:eastAsia="Courier New" w:hAnsi="Courier New"/>
          <w:sz w:val="16"/>
          <w:szCs w:val="16"/>
          <w:color w:val="auto"/>
        </w:rPr>
        <w:t>goodwill........................ 0.16 0.35 0.32</w:t>
      </w:r>
    </w:p>
    <w:p>
      <w:pPr>
        <w:ind w:left="660"/>
        <w:spacing w:after="0"/>
        <w:rPr>
          <w:sz w:val="20"/>
          <w:szCs w:val="20"/>
          <w:color w:val="auto"/>
        </w:rPr>
      </w:pPr>
      <w:r>
        <w:rPr>
          <w:rFonts w:ascii="Courier New" w:cs="Courier New" w:eastAsia="Courier New" w:hAnsi="Courier New"/>
          <w:sz w:val="16"/>
          <w:szCs w:val="16"/>
          <w:color w:val="auto"/>
        </w:rPr>
        <w:t>0.16 Amortization of equity method</w:t>
      </w:r>
    </w:p>
    <w:p>
      <w:pPr>
        <w:ind w:left="460"/>
        <w:spacing w:after="0" w:line="238" w:lineRule="auto"/>
        <w:rPr>
          <w:sz w:val="20"/>
          <w:szCs w:val="20"/>
          <w:color w:val="auto"/>
        </w:rPr>
      </w:pPr>
      <w:r>
        <w:rPr>
          <w:rFonts w:ascii="Courier New" w:cs="Courier New" w:eastAsia="Courier New" w:hAnsi="Courier New"/>
          <w:sz w:val="16"/>
          <w:szCs w:val="16"/>
          <w:color w:val="auto"/>
        </w:rPr>
        <w:t>goodwill.......... 0.01 0.02 0.02 0.01</w:t>
      </w:r>
    </w:p>
    <w:p>
      <w:pPr>
        <w:ind w:left="1080"/>
        <w:spacing w:after="0"/>
        <w:rPr>
          <w:sz w:val="20"/>
          <w:szCs w:val="20"/>
          <w:color w:val="auto"/>
        </w:rPr>
      </w:pPr>
      <w:r>
        <w:rPr>
          <w:rFonts w:ascii="Courier New" w:cs="Courier New" w:eastAsia="Courier New" w:hAnsi="Courier New"/>
          <w:sz w:val="16"/>
          <w:szCs w:val="16"/>
          <w:color w:val="auto"/>
        </w:rPr>
        <w:t>Amortization of franchise</w:t>
      </w:r>
    </w:p>
    <w:p>
      <w:pPr>
        <w:ind w:left="40"/>
        <w:spacing w:after="0" w:line="237" w:lineRule="auto"/>
        <w:rPr>
          <w:sz w:val="20"/>
          <w:szCs w:val="20"/>
          <w:color w:val="auto"/>
        </w:rPr>
      </w:pPr>
      <w:r>
        <w:rPr>
          <w:rFonts w:ascii="Courier New" w:cs="Courier New" w:eastAsia="Courier New" w:hAnsi="Courier New"/>
          <w:sz w:val="16"/>
          <w:szCs w:val="16"/>
          <w:color w:val="auto"/>
        </w:rPr>
        <w:t>rights................ 0.55 1.12 0.90 0.31 ----</w:t>
      </w:r>
    </w:p>
    <w:p>
      <w:pPr>
        <w:ind w:left="660"/>
        <w:spacing w:after="0"/>
        <w:rPr>
          <w:sz w:val="20"/>
          <w:szCs w:val="20"/>
          <w:color w:val="auto"/>
        </w:rPr>
      </w:pPr>
      <w:r>
        <w:rPr>
          <w:rFonts w:ascii="Courier New" w:cs="Courier New" w:eastAsia="Courier New" w:hAnsi="Courier New"/>
          <w:sz w:val="16"/>
          <w:szCs w:val="16"/>
          <w:color w:val="auto"/>
        </w:rPr>
        <w:t>---- -------- -------- -------- As</w:t>
      </w:r>
    </w:p>
    <w:p>
      <w:pPr>
        <w:spacing w:after="0" w:line="238" w:lineRule="auto"/>
        <w:rPr>
          <w:sz w:val="20"/>
          <w:szCs w:val="20"/>
          <w:color w:val="auto"/>
        </w:rPr>
      </w:pPr>
      <w:r>
        <w:rPr>
          <w:rFonts w:ascii="Courier New" w:cs="Courier New" w:eastAsia="Courier New" w:hAnsi="Courier New"/>
          <w:sz w:val="16"/>
          <w:szCs w:val="16"/>
          <w:color w:val="auto"/>
        </w:rPr>
        <w:t>adjusted........................................</w:t>
      </w:r>
    </w:p>
    <w:p>
      <w:pPr>
        <w:ind w:left="320" w:hanging="186"/>
        <w:spacing w:after="0"/>
        <w:tabs>
          <w:tab w:leader="none" w:pos="3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1.79 $ 2.12 $ 3.37 $ 1.78 ======== ========</w:t>
      </w:r>
    </w:p>
    <w:p>
      <w:pPr>
        <w:ind w:left="1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5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9" w:right="1440" w:bottom="1440" w:gutter="0" w:footer="0" w:header="0"/>
        </w:sectPr>
      </w:pPr>
    </w:p>
    <w:bookmarkStart w:id="53" w:name="page54"/>
    <w:bookmarkEnd w:id="53"/>
    <w:p>
      <w:pPr>
        <w:spacing w:after="0" w:line="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SELECTED FINANCIAL DATA OF COMCAST CABLE</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consolidated selected financial data of Comcast Cable for the six months ended June 30, 2002 and 2001 were derived from the unaudited condensed consolidated financial statements of Comcast Cable, and the consolidated selected financial data of Comcast Cable for the years ended December 31, 2001, 2000, 1999, 1998 and 1997 were derived from the audited consolidated financial statements of Comcast Cable.</w:t>
      </w:r>
    </w:p>
    <w:p>
      <w:pPr>
        <w:spacing w:after="0" w:line="184"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SIX MONTHS ENDED JUNE 30, YEAR</w:t>
      </w:r>
    </w:p>
    <w:p>
      <w:pPr>
        <w:ind w:left="44"/>
        <w:spacing w:after="0"/>
        <w:rPr>
          <w:sz w:val="20"/>
          <w:szCs w:val="20"/>
          <w:color w:val="auto"/>
        </w:rPr>
      </w:pPr>
      <w:r>
        <w:rPr>
          <w:rFonts w:ascii="Courier New" w:cs="Courier New" w:eastAsia="Courier New" w:hAnsi="Courier New"/>
          <w:sz w:val="16"/>
          <w:szCs w:val="16"/>
          <w:color w:val="auto"/>
        </w:rPr>
        <w:t>ENDED DECEMBER 31, -----------</w:t>
      </w:r>
    </w:p>
    <w:p>
      <w:pPr>
        <w:ind w:left="44"/>
        <w:spacing w:after="0" w:line="237" w:lineRule="auto"/>
        <w:rPr>
          <w:sz w:val="20"/>
          <w:szCs w:val="20"/>
          <w:color w:val="auto"/>
        </w:rPr>
      </w:pPr>
      <w:r>
        <w:rPr>
          <w:rFonts w:ascii="Courier New" w:cs="Courier New" w:eastAsia="Courier New" w:hAnsi="Courier New"/>
          <w:sz w:val="16"/>
          <w:szCs w:val="16"/>
          <w:color w:val="auto"/>
        </w:rPr>
        <w:t>------------- ----------------</w:t>
      </w:r>
    </w:p>
    <w:p>
      <w:pPr>
        <w:ind w:left="44"/>
        <w:spacing w:after="0"/>
        <w:rPr>
          <w:sz w:val="20"/>
          <w:szCs w:val="20"/>
          <w:color w:val="auto"/>
        </w:rPr>
      </w:pPr>
      <w:r>
        <w:rPr>
          <w:rFonts w:ascii="Courier New" w:cs="Courier New" w:eastAsia="Courier New" w:hAnsi="Courier New"/>
          <w:sz w:val="16"/>
          <w:szCs w:val="16"/>
          <w:color w:val="auto"/>
        </w:rPr>
        <w:t>------------------------------</w:t>
      </w:r>
    </w:p>
    <w:p>
      <w:pPr>
        <w:ind w:left="144"/>
        <w:spacing w:after="0" w:line="238" w:lineRule="auto"/>
        <w:rPr>
          <w:sz w:val="20"/>
          <w:szCs w:val="20"/>
          <w:color w:val="auto"/>
        </w:rPr>
      </w:pPr>
      <w:r>
        <w:rPr>
          <w:rFonts w:ascii="Courier New" w:cs="Courier New" w:eastAsia="Courier New" w:hAnsi="Courier New"/>
          <w:sz w:val="16"/>
          <w:szCs w:val="16"/>
          <w:color w:val="auto"/>
        </w:rPr>
        <w:t>---------- 2002 2001 2001(1)</w:t>
      </w:r>
    </w:p>
    <w:p>
      <w:pPr>
        <w:ind w:left="44"/>
        <w:spacing w:after="0"/>
        <w:rPr>
          <w:sz w:val="20"/>
          <w:szCs w:val="20"/>
          <w:color w:val="auto"/>
        </w:rPr>
      </w:pPr>
      <w:r>
        <w:rPr>
          <w:rFonts w:ascii="Courier New" w:cs="Courier New" w:eastAsia="Courier New" w:hAnsi="Courier New"/>
          <w:sz w:val="16"/>
          <w:szCs w:val="16"/>
          <w:color w:val="auto"/>
        </w:rPr>
        <w:t>2000(1) 1999(1) 1998 1997 ----</w:t>
      </w:r>
    </w:p>
    <w:p>
      <w:pPr>
        <w:ind w:left="44"/>
        <w:spacing w:after="0" w:line="238" w:lineRule="auto"/>
        <w:rPr>
          <w:sz w:val="20"/>
          <w:szCs w:val="20"/>
          <w:color w:val="auto"/>
        </w:rPr>
      </w:pPr>
      <w:r>
        <w:rPr>
          <w:rFonts w:ascii="Courier New" w:cs="Courier New" w:eastAsia="Courier New" w:hAnsi="Courier New"/>
          <w:sz w:val="16"/>
          <w:szCs w:val="16"/>
          <w:color w:val="auto"/>
        </w:rPr>
        <w:t>-------- --------- --------- -</w:t>
      </w:r>
    </w:p>
    <w:p>
      <w:pPr>
        <w:ind w:left="44"/>
        <w:spacing w:after="0"/>
        <w:rPr>
          <w:sz w:val="20"/>
          <w:szCs w:val="20"/>
          <w:color w:val="auto"/>
        </w:rPr>
      </w:pPr>
      <w:r>
        <w:rPr>
          <w:rFonts w:ascii="Courier New" w:cs="Courier New" w:eastAsia="Courier New" w:hAnsi="Courier New"/>
          <w:sz w:val="16"/>
          <w:szCs w:val="16"/>
          <w:color w:val="auto"/>
        </w:rPr>
        <w:t>-------- --------- --------- -</w:t>
      </w:r>
    </w:p>
    <w:p>
      <w:pPr>
        <w:ind w:left="84"/>
        <w:spacing w:after="0" w:line="237" w:lineRule="auto"/>
        <w:rPr>
          <w:sz w:val="20"/>
          <w:szCs w:val="20"/>
          <w:color w:val="auto"/>
        </w:rPr>
      </w:pPr>
      <w:r>
        <w:rPr>
          <w:rFonts w:ascii="Courier New" w:cs="Courier New" w:eastAsia="Courier New" w:hAnsi="Courier New"/>
          <w:sz w:val="16"/>
          <w:szCs w:val="16"/>
          <w:color w:val="auto"/>
        </w:rPr>
        <w:t>------- (DOLLARS IN MILLIONS)</w:t>
      </w:r>
    </w:p>
    <w:p>
      <w:pPr>
        <w:ind w:left="84"/>
        <w:spacing w:after="0"/>
        <w:rPr>
          <w:sz w:val="20"/>
          <w:szCs w:val="20"/>
          <w:color w:val="auto"/>
        </w:rPr>
      </w:pPr>
      <w:r>
        <w:rPr>
          <w:rFonts w:ascii="Courier New" w:cs="Courier New" w:eastAsia="Courier New" w:hAnsi="Courier New"/>
          <w:sz w:val="16"/>
          <w:szCs w:val="16"/>
          <w:color w:val="auto"/>
        </w:rPr>
        <w:t>STATEMENT OF OPERATIONS DATA:</w:t>
      </w:r>
    </w:p>
    <w:p>
      <w:pPr>
        <w:ind w:left="4"/>
        <w:spacing w:after="0" w:line="238" w:lineRule="auto"/>
        <w:rPr>
          <w:sz w:val="20"/>
          <w:szCs w:val="20"/>
          <w:color w:val="auto"/>
        </w:rPr>
      </w:pPr>
      <w:r>
        <w:rPr>
          <w:rFonts w:ascii="Courier New" w:cs="Courier New" w:eastAsia="Courier New" w:hAnsi="Courier New"/>
          <w:sz w:val="16"/>
          <w:szCs w:val="16"/>
          <w:color w:val="auto"/>
        </w:rPr>
        <w:t>Revenues(2)....................</w:t>
      </w:r>
    </w:p>
    <w:p>
      <w:pPr>
        <w:ind w:left="284" w:hanging="195"/>
        <w:spacing w:after="0"/>
        <w:tabs>
          <w:tab w:leader="none" w:pos="28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2,932.3 $ 2,458.0 $ 5,002.8</w:t>
      </w:r>
    </w:p>
    <w:p>
      <w:pPr>
        <w:spacing w:after="0" w:line="3" w:lineRule="exact"/>
        <w:rPr>
          <w:rFonts w:ascii="Courier New" w:cs="Courier New" w:eastAsia="Courier New" w:hAnsi="Courier New"/>
          <w:sz w:val="16"/>
          <w:szCs w:val="16"/>
          <w:color w:val="auto"/>
        </w:rPr>
      </w:pPr>
    </w:p>
    <w:p>
      <w:pPr>
        <w:ind w:left="284" w:right="7419" w:hanging="195"/>
        <w:spacing w:after="0" w:line="254" w:lineRule="auto"/>
        <w:tabs>
          <w:tab w:leader="none" w:pos="28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4,141.9 $ 2,906.5 $ 2,277.4 $2,073.0 Operating income</w:t>
      </w:r>
    </w:p>
    <w:tbl>
      <w:tblPr>
        <w:tblLayout w:type="fixed"/>
        <w:tblInd w:w="84" w:type="dxa"/>
        <w:tblCellMar>
          <w:top w:w="0" w:type="dxa"/>
          <w:left w:w="0" w:type="dxa"/>
          <w:bottom w:w="0" w:type="dxa"/>
          <w:right w:w="0" w:type="dxa"/>
        </w:tblCellMar>
      </w:tblPr>
      <w:tr>
        <w:trPr>
          <w:trHeight w:val="177"/>
        </w:trPr>
        <w:tc>
          <w:tcPr>
            <w:tcW w:w="1280" w:type="dxa"/>
            <w:vAlign w:val="bottom"/>
            <w:gridSpan w:val="2"/>
          </w:tcPr>
          <w:p>
            <w:pPr>
              <w:ind w:left="60"/>
              <w:spacing w:after="0" w:line="177" w:lineRule="exact"/>
              <w:rPr>
                <w:sz w:val="20"/>
                <w:szCs w:val="20"/>
                <w:color w:val="auto"/>
              </w:rPr>
            </w:pPr>
            <w:r>
              <w:rPr>
                <w:rFonts w:ascii="Courier New" w:cs="Courier New" w:eastAsia="Courier New" w:hAnsi="Courier New"/>
                <w:sz w:val="16"/>
                <w:szCs w:val="16"/>
                <w:color w:val="auto"/>
                <w:w w:val="89"/>
              </w:rPr>
              <w:t>(loss)........</w:t>
            </w:r>
          </w:p>
        </w:tc>
        <w:tc>
          <w:tcPr>
            <w:tcW w:w="180" w:type="dxa"/>
            <w:vAlign w:val="bottom"/>
          </w:tcPr>
          <w:p>
            <w:pPr>
              <w:spacing w:after="0"/>
              <w:rPr>
                <w:sz w:val="15"/>
                <w:szCs w:val="15"/>
                <w:color w:val="auto"/>
              </w:rPr>
            </w:pPr>
          </w:p>
        </w:tc>
        <w:tc>
          <w:tcPr>
            <w:tcW w:w="1260" w:type="dxa"/>
            <w:vAlign w:val="bottom"/>
            <w:gridSpan w:val="4"/>
          </w:tcPr>
          <w:p>
            <w:pPr>
              <w:jc w:val="right"/>
              <w:spacing w:after="0" w:line="177" w:lineRule="exact"/>
              <w:rPr>
                <w:sz w:val="20"/>
                <w:szCs w:val="20"/>
                <w:color w:val="auto"/>
              </w:rPr>
            </w:pPr>
            <w:r>
              <w:rPr>
                <w:rFonts w:ascii="Courier New" w:cs="Courier New" w:eastAsia="Courier New" w:hAnsi="Courier New"/>
                <w:sz w:val="16"/>
                <w:szCs w:val="16"/>
                <w:color w:val="auto"/>
                <w:w w:val="96"/>
              </w:rPr>
              <w:t>644.2 (362.8)</w:t>
            </w:r>
          </w:p>
        </w:tc>
      </w:tr>
      <w:tr>
        <w:trPr>
          <w:trHeight w:val="180"/>
        </w:trPr>
        <w:tc>
          <w:tcPr>
            <w:tcW w:w="146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5"/>
              </w:rPr>
              <w:t>(960.8) (758.7)</w:t>
            </w:r>
          </w:p>
        </w:tc>
        <w:tc>
          <w:tcPr>
            <w:tcW w:w="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(38.9)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110.3</w:t>
            </w:r>
          </w:p>
        </w:tc>
      </w:tr>
      <w:tr>
        <w:trPr>
          <w:trHeight w:val="180"/>
        </w:trPr>
        <w:tc>
          <w:tcPr>
            <w:tcW w:w="272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83.3 Income (loss) before</w:t>
            </w:r>
          </w:p>
        </w:tc>
      </w:tr>
      <w:tr>
        <w:trPr>
          <w:trHeight w:val="180"/>
        </w:trPr>
        <w:tc>
          <w:tcPr>
            <w:tcW w:w="272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extraordinary items and</w:t>
            </w:r>
          </w:p>
        </w:tc>
      </w:tr>
      <w:tr>
        <w:trPr>
          <w:trHeight w:val="180"/>
        </w:trPr>
        <w:tc>
          <w:tcPr>
            <w:tcW w:w="272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cumulative effect of</w:t>
            </w:r>
          </w:p>
        </w:tc>
      </w:tr>
      <w:tr>
        <w:trPr>
          <w:trHeight w:val="180"/>
        </w:trPr>
        <w:tc>
          <w:tcPr>
            <w:tcW w:w="2020" w:type="dxa"/>
            <w:vAlign w:val="bottom"/>
            <w:gridSpan w:val="5"/>
          </w:tcPr>
          <w:p>
            <w:pPr>
              <w:spacing w:after="0"/>
              <w:rPr>
                <w:sz w:val="20"/>
                <w:szCs w:val="20"/>
                <w:color w:val="auto"/>
              </w:rPr>
            </w:pPr>
            <w:r>
              <w:rPr>
                <w:rFonts w:ascii="Courier New" w:cs="Courier New" w:eastAsia="Courier New" w:hAnsi="Courier New"/>
                <w:sz w:val="16"/>
                <w:szCs w:val="16"/>
                <w:color w:val="auto"/>
                <w:w w:val="71"/>
              </w:rPr>
              <w:t>accounting change............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1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236.9 214.5</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(360.9)</w:t>
            </w:r>
          </w:p>
        </w:tc>
        <w:tc>
          <w:tcPr>
            <w:tcW w:w="7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113.1</w:t>
            </w:r>
          </w:p>
        </w:tc>
      </w:tr>
      <w:tr>
        <w:trPr>
          <w:trHeight w:val="180"/>
        </w:trPr>
        <w:tc>
          <w:tcPr>
            <w:tcW w:w="1080" w:type="dxa"/>
            <w:vAlign w:val="bottom"/>
          </w:tcPr>
          <w:p>
            <w:pPr>
              <w:ind w:left="340"/>
              <w:spacing w:after="0"/>
              <w:rPr>
                <w:sz w:val="20"/>
                <w:szCs w:val="20"/>
                <w:color w:val="auto"/>
              </w:rPr>
            </w:pPr>
            <w:r>
              <w:rPr>
                <w:rFonts w:ascii="Courier New" w:cs="Courier New" w:eastAsia="Courier New" w:hAnsi="Courier New"/>
                <w:sz w:val="16"/>
                <w:szCs w:val="16"/>
                <w:color w:val="auto"/>
              </w:rPr>
              <w:t>(247.5)</w:t>
            </w:r>
          </w:p>
        </w:tc>
        <w:tc>
          <w:tcPr>
            <w:tcW w:w="6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(97.2)</w:t>
            </w:r>
          </w:p>
        </w:tc>
        <w:tc>
          <w:tcPr>
            <w:tcW w:w="102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(112.1)</w:t>
            </w:r>
          </w:p>
        </w:tc>
      </w:tr>
      <w:tr>
        <w:trPr>
          <w:trHeight w:val="180"/>
        </w:trPr>
        <w:tc>
          <w:tcPr>
            <w:tcW w:w="2020" w:type="dxa"/>
            <w:vAlign w:val="bottom"/>
            <w:gridSpan w:val="5"/>
          </w:tcPr>
          <w:p>
            <w:pPr>
              <w:jc w:val="center"/>
              <w:ind w:left="642"/>
              <w:spacing w:after="0"/>
              <w:rPr>
                <w:sz w:val="20"/>
                <w:szCs w:val="20"/>
                <w:color w:val="auto"/>
              </w:rPr>
            </w:pPr>
            <w:r>
              <w:rPr>
                <w:rFonts w:ascii="Courier New" w:cs="Courier New" w:eastAsia="Courier New" w:hAnsi="Courier New"/>
                <w:sz w:val="16"/>
                <w:szCs w:val="16"/>
                <w:color w:val="auto"/>
                <w:w w:val="97"/>
              </w:rPr>
              <w:t>Extraordinary</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w w:val="77"/>
              </w:rPr>
              <w:t>items............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4"/>
              </w:rPr>
              <w:t>(7.1) (6.2)</w:t>
            </w:r>
          </w:p>
        </w:tc>
      </w:tr>
    </w:tbl>
    <w:p>
      <w:pPr>
        <w:jc w:val="center"/>
        <w:ind w:right="7315"/>
        <w:spacing w:after="0"/>
        <w:rPr>
          <w:sz w:val="20"/>
          <w:szCs w:val="20"/>
          <w:color w:val="auto"/>
        </w:rPr>
      </w:pPr>
      <w:r>
        <w:rPr>
          <w:rFonts w:ascii="Courier New" w:cs="Courier New" w:eastAsia="Courier New" w:hAnsi="Courier New"/>
          <w:sz w:val="16"/>
          <w:szCs w:val="16"/>
          <w:color w:val="auto"/>
        </w:rPr>
        <w:t>(0.1) (16.7) Cumulative effect</w:t>
      </w:r>
    </w:p>
    <w:p>
      <w:pPr>
        <w:jc w:val="center"/>
        <w:ind w:right="7315"/>
        <w:spacing w:after="0" w:line="237" w:lineRule="auto"/>
        <w:rPr>
          <w:sz w:val="20"/>
          <w:szCs w:val="20"/>
          <w:color w:val="auto"/>
        </w:rPr>
      </w:pPr>
      <w:r>
        <w:rPr>
          <w:rFonts w:ascii="Courier New" w:cs="Courier New" w:eastAsia="Courier New" w:hAnsi="Courier New"/>
          <w:sz w:val="16"/>
          <w:szCs w:val="16"/>
          <w:color w:val="auto"/>
        </w:rPr>
        <w:t>of accounting</w:t>
      </w:r>
    </w:p>
    <w:p>
      <w:pPr>
        <w:ind w:left="84"/>
        <w:spacing w:after="0"/>
        <w:rPr>
          <w:sz w:val="20"/>
          <w:szCs w:val="20"/>
          <w:color w:val="auto"/>
        </w:rPr>
      </w:pPr>
      <w:r>
        <w:rPr>
          <w:rFonts w:ascii="Courier New" w:cs="Courier New" w:eastAsia="Courier New" w:hAnsi="Courier New"/>
          <w:sz w:val="16"/>
          <w:szCs w:val="16"/>
          <w:color w:val="auto"/>
        </w:rPr>
        <w:t>change.......................</w:t>
      </w:r>
    </w:p>
    <w:p>
      <w:pPr>
        <w:ind w:left="324"/>
        <w:spacing w:after="0" w:line="238" w:lineRule="auto"/>
        <w:rPr>
          <w:sz w:val="20"/>
          <w:szCs w:val="20"/>
          <w:color w:val="auto"/>
        </w:rPr>
      </w:pPr>
      <w:r>
        <w:rPr>
          <w:rFonts w:ascii="Courier New" w:cs="Courier New" w:eastAsia="Courier New" w:hAnsi="Courier New"/>
          <w:sz w:val="16"/>
          <w:szCs w:val="16"/>
          <w:color w:val="auto"/>
        </w:rPr>
        <w:t>(61.3) (61.3) Net income</w:t>
      </w:r>
    </w:p>
    <w:tbl>
      <w:tblPr>
        <w:tblLayout w:type="fixed"/>
        <w:tblInd w:w="84" w:type="dxa"/>
        <w:tblCellMar>
          <w:top w:w="0" w:type="dxa"/>
          <w:left w:w="0" w:type="dxa"/>
          <w:bottom w:w="0" w:type="dxa"/>
          <w:right w:w="0" w:type="dxa"/>
        </w:tblCellMar>
      </w:tblPr>
      <w:tr>
        <w:trPr>
          <w:trHeight w:val="181"/>
        </w:trPr>
        <w:tc>
          <w:tcPr>
            <w:tcW w:w="1040" w:type="dxa"/>
            <w:vAlign w:val="bottom"/>
            <w:gridSpan w:val="3"/>
          </w:tcPr>
          <w:p>
            <w:pPr>
              <w:jc w:val="center"/>
              <w:ind w:left="72"/>
              <w:spacing w:after="0"/>
              <w:rPr>
                <w:sz w:val="20"/>
                <w:szCs w:val="20"/>
                <w:color w:val="auto"/>
              </w:rPr>
            </w:pPr>
            <w:r>
              <w:rPr>
                <w:rFonts w:ascii="Courier New" w:cs="Courier New" w:eastAsia="Courier New" w:hAnsi="Courier New"/>
                <w:sz w:val="10"/>
                <w:szCs w:val="10"/>
                <w:color w:val="auto"/>
                <w:w w:val="74"/>
              </w:rPr>
              <w:t>(loss)..............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236.9</w:t>
            </w:r>
          </w:p>
        </w:tc>
      </w:tr>
      <w:tr>
        <w:trPr>
          <w:trHeight w:val="180"/>
        </w:trPr>
        <w:tc>
          <w:tcPr>
            <w:tcW w:w="560" w:type="dxa"/>
            <w:vAlign w:val="bottom"/>
          </w:tcPr>
          <w:p>
            <w:pPr>
              <w:ind w:left="100"/>
              <w:spacing w:after="0"/>
              <w:rPr>
                <w:sz w:val="20"/>
                <w:szCs w:val="20"/>
                <w:color w:val="auto"/>
              </w:rPr>
            </w:pPr>
            <w:r>
              <w:rPr>
                <w:rFonts w:ascii="Courier New" w:cs="Courier New" w:eastAsia="Courier New" w:hAnsi="Courier New"/>
                <w:sz w:val="16"/>
                <w:szCs w:val="16"/>
                <w:color w:val="auto"/>
                <w:w w:val="91"/>
              </w:rPr>
              <w:t>153.2</w:t>
            </w:r>
          </w:p>
        </w:tc>
        <w:tc>
          <w:tcPr>
            <w:tcW w:w="80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8"/>
              </w:rPr>
              <w:t>(422.2)</w:t>
            </w:r>
          </w:p>
        </w:tc>
        <w:tc>
          <w:tcPr>
            <w:tcW w:w="13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106.0 (253.7)</w:t>
            </w:r>
          </w:p>
        </w:tc>
      </w:tr>
      <w:tr>
        <w:trPr>
          <w:trHeight w:val="180"/>
        </w:trPr>
        <w:tc>
          <w:tcPr>
            <w:tcW w:w="2720" w:type="dxa"/>
            <w:vAlign w:val="bottom"/>
            <w:gridSpan w:val="8"/>
          </w:tcPr>
          <w:p>
            <w:pPr>
              <w:jc w:val="center"/>
              <w:spacing w:after="0"/>
              <w:rPr>
                <w:sz w:val="20"/>
                <w:szCs w:val="20"/>
                <w:color w:val="auto"/>
              </w:rPr>
            </w:pPr>
            <w:r>
              <w:rPr>
                <w:rFonts w:ascii="Courier New" w:cs="Courier New" w:eastAsia="Courier New" w:hAnsi="Courier New"/>
                <w:sz w:val="16"/>
                <w:szCs w:val="16"/>
                <w:color w:val="auto"/>
                <w:w w:val="97"/>
              </w:rPr>
              <w:t>(97.3) (128.8) BALANCE SHEET</w:t>
            </w:r>
          </w:p>
        </w:tc>
      </w:tr>
      <w:tr>
        <w:trPr>
          <w:trHeight w:val="180"/>
        </w:trPr>
        <w:tc>
          <w:tcPr>
            <w:tcW w:w="2720" w:type="dxa"/>
            <w:vAlign w:val="bottom"/>
            <w:gridSpan w:val="8"/>
          </w:tcPr>
          <w:p>
            <w:pPr>
              <w:jc w:val="center"/>
              <w:spacing w:after="0"/>
              <w:rPr>
                <w:sz w:val="20"/>
                <w:szCs w:val="20"/>
                <w:color w:val="auto"/>
              </w:rPr>
            </w:pPr>
            <w:r>
              <w:rPr>
                <w:rFonts w:ascii="Courier New" w:cs="Courier New" w:eastAsia="Courier New" w:hAnsi="Courier New"/>
                <w:sz w:val="16"/>
                <w:szCs w:val="16"/>
                <w:color w:val="auto"/>
                <w:w w:val="97"/>
              </w:rPr>
              <w:t>DATA (AT PERIOD END): Total</w:t>
            </w:r>
          </w:p>
        </w:tc>
      </w:tr>
      <w:tr>
        <w:trPr>
          <w:trHeight w:val="180"/>
        </w:trPr>
        <w:tc>
          <w:tcPr>
            <w:tcW w:w="1040" w:type="dxa"/>
            <w:vAlign w:val="bottom"/>
            <w:gridSpan w:val="3"/>
          </w:tcPr>
          <w:p>
            <w:pPr>
              <w:jc w:val="center"/>
              <w:ind w:left="132"/>
              <w:spacing w:after="0"/>
              <w:rPr>
                <w:sz w:val="20"/>
                <w:szCs w:val="20"/>
                <w:color w:val="auto"/>
              </w:rPr>
            </w:pPr>
            <w:r>
              <w:rPr>
                <w:rFonts w:ascii="Courier New" w:cs="Courier New" w:eastAsia="Courier New" w:hAnsi="Courier New"/>
                <w:sz w:val="7"/>
                <w:szCs w:val="7"/>
                <w:color w:val="auto"/>
                <w:w w:val="79"/>
              </w:rPr>
              <w:t>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$28,296.8</w:t>
            </w:r>
          </w:p>
        </w:tc>
        <w:tc>
          <w:tcPr>
            <w:tcW w:w="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29,029.1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28,450.0</w:t>
            </w: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$25,804.0</w:t>
            </w:r>
          </w:p>
        </w:tc>
        <w:tc>
          <w:tcPr>
            <w:tcW w:w="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9,967.8</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6,449.4</w:t>
            </w:r>
          </w:p>
        </w:tc>
      </w:tr>
      <w:tr>
        <w:trPr>
          <w:trHeight w:val="180"/>
        </w:trPr>
        <w:tc>
          <w:tcPr>
            <w:tcW w:w="560" w:type="dxa"/>
            <w:vAlign w:val="bottom"/>
          </w:tcPr>
          <w:p>
            <w:pPr>
              <w:spacing w:after="0"/>
              <w:rPr>
                <w:sz w:val="15"/>
                <w:szCs w:val="15"/>
                <w:color w:val="auto"/>
              </w:rPr>
            </w:pPr>
          </w:p>
        </w:tc>
        <w:tc>
          <w:tcPr>
            <w:tcW w:w="2160" w:type="dxa"/>
            <w:vAlign w:val="bottom"/>
            <w:gridSpan w:val="7"/>
          </w:tcPr>
          <w:p>
            <w:pPr>
              <w:jc w:val="center"/>
              <w:ind w:right="462"/>
              <w:spacing w:after="0"/>
              <w:rPr>
                <w:sz w:val="20"/>
                <w:szCs w:val="20"/>
                <w:color w:val="auto"/>
              </w:rPr>
            </w:pPr>
            <w:r>
              <w:rPr>
                <w:rFonts w:ascii="Courier New" w:cs="Courier New" w:eastAsia="Courier New" w:hAnsi="Courier New"/>
                <w:sz w:val="16"/>
                <w:szCs w:val="16"/>
                <w:color w:val="auto"/>
                <w:w w:val="97"/>
              </w:rPr>
              <w:t>$6,057.8 Working</w:t>
            </w:r>
          </w:p>
        </w:tc>
      </w:tr>
      <w:tr>
        <w:trPr>
          <w:trHeight w:val="180"/>
        </w:trPr>
        <w:tc>
          <w:tcPr>
            <w:tcW w:w="1040" w:type="dxa"/>
            <w:vAlign w:val="bottom"/>
            <w:gridSpan w:val="3"/>
          </w:tcPr>
          <w:p>
            <w:pPr>
              <w:ind w:left="280"/>
              <w:spacing w:after="0"/>
              <w:rPr>
                <w:sz w:val="20"/>
                <w:szCs w:val="20"/>
                <w:color w:val="auto"/>
              </w:rPr>
            </w:pPr>
            <w:r>
              <w:rPr>
                <w:rFonts w:ascii="Courier New" w:cs="Courier New" w:eastAsia="Courier New" w:hAnsi="Courier New"/>
                <w:sz w:val="7"/>
                <w:szCs w:val="7"/>
                <w:color w:val="auto"/>
                <w:w w:val="76"/>
              </w:rPr>
              <w:t>capital................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940" w:type="dxa"/>
            <w:vAlign w:val="bottom"/>
            <w:gridSpan w:val="2"/>
          </w:tcPr>
          <w:p>
            <w:pPr>
              <w:jc w:val="center"/>
              <w:ind w:left="212"/>
              <w:spacing w:after="0"/>
              <w:rPr>
                <w:sz w:val="20"/>
                <w:szCs w:val="20"/>
                <w:color w:val="auto"/>
              </w:rPr>
            </w:pPr>
            <w:r>
              <w:rPr>
                <w:rFonts w:ascii="Courier New" w:cs="Courier New" w:eastAsia="Courier New" w:hAnsi="Courier New"/>
                <w:sz w:val="16"/>
                <w:szCs w:val="16"/>
                <w:color w:val="auto"/>
                <w:w w:val="98"/>
              </w:rPr>
              <w:t>(245.4)</w:t>
            </w:r>
          </w:p>
        </w:tc>
        <w:tc>
          <w:tcPr>
            <w:tcW w:w="100" w:type="dxa"/>
            <w:vAlign w:val="bottom"/>
          </w:tcPr>
          <w:p>
            <w:pPr>
              <w:spacing w:after="0"/>
              <w:rPr>
                <w:sz w:val="15"/>
                <w:szCs w:val="15"/>
                <w:color w:val="auto"/>
              </w:rPr>
            </w:pPr>
          </w:p>
        </w:tc>
        <w:tc>
          <w:tcPr>
            <w:tcW w:w="7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5"/>
              </w:rPr>
              <w:t>(201.5)</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(514.3)</w:t>
            </w:r>
          </w:p>
        </w:tc>
      </w:tr>
      <w:tr>
        <w:trPr>
          <w:trHeight w:val="180"/>
        </w:trPr>
        <w:tc>
          <w:tcPr>
            <w:tcW w:w="940" w:type="dxa"/>
            <w:vAlign w:val="bottom"/>
            <w:gridSpan w:val="2"/>
          </w:tcPr>
          <w:p>
            <w:pPr>
              <w:jc w:val="center"/>
              <w:ind w:left="212"/>
              <w:spacing w:after="0"/>
              <w:rPr>
                <w:sz w:val="20"/>
                <w:szCs w:val="20"/>
                <w:color w:val="auto"/>
              </w:rPr>
            </w:pPr>
            <w:r>
              <w:rPr>
                <w:rFonts w:ascii="Courier New" w:cs="Courier New" w:eastAsia="Courier New" w:hAnsi="Courier New"/>
                <w:sz w:val="16"/>
                <w:szCs w:val="16"/>
                <w:color w:val="auto"/>
                <w:w w:val="98"/>
              </w:rPr>
              <w:t>(414.9)</w:t>
            </w:r>
          </w:p>
        </w:tc>
        <w:tc>
          <w:tcPr>
            <w:tcW w:w="100" w:type="dxa"/>
            <w:vAlign w:val="bottom"/>
          </w:tcPr>
          <w:p>
            <w:pPr>
              <w:spacing w:after="0"/>
              <w:rPr>
                <w:sz w:val="15"/>
                <w:szCs w:val="15"/>
                <w:color w:val="auto"/>
              </w:rPr>
            </w:pPr>
          </w:p>
        </w:tc>
        <w:tc>
          <w:tcPr>
            <w:tcW w:w="7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5"/>
              </w:rPr>
              <w:t>(628.3)</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(285.3)</w:t>
            </w:r>
          </w:p>
        </w:tc>
      </w:tr>
      <w:tr>
        <w:trPr>
          <w:trHeight w:val="180"/>
        </w:trPr>
        <w:tc>
          <w:tcPr>
            <w:tcW w:w="560" w:type="dxa"/>
            <w:vAlign w:val="bottom"/>
          </w:tcPr>
          <w:p>
            <w:pPr>
              <w:spacing w:after="0"/>
              <w:rPr>
                <w:sz w:val="15"/>
                <w:szCs w:val="15"/>
                <w:color w:val="auto"/>
              </w:rPr>
            </w:pPr>
          </w:p>
        </w:tc>
        <w:tc>
          <w:tcPr>
            <w:tcW w:w="2160" w:type="dxa"/>
            <w:vAlign w:val="bottom"/>
            <w:gridSpan w:val="7"/>
          </w:tcPr>
          <w:p>
            <w:pPr>
              <w:jc w:val="center"/>
              <w:ind w:right="482"/>
              <w:spacing w:after="0"/>
              <w:rPr>
                <w:sz w:val="20"/>
                <w:szCs w:val="20"/>
                <w:color w:val="auto"/>
              </w:rPr>
            </w:pPr>
            <w:r>
              <w:rPr>
                <w:rFonts w:ascii="Courier New" w:cs="Courier New" w:eastAsia="Courier New" w:hAnsi="Courier New"/>
                <w:sz w:val="16"/>
                <w:szCs w:val="16"/>
                <w:color w:val="auto"/>
                <w:w w:val="98"/>
              </w:rPr>
              <w:t>(225.1) Long-term</w:t>
            </w: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0"/>
                <w:szCs w:val="10"/>
                <w:color w:val="auto"/>
                <w:w w:val="72"/>
              </w:rPr>
              <w:t>debt.................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8,144.1</w:t>
            </w:r>
          </w:p>
        </w:tc>
      </w:tr>
      <w:tr>
        <w:trPr>
          <w:trHeight w:val="180"/>
        </w:trPr>
        <w:tc>
          <w:tcPr>
            <w:tcW w:w="940" w:type="dxa"/>
            <w:vAlign w:val="bottom"/>
            <w:gridSpan w:val="2"/>
          </w:tcPr>
          <w:p>
            <w:pPr>
              <w:jc w:val="center"/>
              <w:ind w:left="212"/>
              <w:spacing w:after="0"/>
              <w:rPr>
                <w:sz w:val="20"/>
                <w:szCs w:val="20"/>
                <w:color w:val="auto"/>
              </w:rPr>
            </w:pPr>
            <w:r>
              <w:rPr>
                <w:rFonts w:ascii="Courier New" w:cs="Courier New" w:eastAsia="Courier New" w:hAnsi="Courier New"/>
                <w:sz w:val="16"/>
                <w:szCs w:val="16"/>
                <w:color w:val="auto"/>
                <w:w w:val="98"/>
              </w:rPr>
              <w:t>7,840.1</w:t>
            </w:r>
          </w:p>
        </w:tc>
        <w:tc>
          <w:tcPr>
            <w:tcW w:w="100" w:type="dxa"/>
            <w:vAlign w:val="bottom"/>
          </w:tcPr>
          <w:p>
            <w:pPr>
              <w:spacing w:after="0"/>
              <w:rPr>
                <w:sz w:val="15"/>
                <w:szCs w:val="15"/>
                <w:color w:val="auto"/>
              </w:rPr>
            </w:pPr>
          </w:p>
        </w:tc>
        <w:tc>
          <w:tcPr>
            <w:tcW w:w="7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5"/>
              </w:rPr>
              <w:t>8,359.4</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6,771.0</w:t>
            </w:r>
          </w:p>
        </w:tc>
      </w:tr>
      <w:tr>
        <w:trPr>
          <w:trHeight w:val="180"/>
        </w:trPr>
        <w:tc>
          <w:tcPr>
            <w:tcW w:w="940" w:type="dxa"/>
            <w:vAlign w:val="bottom"/>
            <w:gridSpan w:val="2"/>
          </w:tcPr>
          <w:p>
            <w:pPr>
              <w:jc w:val="center"/>
              <w:ind w:left="212"/>
              <w:spacing w:after="0"/>
              <w:rPr>
                <w:sz w:val="20"/>
                <w:szCs w:val="20"/>
                <w:color w:val="auto"/>
              </w:rPr>
            </w:pPr>
            <w:r>
              <w:rPr>
                <w:rFonts w:ascii="Courier New" w:cs="Courier New" w:eastAsia="Courier New" w:hAnsi="Courier New"/>
                <w:sz w:val="16"/>
                <w:szCs w:val="16"/>
                <w:color w:val="auto"/>
                <w:w w:val="98"/>
              </w:rPr>
              <w:t>4,735.3</w:t>
            </w:r>
          </w:p>
        </w:tc>
        <w:tc>
          <w:tcPr>
            <w:tcW w:w="100" w:type="dxa"/>
            <w:vAlign w:val="bottom"/>
          </w:tcPr>
          <w:p>
            <w:pPr>
              <w:spacing w:after="0"/>
              <w:rPr>
                <w:sz w:val="15"/>
                <w:szCs w:val="15"/>
                <w:color w:val="auto"/>
              </w:rPr>
            </w:pPr>
          </w:p>
        </w:tc>
        <w:tc>
          <w:tcPr>
            <w:tcW w:w="7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5"/>
              </w:rPr>
              <w:t>3,462.1</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2,554.9</w:t>
            </w:r>
          </w:p>
        </w:tc>
      </w:tr>
      <w:tr>
        <w:trPr>
          <w:trHeight w:val="180"/>
        </w:trPr>
        <w:tc>
          <w:tcPr>
            <w:tcW w:w="560" w:type="dxa"/>
            <w:vAlign w:val="bottom"/>
          </w:tcPr>
          <w:p>
            <w:pPr>
              <w:spacing w:after="0"/>
              <w:rPr>
                <w:sz w:val="15"/>
                <w:szCs w:val="15"/>
                <w:color w:val="auto"/>
              </w:rPr>
            </w:pPr>
          </w:p>
        </w:tc>
        <w:tc>
          <w:tcPr>
            <w:tcW w:w="1420" w:type="dxa"/>
            <w:vAlign w:val="bottom"/>
            <w:gridSpan w:val="6"/>
          </w:tcPr>
          <w:p>
            <w:pPr>
              <w:jc w:val="center"/>
              <w:ind w:left="122"/>
              <w:spacing w:after="0"/>
              <w:rPr>
                <w:sz w:val="20"/>
                <w:szCs w:val="20"/>
                <w:color w:val="auto"/>
              </w:rPr>
            </w:pPr>
            <w:r>
              <w:rPr>
                <w:rFonts w:ascii="Courier New" w:cs="Courier New" w:eastAsia="Courier New" w:hAnsi="Courier New"/>
                <w:sz w:val="16"/>
                <w:szCs w:val="16"/>
                <w:color w:val="auto"/>
                <w:w w:val="97"/>
              </w:rPr>
              <w:t>Stockholders'</w:t>
            </w:r>
          </w:p>
        </w:tc>
        <w:tc>
          <w:tcPr>
            <w:tcW w:w="740" w:type="dxa"/>
            <w:vAlign w:val="bottom"/>
          </w:tcPr>
          <w:p>
            <w:pPr>
              <w:spacing w:after="0"/>
              <w:rPr>
                <w:sz w:val="15"/>
                <w:szCs w:val="15"/>
                <w:color w:val="auto"/>
              </w:rPr>
            </w:pPr>
          </w:p>
        </w:tc>
      </w:tr>
      <w:tr>
        <w:trPr>
          <w:trHeight w:val="180"/>
        </w:trPr>
        <w:tc>
          <w:tcPr>
            <w:tcW w:w="1040" w:type="dxa"/>
            <w:vAlign w:val="bottom"/>
            <w:gridSpan w:val="3"/>
          </w:tcPr>
          <w:p>
            <w:pPr>
              <w:jc w:val="center"/>
              <w:ind w:left="72"/>
              <w:spacing w:after="0"/>
              <w:rPr>
                <w:sz w:val="20"/>
                <w:szCs w:val="20"/>
                <w:color w:val="auto"/>
              </w:rPr>
            </w:pPr>
            <w:r>
              <w:rPr>
                <w:rFonts w:ascii="Courier New" w:cs="Courier New" w:eastAsia="Courier New" w:hAnsi="Courier New"/>
                <w:sz w:val="12"/>
                <w:szCs w:val="12"/>
                <w:color w:val="auto"/>
                <w:w w:val="73"/>
              </w:rPr>
              <w:t>equity...........</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13,151.9</w:t>
            </w:r>
          </w:p>
        </w:tc>
      </w:tr>
      <w:tr>
        <w:trPr>
          <w:trHeight w:val="180"/>
        </w:trPr>
        <w:tc>
          <w:tcPr>
            <w:tcW w:w="17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13,567.8 12,980.2</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12,057.2</w:t>
            </w:r>
          </w:p>
        </w:tc>
      </w:tr>
      <w:tr>
        <w:trPr>
          <w:trHeight w:val="180"/>
        </w:trPr>
        <w:tc>
          <w:tcPr>
            <w:tcW w:w="1140" w:type="dxa"/>
            <w:vAlign w:val="bottom"/>
            <w:gridSpan w:val="4"/>
          </w:tcPr>
          <w:p>
            <w:pPr>
              <w:ind w:left="480"/>
              <w:spacing w:after="0"/>
              <w:rPr>
                <w:sz w:val="20"/>
                <w:szCs w:val="20"/>
                <w:color w:val="auto"/>
              </w:rPr>
            </w:pPr>
            <w:r>
              <w:rPr>
                <w:rFonts w:ascii="Courier New" w:cs="Courier New" w:eastAsia="Courier New" w:hAnsi="Courier New"/>
                <w:sz w:val="16"/>
                <w:szCs w:val="16"/>
                <w:color w:val="auto"/>
                <w:w w:val="95"/>
              </w:rPr>
              <w:t>1,808.8</w:t>
            </w:r>
          </w:p>
        </w:tc>
        <w:tc>
          <w:tcPr>
            <w:tcW w:w="6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173.0</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267.1</w:t>
            </w:r>
          </w:p>
        </w:tc>
      </w:tr>
    </w:tbl>
    <w:p>
      <w:pPr>
        <w:jc w:val="center"/>
        <w:ind w:right="7315"/>
        <w:spacing w:after="0"/>
        <w:rPr>
          <w:sz w:val="20"/>
          <w:szCs w:val="20"/>
          <w:color w:val="auto"/>
        </w:rPr>
      </w:pPr>
      <w:r>
        <w:rPr>
          <w:rFonts w:ascii="Courier New" w:cs="Courier New" w:eastAsia="Courier New" w:hAnsi="Courier New"/>
          <w:sz w:val="16"/>
          <w:szCs w:val="16"/>
          <w:color w:val="auto"/>
        </w:rPr>
        <w:t>SUPPLEMENTARY FINANCIAL DATA:</w:t>
      </w:r>
    </w:p>
    <w:p>
      <w:pPr>
        <w:jc w:val="center"/>
        <w:ind w:right="7315"/>
        <w:spacing w:after="0" w:line="237" w:lineRule="auto"/>
        <w:rPr>
          <w:sz w:val="20"/>
          <w:szCs w:val="20"/>
          <w:color w:val="auto"/>
        </w:rPr>
      </w:pPr>
      <w:r>
        <w:rPr>
          <w:rFonts w:ascii="Courier New" w:cs="Courier New" w:eastAsia="Courier New" w:hAnsi="Courier New"/>
          <w:sz w:val="16"/>
          <w:szCs w:val="16"/>
          <w:color w:val="auto"/>
        </w:rPr>
        <w:t>Operating income before</w:t>
      </w:r>
    </w:p>
    <w:p>
      <w:pPr>
        <w:jc w:val="center"/>
        <w:ind w:right="7315"/>
        <w:spacing w:after="0"/>
        <w:rPr>
          <w:sz w:val="20"/>
          <w:szCs w:val="20"/>
          <w:color w:val="auto"/>
        </w:rPr>
      </w:pPr>
      <w:r>
        <w:rPr>
          <w:rFonts w:ascii="Courier New" w:cs="Courier New" w:eastAsia="Courier New" w:hAnsi="Courier New"/>
          <w:sz w:val="16"/>
          <w:szCs w:val="16"/>
          <w:color w:val="auto"/>
        </w:rPr>
        <w:t>depreciation and</w:t>
      </w:r>
    </w:p>
    <w:p>
      <w:pPr>
        <w:ind w:left="84"/>
        <w:spacing w:after="0" w:line="238" w:lineRule="auto"/>
        <w:rPr>
          <w:sz w:val="20"/>
          <w:szCs w:val="20"/>
          <w:color w:val="auto"/>
        </w:rPr>
      </w:pPr>
      <w:r>
        <w:rPr>
          <w:rFonts w:ascii="Courier New" w:cs="Courier New" w:eastAsia="Courier New" w:hAnsi="Courier New"/>
          <w:sz w:val="16"/>
          <w:szCs w:val="16"/>
          <w:color w:val="auto"/>
        </w:rPr>
        <w:t>amortization(3)..............</w:t>
      </w:r>
    </w:p>
    <w:p>
      <w:pPr>
        <w:spacing w:after="0" w:line="4" w:lineRule="exact"/>
        <w:rPr>
          <w:sz w:val="20"/>
          <w:szCs w:val="20"/>
          <w:color w:val="auto"/>
        </w:rPr>
      </w:pPr>
    </w:p>
    <w:p>
      <w:pPr>
        <w:ind w:left="184" w:right="7419" w:hanging="95"/>
        <w:spacing w:after="0" w:line="254" w:lineRule="auto"/>
        <w:tabs>
          <w:tab w:leader="none" w:pos="27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1,223.5 $ 1,027.7 $ 2,026.6 $ 1,624.0 $ 978.8 $ 784.4 $ 709.4 Net cash provided by</w:t>
      </w:r>
    </w:p>
    <w:p>
      <w:pPr>
        <w:ind w:left="424"/>
        <w:spacing w:after="0" w:line="235" w:lineRule="auto"/>
        <w:rPr>
          <w:sz w:val="20"/>
          <w:szCs w:val="20"/>
          <w:color w:val="auto"/>
        </w:rPr>
      </w:pPr>
      <w:r>
        <w:rPr>
          <w:rFonts w:ascii="Courier New" w:cs="Courier New" w:eastAsia="Courier New" w:hAnsi="Courier New"/>
          <w:sz w:val="16"/>
          <w:szCs w:val="16"/>
          <w:color w:val="auto"/>
        </w:rPr>
        <w:t>(used in)(4) Operating</w:t>
      </w:r>
    </w:p>
    <w:tbl>
      <w:tblPr>
        <w:tblLayout w:type="fixed"/>
        <w:tblInd w:w="84" w:type="dxa"/>
        <w:tblCellMar>
          <w:top w:w="0" w:type="dxa"/>
          <w:left w:w="0" w:type="dxa"/>
          <w:bottom w:w="0" w:type="dxa"/>
          <w:right w:w="0" w:type="dxa"/>
        </w:tblCellMar>
      </w:tblPr>
      <w:tr>
        <w:trPr>
          <w:trHeight w:val="181"/>
        </w:trPr>
        <w:tc>
          <w:tcPr>
            <w:tcW w:w="1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5"/>
                <w:szCs w:val="15"/>
                <w:color w:val="auto"/>
              </w:rPr>
            </w:pPr>
          </w:p>
        </w:tc>
        <w:tc>
          <w:tcPr>
            <w:tcW w:w="66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9"/>
              </w:rPr>
              <w:t>902.8</w:t>
            </w:r>
          </w:p>
        </w:tc>
      </w:tr>
      <w:tr>
        <w:trPr>
          <w:trHeight w:val="180"/>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800.5</w:t>
            </w:r>
          </w:p>
        </w:tc>
        <w:tc>
          <w:tcPr>
            <w:tcW w:w="144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1,441.1 1,290.1</w:t>
            </w: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781.9</w:t>
            </w:r>
          </w:p>
        </w:tc>
      </w:tr>
      <w:tr>
        <w:trPr>
          <w:trHeight w:val="180"/>
        </w:trPr>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701.1</w:t>
            </w:r>
          </w:p>
        </w:tc>
        <w:tc>
          <w:tcPr>
            <w:tcW w:w="1780" w:type="dxa"/>
            <w:vAlign w:val="bottom"/>
            <w:gridSpan w:val="4"/>
          </w:tcPr>
          <w:p>
            <w:pPr>
              <w:jc w:val="right"/>
              <w:ind w:right="302"/>
              <w:spacing w:after="0"/>
              <w:rPr>
                <w:sz w:val="20"/>
                <w:szCs w:val="20"/>
                <w:color w:val="auto"/>
              </w:rPr>
            </w:pPr>
            <w:r>
              <w:rPr>
                <w:rFonts w:ascii="Courier New" w:cs="Courier New" w:eastAsia="Courier New" w:hAnsi="Courier New"/>
                <w:sz w:val="16"/>
                <w:szCs w:val="16"/>
                <w:color w:val="auto"/>
                <w:w w:val="95"/>
              </w:rPr>
              <w:t>549.5 Financing</w:t>
            </w:r>
          </w:p>
        </w:tc>
      </w:tr>
      <w:tr>
        <w:trPr>
          <w:trHeight w:val="180"/>
        </w:trPr>
        <w:tc>
          <w:tcPr>
            <w:tcW w:w="1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activities.........</w:t>
            </w:r>
          </w:p>
        </w:tc>
        <w:tc>
          <w:tcPr>
            <w:tcW w:w="8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(95.3)</w:t>
            </w:r>
          </w:p>
        </w:tc>
      </w:tr>
      <w:tr>
        <w:trPr>
          <w:trHeight w:val="180"/>
        </w:trPr>
        <w:tc>
          <w:tcPr>
            <w:tcW w:w="15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974.2 1,009.1</w:t>
            </w:r>
          </w:p>
        </w:tc>
        <w:tc>
          <w:tcPr>
            <w:tcW w:w="5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5"/>
              </w:rPr>
              <w:t>857.7</w:t>
            </w:r>
          </w:p>
        </w:tc>
        <w:tc>
          <w:tcPr>
            <w:tcW w:w="66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9"/>
              </w:rPr>
              <w:t>936.8</w:t>
            </w:r>
          </w:p>
        </w:tc>
      </w:tr>
      <w:tr>
        <w:trPr>
          <w:trHeight w:val="180"/>
        </w:trPr>
        <w:tc>
          <w:tcPr>
            <w:tcW w:w="272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7"/>
              </w:rPr>
              <w:t>320.1 (37.4) Investing</w:t>
            </w:r>
          </w:p>
        </w:tc>
      </w:tr>
      <w:tr>
        <w:trPr>
          <w:trHeight w:val="180"/>
        </w:trPr>
        <w:tc>
          <w:tcPr>
            <w:tcW w:w="1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activities.........</w:t>
            </w:r>
          </w:p>
        </w:tc>
        <w:tc>
          <w:tcPr>
            <w:tcW w:w="8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(688.7)</w:t>
            </w:r>
          </w:p>
        </w:tc>
      </w:tr>
      <w:tr>
        <w:trPr>
          <w:trHeight w:val="180"/>
        </w:trPr>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(1,804.2)</w:t>
            </w:r>
          </w:p>
        </w:tc>
        <w:tc>
          <w:tcPr>
            <w:tcW w:w="940" w:type="dxa"/>
            <w:vAlign w:val="bottom"/>
            <w:gridSpan w:val="2"/>
          </w:tcPr>
          <w:p>
            <w:pPr>
              <w:jc w:val="center"/>
              <w:ind w:right="22"/>
              <w:spacing w:after="0"/>
              <w:rPr>
                <w:sz w:val="20"/>
                <w:szCs w:val="20"/>
                <w:color w:val="auto"/>
              </w:rPr>
            </w:pPr>
            <w:r>
              <w:rPr>
                <w:rFonts w:ascii="Courier New" w:cs="Courier New" w:eastAsia="Courier New" w:hAnsi="Courier New"/>
                <w:sz w:val="16"/>
                <w:szCs w:val="16"/>
                <w:color w:val="auto"/>
                <w:w w:val="97"/>
              </w:rPr>
              <w:t>(2,449.3)</w:t>
            </w:r>
          </w:p>
        </w:tc>
        <w:tc>
          <w:tcPr>
            <w:tcW w:w="8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(2,164.6)</w:t>
            </w:r>
          </w:p>
        </w:tc>
      </w:tr>
      <w:tr>
        <w:trPr>
          <w:trHeight w:val="180"/>
        </w:trPr>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(1,692.2)</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(1,027.4)</w:t>
            </w:r>
          </w:p>
        </w:tc>
        <w:tc>
          <w:tcPr>
            <w:tcW w:w="8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(509.8)</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7" w:lineRule="auto"/>
        <w:tabs>
          <w:tab w:leader="none" w:pos="3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should see "Management's Discussion and Analysis of Financial Condition and Results of Operations" in Comcast Cable's Annual Report on Form 10-K for the year ended December 31, 2001, incorporated by reference in this prospectus, for a discussion of events which affect the comparability of the information reflected in this financial data.</w:t>
      </w:r>
    </w:p>
    <w:p>
      <w:pPr>
        <w:spacing w:after="0" w:line="187" w:lineRule="exact"/>
        <w:rPr>
          <w:rFonts w:ascii="Courier New" w:cs="Courier New" w:eastAsia="Courier New" w:hAnsi="Courier New"/>
          <w:sz w:val="16"/>
          <w:szCs w:val="16"/>
          <w:color w:val="auto"/>
        </w:rPr>
      </w:pPr>
    </w:p>
    <w:p>
      <w:pPr>
        <w:ind w:left="384" w:right="2719" w:hanging="384"/>
        <w:spacing w:after="0" w:line="256" w:lineRule="auto"/>
        <w:tabs>
          <w:tab w:leader="none" w:pos="38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Cable's consolidated statement of operations for the years ended December 31, 2001, 2000, 1999, 1998 and 1997 reflect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w:t>
      </w:r>
    </w:p>
    <w:p>
      <w:pPr>
        <w:sectPr>
          <w:pgSz w:w="11900" w:h="16918" w:orient="portrait"/>
          <w:cols w:equalWidth="0" w:num="1">
            <w:col w:w="10223"/>
          </w:cols>
          <w:pgMar w:left="236" w:top="654" w:right="1440" w:bottom="0" w:gutter="0" w:footer="0" w:header="0"/>
        </w:sectPr>
      </w:pPr>
    </w:p>
    <w:bookmarkStart w:id="54" w:name="page55"/>
    <w:bookmarkEnd w:id="54"/>
    <w:p>
      <w:pPr>
        <w:ind w:left="384" w:right="2719"/>
        <w:spacing w:after="0" w:line="237" w:lineRule="auto"/>
        <w:rPr>
          <w:sz w:val="20"/>
          <w:szCs w:val="20"/>
          <w:color w:val="auto"/>
        </w:rPr>
      </w:pPr>
      <w:r>
        <w:rPr>
          <w:rFonts w:ascii="Courier New" w:cs="Courier New" w:eastAsia="Courier New" w:hAnsi="Courier New"/>
          <w:sz w:val="16"/>
          <w:szCs w:val="16"/>
          <w:color w:val="auto"/>
        </w:rPr>
        <w:t>Cable reclassified such amounts to revenues. The effect of the reclassification on the statement of operations for the years ended 2001, 2000, 1999, 1998 and 1997 would be to increase revenues and selling, general and administrative expenses by $189.4 million, $149.9 million, $103.4 million, $94.7 million and $72.8 million, respectively.</w:t>
      </w:r>
    </w:p>
    <w:p>
      <w:pPr>
        <w:spacing w:after="0" w:line="187" w:lineRule="exact"/>
        <w:rPr>
          <w:sz w:val="20"/>
          <w:szCs w:val="20"/>
          <w:color w:val="auto"/>
        </w:rPr>
      </w:pPr>
    </w:p>
    <w:p>
      <w:pPr>
        <w:ind w:left="384" w:right="2719" w:hanging="384"/>
        <w:spacing w:after="0" w:line="238" w:lineRule="auto"/>
        <w:tabs>
          <w:tab w:leader="none" w:pos="38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Comcast Cable's business as "operating cash flow." Operating cash flow is a measure of a company's ability to generate cash to service its obligations, including debt service obligations, and to finance capital and other expenditures. In part due to the capital intensive nature of Comcast Cable's business and the resulting significant level of non-cash depreciation and amortization expense, operating cash flow is frequently used as one of the bases for comparing businesses in Comcast Cable's industry, although Comcast</w:t>
      </w:r>
    </w:p>
    <w:p>
      <w:pPr>
        <w:spacing w:after="0" w:line="18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3"/>
          </w:cols>
          <w:pgMar w:left="236" w:top="142" w:right="1440" w:bottom="1440" w:gutter="0" w:footer="0" w:header="0"/>
        </w:sectPr>
      </w:pPr>
    </w:p>
    <w:bookmarkStart w:id="55" w:name="page56"/>
    <w:bookmarkEnd w:id="55"/>
    <w:p>
      <w:pPr>
        <w:ind w:left="384" w:right="2719"/>
        <w:spacing w:after="0" w:line="238" w:lineRule="auto"/>
        <w:rPr>
          <w:sz w:val="20"/>
          <w:szCs w:val="20"/>
          <w:color w:val="auto"/>
        </w:rPr>
      </w:pPr>
      <w:r>
        <w:rPr>
          <w:rFonts w:ascii="Courier New" w:cs="Courier New" w:eastAsia="Courier New" w:hAnsi="Courier New"/>
          <w:sz w:val="16"/>
          <w:szCs w:val="16"/>
          <w:color w:val="auto"/>
        </w:rPr>
        <w:t>Cable's measure of operating cash flow may not be comparable to similarly titled measures of other companies. Operating cash flow is the primary basis used by Comcast Cable's management to measure the operating performance of Comcast Cable's business. Operating cash flow does not purport to represent net income or net cash provided by operating activities, as those terms are defined under generally accepted accounting principles, and should not be considered as an alternative to those measurements as an indicator of Comcast Cable's performance.</w:t>
      </w:r>
    </w:p>
    <w:p>
      <w:pPr>
        <w:spacing w:after="0" w:line="185" w:lineRule="exact"/>
        <w:rPr>
          <w:sz w:val="20"/>
          <w:szCs w:val="20"/>
          <w:color w:val="auto"/>
        </w:rPr>
      </w:pPr>
    </w:p>
    <w:p>
      <w:pPr>
        <w:ind w:left="384" w:right="3379" w:hanging="384"/>
        <w:spacing w:after="0" w:line="237" w:lineRule="auto"/>
        <w:tabs>
          <w:tab w:leader="none" w:pos="38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represents net cash provided by (used in) operating activities, financing activities and investing activities as presented in Comcast Cable's consolidated statement of cash flows.</w:t>
      </w:r>
    </w:p>
    <w:p>
      <w:pPr>
        <w:spacing w:after="0" w:line="185"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Comcast Cable adopted SFAS No. 142 on January 1, 2002. Upon adoption of SFAS No. 142, Comcast Cable no longer amortizes goodwill and other indefinite lived intangible assets, which consist of cable franchise rights. The following pro forma financial information for the six months ended June 30, 2001, and for the years ended December 31, 2001, 2000 and 1999, is presented as if SFAS No.</w:t>
      </w:r>
    </w:p>
    <w:p>
      <w:pPr>
        <w:ind w:left="4"/>
        <w:spacing w:after="0" w:line="236" w:lineRule="auto"/>
        <w:rPr>
          <w:sz w:val="20"/>
          <w:szCs w:val="20"/>
          <w:color w:val="auto"/>
        </w:rPr>
      </w:pPr>
      <w:r>
        <w:rPr>
          <w:rFonts w:ascii="Courier New" w:cs="Courier New" w:eastAsia="Courier New" w:hAnsi="Courier New"/>
          <w:sz w:val="16"/>
          <w:szCs w:val="16"/>
          <w:color w:val="auto"/>
        </w:rPr>
        <w:t>142 was adopted as of January 1, 1999 (amounts in millions):</w:t>
      </w:r>
    </w:p>
    <w:p>
      <w:pPr>
        <w:spacing w:after="0" w:line="180"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SIX MONTHS ENDED YEARS ENDED DECEMBER 31, JUNE</w:t>
      </w:r>
    </w:p>
    <w:p>
      <w:pPr>
        <w:jc w:val="center"/>
        <w:ind w:right="5715"/>
        <w:spacing w:after="0"/>
        <w:rPr>
          <w:sz w:val="20"/>
          <w:szCs w:val="20"/>
          <w:color w:val="auto"/>
        </w:rPr>
      </w:pPr>
      <w:r>
        <w:rPr>
          <w:rFonts w:ascii="Courier New" w:cs="Courier New" w:eastAsia="Courier New" w:hAnsi="Courier New"/>
          <w:sz w:val="16"/>
          <w:szCs w:val="16"/>
          <w:color w:val="auto"/>
        </w:rPr>
        <w:t>30, ------------------------------ 2001 2001</w:t>
      </w:r>
    </w:p>
    <w:p>
      <w:pPr>
        <w:ind w:left="144"/>
        <w:spacing w:after="0" w:line="237" w:lineRule="auto"/>
        <w:rPr>
          <w:sz w:val="20"/>
          <w:szCs w:val="20"/>
          <w:color w:val="auto"/>
        </w:rPr>
      </w:pPr>
      <w:r>
        <w:rPr>
          <w:rFonts w:ascii="Courier New" w:cs="Courier New" w:eastAsia="Courier New" w:hAnsi="Courier New"/>
          <w:sz w:val="16"/>
          <w:szCs w:val="16"/>
          <w:color w:val="auto"/>
        </w:rPr>
        <w:t>2000 1999 -------- --------- -------- -------</w:t>
      </w:r>
    </w:p>
    <w:p>
      <w:pPr>
        <w:ind w:left="1304"/>
        <w:spacing w:after="0"/>
        <w:rPr>
          <w:sz w:val="20"/>
          <w:szCs w:val="20"/>
          <w:color w:val="auto"/>
        </w:rPr>
      </w:pPr>
      <w:r>
        <w:rPr>
          <w:rFonts w:ascii="Courier New" w:cs="Courier New" w:eastAsia="Courier New" w:hAnsi="Courier New"/>
          <w:sz w:val="16"/>
          <w:szCs w:val="16"/>
          <w:color w:val="auto"/>
        </w:rPr>
        <w:t>Net income (loss) As</w:t>
      </w:r>
    </w:p>
    <w:p>
      <w:pPr>
        <w:ind w:left="4"/>
        <w:spacing w:after="0" w:line="238" w:lineRule="auto"/>
        <w:rPr>
          <w:sz w:val="20"/>
          <w:szCs w:val="20"/>
          <w:color w:val="auto"/>
        </w:rPr>
      </w:pPr>
      <w:r>
        <w:rPr>
          <w:rFonts w:ascii="Courier New" w:cs="Courier New" w:eastAsia="Courier New" w:hAnsi="Courier New"/>
          <w:sz w:val="16"/>
          <w:szCs w:val="16"/>
          <w:color w:val="auto"/>
        </w:rPr>
        <w:t>reported........................................</w:t>
      </w:r>
    </w:p>
    <w:p>
      <w:pPr>
        <w:ind w:left="84"/>
        <w:spacing w:after="0"/>
        <w:rPr>
          <w:sz w:val="20"/>
          <w:szCs w:val="20"/>
          <w:color w:val="auto"/>
        </w:rPr>
      </w:pPr>
      <w:r>
        <w:rPr>
          <w:rFonts w:ascii="Courier New" w:cs="Courier New" w:eastAsia="Courier New" w:hAnsi="Courier New"/>
          <w:sz w:val="16"/>
          <w:szCs w:val="16"/>
          <w:color w:val="auto"/>
        </w:rPr>
        <w:t>$153.2 $ (422.2) $ 106.0 $(253.7) Amortization</w:t>
      </w:r>
    </w:p>
    <w:p>
      <w:pPr>
        <w:ind w:left="44"/>
        <w:spacing w:after="0" w:line="238" w:lineRule="auto"/>
        <w:rPr>
          <w:sz w:val="20"/>
          <w:szCs w:val="20"/>
          <w:color w:val="auto"/>
        </w:rPr>
      </w:pPr>
      <w:r>
        <w:rPr>
          <w:rFonts w:ascii="Courier New" w:cs="Courier New" w:eastAsia="Courier New" w:hAnsi="Courier New"/>
          <w:sz w:val="16"/>
          <w:szCs w:val="16"/>
          <w:color w:val="auto"/>
        </w:rPr>
        <w:t>of goodwill........................ 123.7 266.7</w:t>
      </w:r>
    </w:p>
    <w:p>
      <w:pPr>
        <w:ind w:left="364"/>
        <w:spacing w:after="0"/>
        <w:rPr>
          <w:sz w:val="20"/>
          <w:szCs w:val="20"/>
          <w:color w:val="auto"/>
        </w:rPr>
      </w:pPr>
      <w:r>
        <w:rPr>
          <w:rFonts w:ascii="Courier New" w:cs="Courier New" w:eastAsia="Courier New" w:hAnsi="Courier New"/>
          <w:sz w:val="16"/>
          <w:szCs w:val="16"/>
          <w:color w:val="auto"/>
        </w:rPr>
        <w:t>246.3 76.6 Amortization of equity method</w:t>
      </w:r>
    </w:p>
    <w:p>
      <w:pPr>
        <w:ind w:left="84"/>
        <w:spacing w:after="0" w:line="237" w:lineRule="auto"/>
        <w:rPr>
          <w:sz w:val="20"/>
          <w:szCs w:val="20"/>
          <w:color w:val="auto"/>
        </w:rPr>
      </w:pPr>
      <w:r>
        <w:rPr>
          <w:rFonts w:ascii="Courier New" w:cs="Courier New" w:eastAsia="Courier New" w:hAnsi="Courier New"/>
          <w:sz w:val="16"/>
          <w:szCs w:val="16"/>
          <w:color w:val="auto"/>
        </w:rPr>
        <w:t>goodwill.......... 3.8 7.6 8.8 Amortization of</w:t>
      </w:r>
    </w:p>
    <w:p>
      <w:pPr>
        <w:ind w:left="84"/>
        <w:spacing w:after="0"/>
        <w:rPr>
          <w:sz w:val="20"/>
          <w:szCs w:val="20"/>
          <w:color w:val="auto"/>
        </w:rPr>
      </w:pPr>
      <w:r>
        <w:rPr>
          <w:rFonts w:ascii="Courier New" w:cs="Courier New" w:eastAsia="Courier New" w:hAnsi="Courier New"/>
          <w:sz w:val="16"/>
          <w:szCs w:val="16"/>
          <w:color w:val="auto"/>
        </w:rPr>
        <w:t>franchise rights................ 521.3 1,067.4</w:t>
      </w:r>
    </w:p>
    <w:p>
      <w:pPr>
        <w:ind w:left="144"/>
        <w:spacing w:after="0" w:line="238" w:lineRule="auto"/>
        <w:rPr>
          <w:sz w:val="20"/>
          <w:szCs w:val="20"/>
          <w:color w:val="auto"/>
        </w:rPr>
      </w:pPr>
      <w:r>
        <w:rPr>
          <w:rFonts w:ascii="Courier New" w:cs="Courier New" w:eastAsia="Courier New" w:hAnsi="Courier New"/>
          <w:sz w:val="16"/>
          <w:szCs w:val="16"/>
          <w:color w:val="auto"/>
        </w:rPr>
        <w:t>842.9 255.2 ------ --------- -------- -------</w:t>
      </w:r>
    </w:p>
    <w:p>
      <w:pPr>
        <w:ind w:left="2164"/>
        <w:spacing w:after="0"/>
        <w:rPr>
          <w:sz w:val="20"/>
          <w:szCs w:val="20"/>
          <w:color w:val="auto"/>
        </w:rPr>
      </w:pPr>
      <w:r>
        <w:rPr>
          <w:rFonts w:ascii="Courier New" w:cs="Courier New" w:eastAsia="Courier New" w:hAnsi="Courier New"/>
          <w:sz w:val="16"/>
          <w:szCs w:val="16"/>
          <w:color w:val="auto"/>
        </w:rPr>
        <w:t>As</w:t>
      </w:r>
    </w:p>
    <w:p>
      <w:pPr>
        <w:ind w:left="4"/>
        <w:spacing w:after="0" w:line="238" w:lineRule="auto"/>
        <w:rPr>
          <w:sz w:val="20"/>
          <w:szCs w:val="20"/>
          <w:color w:val="auto"/>
        </w:rPr>
      </w:pPr>
      <w:r>
        <w:rPr>
          <w:rFonts w:ascii="Courier New" w:cs="Courier New" w:eastAsia="Courier New" w:hAnsi="Courier New"/>
          <w:sz w:val="16"/>
          <w:szCs w:val="16"/>
          <w:color w:val="auto"/>
        </w:rPr>
        <w:t>adjusted........................................</w:t>
      </w:r>
    </w:p>
    <w:p>
      <w:pPr>
        <w:ind w:left="44"/>
        <w:spacing w:after="0"/>
        <w:rPr>
          <w:sz w:val="20"/>
          <w:szCs w:val="20"/>
          <w:color w:val="auto"/>
        </w:rPr>
      </w:pPr>
      <w:r>
        <w:rPr>
          <w:rFonts w:ascii="Courier New" w:cs="Courier New" w:eastAsia="Courier New" w:hAnsi="Courier New"/>
          <w:sz w:val="16"/>
          <w:szCs w:val="16"/>
          <w:color w:val="auto"/>
        </w:rPr>
        <w:t>$802.0 $ 919.5 $1,204.0 $ 78.1 ====== =========</w:t>
      </w:r>
    </w:p>
    <w:p>
      <w:pPr>
        <w:ind w:left="184"/>
        <w:spacing w:after="0" w:line="237" w:lineRule="auto"/>
        <w:rPr>
          <w:sz w:val="20"/>
          <w:szCs w:val="20"/>
          <w:color w:val="auto"/>
        </w:rPr>
      </w:pPr>
      <w:r>
        <w:rPr>
          <w:rFonts w:ascii="Courier New" w:cs="Courier New" w:eastAsia="Courier New" w:hAnsi="Courier New"/>
          <w:sz w:val="16"/>
          <w:szCs w:val="16"/>
          <w:color w:val="auto"/>
        </w:rPr>
        <w:t>======== ======= Income before extraordinary</w:t>
      </w:r>
    </w:p>
    <w:p>
      <w:pPr>
        <w:ind w:left="324"/>
        <w:spacing w:after="0"/>
        <w:rPr>
          <w:sz w:val="20"/>
          <w:szCs w:val="20"/>
          <w:color w:val="auto"/>
        </w:rPr>
      </w:pPr>
      <w:r>
        <w:rPr>
          <w:rFonts w:ascii="Courier New" w:cs="Courier New" w:eastAsia="Courier New" w:hAnsi="Courier New"/>
          <w:sz w:val="16"/>
          <w:szCs w:val="16"/>
          <w:color w:val="auto"/>
        </w:rPr>
        <w:t>items and cumulative effect of accounting</w:t>
      </w:r>
    </w:p>
    <w:p>
      <w:pPr>
        <w:ind w:left="284"/>
        <w:spacing w:after="0" w:line="238" w:lineRule="auto"/>
        <w:rPr>
          <w:sz w:val="20"/>
          <w:szCs w:val="20"/>
          <w:color w:val="auto"/>
        </w:rPr>
      </w:pPr>
      <w:r>
        <w:rPr>
          <w:rFonts w:ascii="Courier New" w:cs="Courier New" w:eastAsia="Courier New" w:hAnsi="Courier New"/>
          <w:sz w:val="16"/>
          <w:szCs w:val="16"/>
          <w:color w:val="auto"/>
        </w:rPr>
        <w:t>change, as adjusted........ $863.3 $ 980.8</w:t>
      </w:r>
    </w:p>
    <w:p>
      <w:pPr>
        <w:jc w:val="center"/>
        <w:ind w:right="5715"/>
        <w:spacing w:after="0"/>
        <w:rPr>
          <w:sz w:val="20"/>
          <w:szCs w:val="20"/>
          <w:color w:val="auto"/>
        </w:rPr>
      </w:pPr>
      <w:r>
        <w:rPr>
          <w:rFonts w:ascii="Courier New" w:cs="Courier New" w:eastAsia="Courier New" w:hAnsi="Courier New"/>
          <w:sz w:val="16"/>
          <w:szCs w:val="16"/>
          <w:color w:val="auto"/>
        </w:rPr>
        <w:t>$1,211.1 $ 84.3 ====== ========= ========</w:t>
      </w:r>
    </w:p>
    <w:p>
      <w:pPr>
        <w:jc w:val="center"/>
        <w:ind w:right="5715"/>
        <w:spacing w:after="0" w:line="238" w:lineRule="auto"/>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3"/>
          </w:cols>
          <w:pgMar w:left="236" w:top="659" w:right="1440" w:bottom="1440" w:gutter="0" w:footer="0" w:header="0"/>
        </w:sectPr>
      </w:pPr>
    </w:p>
    <w:bookmarkStart w:id="56" w:name="page57"/>
    <w:bookmarkEnd w:id="56"/>
    <w:p>
      <w:pPr>
        <w:ind w:left="2064"/>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79" w:lineRule="exact"/>
        <w:rPr>
          <w:sz w:val="20"/>
          <w:szCs w:val="20"/>
          <w:color w:val="auto"/>
        </w:rPr>
      </w:pPr>
    </w:p>
    <w:p>
      <w:pPr>
        <w:jc w:val="center"/>
        <w:ind w:right="6295"/>
        <w:spacing w:after="0"/>
        <w:rPr>
          <w:sz w:val="20"/>
          <w:szCs w:val="20"/>
          <w:color w:val="auto"/>
        </w:rPr>
      </w:pPr>
      <w:r>
        <w:rPr>
          <w:rFonts w:ascii="Courier New" w:cs="Courier New" w:eastAsia="Courier New" w:hAnsi="Courier New"/>
          <w:sz w:val="16"/>
          <w:szCs w:val="16"/>
          <w:color w:val="auto"/>
        </w:rPr>
        <w:t>FOR THE SIX MONTHS ENDED FOR THE YEARS</w:t>
      </w:r>
    </w:p>
    <w:p>
      <w:pPr>
        <w:ind w:left="44"/>
        <w:spacing w:after="0"/>
        <w:rPr>
          <w:sz w:val="20"/>
          <w:szCs w:val="20"/>
          <w:color w:val="auto"/>
        </w:rPr>
      </w:pPr>
      <w:r>
        <w:rPr>
          <w:rFonts w:ascii="Courier New" w:cs="Courier New" w:eastAsia="Courier New" w:hAnsi="Courier New"/>
          <w:sz w:val="16"/>
          <w:szCs w:val="16"/>
          <w:color w:val="auto"/>
        </w:rPr>
        <w:t>ENDED DECEMBER 31, JUNE 30, -------------</w:t>
      </w:r>
    </w:p>
    <w:tbl>
      <w:tblPr>
        <w:tblLayout w:type="fixed"/>
        <w:tblInd w:w="44" w:type="dxa"/>
        <w:tblCellMar>
          <w:top w:w="0" w:type="dxa"/>
          <w:left w:w="0" w:type="dxa"/>
          <w:bottom w:w="0" w:type="dxa"/>
          <w:right w:w="0" w:type="dxa"/>
        </w:tblCellMar>
      </w:tblPr>
      <w:tr>
        <w:trPr>
          <w:trHeight w:val="179"/>
        </w:trPr>
        <w:tc>
          <w:tcPr>
            <w:tcW w:w="29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------------------------ 2002</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2001</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2000</w:t>
            </w:r>
          </w:p>
        </w:tc>
      </w:tr>
      <w:tr>
        <w:trPr>
          <w:trHeight w:val="180"/>
        </w:trPr>
        <w:tc>
          <w:tcPr>
            <w:tcW w:w="38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1999 1998 1997 ------------ ----- ----- -</w:t>
            </w:r>
          </w:p>
        </w:tc>
      </w:tr>
      <w:tr>
        <w:trPr>
          <w:trHeight w:val="180"/>
        </w:trPr>
        <w:tc>
          <w:tcPr>
            <w:tcW w:w="29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 -----</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ind w:left="4"/>
        <w:spacing w:after="0"/>
        <w:rPr>
          <w:sz w:val="20"/>
          <w:szCs w:val="20"/>
          <w:color w:val="auto"/>
        </w:rPr>
      </w:pPr>
      <w:r>
        <w:rPr>
          <w:rFonts w:ascii="Courier New" w:cs="Courier New" w:eastAsia="Courier New" w:hAnsi="Courier New"/>
          <w:sz w:val="16"/>
          <w:szCs w:val="16"/>
          <w:color w:val="auto"/>
        </w:rPr>
        <w:t>AT&amp;T(a)...................................</w:t>
      </w:r>
    </w:p>
    <w:p>
      <w:pPr>
        <w:ind w:left="364"/>
        <w:spacing w:after="0" w:line="237" w:lineRule="auto"/>
        <w:rPr>
          <w:sz w:val="20"/>
          <w:szCs w:val="20"/>
          <w:color w:val="auto"/>
        </w:rPr>
      </w:pPr>
      <w:r>
        <w:rPr>
          <w:rFonts w:ascii="Courier New" w:cs="Courier New" w:eastAsia="Courier New" w:hAnsi="Courier New"/>
          <w:sz w:val="16"/>
          <w:szCs w:val="16"/>
          <w:color w:val="auto"/>
        </w:rPr>
        <w:t>(b) (b) 1.5x 6.2x 14.9x 11.7x AT&amp;T</w:t>
      </w:r>
    </w:p>
    <w:p>
      <w:pPr>
        <w:ind w:left="44"/>
        <w:spacing w:after="0"/>
        <w:rPr>
          <w:sz w:val="20"/>
          <w:szCs w:val="20"/>
          <w:color w:val="auto"/>
        </w:rPr>
      </w:pPr>
      <w:r>
        <w:rPr>
          <w:rFonts w:ascii="Courier New" w:cs="Courier New" w:eastAsia="Courier New" w:hAnsi="Courier New"/>
          <w:sz w:val="16"/>
          <w:szCs w:val="16"/>
          <w:color w:val="auto"/>
        </w:rPr>
        <w:t>BROADBAND GROUP(a)................... (c)</w:t>
      </w:r>
    </w:p>
    <w:p>
      <w:pPr>
        <w:ind w:left="1444" w:hanging="369"/>
        <w:spacing w:after="0" w:line="238" w:lineRule="auto"/>
        <w:tabs>
          <w:tab w:leader="none" w:pos="144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(c) (c) (c)</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BROADBAND(d)..............................</w:t>
      </w:r>
    </w:p>
    <w:p>
      <w:pPr>
        <w:ind w:left="944"/>
        <w:spacing w:after="0" w:line="237" w:lineRule="auto"/>
        <w:rPr>
          <w:sz w:val="20"/>
          <w:szCs w:val="20"/>
          <w:color w:val="auto"/>
        </w:rPr>
      </w:pPr>
      <w:r>
        <w:rPr>
          <w:rFonts w:ascii="Courier New" w:cs="Courier New" w:eastAsia="Courier New" w:hAnsi="Courier New"/>
          <w:sz w:val="16"/>
          <w:szCs w:val="16"/>
          <w:color w:val="auto"/>
        </w:rPr>
        <w:t>-- -- -- -- -- -- AT&amp;T</w:t>
      </w:r>
    </w:p>
    <w:p>
      <w:pPr>
        <w:ind w:left="84"/>
        <w:spacing w:after="0"/>
        <w:rPr>
          <w:sz w:val="20"/>
          <w:szCs w:val="20"/>
          <w:color w:val="auto"/>
        </w:rPr>
      </w:pPr>
      <w:r>
        <w:rPr>
          <w:rFonts w:ascii="Courier New" w:cs="Courier New" w:eastAsia="Courier New" w:hAnsi="Courier New"/>
          <w:sz w:val="16"/>
          <w:szCs w:val="16"/>
          <w:color w:val="auto"/>
        </w:rPr>
        <w:t>COMCAST(d)........................... --</w:t>
      </w:r>
    </w:p>
    <w:p>
      <w:pPr>
        <w:ind w:left="944"/>
        <w:spacing w:after="0" w:line="238" w:lineRule="auto"/>
        <w:rPr>
          <w:sz w:val="20"/>
          <w:szCs w:val="20"/>
          <w:color w:val="auto"/>
        </w:rPr>
      </w:pPr>
      <w:r>
        <w:rPr>
          <w:rFonts w:ascii="Courier New" w:cs="Courier New" w:eastAsia="Courier New" w:hAnsi="Courier New"/>
          <w:sz w:val="16"/>
          <w:szCs w:val="16"/>
          <w:color w:val="auto"/>
        </w:rPr>
        <w:t>-- -- -- -- -- COMCAST</w:t>
      </w:r>
    </w:p>
    <w:p>
      <w:pPr>
        <w:ind w:left="84"/>
        <w:spacing w:after="0"/>
        <w:rPr>
          <w:sz w:val="20"/>
          <w:szCs w:val="20"/>
          <w:color w:val="auto"/>
        </w:rPr>
      </w:pPr>
      <w:r>
        <w:rPr>
          <w:rFonts w:ascii="Courier New" w:cs="Courier New" w:eastAsia="Courier New" w:hAnsi="Courier New"/>
          <w:sz w:val="16"/>
          <w:szCs w:val="16"/>
          <w:color w:val="auto"/>
        </w:rPr>
        <w:t>CABLE(e).......................... 2.29x</w:t>
      </w:r>
    </w:p>
    <w:p>
      <w:pPr>
        <w:ind w:left="984"/>
        <w:spacing w:after="0" w:line="238" w:lineRule="auto"/>
        <w:rPr>
          <w:sz w:val="20"/>
          <w:szCs w:val="20"/>
          <w:color w:val="auto"/>
        </w:rPr>
      </w:pPr>
      <w:r>
        <w:rPr>
          <w:rFonts w:ascii="Courier New" w:cs="Courier New" w:eastAsia="Courier New" w:hAnsi="Courier New"/>
          <w:sz w:val="16"/>
          <w:szCs w:val="16"/>
          <w:color w:val="auto"/>
        </w:rPr>
        <w:t>(f) 1.79x (f) (f) (f)</w:t>
      </w:r>
    </w:p>
    <w:p>
      <w:pPr>
        <w:ind w:left="4"/>
        <w:spacing w:after="0"/>
        <w:rPr>
          <w:sz w:val="20"/>
          <w:szCs w:val="20"/>
          <w:color w:val="auto"/>
        </w:rPr>
      </w:pPr>
      <w:r>
        <w:rPr>
          <w:rFonts w:ascii="Courier New" w:cs="Courier New" w:eastAsia="Courier New" w:hAnsi="Courier New"/>
          <w:sz w:val="16"/>
          <w:szCs w:val="16"/>
          <w:color w:val="auto"/>
        </w:rPr>
        <w:t>MEDIAONE(a)...............................</w:t>
      </w:r>
    </w:p>
    <w:p>
      <w:pPr>
        <w:ind w:left="944"/>
        <w:spacing w:after="0" w:line="237" w:lineRule="auto"/>
        <w:rPr>
          <w:sz w:val="20"/>
          <w:szCs w:val="20"/>
          <w:color w:val="auto"/>
        </w:rPr>
      </w:pPr>
      <w:r>
        <w:rPr>
          <w:rFonts w:ascii="Courier New" w:cs="Courier New" w:eastAsia="Courier New" w:hAnsi="Courier New"/>
          <w:sz w:val="16"/>
          <w:szCs w:val="16"/>
          <w:color w:val="auto"/>
        </w:rPr>
        <w:t>3.1x 5.0x (g) -- -- --</w:t>
      </w:r>
    </w:p>
    <w:p>
      <w:pPr>
        <w:ind w:left="4"/>
        <w:spacing w:after="0"/>
        <w:rPr>
          <w:sz w:val="20"/>
          <w:szCs w:val="20"/>
          <w:color w:val="auto"/>
        </w:rPr>
      </w:pPr>
      <w:r>
        <w:rPr>
          <w:rFonts w:ascii="Courier New" w:cs="Courier New" w:eastAsia="Courier New" w:hAnsi="Courier New"/>
          <w:sz w:val="16"/>
          <w:szCs w:val="16"/>
          <w:color w:val="auto"/>
        </w:rPr>
        <w:t>TCI(a)....................................</w:t>
      </w:r>
    </w:p>
    <w:p>
      <w:pPr>
        <w:ind w:left="1024"/>
        <w:spacing w:after="0" w:line="238" w:lineRule="auto"/>
        <w:rPr>
          <w:sz w:val="20"/>
          <w:szCs w:val="20"/>
          <w:color w:val="auto"/>
        </w:rPr>
      </w:pPr>
      <w:r>
        <w:rPr>
          <w:rFonts w:ascii="Courier New" w:cs="Courier New" w:eastAsia="Courier New" w:hAnsi="Courier New"/>
          <w:sz w:val="16"/>
          <w:szCs w:val="16"/>
          <w:color w:val="auto"/>
        </w:rPr>
        <w:t>(h) (h) (h) -- -- --</w:t>
      </w:r>
    </w:p>
    <w:p>
      <w:pPr>
        <w:ind w:left="4"/>
        <w:spacing w:after="0"/>
        <w:rPr>
          <w:sz w:val="20"/>
          <w:szCs w:val="20"/>
          <w:color w:val="auto"/>
        </w:rPr>
      </w:pPr>
      <w:r>
        <w:rPr>
          <w:rFonts w:ascii="Courier New" w:cs="Courier New" w:eastAsia="Courier New" w:hAnsi="Courier New"/>
          <w:sz w:val="16"/>
          <w:szCs w:val="16"/>
          <w:color w:val="auto"/>
        </w:rPr>
        <w:t>COMCAST(i)................................</w:t>
      </w:r>
    </w:p>
    <w:p>
      <w:pPr>
        <w:ind w:left="424"/>
        <w:spacing w:after="0" w:line="238" w:lineRule="auto"/>
        <w:rPr>
          <w:sz w:val="20"/>
          <w:szCs w:val="20"/>
          <w:color w:val="auto"/>
        </w:rPr>
      </w:pPr>
      <w:r>
        <w:rPr>
          <w:rFonts w:ascii="Courier New" w:cs="Courier New" w:eastAsia="Courier New" w:hAnsi="Courier New"/>
          <w:sz w:val="16"/>
          <w:szCs w:val="16"/>
          <w:color w:val="auto"/>
        </w:rPr>
        <w:t>(j) 2.21x 6.24x 3.78x 5.44x 1.29x</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8" w:lineRule="auto"/>
        <w:tabs>
          <w:tab w:leader="none" w:pos="3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calculating the ratio of earnings to fixed charges, earnings is calculated by adding fixed charges excluding capitalized interest to income from continuing operations before income taxes, and by adding distributions of less-than-fifty-percent-owned affiliates. By fixed charges we mean total interest, including capitalized interest, dividend requirements on preferred stock and interest on trust preferred securities and a portion of rentals, which we believe is representative of the interest factor of our rental expense, as applicable.</w:t>
      </w:r>
    </w:p>
    <w:p>
      <w:pPr>
        <w:spacing w:after="0" w:line="185" w:lineRule="exact"/>
        <w:rPr>
          <w:rFonts w:ascii="Courier New" w:cs="Courier New" w:eastAsia="Courier New" w:hAnsi="Courier New"/>
          <w:sz w:val="16"/>
          <w:szCs w:val="16"/>
          <w:color w:val="auto"/>
        </w:rPr>
      </w:pPr>
    </w:p>
    <w:p>
      <w:pPr>
        <w:ind w:left="384" w:right="2899" w:hanging="384"/>
        <w:spacing w:after="0" w:line="257" w:lineRule="auto"/>
        <w:tabs>
          <w:tab w:leader="none" w:pos="38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AT&amp;T's loss for the six months ended June 30, 2002 and the year ended December 31, 2001 was inadequate to cover fixed charges, dividend requirements on subsidiary preferred stock and interest on trust preferred securities in the amount of $16.4 billion and $1.6 billion, respectively.</w:t>
      </w:r>
    </w:p>
    <w:p>
      <w:pPr>
        <w:spacing w:after="0" w:line="174" w:lineRule="exact"/>
        <w:rPr>
          <w:rFonts w:ascii="Courier New" w:cs="Courier New" w:eastAsia="Courier New" w:hAnsi="Courier New"/>
          <w:sz w:val="15"/>
          <w:szCs w:val="15"/>
          <w:color w:val="auto"/>
        </w:rPr>
      </w:pPr>
    </w:p>
    <w:p>
      <w:pPr>
        <w:ind w:left="384" w:right="2899" w:hanging="384"/>
        <w:spacing w:after="0" w:line="237" w:lineRule="auto"/>
        <w:tabs>
          <w:tab w:leader="none" w:pos="3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Group's loss for the six months ended June 30, 2002, the years ended December 31, 2001 and 2000, and the ten month period ended December 31, 1999 was inadequate to cover fixed charges, dividend requirements on subsidiary preferred stock and interest on trust preferred securities in the amount of $18.8 billion, $9.2 billion, $10.4 billion and $2.0 billion, respectively.</w:t>
      </w:r>
    </w:p>
    <w:p>
      <w:pPr>
        <w:spacing w:after="0" w:line="188" w:lineRule="exact"/>
        <w:rPr>
          <w:rFonts w:ascii="Courier New" w:cs="Courier New" w:eastAsia="Courier New" w:hAnsi="Courier New"/>
          <w:sz w:val="16"/>
          <w:szCs w:val="16"/>
          <w:color w:val="auto"/>
        </w:rPr>
      </w:pPr>
    </w:p>
    <w:p>
      <w:pPr>
        <w:ind w:left="384" w:right="2899" w:hanging="384"/>
        <w:spacing w:after="0" w:line="237" w:lineRule="auto"/>
        <w:tabs>
          <w:tab w:leader="none" w:pos="3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their respective dates of inception on December 14, 2001 and December 7, 2001 through June 30, 2002, Broadband and AT&amp;T Comcast have had no operations.</w:t>
      </w:r>
    </w:p>
    <w:p>
      <w:pPr>
        <w:spacing w:after="0" w:line="184"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Comcast Cable's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interest expense on notes payable to affiliates.</w:t>
      </w:r>
    </w:p>
    <w:p>
      <w:pPr>
        <w:spacing w:after="0" w:line="188" w:lineRule="exact"/>
        <w:rPr>
          <w:rFonts w:ascii="Courier New" w:cs="Courier New" w:eastAsia="Courier New" w:hAnsi="Courier New"/>
          <w:sz w:val="16"/>
          <w:szCs w:val="16"/>
          <w:color w:val="auto"/>
        </w:rPr>
      </w:pPr>
    </w:p>
    <w:p>
      <w:pPr>
        <w:ind w:left="384" w:right="2719" w:hanging="384"/>
        <w:spacing w:after="0" w:line="259" w:lineRule="auto"/>
        <w:tabs>
          <w:tab w:leader="none" w:pos="38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years ended December 31, 2001, 1999, 1998 and 1997, Comcast Cable's earnings, as defined above, were inadequate to cover fixed charges by $390.0 million, $399.2 million, $149.6 million and $176.7 million, respectively.</w:t>
      </w:r>
    </w:p>
    <w:p>
      <w:pPr>
        <w:spacing w:after="0" w:line="171" w:lineRule="exact"/>
        <w:rPr>
          <w:rFonts w:ascii="Courier New" w:cs="Courier New" w:eastAsia="Courier New" w:hAnsi="Courier New"/>
          <w:sz w:val="15"/>
          <w:szCs w:val="15"/>
          <w:color w:val="auto"/>
        </w:rPr>
      </w:pPr>
    </w:p>
    <w:p>
      <w:pPr>
        <w:ind w:left="384" w:right="3099" w:hanging="384"/>
        <w:spacing w:after="0" w:line="236" w:lineRule="auto"/>
        <w:tabs>
          <w:tab w:leader="none" w:pos="3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MediaOne's loss for the period ended December 31, 2000 was inadequate to cover fixed charges in the amount of $0.4 billion.</w:t>
      </w:r>
    </w:p>
    <w:p>
      <w:pPr>
        <w:spacing w:after="0" w:line="184" w:lineRule="exact"/>
        <w:rPr>
          <w:rFonts w:ascii="Courier New" w:cs="Courier New" w:eastAsia="Courier New" w:hAnsi="Courier New"/>
          <w:sz w:val="16"/>
          <w:szCs w:val="16"/>
          <w:color w:val="auto"/>
        </w:rPr>
      </w:pPr>
    </w:p>
    <w:p>
      <w:pPr>
        <w:ind w:left="384" w:right="2819" w:hanging="384"/>
        <w:spacing w:after="0" w:line="237" w:lineRule="auto"/>
        <w:tabs>
          <w:tab w:leader="none" w:pos="3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TCI's loss for the six months ended June 30, 2002, the years ended December 31, 2001 and 2000, and the ten month period ended December 31, 1999 was inadequate to cover fixed charges in the amount of $0.7 billion, $1.5 billion, $1.9 billion and $1.3 billion, respectively.</w:t>
      </w:r>
    </w:p>
    <w:p>
      <w:pPr>
        <w:spacing w:after="0" w:line="185" w:lineRule="exact"/>
        <w:rPr>
          <w:rFonts w:ascii="Courier New" w:cs="Courier New" w:eastAsia="Courier New" w:hAnsi="Courier New"/>
          <w:sz w:val="16"/>
          <w:szCs w:val="16"/>
          <w:color w:val="auto"/>
        </w:rPr>
      </w:pPr>
    </w:p>
    <w:p>
      <w:pPr>
        <w:ind w:left="384" w:right="3099" w:hanging="384"/>
        <w:spacing w:after="0" w:line="256" w:lineRule="auto"/>
        <w:tabs>
          <w:tab w:leader="none" w:pos="38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Comcast's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capitalized interest.</w:t>
      </w:r>
    </w:p>
    <w:p>
      <w:pPr>
        <w:spacing w:after="0" w:line="176" w:lineRule="exact"/>
        <w:rPr>
          <w:rFonts w:ascii="Courier New" w:cs="Courier New" w:eastAsia="Courier New" w:hAnsi="Courier New"/>
          <w:sz w:val="15"/>
          <w:szCs w:val="15"/>
          <w:color w:val="auto"/>
        </w:rPr>
      </w:pPr>
    </w:p>
    <w:p>
      <w:pPr>
        <w:ind w:left="384" w:right="2719" w:hanging="384"/>
        <w:spacing w:after="0" w:line="236" w:lineRule="auto"/>
        <w:tabs>
          <w:tab w:leader="none" w:pos="3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six months ended June 30, 2002 Comcast's earnings, as defined above, were inadequate to cover fixed charges by $190.9 million.</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3"/>
          </w:cols>
          <w:pgMar w:left="236" w:top="654" w:right="1440" w:bottom="1009" w:gutter="0" w:footer="0" w:header="0"/>
        </w:sectPr>
      </w:pPr>
    </w:p>
    <w:bookmarkStart w:id="57" w:name="page58"/>
    <w:bookmarkEnd w:id="57"/>
    <w:p>
      <w:pPr>
        <w:ind w:left="2344"/>
        <w:spacing w:after="0"/>
        <w:rPr>
          <w:sz w:val="20"/>
          <w:szCs w:val="20"/>
          <w:color w:val="auto"/>
        </w:rPr>
      </w:pPr>
      <w:r>
        <w:rPr>
          <w:rFonts w:ascii="Courier New" w:cs="Courier New" w:eastAsia="Courier New" w:hAnsi="Courier New"/>
          <w:sz w:val="16"/>
          <w:szCs w:val="16"/>
          <w:color w:val="auto"/>
        </w:rPr>
        <w:t>PRO FORMA RATIO OF EARNINGS TO</w:t>
      </w:r>
    </w:p>
    <w:p>
      <w:pPr>
        <w:ind w:left="3104"/>
        <w:spacing w:after="0"/>
        <w:rPr>
          <w:sz w:val="20"/>
          <w:szCs w:val="20"/>
          <w:color w:val="auto"/>
        </w:rPr>
      </w:pPr>
      <w:r>
        <w:rPr>
          <w:rFonts w:ascii="Courier New" w:cs="Courier New" w:eastAsia="Courier New" w:hAnsi="Courier New"/>
          <w:sz w:val="16"/>
          <w:szCs w:val="16"/>
          <w:color w:val="auto"/>
        </w:rPr>
        <w:t>FIXED CHARGES</w:t>
      </w:r>
    </w:p>
    <w:p>
      <w:pPr>
        <w:spacing w:after="0" w:line="17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FOR THE FOR THE SIX MONTHS ENDED YEAR ENDED JUNE 30,</w:t>
      </w:r>
    </w:p>
    <w:p>
      <w:pPr>
        <w:ind w:left="44"/>
        <w:spacing w:after="0"/>
        <w:rPr>
          <w:sz w:val="20"/>
          <w:szCs w:val="20"/>
          <w:color w:val="auto"/>
        </w:rPr>
      </w:pPr>
      <w:r>
        <w:rPr>
          <w:rFonts w:ascii="Courier New" w:cs="Courier New" w:eastAsia="Courier New" w:hAnsi="Courier New"/>
          <w:sz w:val="16"/>
          <w:szCs w:val="16"/>
          <w:color w:val="auto"/>
        </w:rPr>
        <w:t>2002 DECEMBER 31, 2001 ---------------- ------------</w:t>
      </w:r>
    </w:p>
    <w:p>
      <w:pPr>
        <w:ind w:left="224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AT&amp;T(k)..............................................</w:t>
      </w:r>
    </w:p>
    <w:p>
      <w:pPr>
        <w:ind w:left="1824"/>
        <w:spacing w:after="0" w:line="238" w:lineRule="auto"/>
        <w:rPr>
          <w:sz w:val="20"/>
          <w:szCs w:val="20"/>
          <w:color w:val="auto"/>
        </w:rPr>
      </w:pPr>
      <w:r>
        <w:rPr>
          <w:rFonts w:ascii="Courier New" w:cs="Courier New" w:eastAsia="Courier New" w:hAnsi="Courier New"/>
          <w:sz w:val="16"/>
          <w:szCs w:val="16"/>
          <w:color w:val="auto"/>
        </w:rPr>
        <w:t>3.7x 5.2x AT&amp;T</w:t>
      </w:r>
    </w:p>
    <w:p>
      <w:pPr>
        <w:ind w:left="44"/>
        <w:spacing w:after="0"/>
        <w:rPr>
          <w:sz w:val="20"/>
          <w:szCs w:val="20"/>
          <w:color w:val="auto"/>
        </w:rPr>
      </w:pPr>
      <w:r>
        <w:rPr>
          <w:rFonts w:ascii="Courier New" w:cs="Courier New" w:eastAsia="Courier New" w:hAnsi="Courier New"/>
          <w:sz w:val="16"/>
          <w:szCs w:val="16"/>
          <w:color w:val="auto"/>
        </w:rPr>
        <w:t>Comcast(l)...................................... (l)</w:t>
      </w:r>
    </w:p>
    <w:p>
      <w:pPr>
        <w:ind w:left="1864"/>
        <w:spacing w:after="0" w:line="238" w:lineRule="auto"/>
        <w:rPr>
          <w:sz w:val="20"/>
          <w:szCs w:val="20"/>
          <w:color w:val="auto"/>
        </w:rPr>
      </w:pPr>
      <w:r>
        <w:rPr>
          <w:rFonts w:ascii="Courier New" w:cs="Courier New" w:eastAsia="Courier New" w:hAnsi="Courier New"/>
          <w:sz w:val="16"/>
          <w:szCs w:val="16"/>
          <w:color w:val="auto"/>
        </w:rPr>
        <w:t>(l) Broadband</w:t>
      </w:r>
    </w:p>
    <w:p>
      <w:pPr>
        <w:ind w:left="84"/>
        <w:spacing w:after="0"/>
        <w:rPr>
          <w:sz w:val="20"/>
          <w:szCs w:val="20"/>
          <w:color w:val="auto"/>
        </w:rPr>
      </w:pPr>
      <w:r>
        <w:rPr>
          <w:rFonts w:ascii="Courier New" w:cs="Courier New" w:eastAsia="Courier New" w:hAnsi="Courier New"/>
          <w:sz w:val="16"/>
          <w:szCs w:val="16"/>
          <w:color w:val="auto"/>
        </w:rPr>
        <w:t>Group...................................... (c) (c)</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7" w:lineRule="auto"/>
        <w:tabs>
          <w:tab w:leader="none" w:pos="38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AT&amp;T ratio of earnings to fixed charges assumes the distribution of Liberty Media Group and AT&amp;T Broadband Group and utilizes the same methodology as described in footnote (a). The detailed unaudited pro forma financial statements on which these calculations were based can be found beginning on page F-3 of this prospectus.</w:t>
      </w:r>
    </w:p>
    <w:p>
      <w:pPr>
        <w:spacing w:after="0" w:line="187" w:lineRule="exact"/>
        <w:rPr>
          <w:rFonts w:ascii="Courier New" w:cs="Courier New" w:eastAsia="Courier New" w:hAnsi="Courier New"/>
          <w:sz w:val="16"/>
          <w:szCs w:val="16"/>
          <w:color w:val="auto"/>
        </w:rPr>
      </w:pPr>
    </w:p>
    <w:p>
      <w:pPr>
        <w:ind w:left="384" w:right="2819" w:hanging="384"/>
        <w:spacing w:after="0" w:line="238" w:lineRule="auto"/>
        <w:tabs>
          <w:tab w:leader="none" w:pos="38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AT&amp;T Comcast pro forma ratio of earnings to fixed charges, earnings consist of income (loss) before income taxes, extraordinary items, cumulative effect of accounting change, minority interest, equity in net (income) losses affiliates and fixed charges. Fixed charges consist of interest expense. For the six months ended June 30, 2002 and for the year ended December 31, 2001, earnings, as defined above, were inadequate to cover fixed charges by $18.868 billion and $5.940 billion, respectively.</w:t>
      </w:r>
    </w:p>
    <w:p>
      <w:pPr>
        <w:spacing w:after="0" w:line="180"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MARKETS AND MARKET PRICES</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following table sets forth for each series of Broadband Eligible Notes and AT&amp;T Eligible Notes, the exchanges upon which those notes are listed for trading, the symbols under which those notes are listed, and the high and low sale prices paid for the notes for the periods indicated. The 7.75% Medium-Term Notes, Series A Due May 15, 2025, the 8.00% Medium-Term Notes, Series A Due May 15, 2025 and the FRN Medium-Term Notes, Series A Due 2054 are not listed on any exchange.</w:t>
      </w:r>
    </w:p>
    <w:p>
      <w:pPr>
        <w:spacing w:after="0" w:line="36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LAST SALE PRICE ON NYSE ----------------------</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 HIGH LOW ---------- ---------- 5.625% NOTES</w:t>
      </w:r>
    </w:p>
    <w:p>
      <w:pPr>
        <w:jc w:val="center"/>
        <w:ind w:right="5815"/>
        <w:spacing w:after="0"/>
        <w:rPr>
          <w:sz w:val="20"/>
          <w:szCs w:val="20"/>
          <w:color w:val="auto"/>
        </w:rPr>
      </w:pPr>
      <w:r>
        <w:rPr>
          <w:rFonts w:ascii="Courier New" w:cs="Courier New" w:eastAsia="Courier New" w:hAnsi="Courier New"/>
          <w:sz w:val="16"/>
          <w:szCs w:val="16"/>
          <w:color w:val="auto"/>
        </w:rPr>
        <w:t>DUE 2004 (NYSE: T M04) 2000 First</w:t>
      </w:r>
    </w:p>
    <w:p>
      <w:pPr>
        <w:spacing w:after="0" w:line="3"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94.500 93.000 Second</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95.000 92.625 Third</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95.500 93.625 Fourth</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96.125 94.000 2001 First</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99.250 96.000 Second</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100.625 98.375 Third</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102.250 99.625 Fourth</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102.875 100.250 2002 First</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102.375 99.750 Second</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100.625 93.250 Third</w:t>
      </w:r>
    </w:p>
    <w:p>
      <w:pPr>
        <w:spacing w:after="0" w:line="4"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Quarter........................................</w:t>
      </w:r>
    </w:p>
    <w:p>
      <w:pPr>
        <w:spacing w:after="0" w:line="10"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5"/>
          <w:szCs w:val="15"/>
          <w:color w:val="auto"/>
        </w:rPr>
        <w:t>100.000 91.875 Fourth Quarter (through October</w:t>
      </w:r>
    </w:p>
    <w:p>
      <w:pPr>
        <w:spacing w:after="0" w:line="5" w:lineRule="exact"/>
        <w:rPr>
          <w:sz w:val="20"/>
          <w:szCs w:val="20"/>
          <w:color w:val="auto"/>
        </w:rPr>
      </w:pPr>
    </w:p>
    <w:p>
      <w:pPr>
        <w:jc w:val="center"/>
        <w:ind w:right="5815"/>
        <w:spacing w:after="0"/>
        <w:rPr>
          <w:sz w:val="20"/>
          <w:szCs w:val="20"/>
          <w:color w:val="auto"/>
        </w:rPr>
      </w:pPr>
      <w:r>
        <w:rPr>
          <w:rFonts w:ascii="Courier New" w:cs="Courier New" w:eastAsia="Courier New" w:hAnsi="Courier New"/>
          <w:sz w:val="16"/>
          <w:szCs w:val="16"/>
          <w:color w:val="auto"/>
        </w:rPr>
        <w:t>2, 2002)............. 100.000 99.875</w:t>
      </w:r>
    </w:p>
    <w:p>
      <w:pPr>
        <w:spacing w:after="0" w:line="200" w:lineRule="exact"/>
        <w:rPr>
          <w:sz w:val="20"/>
          <w:szCs w:val="20"/>
          <w:color w:val="auto"/>
        </w:rPr>
      </w:pPr>
    </w:p>
    <w:p>
      <w:pPr>
        <w:spacing w:after="0" w:line="34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3"/>
          </w:cols>
          <w:pgMar w:left="236" w:top="654"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1"/>
        </w:trPr>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LAST SALE PRICE ON NYSE</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620" w:type="dxa"/>
            <w:vAlign w:val="bottom"/>
          </w:tcPr>
          <w:p>
            <w:pPr>
              <w:spacing w:after="0"/>
              <w:rPr>
                <w:sz w:val="15"/>
                <w:szCs w:val="15"/>
                <w:color w:val="auto"/>
              </w:rPr>
            </w:pPr>
          </w:p>
        </w:tc>
      </w:tr>
      <w:tr>
        <w:trPr>
          <w:trHeight w:val="180"/>
        </w:trPr>
        <w:tc>
          <w:tcPr>
            <w:tcW w:w="22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HIGH LOW ----------</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81"/>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6.75% NOTES</w:t>
            </w: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DUE 2004 (NYSE: T A04) 2000 First</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98.750 96.750 Second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99.125 98.875 Third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99.375 97.250 Fourth</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99.875 96.750 2001 First</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102.875 98.500 Second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103.125 100.250 Third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103.875 102.000 Fourth</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104.875 102.125 2002 First</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103.875 101.125 Second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102.750 95.000 Third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43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101.875 94.750 Fourth Quarter (through October</w:t>
            </w:r>
          </w:p>
        </w:tc>
      </w:tr>
      <w:tr>
        <w:trPr>
          <w:trHeight w:val="180"/>
        </w:trPr>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101.000</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100.250</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7.00%</w:t>
            </w:r>
          </w:p>
        </w:tc>
      </w:tr>
      <w:tr>
        <w:trPr>
          <w:trHeight w:val="180"/>
        </w:trPr>
        <w:tc>
          <w:tcPr>
            <w:tcW w:w="360" w:type="dxa"/>
            <w:vAlign w:val="bottom"/>
          </w:tcPr>
          <w:p>
            <w:pPr>
              <w:spacing w:after="0"/>
              <w:rPr>
                <w:sz w:val="15"/>
                <w:szCs w:val="15"/>
                <w:color w:val="auto"/>
              </w:rPr>
            </w:pPr>
          </w:p>
        </w:tc>
        <w:tc>
          <w:tcPr>
            <w:tcW w:w="4000" w:type="dxa"/>
            <w:vAlign w:val="bottom"/>
            <w:gridSpan w:val="4"/>
          </w:tcPr>
          <w:p>
            <w:pPr>
              <w:jc w:val="center"/>
              <w:ind w:right="262"/>
              <w:spacing w:after="0"/>
              <w:rPr>
                <w:sz w:val="20"/>
                <w:szCs w:val="20"/>
                <w:color w:val="auto"/>
              </w:rPr>
            </w:pPr>
            <w:r>
              <w:rPr>
                <w:rFonts w:ascii="Courier New" w:cs="Courier New" w:eastAsia="Courier New" w:hAnsi="Courier New"/>
                <w:sz w:val="16"/>
                <w:szCs w:val="16"/>
                <w:color w:val="auto"/>
                <w:w w:val="97"/>
              </w:rPr>
              <w:t>NOTES DUE 2005 (NYSE: T M05) 2000 First</w:t>
            </w: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100.000 97.625 Second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101.000 95.125 Third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101.000 98.500 Fourth</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100.500 97.375 2001 First</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103.250 99.875 Second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103.875 101.375 Third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105.000 101.750 Fourth</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105.375 102.125 2002 First</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105.000 101.000 Second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102.750 93.625 Third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43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100.875 87.125 Fourth Quarter (through October</w:t>
            </w:r>
          </w:p>
        </w:tc>
      </w:tr>
      <w:tr>
        <w:trPr>
          <w:trHeight w:val="180"/>
        </w:trPr>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100.625</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100.375</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7.50%</w:t>
            </w:r>
          </w:p>
        </w:tc>
      </w:tr>
      <w:tr>
        <w:trPr>
          <w:trHeight w:val="180"/>
        </w:trPr>
        <w:tc>
          <w:tcPr>
            <w:tcW w:w="360" w:type="dxa"/>
            <w:vAlign w:val="bottom"/>
          </w:tcPr>
          <w:p>
            <w:pPr>
              <w:spacing w:after="0"/>
              <w:rPr>
                <w:sz w:val="15"/>
                <w:szCs w:val="15"/>
                <w:color w:val="auto"/>
              </w:rPr>
            </w:pPr>
          </w:p>
        </w:tc>
        <w:tc>
          <w:tcPr>
            <w:tcW w:w="4000" w:type="dxa"/>
            <w:vAlign w:val="bottom"/>
            <w:gridSpan w:val="4"/>
          </w:tcPr>
          <w:p>
            <w:pPr>
              <w:jc w:val="center"/>
              <w:ind w:right="242"/>
              <w:spacing w:after="0"/>
              <w:rPr>
                <w:sz w:val="20"/>
                <w:szCs w:val="20"/>
                <w:color w:val="auto"/>
              </w:rPr>
            </w:pPr>
            <w:r>
              <w:rPr>
                <w:rFonts w:ascii="Courier New" w:cs="Courier New" w:eastAsia="Courier New" w:hAnsi="Courier New"/>
                <w:sz w:val="16"/>
                <w:szCs w:val="16"/>
                <w:color w:val="auto"/>
                <w:w w:val="97"/>
              </w:rPr>
              <w:t>NOTES DUE 2006 (NYSE: T 06) 2000 First</w:t>
            </w: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101.750 99.500 Second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102.000 98.375 Third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102.750 100.000 Fourth</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101.500 98.000 2001 First</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106.000 101.125 Second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106.875 102.625 Third</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3380" w:type="dxa"/>
            <w:vAlign w:val="bottom"/>
            <w:gridSpan w:val="3"/>
          </w:tcPr>
          <w:p>
            <w:pPr>
              <w:jc w:val="center"/>
              <w:ind w:left="202"/>
              <w:spacing w:after="0"/>
              <w:rPr>
                <w:sz w:val="20"/>
                <w:szCs w:val="20"/>
                <w:color w:val="auto"/>
              </w:rPr>
            </w:pPr>
            <w:r>
              <w:rPr>
                <w:rFonts w:ascii="Courier New" w:cs="Courier New" w:eastAsia="Courier New" w:hAnsi="Courier New"/>
                <w:sz w:val="16"/>
                <w:szCs w:val="16"/>
                <w:color w:val="auto"/>
                <w:w w:val="97"/>
              </w:rPr>
              <w:t>107.000 102.500 Fourth</w:t>
            </w:r>
          </w:p>
        </w:tc>
        <w:tc>
          <w:tcPr>
            <w:tcW w:w="620" w:type="dxa"/>
            <w:vAlign w:val="bottom"/>
          </w:tcPr>
          <w:p>
            <w:pPr>
              <w:spacing w:after="0"/>
              <w:rPr>
                <w:sz w:val="15"/>
                <w:szCs w:val="15"/>
                <w:color w:val="auto"/>
              </w:rPr>
            </w:pPr>
          </w:p>
        </w:tc>
      </w:tr>
      <w:tr>
        <w:trPr>
          <w:trHeight w:val="180"/>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Quarter.......................................</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108.625</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103.250</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19"/>
          </w:cols>
          <w:pgMar w:left="240" w:top="834" w:right="1440" w:bottom="1440" w:gutter="0" w:footer="0" w:header="0"/>
        </w:sect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834" w:right="1440"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81"/>
        </w:trPr>
        <w:tc>
          <w:tcPr>
            <w:tcW w:w="326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72"/>
              </w:rPr>
              <w:t>LAST SALE PRICE ON NYSE ----------------------</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260" w:type="dxa"/>
            <w:vAlign w:val="bottom"/>
            <w:gridSpan w:val="5"/>
          </w:tcPr>
          <w:p>
            <w:pPr>
              <w:ind w:left="180"/>
              <w:spacing w:after="0"/>
              <w:rPr>
                <w:sz w:val="20"/>
                <w:szCs w:val="20"/>
                <w:color w:val="auto"/>
              </w:rPr>
            </w:pPr>
            <w:r>
              <w:rPr>
                <w:rFonts w:ascii="Courier New" w:cs="Courier New" w:eastAsia="Courier New" w:hAnsi="Courier New"/>
                <w:sz w:val="16"/>
                <w:szCs w:val="16"/>
                <w:color w:val="auto"/>
                <w:w w:val="99"/>
              </w:rPr>
              <w:t>- HIGH LOW ---------- ----------</w:t>
            </w:r>
          </w:p>
        </w:tc>
        <w:tc>
          <w:tcPr>
            <w:tcW w:w="1100" w:type="dxa"/>
            <w:vAlign w:val="bottom"/>
            <w:gridSpan w:val="2"/>
          </w:tcPr>
          <w:p>
            <w:pPr>
              <w:ind w:left="20"/>
              <w:spacing w:after="0"/>
              <w:rPr>
                <w:sz w:val="20"/>
                <w:szCs w:val="20"/>
                <w:color w:val="auto"/>
              </w:rPr>
            </w:pPr>
            <w:r>
              <w:rPr>
                <w:rFonts w:ascii="Courier New" w:cs="Courier New" w:eastAsia="Courier New" w:hAnsi="Courier New"/>
                <w:sz w:val="16"/>
                <w:szCs w:val="16"/>
                <w:color w:val="auto"/>
              </w:rPr>
              <w:t>2002 First</w:t>
            </w: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106.125 102.000 Second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104.875 93.250 Third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360" w:type="dxa"/>
            <w:vAlign w:val="bottom"/>
            <w:gridSpan w:val="7"/>
          </w:tcPr>
          <w:p>
            <w:pPr>
              <w:jc w:val="center"/>
              <w:ind w:left="1"/>
              <w:spacing w:after="0"/>
              <w:rPr>
                <w:sz w:val="20"/>
                <w:szCs w:val="20"/>
                <w:color w:val="auto"/>
              </w:rPr>
            </w:pPr>
            <w:r>
              <w:rPr>
                <w:rFonts w:ascii="Courier New" w:cs="Courier New" w:eastAsia="Courier New" w:hAnsi="Courier New"/>
                <w:sz w:val="16"/>
                <w:szCs w:val="16"/>
                <w:color w:val="auto"/>
                <w:w w:val="97"/>
              </w:rPr>
              <w:t>101.625 86.000 Fourth Quarter (through October</w:t>
            </w:r>
          </w:p>
        </w:tc>
      </w:tr>
      <w:tr>
        <w:trPr>
          <w:trHeight w:val="180"/>
        </w:trPr>
        <w:tc>
          <w:tcPr>
            <w:tcW w:w="400" w:type="dxa"/>
            <w:vAlign w:val="bottom"/>
          </w:tcPr>
          <w:p>
            <w:pPr>
              <w:ind w:left="180"/>
              <w:spacing w:after="0"/>
              <w:rPr>
                <w:sz w:val="20"/>
                <w:szCs w:val="20"/>
                <w:color w:val="auto"/>
              </w:rPr>
            </w:pPr>
            <w:r>
              <w:rPr>
                <w:rFonts w:ascii="Courier New" w:cs="Courier New" w:eastAsia="Courier New" w:hAnsi="Courier New"/>
                <w:sz w:val="16"/>
                <w:szCs w:val="16"/>
                <w:color w:val="auto"/>
              </w:rPr>
              <w:t>2,</w:t>
            </w:r>
          </w:p>
        </w:tc>
        <w:tc>
          <w:tcPr>
            <w:tcW w:w="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2002).............</w:t>
            </w:r>
          </w:p>
        </w:tc>
        <w:tc>
          <w:tcPr>
            <w:tcW w:w="1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101.500</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101.000</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7.75%</w:t>
            </w:r>
          </w:p>
        </w:tc>
      </w:tr>
      <w:tr>
        <w:trPr>
          <w:trHeight w:val="180"/>
        </w:trPr>
        <w:tc>
          <w:tcPr>
            <w:tcW w:w="400" w:type="dxa"/>
            <w:vAlign w:val="bottom"/>
          </w:tcPr>
          <w:p>
            <w:pPr>
              <w:spacing w:after="0"/>
              <w:rPr>
                <w:sz w:val="15"/>
                <w:szCs w:val="15"/>
                <w:color w:val="auto"/>
              </w:rPr>
            </w:pPr>
          </w:p>
        </w:tc>
        <w:tc>
          <w:tcPr>
            <w:tcW w:w="3960" w:type="dxa"/>
            <w:vAlign w:val="bottom"/>
            <w:gridSpan w:val="6"/>
          </w:tcPr>
          <w:p>
            <w:pPr>
              <w:jc w:val="center"/>
              <w:ind w:right="282"/>
              <w:spacing w:after="0"/>
              <w:rPr>
                <w:sz w:val="20"/>
                <w:szCs w:val="20"/>
                <w:color w:val="auto"/>
              </w:rPr>
            </w:pPr>
            <w:r>
              <w:rPr>
                <w:rFonts w:ascii="Courier New" w:cs="Courier New" w:eastAsia="Courier New" w:hAnsi="Courier New"/>
                <w:sz w:val="16"/>
                <w:szCs w:val="16"/>
                <w:color w:val="auto"/>
                <w:w w:val="97"/>
              </w:rPr>
              <w:t>NOTES DUE 2007 (NYSE: T 07) 2000 First</w:t>
            </w: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103.000 101.000 Second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103.000 99.000 Third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103.000 101.000 Fourth</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102.875 99.500 2001 First</w:t>
            </w: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106.875 101.500 Second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106.750 104.750 Third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108.250 105.125 Fourth</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108.125 104.250 2002 First</w:t>
            </w: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107.000 103.000 Second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105.500 92.625 Third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360" w:type="dxa"/>
            <w:vAlign w:val="bottom"/>
            <w:gridSpan w:val="7"/>
          </w:tcPr>
          <w:p>
            <w:pPr>
              <w:jc w:val="center"/>
              <w:ind w:left="1"/>
              <w:spacing w:after="0"/>
              <w:rPr>
                <w:sz w:val="20"/>
                <w:szCs w:val="20"/>
                <w:color w:val="auto"/>
              </w:rPr>
            </w:pPr>
            <w:r>
              <w:rPr>
                <w:rFonts w:ascii="Courier New" w:cs="Courier New" w:eastAsia="Courier New" w:hAnsi="Courier New"/>
                <w:sz w:val="16"/>
                <w:szCs w:val="16"/>
                <w:color w:val="auto"/>
                <w:w w:val="97"/>
              </w:rPr>
              <w:t>101.500 86.750 Fourth Quarter (through October</w:t>
            </w:r>
          </w:p>
        </w:tc>
      </w:tr>
      <w:tr>
        <w:trPr>
          <w:trHeight w:val="180"/>
        </w:trPr>
        <w:tc>
          <w:tcPr>
            <w:tcW w:w="400" w:type="dxa"/>
            <w:vAlign w:val="bottom"/>
          </w:tcPr>
          <w:p>
            <w:pPr>
              <w:ind w:left="180"/>
              <w:spacing w:after="0"/>
              <w:rPr>
                <w:sz w:val="20"/>
                <w:szCs w:val="20"/>
                <w:color w:val="auto"/>
              </w:rPr>
            </w:pPr>
            <w:r>
              <w:rPr>
                <w:rFonts w:ascii="Courier New" w:cs="Courier New" w:eastAsia="Courier New" w:hAnsi="Courier New"/>
                <w:sz w:val="16"/>
                <w:szCs w:val="16"/>
                <w:color w:val="auto"/>
              </w:rPr>
              <w:t>2,</w:t>
            </w:r>
          </w:p>
        </w:tc>
        <w:tc>
          <w:tcPr>
            <w:tcW w:w="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2002).............</w:t>
            </w:r>
          </w:p>
        </w:tc>
        <w:tc>
          <w:tcPr>
            <w:tcW w:w="1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102.500</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101.750</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6.00%</w:t>
            </w:r>
          </w:p>
        </w:tc>
      </w:tr>
      <w:tr>
        <w:trPr>
          <w:trHeight w:val="180"/>
        </w:trPr>
        <w:tc>
          <w:tcPr>
            <w:tcW w:w="400" w:type="dxa"/>
            <w:vAlign w:val="bottom"/>
          </w:tcPr>
          <w:p>
            <w:pPr>
              <w:spacing w:after="0"/>
              <w:rPr>
                <w:sz w:val="15"/>
                <w:szCs w:val="15"/>
                <w:color w:val="auto"/>
              </w:rPr>
            </w:pPr>
          </w:p>
        </w:tc>
        <w:tc>
          <w:tcPr>
            <w:tcW w:w="3960" w:type="dxa"/>
            <w:vAlign w:val="bottom"/>
            <w:gridSpan w:val="6"/>
          </w:tcPr>
          <w:p>
            <w:pPr>
              <w:jc w:val="center"/>
              <w:ind w:right="282"/>
              <w:spacing w:after="0"/>
              <w:rPr>
                <w:sz w:val="20"/>
                <w:szCs w:val="20"/>
                <w:color w:val="auto"/>
              </w:rPr>
            </w:pPr>
            <w:r>
              <w:rPr>
                <w:rFonts w:ascii="Courier New" w:cs="Courier New" w:eastAsia="Courier New" w:hAnsi="Courier New"/>
                <w:sz w:val="16"/>
                <w:szCs w:val="16"/>
                <w:color w:val="auto"/>
                <w:w w:val="97"/>
              </w:rPr>
              <w:t>NOTES DUE 2009 (NYSE: T 09) 2000 First</w:t>
            </w: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90.875 88.250 Second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7"/>
              </w:rPr>
              <w:t>91.250 85.500 Third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90.375 88.375 Fourth</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91.375 87.000 2001 First</w:t>
            </w: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95.500 89.625 Second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7"/>
              </w:rPr>
              <w:t>95.250 92.125 Third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98.000 93.875 Fourth</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99.000 94.000 2002 First</w:t>
            </w: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97.000 92.625 Second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ind w:left="1"/>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7"/>
              </w:rPr>
              <w:t>94.000 76.625 Third</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7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91.125</w:t>
            </w:r>
          </w:p>
        </w:tc>
        <w:tc>
          <w:tcPr>
            <w:tcW w:w="3620" w:type="dxa"/>
            <w:vAlign w:val="bottom"/>
            <w:gridSpan w:val="5"/>
          </w:tcPr>
          <w:p>
            <w:pPr>
              <w:spacing w:after="0"/>
              <w:rPr>
                <w:sz w:val="20"/>
                <w:szCs w:val="20"/>
                <w:color w:val="auto"/>
              </w:rPr>
            </w:pPr>
            <w:r>
              <w:rPr>
                <w:rFonts w:ascii="Courier New" w:cs="Courier New" w:eastAsia="Courier New" w:hAnsi="Courier New"/>
                <w:sz w:val="16"/>
                <w:szCs w:val="16"/>
                <w:color w:val="auto"/>
                <w:w w:val="98"/>
              </w:rPr>
              <w:t>73.000 Fourth Quarter (through October</w:t>
            </w:r>
          </w:p>
        </w:tc>
      </w:tr>
      <w:tr>
        <w:trPr>
          <w:trHeight w:val="180"/>
        </w:trPr>
        <w:tc>
          <w:tcPr>
            <w:tcW w:w="400" w:type="dxa"/>
            <w:vAlign w:val="bottom"/>
          </w:tcPr>
          <w:p>
            <w:pPr>
              <w:spacing w:after="0"/>
              <w:rPr>
                <w:sz w:val="15"/>
                <w:szCs w:val="15"/>
                <w:color w:val="auto"/>
              </w:rPr>
            </w:pPr>
          </w:p>
        </w:tc>
        <w:tc>
          <w:tcPr>
            <w:tcW w:w="340" w:type="dxa"/>
            <w:vAlign w:val="bottom"/>
          </w:tcPr>
          <w:p>
            <w:pPr>
              <w:jc w:val="center"/>
              <w:ind w:left="91"/>
              <w:spacing w:after="0"/>
              <w:rPr>
                <w:sz w:val="20"/>
                <w:szCs w:val="20"/>
                <w:color w:val="auto"/>
              </w:rPr>
            </w:pPr>
            <w:r>
              <w:rPr>
                <w:rFonts w:ascii="Courier New" w:cs="Courier New" w:eastAsia="Courier New" w:hAnsi="Courier New"/>
                <w:sz w:val="16"/>
                <w:szCs w:val="16"/>
                <w:color w:val="auto"/>
                <w:w w:val="93"/>
              </w:rPr>
              <w:t>2,</w:t>
            </w:r>
          </w:p>
        </w:tc>
        <w:tc>
          <w:tcPr>
            <w:tcW w:w="560" w:type="dxa"/>
            <w:vAlign w:val="bottom"/>
          </w:tcPr>
          <w:p>
            <w:pPr>
              <w:jc w:val="right"/>
              <w:spacing w:after="0"/>
              <w:rPr>
                <w:sz w:val="20"/>
                <w:szCs w:val="20"/>
                <w:color w:val="auto"/>
              </w:rPr>
            </w:pPr>
            <w:r>
              <w:rPr>
                <w:rFonts w:ascii="Courier New" w:cs="Courier New" w:eastAsia="Courier New" w:hAnsi="Courier New"/>
                <w:sz w:val="7"/>
                <w:szCs w:val="7"/>
                <w:color w:val="auto"/>
                <w:w w:val="71"/>
              </w:rPr>
              <w:t>2002).............</w:t>
            </w:r>
          </w:p>
        </w:tc>
        <w:tc>
          <w:tcPr>
            <w:tcW w:w="19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93.000</w:t>
            </w:r>
          </w:p>
        </w:tc>
        <w:tc>
          <w:tcPr>
            <w:tcW w:w="1100" w:type="dxa"/>
            <w:vAlign w:val="bottom"/>
            <w:gridSpan w:val="2"/>
          </w:tcPr>
          <w:p>
            <w:pPr>
              <w:ind w:left="20"/>
              <w:spacing w:after="0"/>
              <w:rPr>
                <w:sz w:val="20"/>
                <w:szCs w:val="20"/>
                <w:color w:val="auto"/>
              </w:rPr>
            </w:pPr>
            <w:r>
              <w:rPr>
                <w:rFonts w:ascii="Courier New" w:cs="Courier New" w:eastAsia="Courier New" w:hAnsi="Courier New"/>
                <w:sz w:val="16"/>
                <w:szCs w:val="16"/>
                <w:color w:val="auto"/>
              </w:rPr>
              <w:t>91.125</w:t>
            </w:r>
          </w:p>
        </w:tc>
      </w:tr>
      <w:tr>
        <w:trPr>
          <w:trHeight w:val="721"/>
        </w:trPr>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42</w:t>
            </w:r>
          </w:p>
        </w:tc>
      </w:tr>
    </w:tbl>
    <w:p>
      <w:pPr>
        <w:sectPr>
          <w:pgSz w:w="11900" w:h="16838" w:orient="portrait"/>
          <w:cols w:equalWidth="0" w:num="1">
            <w:col w:w="10219"/>
          </w:cols>
          <w:pgMar w:left="240" w:top="834" w:right="1440"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LAST SALE PRICE ON NYSE</w:t>
            </w:r>
          </w:p>
        </w:tc>
        <w:tc>
          <w:tcPr>
            <w:tcW w:w="136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4"/>
              </w:rPr>
              <w:t>----------------------</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5"/>
              </w:rPr>
              <w:t>- HIGH LOW ---------- ----------</w:t>
            </w:r>
          </w:p>
        </w:tc>
        <w:tc>
          <w:tcPr>
            <w:tcW w:w="14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8.125%</w:t>
            </w:r>
          </w:p>
        </w:tc>
      </w:tr>
      <w:tr>
        <w:trPr>
          <w:trHeight w:val="180"/>
        </w:trPr>
        <w:tc>
          <w:tcPr>
            <w:tcW w:w="43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DEBENTURES DUE JANUARY 15, 2022 (NYSE: T 22)</w:t>
            </w:r>
          </w:p>
        </w:tc>
      </w:tr>
      <w:tr>
        <w:trPr>
          <w:trHeight w:val="180"/>
        </w:trPr>
        <w:tc>
          <w:tcPr>
            <w:tcW w:w="480" w:type="dxa"/>
            <w:vAlign w:val="bottom"/>
          </w:tcPr>
          <w:p>
            <w:pPr>
              <w:spacing w:after="0"/>
              <w:rPr>
                <w:sz w:val="15"/>
                <w:szCs w:val="15"/>
                <w:color w:val="auto"/>
              </w:rPr>
            </w:pPr>
          </w:p>
        </w:tc>
        <w:tc>
          <w:tcPr>
            <w:tcW w:w="2460" w:type="dxa"/>
            <w:vAlign w:val="bottom"/>
            <w:gridSpan w:val="2"/>
          </w:tcPr>
          <w:p>
            <w:pPr>
              <w:jc w:val="center"/>
              <w:ind w:left="882"/>
              <w:spacing w:after="0"/>
              <w:rPr>
                <w:sz w:val="20"/>
                <w:szCs w:val="20"/>
                <w:color w:val="auto"/>
              </w:rPr>
            </w:pPr>
            <w:r>
              <w:rPr>
                <w:rFonts w:ascii="Courier New" w:cs="Courier New" w:eastAsia="Courier New" w:hAnsi="Courier New"/>
                <w:sz w:val="16"/>
                <w:szCs w:val="16"/>
                <w:color w:val="auto"/>
                <w:w w:val="97"/>
              </w:rPr>
              <w:t>2000 First</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101.375 98.875 Second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100.375 96.500 Third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100.625 98.375 Fourth</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99.875 93.000 2001 First</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102.375 98.750 Second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102.250 98.875 Third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102.875 101.250 Fourth</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102.750 99.125 2002 First</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103.125 98.000 Second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100.000 75.875 Third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3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92.750 75.250 Fourth Quarter (through October</w:t>
            </w:r>
          </w:p>
        </w:tc>
      </w:tr>
      <w:tr>
        <w:trPr>
          <w:trHeight w:val="180"/>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8"/>
              </w:rPr>
              <w:t>2002).............</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89.500</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6"/>
              </w:rPr>
              <w:t>88.875 8.125%</w:t>
            </w:r>
          </w:p>
        </w:tc>
      </w:tr>
      <w:tr>
        <w:trPr>
          <w:trHeight w:val="180"/>
        </w:trPr>
        <w:tc>
          <w:tcPr>
            <w:tcW w:w="43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DEBENTURES DUE JULY 15, 2024 (NYSE: T 24) 2000</w:t>
            </w:r>
          </w:p>
        </w:tc>
      </w:tr>
      <w:tr>
        <w:trPr>
          <w:trHeight w:val="180"/>
        </w:trPr>
        <w:tc>
          <w:tcPr>
            <w:tcW w:w="480" w:type="dxa"/>
            <w:vAlign w:val="bottom"/>
          </w:tcPr>
          <w:p>
            <w:pPr>
              <w:spacing w:after="0"/>
              <w:rPr>
                <w:sz w:val="15"/>
                <w:szCs w:val="15"/>
                <w:color w:val="auto"/>
              </w:rPr>
            </w:pPr>
          </w:p>
        </w:tc>
        <w:tc>
          <w:tcPr>
            <w:tcW w:w="2460" w:type="dxa"/>
            <w:vAlign w:val="bottom"/>
            <w:gridSpan w:val="2"/>
          </w:tcPr>
          <w:p>
            <w:pPr>
              <w:jc w:val="center"/>
              <w:ind w:left="902"/>
              <w:spacing w:after="0"/>
              <w:rPr>
                <w:sz w:val="20"/>
                <w:szCs w:val="20"/>
                <w:color w:val="auto"/>
              </w:rPr>
            </w:pPr>
            <w:r>
              <w:rPr>
                <w:rFonts w:ascii="Courier New" w:cs="Courier New" w:eastAsia="Courier New" w:hAnsi="Courier New"/>
                <w:sz w:val="16"/>
                <w:szCs w:val="16"/>
                <w:color w:val="auto"/>
                <w:w w:val="99"/>
              </w:rPr>
              <w:t>First</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101.500 98.125 Second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101.125 95.875 Third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100.875 98.000 Fourth</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99.750 92.250 2001 First</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103.000 98.250 Second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102.125 98.750 Third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103.500 101.125 Fourth</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103.500 99.625 2002 First</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103.000 98.250 Second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99.625 75.250 Third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3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91.500 74.625 Fourth Quarter (through October</w:t>
            </w:r>
          </w:p>
        </w:tc>
      </w:tr>
      <w:tr>
        <w:trPr>
          <w:trHeight w:val="180"/>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89.375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87.750</w:t>
            </w: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8.35%</w:t>
            </w:r>
          </w:p>
        </w:tc>
      </w:tr>
      <w:tr>
        <w:trPr>
          <w:trHeight w:val="180"/>
        </w:trPr>
        <w:tc>
          <w:tcPr>
            <w:tcW w:w="43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DEBENTURES DUE 2025 (NYSE: T 25) 2000 First</w:t>
            </w: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104.000 101.125 Second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103.000 97.625 Third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102.500 100.375 Fourth</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102.125 95.125 2001 First</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104.500 99.500 Second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42"/>
              <w:spacing w:after="0"/>
              <w:rPr>
                <w:sz w:val="20"/>
                <w:szCs w:val="20"/>
                <w:color w:val="auto"/>
              </w:rPr>
            </w:pPr>
            <w:r>
              <w:rPr>
                <w:rFonts w:ascii="Courier New" w:cs="Courier New" w:eastAsia="Courier New" w:hAnsi="Courier New"/>
                <w:sz w:val="16"/>
                <w:szCs w:val="16"/>
                <w:color w:val="auto"/>
                <w:w w:val="97"/>
              </w:rPr>
              <w:t>103.750 98.750 Third</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3120" w:type="dxa"/>
            <w:vAlign w:val="bottom"/>
            <w:gridSpan w:val="3"/>
          </w:tcPr>
          <w:p>
            <w:pPr>
              <w:jc w:val="center"/>
              <w:ind w:left="222"/>
              <w:spacing w:after="0"/>
              <w:rPr>
                <w:sz w:val="20"/>
                <w:szCs w:val="20"/>
                <w:color w:val="auto"/>
              </w:rPr>
            </w:pPr>
            <w:r>
              <w:rPr>
                <w:rFonts w:ascii="Courier New" w:cs="Courier New" w:eastAsia="Courier New" w:hAnsi="Courier New"/>
                <w:sz w:val="16"/>
                <w:szCs w:val="16"/>
                <w:color w:val="auto"/>
                <w:w w:val="97"/>
              </w:rPr>
              <w:t>105.250 102.250 Fourth</w:t>
            </w:r>
          </w:p>
        </w:tc>
        <w:tc>
          <w:tcPr>
            <w:tcW w:w="760" w:type="dxa"/>
            <w:vAlign w:val="bottom"/>
          </w:tcPr>
          <w:p>
            <w:pPr>
              <w:spacing w:after="0"/>
              <w:rPr>
                <w:sz w:val="15"/>
                <w:szCs w:val="15"/>
                <w:color w:val="auto"/>
              </w:rPr>
            </w:pPr>
          </w:p>
        </w:tc>
      </w:tr>
      <w:tr>
        <w:trPr>
          <w:trHeight w:val="180"/>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Quarter.......................................</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1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104.750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100.625</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19"/>
          </w:cols>
          <w:pgMar w:left="240" w:top="834" w:right="1440" w:bottom="1440" w:gutter="0" w:footer="0" w:header="0"/>
        </w:sect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834" w:right="1440"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81"/>
        </w:trPr>
        <w:tc>
          <w:tcPr>
            <w:tcW w:w="32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73"/>
              </w:rPr>
              <w:t>LAST SALE PRICE ON NYSE ----------------------</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3260" w:type="dxa"/>
            <w:vAlign w:val="bottom"/>
            <w:gridSpan w:val="5"/>
          </w:tcPr>
          <w:p>
            <w:pPr>
              <w:jc w:val="right"/>
              <w:ind w:right="2"/>
              <w:spacing w:after="0"/>
              <w:rPr>
                <w:sz w:val="20"/>
                <w:szCs w:val="20"/>
                <w:color w:val="auto"/>
              </w:rPr>
            </w:pPr>
            <w:r>
              <w:rPr>
                <w:rFonts w:ascii="Courier New" w:cs="Courier New" w:eastAsia="Courier New" w:hAnsi="Courier New"/>
                <w:sz w:val="16"/>
                <w:szCs w:val="16"/>
                <w:color w:val="auto"/>
              </w:rPr>
              <w:t>- HIGH LOW ---------- ----------</w:t>
            </w:r>
          </w:p>
        </w:tc>
        <w:tc>
          <w:tcPr>
            <w:tcW w:w="10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2002 First</w:t>
            </w: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104.438 100.250 Second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102.250 76.625 Third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92.370</w:t>
            </w:r>
          </w:p>
        </w:tc>
        <w:tc>
          <w:tcPr>
            <w:tcW w:w="3560" w:type="dxa"/>
            <w:vAlign w:val="bottom"/>
            <w:gridSpan w:val="5"/>
          </w:tcPr>
          <w:p>
            <w:pPr>
              <w:spacing w:after="0"/>
              <w:rPr>
                <w:sz w:val="20"/>
                <w:szCs w:val="20"/>
                <w:color w:val="auto"/>
              </w:rPr>
            </w:pPr>
            <w:r>
              <w:rPr>
                <w:rFonts w:ascii="Courier New" w:cs="Courier New" w:eastAsia="Courier New" w:hAnsi="Courier New"/>
                <w:sz w:val="16"/>
                <w:szCs w:val="16"/>
                <w:color w:val="auto"/>
                <w:w w:val="97"/>
              </w:rPr>
              <w:t>77.500 Fourth Quarter (through October</w:t>
            </w:r>
          </w:p>
        </w:tc>
      </w:tr>
      <w:tr>
        <w:trPr>
          <w:trHeight w:val="180"/>
        </w:trPr>
        <w:tc>
          <w:tcPr>
            <w:tcW w:w="480" w:type="dxa"/>
            <w:vAlign w:val="bottom"/>
          </w:tcPr>
          <w:p>
            <w:pPr>
              <w:jc w:val="center"/>
              <w:ind w:left="219"/>
              <w:spacing w:after="0"/>
              <w:rPr>
                <w:sz w:val="20"/>
                <w:szCs w:val="20"/>
                <w:color w:val="auto"/>
              </w:rPr>
            </w:pPr>
            <w:r>
              <w:rPr>
                <w:rFonts w:ascii="Courier New" w:cs="Courier New" w:eastAsia="Courier New" w:hAnsi="Courier New"/>
                <w:sz w:val="16"/>
                <w:szCs w:val="16"/>
                <w:color w:val="auto"/>
                <w:w w:val="93"/>
              </w:rPr>
              <w:t>2,</w:t>
            </w:r>
          </w:p>
        </w:tc>
        <w:tc>
          <w:tcPr>
            <w:tcW w:w="8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2002).............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89.500</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88.875</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6.50%</w:t>
            </w:r>
          </w:p>
        </w:tc>
      </w:tr>
      <w:tr>
        <w:trPr>
          <w:trHeight w:val="180"/>
        </w:trPr>
        <w:tc>
          <w:tcPr>
            <w:tcW w:w="4300" w:type="dxa"/>
            <w:vAlign w:val="bottom"/>
            <w:gridSpan w:val="7"/>
          </w:tcPr>
          <w:p>
            <w:pPr>
              <w:jc w:val="center"/>
              <w:ind w:left="59"/>
              <w:spacing w:after="0"/>
              <w:rPr>
                <w:sz w:val="20"/>
                <w:szCs w:val="20"/>
                <w:color w:val="auto"/>
              </w:rPr>
            </w:pPr>
            <w:r>
              <w:rPr>
                <w:rFonts w:ascii="Courier New" w:cs="Courier New" w:eastAsia="Courier New" w:hAnsi="Courier New"/>
                <w:sz w:val="16"/>
                <w:szCs w:val="16"/>
                <w:color w:val="auto"/>
                <w:w w:val="97"/>
              </w:rPr>
              <w:t>NOTES DUE 2029 (NYSE: T 29) 2000 First</w:t>
            </w: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86.125 83.125 Second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7"/>
              </w:rPr>
              <w:t>88.250 78.250 Third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84.625 81.375 Fourth</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82.875 78.000 2001 First</w:t>
            </w: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89.375 81.000 Second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7"/>
              </w:rPr>
              <w:t>87.500 81.875 Third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89.000 83.375 Fourth</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90.500 82.625 2002 First</w:t>
            </w: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88.875 82.625 Second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7"/>
              </w:rPr>
              <w:t>84.375 65.875 Third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84.250</w:t>
            </w:r>
          </w:p>
        </w:tc>
        <w:tc>
          <w:tcPr>
            <w:tcW w:w="3560" w:type="dxa"/>
            <w:vAlign w:val="bottom"/>
            <w:gridSpan w:val="5"/>
          </w:tcPr>
          <w:p>
            <w:pPr>
              <w:spacing w:after="0"/>
              <w:rPr>
                <w:sz w:val="20"/>
                <w:szCs w:val="20"/>
                <w:color w:val="auto"/>
              </w:rPr>
            </w:pPr>
            <w:r>
              <w:rPr>
                <w:rFonts w:ascii="Courier New" w:cs="Courier New" w:eastAsia="Courier New" w:hAnsi="Courier New"/>
                <w:sz w:val="16"/>
                <w:szCs w:val="16"/>
                <w:color w:val="auto"/>
                <w:w w:val="97"/>
              </w:rPr>
              <w:t>60.750 Fourth Quarter (through October</w:t>
            </w:r>
          </w:p>
        </w:tc>
      </w:tr>
      <w:tr>
        <w:trPr>
          <w:trHeight w:val="180"/>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c>
          <w:tcPr>
            <w:tcW w:w="8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2002).............</w:t>
            </w:r>
          </w:p>
        </w:tc>
        <w:tc>
          <w:tcPr>
            <w:tcW w:w="1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85.000</w:t>
            </w:r>
          </w:p>
        </w:tc>
        <w:tc>
          <w:tcPr>
            <w:tcW w:w="136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6"/>
              </w:rPr>
              <w:t>82.875 8.625%</w:t>
            </w:r>
          </w:p>
        </w:tc>
      </w:tr>
      <w:tr>
        <w:trPr>
          <w:trHeight w:val="180"/>
        </w:trPr>
        <w:tc>
          <w:tcPr>
            <w:tcW w:w="4300" w:type="dxa"/>
            <w:vAlign w:val="bottom"/>
            <w:gridSpan w:val="7"/>
          </w:tcPr>
          <w:p>
            <w:pPr>
              <w:jc w:val="center"/>
              <w:ind w:left="59"/>
              <w:spacing w:after="0"/>
              <w:rPr>
                <w:sz w:val="20"/>
                <w:szCs w:val="20"/>
                <w:color w:val="auto"/>
              </w:rPr>
            </w:pPr>
            <w:r>
              <w:rPr>
                <w:rFonts w:ascii="Courier New" w:cs="Courier New" w:eastAsia="Courier New" w:hAnsi="Courier New"/>
                <w:sz w:val="16"/>
                <w:szCs w:val="16"/>
                <w:color w:val="auto"/>
                <w:w w:val="97"/>
              </w:rPr>
              <w:t>DEBENTURES DUE DECEMBER 1, 2031 (NYSE: T 31)</w:t>
            </w: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2000 First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103.875 101.375 Second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102.750 98.500 Third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102.875 100.750 Fourth</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102.125 96.125 2001 First</w:t>
            </w: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105.250 99.000 Second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104.250 100.125 Third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105.375 103.500 Fourth</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105.000 101.125 2002 First</w:t>
            </w: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04"/>
              <w:spacing w:after="0"/>
              <w:rPr>
                <w:sz w:val="20"/>
                <w:szCs w:val="20"/>
                <w:color w:val="auto"/>
              </w:rPr>
            </w:pPr>
            <w:r>
              <w:rPr>
                <w:rFonts w:ascii="Courier New" w:cs="Courier New" w:eastAsia="Courier New" w:hAnsi="Courier New"/>
                <w:sz w:val="16"/>
                <w:szCs w:val="16"/>
                <w:color w:val="auto"/>
                <w:w w:val="97"/>
              </w:rPr>
              <w:t>105.000 100.625 Second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3"/>
          </w:tcPr>
          <w:p>
            <w:pPr>
              <w:jc w:val="center"/>
              <w:ind w:left="324"/>
              <w:spacing w:after="0"/>
              <w:rPr>
                <w:sz w:val="20"/>
                <w:szCs w:val="20"/>
                <w:color w:val="auto"/>
              </w:rPr>
            </w:pPr>
            <w:r>
              <w:rPr>
                <w:rFonts w:ascii="Courier New" w:cs="Courier New" w:eastAsia="Courier New" w:hAnsi="Courier New"/>
                <w:sz w:val="16"/>
                <w:szCs w:val="16"/>
                <w:color w:val="auto"/>
                <w:w w:val="97"/>
              </w:rPr>
              <w:t>102.875 79.000 Third</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300" w:type="dxa"/>
            <w:vAlign w:val="bottom"/>
            <w:gridSpan w:val="3"/>
          </w:tcPr>
          <w:p>
            <w:pPr>
              <w:jc w:val="center"/>
              <w:spacing w:after="0"/>
              <w:rPr>
                <w:sz w:val="20"/>
                <w:szCs w:val="20"/>
                <w:color w:val="auto"/>
              </w:rPr>
            </w:pPr>
            <w:r>
              <w:rPr>
                <w:rFonts w:ascii="Courier New" w:cs="Courier New" w:eastAsia="Courier New" w:hAnsi="Courier New"/>
                <w:sz w:val="6"/>
                <w:szCs w:val="6"/>
                <w:color w:val="auto"/>
                <w:w w:val="76"/>
              </w:rPr>
              <w:t>Quarter........................................</w:t>
            </w: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92.750</w:t>
            </w:r>
          </w:p>
        </w:tc>
        <w:tc>
          <w:tcPr>
            <w:tcW w:w="3560" w:type="dxa"/>
            <w:vAlign w:val="bottom"/>
            <w:gridSpan w:val="5"/>
          </w:tcPr>
          <w:p>
            <w:pPr>
              <w:spacing w:after="0"/>
              <w:rPr>
                <w:sz w:val="20"/>
                <w:szCs w:val="20"/>
                <w:color w:val="auto"/>
              </w:rPr>
            </w:pPr>
            <w:r>
              <w:rPr>
                <w:rFonts w:ascii="Courier New" w:cs="Courier New" w:eastAsia="Courier New" w:hAnsi="Courier New"/>
                <w:sz w:val="16"/>
                <w:szCs w:val="16"/>
                <w:color w:val="auto"/>
                <w:w w:val="97"/>
              </w:rPr>
              <w:t>78.500 Fourth Quarter (through October</w:t>
            </w:r>
          </w:p>
        </w:tc>
      </w:tr>
      <w:tr>
        <w:trPr>
          <w:trHeight w:val="180"/>
        </w:trPr>
        <w:tc>
          <w:tcPr>
            <w:tcW w:w="480" w:type="dxa"/>
            <w:vAlign w:val="bottom"/>
          </w:tcPr>
          <w:p>
            <w:pPr>
              <w:spacing w:after="0"/>
              <w:rPr>
                <w:sz w:val="15"/>
                <w:szCs w:val="15"/>
                <w:color w:val="auto"/>
              </w:rPr>
            </w:pPr>
          </w:p>
        </w:tc>
        <w:tc>
          <w:tcPr>
            <w:tcW w:w="2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3"/>
              </w:rPr>
              <w:t>2,</w:t>
            </w:r>
          </w:p>
        </w:tc>
        <w:tc>
          <w:tcPr>
            <w:tcW w:w="560" w:type="dxa"/>
            <w:vAlign w:val="bottom"/>
          </w:tcPr>
          <w:p>
            <w:pPr>
              <w:jc w:val="right"/>
              <w:spacing w:after="0"/>
              <w:rPr>
                <w:sz w:val="20"/>
                <w:szCs w:val="20"/>
                <w:color w:val="auto"/>
              </w:rPr>
            </w:pPr>
            <w:r>
              <w:rPr>
                <w:rFonts w:ascii="Courier New" w:cs="Courier New" w:eastAsia="Courier New" w:hAnsi="Courier New"/>
                <w:sz w:val="7"/>
                <w:szCs w:val="7"/>
                <w:color w:val="auto"/>
                <w:w w:val="71"/>
              </w:rPr>
              <w:t>2002).............</w:t>
            </w:r>
          </w:p>
        </w:tc>
        <w:tc>
          <w:tcPr>
            <w:tcW w:w="19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95.500</w:t>
            </w:r>
          </w:p>
        </w:tc>
        <w:tc>
          <w:tcPr>
            <w:tcW w:w="10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w w:val="97"/>
              </w:rPr>
              <w:t>94.500</w:t>
            </w:r>
          </w:p>
        </w:tc>
      </w:tr>
      <w:tr>
        <w:trPr>
          <w:trHeight w:val="721"/>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44</w:t>
            </w:r>
          </w:p>
        </w:tc>
      </w:tr>
    </w:tbl>
    <w:p>
      <w:pPr>
        <w:sectPr>
          <w:pgSz w:w="11900" w:h="16838" w:orient="portrait"/>
          <w:cols w:equalWidth="0" w:num="1">
            <w:col w:w="10219"/>
          </w:cols>
          <w:pgMar w:left="240" w:top="834" w:right="1440" w:bottom="1440" w:gutter="0" w:footer="0" w:header="0"/>
        </w:sectPr>
      </w:pPr>
    </w:p>
    <w:bookmarkStart w:id="62" w:name="page63"/>
    <w:bookmarkEnd w:id="62"/>
    <w:p>
      <w:pPr>
        <w:jc w:val="center"/>
        <w:ind w:right="2719"/>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An investment in the Broadband Exchange Notes, New Broadband Notes or New AT&amp;T Notes involves a number of risks. You should consider the following information about these risks, as well as the other information included in and incorporated by reference into this prospectus. In particular you should consider the risk factors discussed in AT&amp;T's and Comcast Cable's filings with the SEC.</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EXCHANGE OFFER</w:t>
      </w:r>
    </w:p>
    <w:p>
      <w:pPr>
        <w:spacing w:after="0" w:line="185" w:lineRule="exact"/>
        <w:rPr>
          <w:sz w:val="20"/>
          <w:szCs w:val="20"/>
          <w:color w:val="auto"/>
        </w:rPr>
      </w:pPr>
    </w:p>
    <w:p>
      <w:pPr>
        <w:ind w:left="180" w:right="2719"/>
        <w:spacing w:after="0" w:line="238" w:lineRule="auto"/>
        <w:rPr>
          <w:sz w:val="20"/>
          <w:szCs w:val="20"/>
          <w:color w:val="auto"/>
        </w:rPr>
      </w:pPr>
      <w:r>
        <w:rPr>
          <w:rFonts w:ascii="Courier New" w:cs="Courier New" w:eastAsia="Courier New" w:hAnsi="Courier New"/>
          <w:sz w:val="16"/>
          <w:szCs w:val="16"/>
          <w:color w:val="auto"/>
        </w:rPr>
        <w:t>THE NEW BROADBAND NOTES WILL BE UNSECURED AND WILL RANK EQUALLY WITH THE OTHER UNSECURED OBLIGATIONS OF BROADBAND AND WILL BE EFFECTIVELY SUBORDINATED TO THE INDEBTEDNESS AND OTHER OBLIGATIONS OF ANY SUBSIDIARY OF BROADBAND THAT IS NOT A CABLE GUARANTOR, WHILE THE CABLE GUARANTEES OF THE NEW BROADBAND NOTES BY THE CABLE GUARANTORS AT&amp;T COMCAST, COMCAST CABLE, MEDIAONE AND TCI WILL BE EFFECTIVELY SUBORDINATED TO THE INDEBTEDNESS AND OTHER OBLIGATIONS OF ANY SUBSIDIARIES OF THE CABLE GUARANTORS (OTHER THAN BROADBAND) THAT ARE NOT THEMSELVES CABLE GUARANTORS.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New Broadband Notes will be unsecured and will be effectively subordinated to the indebtedness and other obligations, including trade payables, of all subsidiaries of Broadband other than MediaOne and TCI, and of all subsidiaries of AT&amp;T Comcast other than Broadband that are not themselves cable guarantors. "Effectively subordinated" means that in the event of bankruptcy, liquidation or reorganization of an obligor, the assets of each subsidiary of that obligor will be available to pay obligations of the obligor only after all of the indebtedness and other obligations of that subsidiary have been paid in full. The indenture for the New Broadband Notes does not prohibit or limit the incurrence of additional indebtedness and other liabilities by Broadband, any of the cable guarantors or any of their subsidiaries other than certain limits on the incurrence of additional secured indebtedness by Broadband or the cable guarantors. The incurrence of additional indebtedness and other liabilities by Broadband, by the cable guarantors or by their subsidiaries, or of additional indebtedness and other liabilities by AT&amp;T that are assumed by Broadband or the cable guarantors in connection with the AT&amp;T Comcast transaction, could adversely affect Broadband's or the cable guarantors' ability to pay their obligations on the New Broadband Notes. In addition, prior to the consummation of the AT&amp;T Comcast transaction, Broadband will be a shell company. If, as a result of the foregoing, Broadband is unable to pay its obligations under the New Broadband Notes, it will be necessary for you to rely on the cable guarantees to receive payment. See "Description of the New Broadband Notes and the Cable Guarantees -- Cable Guarantees."</w:t>
      </w:r>
    </w:p>
    <w:p>
      <w:pPr>
        <w:spacing w:after="0" w:line="357" w:lineRule="exact"/>
        <w:rPr>
          <w:sz w:val="20"/>
          <w:szCs w:val="20"/>
          <w:color w:val="auto"/>
        </w:rPr>
      </w:pPr>
    </w:p>
    <w:p>
      <w:pPr>
        <w:ind w:left="180" w:right="2899"/>
        <w:spacing w:after="0" w:line="237" w:lineRule="auto"/>
        <w:rPr>
          <w:sz w:val="20"/>
          <w:szCs w:val="20"/>
          <w:color w:val="auto"/>
        </w:rPr>
      </w:pPr>
      <w:r>
        <w:rPr>
          <w:rFonts w:ascii="Courier New" w:cs="Courier New" w:eastAsia="Courier New" w:hAnsi="Courier New"/>
          <w:sz w:val="16"/>
          <w:szCs w:val="16"/>
          <w:color w:val="auto"/>
        </w:rPr>
        <w:t>AT&amp;T WILL NOT BE AN OBLIGOR UNDER THE NEW BROADBAND NOTES, AND AT&amp;T's CO-OBLIGATION UNDER THE BROADBAND EXCHANGE NOTES WILL BE UNSECURED AND WILL RANK EQUALLY WITH THE OTHER UNSECURED OBLIGATIONS OF AT&amp;T, AND WILL BE EFFECTIVELY SUBORDINATED TO THE INDEBTEDNESS AND OTHER OBLIGATIONS OF AT&amp;T'S SUBSIDIARIES OTHER THAN BROADBAND.</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will not be an obligor of the New Broadband Notes. Accordingly if the AT&amp;T Comcast transaction is consummated, and Broadband is thereafter unable to pay its obligations under the New Broadband Notes, it will be necessary for you to rely on the cable guarantees of AT&amp;T Comcast, Comcast Cable, MediaOne and TCI to receive payment. AT&amp;T's obligation with respect to the Broadband Exchange Notes will be effectively subordinated to all indebtedness and other obligations, including trade payables, of AT&amp;T's subsidiaries other than Broadband. The supplemental indenture for the Broadband Exchange Notes will not place any restrictions on the incurrence of additional indebtedness and other liabilities by AT&amp;T or any of its subsidiaries other than certain limits on the incurrence of additional secured indebtedness by Broadband or the cable guarantors. The incurrence of additional indebtedness and other liabilities by AT&amp;T and its subsidiaries could adversely affect AT&amp;T's ability to pay its obligations under the Broadband Exchange Notes. In addition, prior to the consummation of the AT&amp;T Comcast transaction, Broadband will be a shell company. If, as a result of the foregoing, Broadband is unable to pay its obligations under the Broadband Exchange Notes, it will be necessary for you to rely on AT&amp;T's co-obligation.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4" w:right="1440" w:bottom="1440" w:gutter="0" w:footer="0" w:header="0"/>
        </w:sectPr>
      </w:pPr>
    </w:p>
    <w:bookmarkStart w:id="63" w:name="page64"/>
    <w:bookmarkEnd w:id="63"/>
    <w:p>
      <w:pPr>
        <w:ind w:left="180" w:right="2999"/>
        <w:spacing w:after="0" w:line="236" w:lineRule="auto"/>
        <w:rPr>
          <w:sz w:val="20"/>
          <w:szCs w:val="20"/>
          <w:color w:val="auto"/>
        </w:rPr>
      </w:pPr>
      <w:r>
        <w:rPr>
          <w:rFonts w:ascii="Courier New" w:cs="Courier New" w:eastAsia="Courier New" w:hAnsi="Courier New"/>
          <w:sz w:val="16"/>
          <w:szCs w:val="16"/>
          <w:color w:val="auto"/>
        </w:rPr>
        <w:t>THE NEW AT&amp;T NOTES WILL BE EFFECTIVELY SUBORDINATED TO THE INDEBTEDNESS AND OTHER OBLIGATIONS OF ALL SUBSIDIARIES OF AT&amp;T.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AT&amp;T Notes will be effectively subordinated to the indebtedness and other obligations, including trade payables, of all subsidiaries of AT&amp;T. The indenture for the New AT&amp;T Notes will not place any restrictions on the incurrence of additional indebtedness and other liabilities by AT&amp;T or any of its subsidiaries other than certain limits on secured indebtedness. The incurrence of additional indebtedness and other liabilities by AT&amp;T and its subsidiaries could adversely affect AT&amp;T's ability to pay its obligations on the New AT&amp;T Notes.</w:t>
      </w:r>
    </w:p>
    <w:p>
      <w:pPr>
        <w:spacing w:after="0" w:line="185" w:lineRule="exact"/>
        <w:rPr>
          <w:sz w:val="20"/>
          <w:szCs w:val="20"/>
          <w:color w:val="auto"/>
        </w:rPr>
      </w:pPr>
    </w:p>
    <w:p>
      <w:pPr>
        <w:ind w:left="180" w:right="3179"/>
        <w:spacing w:after="0" w:line="236" w:lineRule="auto"/>
        <w:rPr>
          <w:sz w:val="20"/>
          <w:szCs w:val="20"/>
          <w:color w:val="auto"/>
        </w:rPr>
      </w:pPr>
      <w:r>
        <w:rPr>
          <w:rFonts w:ascii="Courier New" w:cs="Courier New" w:eastAsia="Courier New" w:hAnsi="Courier New"/>
          <w:sz w:val="16"/>
          <w:szCs w:val="16"/>
          <w:color w:val="auto"/>
        </w:rPr>
        <w:t>NO PUBLIC TRADING MARKET EXISTS FOR THE BROADBAND EXCHANGE NOTES, THE NEW BROADBAND NOTES OR THE NEW AT&amp;T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No established public trading market for the Broadband Exchange Notes, the New Broadband Notes or the New AT&amp;T Notes exists and there can be no assurance that a liquid trading market for these notes will develop, that holders of these notes will be able to sell those notes, the price at which the holders of these notes would be able to sell those notes or whether a public trading market, if it develops, will continue. If a public trading market were to develop, the Broadband Exchange Notes, New Broadband Notes or the New AT&amp;T Notes could trade at prices higher or lower than their principal amount, depending on many factors, including prevailing interest rates, the market for similar securities and Broadband's, AT&amp;T's or the cable guarantors' operating results.</w:t>
      </w:r>
    </w:p>
    <w:p>
      <w:pPr>
        <w:spacing w:after="0" w:line="179" w:lineRule="exact"/>
        <w:rPr>
          <w:sz w:val="20"/>
          <w:szCs w:val="20"/>
          <w:color w:val="auto"/>
        </w:rPr>
      </w:pPr>
    </w:p>
    <w:p>
      <w:pPr>
        <w:ind w:left="100" w:right="2719"/>
        <w:spacing w:after="0" w:line="237" w:lineRule="auto"/>
        <w:rPr>
          <w:sz w:val="20"/>
          <w:szCs w:val="20"/>
          <w:color w:val="auto"/>
        </w:rPr>
      </w:pPr>
      <w:r>
        <w:rPr>
          <w:rFonts w:ascii="Courier New" w:cs="Courier New" w:eastAsia="Courier New" w:hAnsi="Courier New"/>
          <w:sz w:val="16"/>
          <w:szCs w:val="16"/>
          <w:color w:val="auto"/>
        </w:rPr>
        <w:t>IF YOU DO NOT TENDER YOUR BROADBAND ELIGIBLE NOTES OR AT&amp;T ELIGIBLE NOTES, OR ANY OF YOUR BROADBAND ELIGIBLE NOTES ARE NOT ACCEPTED AS A RESULT OF PRORATION, THE ELIGIBLE NOTES YOU RETAIN ARE EXPECTED TO BECOME LESS LIQUID AS A RESULT OF THE EXCHANGE OFFER.</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Because we anticipate that most holders of the Broadband Eligible Notes and AT&amp;T Eligible Notes will elect to exchange their eligible notes, we expect that the liquidity of the markets, if any, for eligible notes remaining after the completion of the exchange offer may be substantially reduced. Any eligible notes tendered and exchanged in the exchange offer will reduce the aggregate principal amount of the eligible notes outstanding. After the exchange offer, one or more series of Broadband Eligible Notes or AT&amp;T Eligible Notes currently listed on the NYSE may be subject to delisting.</w:t>
      </w:r>
    </w:p>
    <w:p>
      <w:pPr>
        <w:spacing w:after="0" w:line="185" w:lineRule="exact"/>
        <w:rPr>
          <w:sz w:val="20"/>
          <w:szCs w:val="20"/>
          <w:color w:val="auto"/>
        </w:rPr>
      </w:pPr>
    </w:p>
    <w:p>
      <w:pPr>
        <w:ind w:left="100" w:right="2899"/>
        <w:spacing w:after="0" w:line="237" w:lineRule="auto"/>
        <w:rPr>
          <w:sz w:val="20"/>
          <w:szCs w:val="20"/>
          <w:color w:val="auto"/>
        </w:rPr>
      </w:pPr>
      <w:r>
        <w:rPr>
          <w:rFonts w:ascii="Courier New" w:cs="Courier New" w:eastAsia="Courier New" w:hAnsi="Courier New"/>
          <w:sz w:val="16"/>
          <w:szCs w:val="16"/>
          <w:color w:val="auto"/>
        </w:rPr>
        <w:t>IF WE DO NOT RECEIVE CONSENT TO THE NOTE AMENDMENT FROM HOLDERS OF THE REQUISITE AMOUNT OF AT&amp;T NOTES, AT&amp;T COULD BE REQUIRED TO REFINANCE THAT INDEBTEDNESS OR WE MAY NOT BE ABLE TO COMPLETE THE AT&amp;T COMCAST TRANSACTION, AND THE VALUE OF THE AT&amp;T NOTES, NEW BROADBAND NOTES AND NEW AT&amp;T NOTES COULD BE ADVERSELY AFFECTED.</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AT&amp;T Comcast transaction is conditioned on AT&amp;T's obtaining the consents, or deemed consents in the exchange offer, or having defeased, purchased, retired or acquired debt in respect of series representing at least 90% in aggregate principal amount outstanding on December 19, 2001, which was approximately $12.7 billion, of debt securities issued under the AT&amp;T Indenture. AT&amp;T and Comcast could mutually agree to waive this condition with respect to all or any portion of the AT&amp;T Notes for which consents, or deemed consents, are not obtained. If holders of the AT&amp;T Notes were to assert successfully that completing the AT&amp;T Comcast transaction required Broadband or one of its affiliates to assume AT&amp;T's obligations under the AT&amp;T Notes and that did not occur, then AT&amp;T could be required to refinance that indebtedness. Depending on the amount of such indebtedness, market conditions and other factors, this could have a material adverse effect on AT&amp;T, including its liquidity, and the value of its securities, including its indebtedness. There can be no assurance that AT&amp;T would be able to obtain additional financing on terms that would not materially adversely affect AT&amp;T or the value of the AT&amp;T Notes, Broadband Exchange Notes or New AT&amp;T Notes, or that AT&amp;T's ability to complete the AT&amp;T Comcast transaction would not be materially adversely affected.</w:t>
      </w:r>
    </w:p>
    <w:p>
      <w:pPr>
        <w:spacing w:after="0" w:line="35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59" w:right="1440" w:bottom="1440" w:gutter="0" w:footer="0" w:header="0"/>
        </w:sectPr>
      </w:pPr>
    </w:p>
    <w:bookmarkStart w:id="64" w:name="page65"/>
    <w:bookmarkEnd w:id="64"/>
    <w:p>
      <w:pPr>
        <w:ind w:left="100" w:right="2819"/>
        <w:spacing w:after="0" w:line="237" w:lineRule="auto"/>
        <w:rPr>
          <w:sz w:val="20"/>
          <w:szCs w:val="20"/>
          <w:color w:val="auto"/>
        </w:rPr>
      </w:pPr>
      <w:r>
        <w:rPr>
          <w:rFonts w:ascii="Courier New" w:cs="Courier New" w:eastAsia="Courier New" w:hAnsi="Courier New"/>
          <w:sz w:val="16"/>
          <w:szCs w:val="16"/>
          <w:color w:val="auto"/>
        </w:rPr>
        <w:t>IF YOU DO NOT TENDER ELIGIBLE NOTES OR OTHERWISE CONSENT TO THE NOTE AMENDMENT AND THE NOTE AMENDMENT IS APPROVED WITH RESPECT TO THE SERIES OF NOTES YOU HOLD, THE TERMS OF YOUR NOTES WILL BE AMENDED EVEN THOUGH YOU WITHHELD YOUR CONSENT AND YOU WILL RECEIVE NO COMPENSATION FOR THIS NOTE AMENDMENT AND ANY RESULTING RISKS.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terms of your notes will be amended whether or not you tender if the note amendment is consented to by the holders of at least 50% by principal amount of the applicable series of notes. For these purposes, all of the Series A Medium Term Notes will be treated as a single series. This means that you will hold notes that will remain obligations of AT&amp;T, but AT&amp;T will no longer include its broadband businesses and will consist of a smaller pool of less diversified assets. You will not receive a consent payment or otherwise be compensated for this change in the terms of your notes and any risks that result, and your notes will not benefit from the cable guarantees.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AT&amp;T COMCAST TRANSACTION</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to the other information contained in or incorporated by reference in this prospectus, you should carefully consider the following risk factors in deciding whether to tender your Broadband Eligible Notes and/or AT&amp;T Eligible Notes in the exchange offer.</w:t>
      </w:r>
    </w:p>
    <w:p>
      <w:pPr>
        <w:spacing w:after="0" w:line="186" w:lineRule="exact"/>
        <w:rPr>
          <w:sz w:val="20"/>
          <w:szCs w:val="20"/>
          <w:color w:val="auto"/>
        </w:rPr>
      </w:pPr>
    </w:p>
    <w:p>
      <w:pPr>
        <w:ind w:left="100" w:right="2899"/>
        <w:spacing w:after="0" w:line="236" w:lineRule="auto"/>
        <w:rPr>
          <w:sz w:val="20"/>
          <w:szCs w:val="20"/>
          <w:color w:val="auto"/>
        </w:rPr>
      </w:pPr>
      <w:r>
        <w:rPr>
          <w:rFonts w:ascii="Courier New" w:cs="Courier New" w:eastAsia="Courier New" w:hAnsi="Courier New"/>
          <w:sz w:val="16"/>
          <w:szCs w:val="16"/>
          <w:color w:val="auto"/>
        </w:rPr>
        <w:t>AT&amp;T COMCAST MAY FAIL TO REALIZE THE ANTICIPATED BENEFITS OF THE AT&amp;T COMCAST TRANSACTION.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will combine two companies that have previously operated separately. Comcast and Broadband expect to realize cost savings and other financial and operating benefits as a result of the AT&amp;T Comcast transaction. However, Comcast and Broadband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and Broadband will also require substantial attention from management. The diversion of management attention and any difficulties associated with integrating Comcast and Broadband could have a material adverse effect on AT&amp;T Comcast's operating results.</w:t>
      </w:r>
    </w:p>
    <w:p>
      <w:pPr>
        <w:spacing w:after="0" w:line="188" w:lineRule="exact"/>
        <w:rPr>
          <w:sz w:val="20"/>
          <w:szCs w:val="20"/>
          <w:color w:val="auto"/>
        </w:rPr>
      </w:pPr>
    </w:p>
    <w:p>
      <w:pPr>
        <w:ind w:left="100" w:right="2899"/>
        <w:spacing w:after="0" w:line="236" w:lineRule="auto"/>
        <w:rPr>
          <w:sz w:val="20"/>
          <w:szCs w:val="20"/>
          <w:color w:val="auto"/>
        </w:rPr>
      </w:pPr>
      <w:r>
        <w:rPr>
          <w:rFonts w:ascii="Courier New" w:cs="Courier New" w:eastAsia="Courier New" w:hAnsi="Courier New"/>
          <w:sz w:val="16"/>
          <w:szCs w:val="16"/>
          <w:color w:val="auto"/>
        </w:rPr>
        <w:t>IF WE DO NOT COMPLETE THE AT&amp;T COMCAST TRANSACTION, AT&amp;T AND THE VALUE OF THE SECURITIES OFFERED MAY BE MATERIALLY ADVERSELY AFFECTED.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of AT&amp;T Notes should consider that the nature and the value of the securities they will receive in this exchange offer may be materially affected by whether the AT&amp;T Comcast transaction is completed. If the AT&amp;T Comcast transaction is not completed, the Broadband Exchange Notes will not be exchanged for the New Broadband Notes, AT&amp;T will become the sole obligor under the Broadband Exchange Notes, with Broadband released as an obligor, and the cable guarantees will not be provided, and the interest rates and maturity of the New AT&amp;T Notes will remain the same as the interest rates and maturity under the AT&amp;T Eligible Notes.</w:t>
      </w:r>
    </w:p>
    <w:p>
      <w:pPr>
        <w:spacing w:after="0" w:line="186"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AT&amp;T Comcast transaction is subject to a number of conditions, including without limitation receipt of Internal Revenue Service rulings, regulatory approvals and the consent of the holders in respect of series representing at least 90% in aggregate principal amount of specified indebtedness of AT&amp;T as contemplated by this prospectus. We cannot assure you that these conditions will be met or that the AT&amp;T Comcast transaction will be completed.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AT&amp;T Comcast transaction is not completed, there could be a material adverse effect on AT&amp;T and the value of its securities, including its indebtedness and any notes issued in this exchange offer. Also, one of the anticipated benefits of the AT&amp;T Comcast transaction is the anticipated improvement in AT&amp;T's debt levels. If the AT&amp;T Comcast transaction is not completed, AT&amp;T's credit ratings could be materially adversely affected, which could have a material adverse effect on AT&amp;T and could have a material adverse effect on the trading price of its securities, including its indebtedness.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59" w:right="1440" w:bottom="1440" w:gutter="0" w:footer="0" w:header="0"/>
        </w:sectPr>
      </w:pPr>
    </w:p>
    <w:bookmarkStart w:id="65" w:name="page66"/>
    <w:bookmarkEnd w:id="65"/>
    <w:p>
      <w:pPr>
        <w:ind w:left="100" w:right="3099"/>
        <w:spacing w:after="0" w:line="236" w:lineRule="auto"/>
        <w:rPr>
          <w:sz w:val="20"/>
          <w:szCs w:val="20"/>
          <w:color w:val="auto"/>
        </w:rPr>
      </w:pPr>
      <w:r>
        <w:rPr>
          <w:rFonts w:ascii="Courier New" w:cs="Courier New" w:eastAsia="Courier New" w:hAnsi="Courier New"/>
          <w:sz w:val="16"/>
          <w:szCs w:val="16"/>
          <w:color w:val="auto"/>
        </w:rPr>
        <w:t>REGULATORY AGENCIES MAY IMPOSE CONDITIONS ON APPROVALS RELATING TO THE AT&amp;T COMCAST TRANSACTION.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Before the AT&amp;T Comcast transaction may be completed, various approvals must be obtained from, or notifications submitted to, among others, the Antitrust Division of the U.S. Department of Justice, the Federal Trade Commission, the Federal Communications Commission, the IRS and numerous state and local authorities. These governmental entities may attempt to condition their approval of the AT&amp;T Comcast transaction, or of the transfer to AT&amp;T Comcast of licenses and other entitlements, on the imposition of certain conditions that could have a material adverse effect on AT&amp;T Comcast's operating results.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all consents of the FCC required to complete the AT&amp;T Comcast transaction.</w:t>
      </w:r>
    </w:p>
    <w:p>
      <w:pPr>
        <w:spacing w:after="0" w:line="187" w:lineRule="exact"/>
        <w:rPr>
          <w:sz w:val="20"/>
          <w:szCs w:val="20"/>
          <w:color w:val="auto"/>
        </w:rPr>
      </w:pPr>
    </w:p>
    <w:p>
      <w:pPr>
        <w:ind w:left="100" w:right="2899"/>
        <w:spacing w:after="0" w:line="236" w:lineRule="auto"/>
        <w:rPr>
          <w:sz w:val="20"/>
          <w:szCs w:val="20"/>
          <w:color w:val="auto"/>
        </w:rPr>
      </w:pPr>
      <w:r>
        <w:rPr>
          <w:rFonts w:ascii="Courier New" w:cs="Courier New" w:eastAsia="Courier New" w:hAnsi="Courier New"/>
          <w:sz w:val="16"/>
          <w:szCs w:val="16"/>
          <w:color w:val="auto"/>
        </w:rPr>
        <w:t>AT&amp;T COMCAST WILL HAVE TO ABIDE BY RESTRICTIONS TO PRESERVE THE TAX TREATMENT OF THE AT&amp;T COMCAST TRANSACTION.</w:t>
      </w:r>
    </w:p>
    <w:p>
      <w:pPr>
        <w:spacing w:after="0" w:line="185" w:lineRule="exact"/>
        <w:rPr>
          <w:sz w:val="20"/>
          <w:szCs w:val="20"/>
          <w:color w:val="auto"/>
        </w:rPr>
      </w:pPr>
    </w:p>
    <w:p>
      <w:pPr>
        <w:ind w:right="2899" w:firstLine="469"/>
        <w:spacing w:after="0" w:line="255" w:lineRule="auto"/>
        <w:rPr>
          <w:sz w:val="20"/>
          <w:szCs w:val="20"/>
          <w:color w:val="auto"/>
        </w:rPr>
      </w:pPr>
      <w:r>
        <w:rPr>
          <w:rFonts w:ascii="Courier New" w:cs="Courier New" w:eastAsia="Courier New" w:hAnsi="Courier New"/>
          <w:sz w:val="15"/>
          <w:szCs w:val="15"/>
          <w:color w:val="auto"/>
        </w:rPr>
        <w:t>Because of the limitations imposed by Section 355(e) of the Internal Revenue Code of 1986, as amended, or the "Code," and by the separation and distribution agreement, as described under "Description of AT&amp;T Comcast Transaction -- The Separation and Distribution Agreement," the ability of AT&amp;T Comcast and Broadband to engage in certain acquisitions, redeem stock or issue equity securities will be limited for a period of 25 months following the Broadband spin-off. See "Description of AT&amp;T Comcast Transaction -- The Separation and Distribution Agreement -- Post-Spin-Off Transactions." These restrictions may limit AT&amp;T Comcast's ability to issue equity securities to satisfy its financing needs or to acquire businesses or assets.</w:t>
      </w:r>
    </w:p>
    <w:p>
      <w:pPr>
        <w:spacing w:after="0" w:line="179" w:lineRule="exact"/>
        <w:rPr>
          <w:sz w:val="20"/>
          <w:szCs w:val="20"/>
          <w:color w:val="auto"/>
        </w:rPr>
      </w:pPr>
    </w:p>
    <w:p>
      <w:pPr>
        <w:ind w:left="100" w:right="3279"/>
        <w:spacing w:after="0" w:line="236" w:lineRule="auto"/>
        <w:rPr>
          <w:sz w:val="20"/>
          <w:szCs w:val="20"/>
          <w:color w:val="auto"/>
        </w:rPr>
      </w:pPr>
      <w:r>
        <w:rPr>
          <w:rFonts w:ascii="Courier New" w:cs="Courier New" w:eastAsia="Courier New" w:hAnsi="Courier New"/>
          <w:sz w:val="16"/>
          <w:szCs w:val="16"/>
          <w:color w:val="auto"/>
        </w:rPr>
        <w:t>AT&amp;T COMCAST AND ITS SUBSIDIARIES MAY NOT BE ABLE TO OBTAIN THE NECESSARY FINANCING AT ALL OR ON TERMS ACCEPTABLE TO IT.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To complete the AT&amp;T Comcast transaction, Comcast estimates it will require financing of $11 billion to $14 billion, assuming that the Microsoft transaction, as described under "Description of AT&amp;T Comcast Transaction -- The Exchange Agreement and Instrument of Admission," is completed. This financing is expected to include (1) approximately $9 billion to $10 billion to retire the intercompany debt balance which Broadband is expected to owe AT&amp;T upon completion of the AT&amp;T Comcast transaction, although this amount will be reduced if the exchange offer is completed, (2) approximately $1 billion to $2 billion to refinance certain Broadband debt that may be put for redemption by investors or that will mature on or soon after the completion of the AT&amp;T Comcast transaction and (3) approximately $1 billion to $2 billion to provide appropriate cash reserves to fund the operations and capital expenditures of Broadband after completion of the AT&amp;T Comcast transaction.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Broadband and AT&amp;T Comcast entered into definitive credit agreements with a syndicate of lenders, including JPMorgan Chase Bank, Citibank, N.A., Bank of America, N.A., Merrill Lynch Capital Corporation and Morgan Stanley Senior Funding, Inc. for an aggregate of approximately $12.8 billion in new indebtedness in order to satisfy these financing requirements. See "Other Indebtedness and the Cross-Guarantees -- Description of New Credit Facilities." Comcast may also use other available sources of financing to fund its requirements, including existing cash, cash equivalents and short term investments, amounts available under Comcast subsidiaries' lines of credit, and the proceeds of sales of Comcast's and Broadband's investments.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Under the terms of the new credit agreements referred to above, the obligations of the lenders to provide the financing upon completion of the AT&amp;T Comcast transaction are subject to a number of conditions, including the condition that AT&amp;T Comcast obtain an investment-grade credit rating. It is possible that AT&amp;T Comcast will not obtain an investment-grade credit rating or that any of the other conditions to borrowing may not be satisfied. If the conditions to borrowing are not satisfied, and if other</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59" w:right="1440" w:bottom="1440" w:gutter="0" w:footer="0" w:header="0"/>
        </w:sectPr>
      </w:pPr>
    </w:p>
    <w:bookmarkStart w:id="66" w:name="page67"/>
    <w:bookmarkEnd w:id="66"/>
    <w:p>
      <w:pPr>
        <w:ind w:right="2719"/>
        <w:spacing w:after="0" w:line="256" w:lineRule="auto"/>
        <w:rPr>
          <w:sz w:val="20"/>
          <w:szCs w:val="20"/>
          <w:color w:val="auto"/>
        </w:rPr>
      </w:pPr>
      <w:r>
        <w:rPr>
          <w:rFonts w:ascii="Courier New" w:cs="Courier New" w:eastAsia="Courier New" w:hAnsi="Courier New"/>
          <w:sz w:val="15"/>
          <w:szCs w:val="15"/>
          <w:color w:val="auto"/>
        </w:rPr>
        <w:t>sources of financing are not sufficient or available, Comcast may not be able to obtain the necessary financing. If Comcast fails to obtain the necessary financing or fails to obtain it on acceptable terms, such failure could have a material adverse effect on the business and financial condition of AT&amp;T Comcast and its subsidiaries. If Comcast is unable to obtain the necessary financing, it may be forced to consider other alternatives to raise the necessary funds, including sales of assets. There can be no assurance that Comcast will be able to obtain the necessary financing at all or on terms acceptable to it.</w:t>
      </w:r>
    </w:p>
    <w:p>
      <w:pPr>
        <w:spacing w:after="0" w:line="173" w:lineRule="exact"/>
        <w:rPr>
          <w:sz w:val="20"/>
          <w:szCs w:val="20"/>
          <w:color w:val="auto"/>
        </w:rPr>
      </w:pPr>
    </w:p>
    <w:p>
      <w:pPr>
        <w:ind w:left="100" w:right="3179"/>
        <w:spacing w:after="0" w:line="236" w:lineRule="auto"/>
        <w:rPr>
          <w:sz w:val="20"/>
          <w:szCs w:val="20"/>
          <w:color w:val="auto"/>
        </w:rPr>
      </w:pPr>
      <w:r>
        <w:rPr>
          <w:rFonts w:ascii="Courier New" w:cs="Courier New" w:eastAsia="Courier New" w:hAnsi="Courier New"/>
          <w:sz w:val="16"/>
          <w:szCs w:val="16"/>
          <w:color w:val="auto"/>
        </w:rPr>
        <w:t>AT&amp;T COMCAST AND ITS SUBSIDIARIES WILL HAVE SIGNIFICANT DEBT AND DEBT-LIKE OBLIGATIONS AND MAY NOT OBTAIN INVESTMENT-GRADE CREDIT RATINGS.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After completion of the AT&amp;T Comcast transaction, AT&amp;T Comcast and its subsidiaries will have a significant amount of debt and debt-like obligations. Although this amount will be reduced by $5 billion if the Microsoft transaction, as described under "Description of AT&amp;T Comcast Transaction -- The Exchange Agreement and Instrument of Admission," is completed,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Microsoft transaction described in this prospectus, which is not a condition to the completion of the AT&amp;T Comcast transaction, is not completed. Differences in credit ratings would affect the interest rates charged on financings, as well as the amounts of indebtedness, types of financing structures and debt markets that may be available to AT&amp;T Comcast and its subsidiaries.</w:t>
      </w:r>
    </w:p>
    <w:p>
      <w:pPr>
        <w:spacing w:after="0" w:line="35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the failure of certain subsidiaries of AT&amp;T Comcast to maintain certain credit ratings during the period that is 90 days before and after the completion of the AT&amp;T Comcast transaction could trigger put rights on the part of holders of up to approximately $4.8 billion in notional amount (including approximately $1 billion in notional amount of debt which is expected to be able to be put by holders) of debt as of the date of this prospectus, which would require AT&amp;T Comcast to obtain additional financing.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189" w:lineRule="exact"/>
        <w:rPr>
          <w:sz w:val="20"/>
          <w:szCs w:val="20"/>
          <w:color w:val="auto"/>
        </w:rPr>
      </w:pPr>
    </w:p>
    <w:p>
      <w:pPr>
        <w:ind w:left="100" w:right="2999"/>
        <w:spacing w:after="0" w:line="236" w:lineRule="auto"/>
        <w:rPr>
          <w:sz w:val="20"/>
          <w:szCs w:val="20"/>
          <w:color w:val="auto"/>
        </w:rPr>
      </w:pPr>
      <w:r>
        <w:rPr>
          <w:rFonts w:ascii="Courier New" w:cs="Courier New" w:eastAsia="Courier New" w:hAnsi="Courier New"/>
          <w:sz w:val="16"/>
          <w:szCs w:val="16"/>
          <w:color w:val="auto"/>
        </w:rPr>
        <w:t>ATYPICAL GOVERNANCE ARRANGEMENTS MAY MAKE IT MORE DIFFICULT FOR AT&amp;T COMCAST SHAREHOLDERS TO ACT.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3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9" w:right="1440" w:bottom="1440" w:gutter="0" w:footer="0" w:header="0"/>
        </w:sectPr>
      </w:pPr>
    </w:p>
    <w:bookmarkStart w:id="67" w:name="page68"/>
    <w:bookmarkEnd w:id="67"/>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 Armstrong, Chairman of the Board and CEO of AT&amp;T, will be the Chairman of the Board of AT&amp;T Comcast and Brian L. Roberts, President of Comcast, will be the CEO and President of AT&amp;T Comcast. After the 2005 annual meeting of AT&amp;T Comcast shareholders, Brian L. Roberts will also be the Chairman of the Board of AT&amp;T Comcast. Prior to the sixth anniversary of the 2004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190" w:lineRule="exact"/>
        <w:rPr>
          <w:sz w:val="20"/>
          <w:szCs w:val="20"/>
          <w:color w:val="auto"/>
        </w:rPr>
      </w:pPr>
    </w:p>
    <w:p>
      <w:pPr>
        <w:ind w:left="180" w:right="2719"/>
        <w:spacing w:after="0" w:line="236" w:lineRule="auto"/>
        <w:rPr>
          <w:sz w:val="20"/>
          <w:szCs w:val="20"/>
          <w:color w:val="auto"/>
        </w:rPr>
      </w:pPr>
      <w:r>
        <w:rPr>
          <w:rFonts w:ascii="Courier New" w:cs="Courier New" w:eastAsia="Courier New" w:hAnsi="Courier New"/>
          <w:sz w:val="16"/>
          <w:szCs w:val="16"/>
          <w:color w:val="auto"/>
        </w:rPr>
        <w:t>AT&amp;T COMCAST'S PRINCIPAL SHAREHOLDER WILL HAVE CONSIDERABLE INFLUENCE OVER THE OPERATIONS OF AT&amp;T COMCAST.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w:t>
      </w:r>
    </w:p>
    <w:p>
      <w:pPr>
        <w:spacing w:after="0" w:line="187"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THE HISTORICAL FINANCIAL INFORMATION OF AT&amp;T BROADBAND GROUP AFTER THE BROADBAND SPIN-OFF MAY NOT BE REPRESENTATIVE OF ITS RESULTS WITHOUT THE OTHER AT&amp;T BUSINESSES AND THEREFORE IS NOT A RELIABLE INDICATOR OF ITS HISTORICAL OR FUTURE RESULTS.</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AT&amp;T Broadband Group is currently a fully integrated business unit of AT&amp;T, and as a result the financial information of AT&amp;T Broadband Group included in this prospectus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174" w:lineRule="exact"/>
        <w:rPr>
          <w:sz w:val="20"/>
          <w:szCs w:val="20"/>
          <w:color w:val="auto"/>
        </w:rPr>
      </w:pPr>
    </w:p>
    <w:p>
      <w:pPr>
        <w:ind w:left="180" w:right="2899"/>
        <w:spacing w:after="0" w:line="237" w:lineRule="auto"/>
        <w:rPr>
          <w:sz w:val="20"/>
          <w:szCs w:val="20"/>
          <w:color w:val="auto"/>
        </w:rPr>
      </w:pPr>
      <w:r>
        <w:rPr>
          <w:rFonts w:ascii="Courier New" w:cs="Courier New" w:eastAsia="Courier New" w:hAnsi="Courier New"/>
          <w:sz w:val="16"/>
          <w:szCs w:val="16"/>
          <w:color w:val="auto"/>
        </w:rPr>
        <w:t>IF THE TRANSACTION WITH MICROSOFT CORPORATION IS NOT COMPLETED, AT&amp;T COMCAST MAY HAVE SIGNIFICANT ADDITIONAL DEBT AND MORE STRINGENT LIMITATIONS ON ITS ABILITY TO ISSUE EQUITY.</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AT&amp;T Comcast transaction is not conditioned on completion of the transaction with Microsoft Corporation described in this prospectus under "Description of AT&amp;T Comcast Transaction -- The Exchange Agreement and Instrument of Admission -- QUIPS Exchange." If the Microsoft transaction is not completed, as described under "Description of AT&amp;T Comcast Transaction -- The Merger Agreement -- Covenants -- QUIPS Failure," Broadband will either assume AT&amp;T's obligations to Microsoft under the trust preferred securities, or QUIPS, issued by AT&amp;T Finance Trust I or pay AT&amp;T an amount in cash equal to the fair market value of the QUIPS and indemnify AT&amp;T for certain possible related liabilities. Absent selling assets or stock to pay down debt and depending on which outcome occurs, AT&amp;T Comcast and its subsidiaries would have up to an additional $5 billion of debt upon completion of the AT&amp;T Comcast transaction and the risks detailed in two of the risk factors described in this prospectus -- that AT&amp;T Comcast and its subsidiaries may not be able to obtain the necessary financing at all or on terms acceptable to it and that AT&amp;T Comcast and its subsidiaries will have significant debt and debt-like obligations and may not obtain investment-grade credit ratings -- would be significantly heightened. In addition, if the Microsoft transaction is not completed, the limitations imposed by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9" w:right="1440" w:bottom="1440" w:gutter="0" w:footer="0" w:header="0"/>
        </w:sectPr>
      </w:pPr>
    </w:p>
    <w:bookmarkStart w:id="68" w:name="page69"/>
    <w:bookmarkEnd w:id="68"/>
    <w:p>
      <w:pPr>
        <w:ind w:right="2999"/>
        <w:spacing w:after="0" w:line="263" w:lineRule="auto"/>
        <w:rPr>
          <w:sz w:val="20"/>
          <w:szCs w:val="20"/>
          <w:color w:val="auto"/>
        </w:rPr>
      </w:pPr>
      <w:r>
        <w:rPr>
          <w:rFonts w:ascii="Courier New" w:cs="Courier New" w:eastAsia="Courier New" w:hAnsi="Courier New"/>
          <w:sz w:val="15"/>
          <w:szCs w:val="15"/>
          <w:color w:val="auto"/>
        </w:rPr>
        <w:t>Section 355(e) of the Code on AT&amp;T Comcast's and Broadband's ability to issue equity that are described above would be expected to be more stringent.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FOR AT&amp;T RELATING TO THE AT&amp;T COMCAST TRANSACTION</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Holders of AT&amp;T Notes should also consider the following risk factors in deciding whether to tender eligible notes.</w:t>
      </w:r>
    </w:p>
    <w:p>
      <w:pPr>
        <w:spacing w:after="0" w:line="185" w:lineRule="exact"/>
        <w:rPr>
          <w:sz w:val="20"/>
          <w:szCs w:val="20"/>
          <w:color w:val="auto"/>
        </w:rPr>
      </w:pPr>
    </w:p>
    <w:p>
      <w:pPr>
        <w:ind w:left="180" w:right="3179"/>
        <w:spacing w:after="0" w:line="236" w:lineRule="auto"/>
        <w:rPr>
          <w:sz w:val="20"/>
          <w:szCs w:val="20"/>
          <w:color w:val="auto"/>
        </w:rPr>
      </w:pPr>
      <w:r>
        <w:rPr>
          <w:rFonts w:ascii="Courier New" w:cs="Courier New" w:eastAsia="Courier New" w:hAnsi="Courier New"/>
          <w:sz w:val="16"/>
          <w:szCs w:val="16"/>
          <w:color w:val="auto"/>
        </w:rPr>
        <w:t>THE BROADBAND SPIN-OFF MAY MATERIALLY ADVERSELY IMPACT AT&amp;T'S COMPETITIVE POSITION.</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179" w:lineRule="exact"/>
        <w:rPr>
          <w:sz w:val="20"/>
          <w:szCs w:val="20"/>
          <w:color w:val="auto"/>
        </w:rPr>
      </w:pPr>
    </w:p>
    <w:p>
      <w:pPr>
        <w:ind w:left="180" w:right="2999"/>
        <w:spacing w:after="0" w:line="236" w:lineRule="auto"/>
        <w:rPr>
          <w:sz w:val="20"/>
          <w:szCs w:val="20"/>
          <w:color w:val="auto"/>
        </w:rPr>
      </w:pPr>
      <w:r>
        <w:rPr>
          <w:rFonts w:ascii="Courier New" w:cs="Courier New" w:eastAsia="Courier New" w:hAnsi="Courier New"/>
          <w:sz w:val="16"/>
          <w:szCs w:val="16"/>
          <w:color w:val="auto"/>
        </w:rPr>
        <w:t>AT&amp;T WILL HAVE TO ABIDE BY POTENTIALLY SIGNIFICANT RESTRICTIONS TO PRESERVE THE TAX TREATMENT OF THE AT&amp;T COMCAST TRANSACTION.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Because of the restrictions imposed by Section 355(e) of the Code and by the separation and distribution agreement, the ability of AT&amp;T to engage in certain acquisitions, redeem stock or issue equity securities will be limited for a period of 25 months following the Broadband spin-off. These restrictions may limit AT&amp;T's ability to issue equity securities to satisfy its financing needs or to acquire businesses or assets.</w:t>
      </w:r>
    </w:p>
    <w:p>
      <w:pPr>
        <w:spacing w:after="0" w:line="189" w:lineRule="exact"/>
        <w:rPr>
          <w:sz w:val="20"/>
          <w:szCs w:val="20"/>
          <w:color w:val="auto"/>
        </w:rPr>
      </w:pPr>
    </w:p>
    <w:p>
      <w:pPr>
        <w:ind w:left="180" w:right="3479"/>
        <w:spacing w:after="0" w:line="236" w:lineRule="auto"/>
        <w:rPr>
          <w:sz w:val="20"/>
          <w:szCs w:val="20"/>
          <w:color w:val="auto"/>
        </w:rPr>
      </w:pPr>
      <w:r>
        <w:rPr>
          <w:rFonts w:ascii="Courier New" w:cs="Courier New" w:eastAsia="Courier New" w:hAnsi="Courier New"/>
          <w:sz w:val="16"/>
          <w:szCs w:val="16"/>
          <w:color w:val="auto"/>
        </w:rPr>
        <w:t>IF THE AT&amp;T COMCAST TRANSACTION IS COMPLETED, AT&amp;T WILL NEED TO OBTAIN FINANCING ON A STAND-ALONE BASIS WHICH MAY INVOLVE COSTS.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May 29, 2002, Moody's Investors Service lowered its ratings of long-term debt issued or guaranteed by AT&amp;T to Baa2 from A3. Moody's also confirmed AT&amp;T's short-term rating as Prime-2. Moody's ratings outlook for AT&amp;T remains negative but AT&amp;T is not currently on review for any additional downgrade by Moody's. On June 3, 2002, Fitch Ratings also downgraded AT&amp;T's long-term debt rating to BBB+ from A-, with the rating remaining on Rating Watch Negative pending completion of the AT&amp;T Comcast transaction. AT&amp;T's long-term debt ratings remain BBB+ and on CreditWatch with negative implications by Standard &amp; Poor's Ratings Group. A recent press release from Standard &amp; Poor's confirmed that following the AT&amp;T Comcast transaction Standard &amp; Poor's expects AT&amp;T to have a stable outlook. However, further ratings actions could occur at any time.</w:t>
      </w:r>
    </w:p>
    <w:p>
      <w:pPr>
        <w:spacing w:after="0" w:line="179"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The credit rating of AT&amp;T following the AT&amp;T Comcast transaction may be different from the current ratings of AT&amp;T and different from what it 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1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59" w:right="1440" w:bottom="1440" w:gutter="0" w:footer="0" w:header="0"/>
        </w:sectPr>
      </w:pPr>
    </w:p>
    <w:bookmarkStart w:id="69" w:name="page70"/>
    <w:bookmarkEnd w:id="69"/>
    <w:p>
      <w:pPr>
        <w:ind w:left="180" w:right="2999"/>
        <w:spacing w:after="0" w:line="259" w:lineRule="auto"/>
        <w:rPr>
          <w:sz w:val="20"/>
          <w:szCs w:val="20"/>
          <w:color w:val="auto"/>
        </w:rPr>
      </w:pPr>
      <w:r>
        <w:rPr>
          <w:rFonts w:ascii="Courier New" w:cs="Courier New" w:eastAsia="Courier New" w:hAnsi="Courier New"/>
          <w:sz w:val="15"/>
          <w:szCs w:val="15"/>
          <w:color w:val="auto"/>
        </w:rPr>
        <w:t>THE HISTORICAL FINANCIAL INFORMATION OF AT&amp;T EXCLUDING AT&amp;T BROADBAND GROUP MAY NOT BE REPRESENTATIVE OF ITS RESULTS WITHOUT AT&amp;T BROADBAND GROUP AND THEREFORE IS NOT A RELIABLE INDICATOR OF ITS HISTORICAL OR FUTURE RESULTS.</w:t>
      </w:r>
    </w:p>
    <w:p>
      <w:pPr>
        <w:spacing w:after="0" w:line="171"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AT&amp;T currently includes AT&amp;T Broadband Group as a fully integrated business unit of AT&amp;T. Consequently, the financial information of AT&amp;T without AT&amp;T Broadband Group included in this prospectus has been derived from the consolidated financial statements and accounting records of AT&amp;T and reflects certain assumptions and allocations. The financial position, results of operations and cash flows of AT&amp;T without AT&amp;T Broadband Group could materially differ from those that would have resulted had AT&amp;T operated without AT&amp;T Broadband Group or as an entity independent of AT&amp;T Broadband Group.</w:t>
      </w:r>
    </w:p>
    <w:p>
      <w:pPr>
        <w:spacing w:after="0" w:line="173" w:lineRule="exact"/>
        <w:rPr>
          <w:sz w:val="20"/>
          <w:szCs w:val="20"/>
          <w:color w:val="auto"/>
        </w:rPr>
      </w:pPr>
    </w:p>
    <w:p>
      <w:pPr>
        <w:ind w:left="180" w:right="2999"/>
        <w:spacing w:after="0" w:line="236" w:lineRule="auto"/>
        <w:rPr>
          <w:sz w:val="20"/>
          <w:szCs w:val="20"/>
          <w:color w:val="auto"/>
        </w:rPr>
      </w:pPr>
      <w:r>
        <w:rPr>
          <w:rFonts w:ascii="Courier New" w:cs="Courier New" w:eastAsia="Courier New" w:hAnsi="Courier New"/>
          <w:sz w:val="16"/>
          <w:szCs w:val="16"/>
          <w:color w:val="auto"/>
        </w:rPr>
        <w:t>AT&amp;T COULD INCUR MATERIAL U.S. FEDERAL INCOME TAX LIABILITIES IN CONNECTION WITH THE AT&amp;T COMCAST TRANSACTION.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may incur material U.S. federal income tax liabilities as a result of certain issuances of shares or change of control transactions with respect to AT&amp;T Comcast, Liberty Media 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187"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Under separate intercompany agreements between AT&amp;T and each of Liberty Media Corporation, AT&amp;T Wireless and Broadband, AT&amp;T generally will be entitled to indemnification from the spun-off company for any tax liability that results from the split-off or spin-off failing to qualify as a tax-free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 In addition, there may be other tax costs incurred as a result of the Broadband spin-off. If incurred, these costs could be significant to AT&amp;T and Broadband.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BUSINESS OF AT&amp;T COMCAST</w:t>
      </w:r>
    </w:p>
    <w:p>
      <w:pPr>
        <w:spacing w:after="0" w:line="185"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ACTUAL FINANCIAL POSITION AND RESULTS OF OPERATIONS OF AT&amp;T COMCAST MAY DIFFER SIGNIFICANTLY AND ADVERSELY FROM THE PRO FORMA AMOUNTS REFLECTED IN THIS PROSPECTUS.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Assuming completion of the AT&amp;T 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prospectus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w:t>
      </w:r>
    </w:p>
    <w:p>
      <w:pPr>
        <w:spacing w:after="0" w:line="16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9" w:right="1440" w:bottom="1440" w:gutter="0" w:footer="0" w:header="0"/>
        </w:sectPr>
      </w:pPr>
    </w:p>
    <w:bookmarkStart w:id="70" w:name="page71"/>
    <w:bookmarkEnd w:id="70"/>
    <w:p>
      <w:pPr>
        <w:ind w:right="2719"/>
        <w:spacing w:after="0" w:line="238" w:lineRule="auto"/>
        <w:rPr>
          <w:sz w:val="20"/>
          <w:szCs w:val="20"/>
          <w:color w:val="auto"/>
        </w:rPr>
      </w:pPr>
      <w:r>
        <w:rPr>
          <w:rFonts w:ascii="Courier New" w:cs="Courier New" w:eastAsia="Courier New" w:hAnsi="Courier New"/>
          <w:sz w:val="16"/>
          <w:szCs w:val="16"/>
          <w:color w:val="auto"/>
        </w:rPr>
        <w:t>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prospectus.</w:t>
      </w:r>
    </w:p>
    <w:p>
      <w:pPr>
        <w:spacing w:after="0" w:line="185" w:lineRule="exact"/>
        <w:rPr>
          <w:sz w:val="20"/>
          <w:szCs w:val="20"/>
          <w:color w:val="auto"/>
        </w:rPr>
      </w:pPr>
    </w:p>
    <w:p>
      <w:pPr>
        <w:ind w:left="180" w:right="2819"/>
        <w:spacing w:after="0" w:line="237" w:lineRule="auto"/>
        <w:rPr>
          <w:sz w:val="20"/>
          <w:szCs w:val="20"/>
          <w:color w:val="auto"/>
        </w:rPr>
      </w:pPr>
      <w:r>
        <w:rPr>
          <w:rFonts w:ascii="Courier New" w:cs="Courier New" w:eastAsia="Courier New" w:hAnsi="Courier New"/>
          <w:sz w:val="16"/>
          <w:szCs w:val="16"/>
          <w:color w:val="auto"/>
        </w:rPr>
        <w:t>PROGRAMMING COSTS ARE INCREASING AND AT&amp;T COMCAST MAY NOT HAVE THE ABILITY TO PASS THESE INCREASES ON TO ITS CUSTOMERS, WHICH WOULD MATERIALLY ADVERSELY AFFECT ITS CASH FLOW AND OPERATING MARGINS.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Programming costs are expected to be AT&amp;T Comcast's largest single expense item. In recent years, the cable and satellite video industries have experienced a rapid increase in the cost of programming, particularly sports programming. 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 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18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187" w:lineRule="exact"/>
        <w:rPr>
          <w:sz w:val="20"/>
          <w:szCs w:val="20"/>
          <w:color w:val="auto"/>
        </w:rPr>
      </w:pPr>
    </w:p>
    <w:p>
      <w:pPr>
        <w:jc w:val="both"/>
        <w:ind w:left="180" w:right="2899"/>
        <w:spacing w:after="0" w:line="237" w:lineRule="auto"/>
        <w:rPr>
          <w:sz w:val="20"/>
          <w:szCs w:val="20"/>
          <w:color w:val="auto"/>
        </w:rPr>
      </w:pPr>
      <w:r>
        <w:rPr>
          <w:rFonts w:ascii="Courier New" w:cs="Courier New" w:eastAsia="Courier New" w:hAnsi="Courier New"/>
          <w:sz w:val="16"/>
          <w:szCs w:val="16"/>
          <w:color w:val="auto"/>
        </w:rPr>
        <w:t>AT&amp;T COMCAST WILL FACE A WIDE RANGE OF COMPETITION AND OTHER RISKS IN AREAS SERVED BY ITS CABLE SYSTEMS, WHICH COULD ADVERSELY AFFECT ITS FUTURE RESULTS OF OPERATIONS.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AT&amp;T Comcast will be subject to competition from telecommunications providers and internet service providers, or ISPs, in connection with offerings of new and advanced services, including telecommunications and Internet services. This competition may materially adversely affect AT&amp;T Comcast's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 The failure of seasonal fourth quarter increases to offset decreases would adversely affect subscriber levels.</w:t>
      </w:r>
    </w:p>
    <w:p>
      <w:pPr>
        <w:spacing w:after="0" w:line="375" w:lineRule="exact"/>
        <w:rPr>
          <w:sz w:val="20"/>
          <w:szCs w:val="20"/>
          <w:color w:val="auto"/>
        </w:rPr>
      </w:pPr>
    </w:p>
    <w:p>
      <w:pPr>
        <w:ind w:left="180" w:right="2899"/>
        <w:spacing w:after="0" w:line="236" w:lineRule="auto"/>
        <w:rPr>
          <w:sz w:val="20"/>
          <w:szCs w:val="20"/>
          <w:color w:val="auto"/>
        </w:rPr>
      </w:pPr>
      <w:r>
        <w:rPr>
          <w:rFonts w:ascii="Courier New" w:cs="Courier New" w:eastAsia="Courier New" w:hAnsi="Courier New"/>
          <w:sz w:val="16"/>
          <w:szCs w:val="16"/>
          <w:color w:val="auto"/>
        </w:rPr>
        <w:t>AT&amp;T COMCAST WILL HAVE SUBSTANTIAL CAPITAL REQUIREMENTS WHICH MAY REQUIRE IT TO OBTAIN ADDITIONAL FINANCING THAT MAY BE DIFFICULT TO OBTAIN.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After completion of the AT&amp;T Comcast transaction, AT&amp;T and Comcast expect that for some period of time AT&amp;T Comcast's capital expenditures will exceed, perhaps significantly, its net cash provided by 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59" w:right="1440" w:bottom="1440" w:gutter="0" w:footer="0" w:header="0"/>
        </w:sectPr>
      </w:pPr>
    </w:p>
    <w:bookmarkStart w:id="71" w:name="page72"/>
    <w:bookmarkEnd w:id="71"/>
    <w:p>
      <w:pPr>
        <w:ind w:right="2999"/>
        <w:spacing w:after="0" w:line="236" w:lineRule="auto"/>
        <w:rPr>
          <w:sz w:val="20"/>
          <w:szCs w:val="20"/>
          <w:color w:val="auto"/>
        </w:rPr>
      </w:pPr>
      <w:r>
        <w:rPr>
          <w:rFonts w:ascii="Courier New" w:cs="Courier New" w:eastAsia="Courier New" w:hAnsi="Courier New"/>
          <w:sz w:val="16"/>
          <w:szCs w:val="16"/>
          <w:color w:val="auto"/>
        </w:rPr>
        <w:t>AT&amp;T Comcast and result in the delay, change or abandonment of AT&amp;T Comcast's development or expansion plans.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Historically, AT&amp;T Broadband Group's capital expenditures have significantly exceeded its net cash provided by operations. For the year ended December 31, 2001 and the six months ended June 30, 2002, AT&amp;T Broadband Group's capital expenditures exceeded its net cash provided by operations by $3.5 billion and $0.4 billion, respectively. In addition, for the year ended December 31, 2001, Comcast's capital expenditures exceeded its net cash provided by operating activities by $952 million. See "Ratios of Earnings to Fixed Charges" on page 39.</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and AT&amp;T anticipate that AT&amp;T Comcast will upgrade a significant portion of its broadband systems over the coming years and make other capital investments, including with respect to its advanced services. In 2002, Comcast and AT&amp;T anticipate that Broadband and Comcast's cable division will incur capital expenditures of approximately $4.2 billion and $1.3 billion, respectively. AT&amp;T Comcast is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190"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86" w:lineRule="exact"/>
        <w:rPr>
          <w:sz w:val="20"/>
          <w:szCs w:val="20"/>
          <w:color w:val="auto"/>
        </w:rPr>
      </w:pPr>
    </w:p>
    <w:p>
      <w:pPr>
        <w:ind w:left="180" w:right="3099"/>
        <w:spacing w:after="0" w:line="237" w:lineRule="auto"/>
        <w:rPr>
          <w:sz w:val="20"/>
          <w:szCs w:val="20"/>
          <w:color w:val="auto"/>
        </w:rPr>
      </w:pPr>
      <w:r>
        <w:rPr>
          <w:rFonts w:ascii="Courier New" w:cs="Courier New" w:eastAsia="Courier New" w:hAnsi="Courier New"/>
          <w:sz w:val="16"/>
          <w:szCs w:val="16"/>
          <w:color w:val="auto"/>
        </w:rPr>
        <w:t>ENTITIES THAT WILL BE INCLUDED IN AT&amp;T COMCAST ARE SUBJECT TO LONG-TERM EXCLUSIVE AGREEMENTS THAT MAY LIMIT THEIR FUTURE OPERATING FLEXIBILITY AND MATERIALLY ADVERSELY AFFECT AT&amp;T COMCAST'S FINANCIAL RESULTS.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Some of the entities currently attributed to AT&amp;T Broadband Group, and which will be subsidiaries of AT&amp;T Comcast, are subject to long-term agreements relating to significant aspects of AT&amp;T Broadband Group's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Broadband systems. Furthermore, a subsidiary of Broadband is party to an agreement that does not expire until December 31, 2013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Broadband after completion of the AT&amp;T Comcast transaction, they may materially adversely impact the financial performance of AT&amp;T Comcast.</w:t>
      </w:r>
    </w:p>
    <w:p>
      <w:pPr>
        <w:spacing w:after="0" w:line="35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seeking payment of the 2001 excess programming costs and a declaration that the term sheet is a binding and enforceable contract. In October 2001, AT&amp;T Broadband Group and Starz Encore Group agreed to stay the litigation until August 31, 2002 to allow the parties time to</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59" w:right="1440" w:bottom="1440" w:gutter="0" w:footer="0" w:header="0"/>
        </w:sectPr>
      </w:pPr>
    </w:p>
    <w:bookmarkStart w:id="72" w:name="page73"/>
    <w:bookmarkEnd w:id="72"/>
    <w:p>
      <w:pPr>
        <w:ind w:right="2719"/>
        <w:spacing w:after="0" w:line="237" w:lineRule="auto"/>
        <w:rPr>
          <w:sz w:val="20"/>
          <w:szCs w:val="20"/>
          <w:color w:val="auto"/>
        </w:rPr>
      </w:pPr>
      <w:r>
        <w:rPr>
          <w:rFonts w:ascii="Courier New" w:cs="Courier New" w:eastAsia="Courier New" w:hAnsi="Courier New"/>
          <w:sz w:val="16"/>
          <w:szCs w:val="16"/>
          <w:color w:val="auto"/>
        </w:rPr>
        <w:t>continue negotiations toward a potential business resolution of this dispute. The court granted the stay on October 30, 2001. The terms of the stay order allow either party to petition the court to lift the stay after April 30, 2002 and to proceed with the litigation. The parties agreed to extend the stay of the litigation and the court extended the stay to and including January 31, 2003, with a requirement that the parties attempt to mediate the dispute.</w:t>
      </w:r>
    </w:p>
    <w:p>
      <w:pPr>
        <w:spacing w:after="0" w:line="3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 2002, CSG answered AT&amp;T Broadband Group's arbitration demand and asserted various counterclaims. On June 21, 2002, CSG filed a lawsuit against Comcast Corporation in federal court located in Denver, Colorado asserting claims related to the Master Agreement and the pending arbitration. In the event that this process results in the termination of the Master Agreement, AT&amp;T Broadband Group may incur significant costs in connection with its replacement of these customer care and billing services and may experience temporary disruptions to its operations.</w:t>
      </w:r>
    </w:p>
    <w:p>
      <w:pPr>
        <w:spacing w:after="0" w:line="189" w:lineRule="exact"/>
        <w:rPr>
          <w:sz w:val="20"/>
          <w:szCs w:val="20"/>
          <w:color w:val="auto"/>
        </w:rPr>
      </w:pPr>
    </w:p>
    <w:p>
      <w:pPr>
        <w:ind w:left="180" w:right="3479"/>
        <w:spacing w:after="0" w:line="236" w:lineRule="auto"/>
        <w:rPr>
          <w:sz w:val="20"/>
          <w:szCs w:val="20"/>
          <w:color w:val="auto"/>
        </w:rPr>
      </w:pPr>
      <w:r>
        <w:rPr>
          <w:rFonts w:ascii="Courier New" w:cs="Courier New" w:eastAsia="Courier New" w:hAnsi="Courier New"/>
          <w:sz w:val="16"/>
          <w:szCs w:val="16"/>
          <w:color w:val="auto"/>
        </w:rPr>
        <w:t>AT&amp;T COMCAST WILL BE SUBJECT TO REGULATION BY FEDERAL, STATE AND LOCAL GOVERNMENTS WHICH MAY IMPOSE COSTS AND RESTRICTIONS.</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The federal, state and local governments extensively regulate the cable communications industry. Comcast and AT&amp;T expect that court actions and regulatory proceedings will refine the rights and obligations of various parties, including the government, under the Communications Act of 1934, as amended. The results of these judicial and administrative proceedings may materially affect AT&amp;T Comcast's business operations. Local authorities grant Comcast and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87" w:lineRule="exact"/>
        <w:rPr>
          <w:sz w:val="20"/>
          <w:szCs w:val="20"/>
          <w:color w:val="auto"/>
        </w:rPr>
      </w:pPr>
    </w:p>
    <w:p>
      <w:pPr>
        <w:ind w:left="180" w:right="2999"/>
        <w:spacing w:after="0" w:line="237" w:lineRule="auto"/>
        <w:rPr>
          <w:sz w:val="20"/>
          <w:szCs w:val="20"/>
          <w:color w:val="auto"/>
        </w:rPr>
      </w:pPr>
      <w:r>
        <w:rPr>
          <w:rFonts w:ascii="Courier New" w:cs="Courier New" w:eastAsia="Courier New" w:hAnsi="Courier New"/>
          <w:sz w:val="16"/>
          <w:szCs w:val="16"/>
          <w:color w:val="auto"/>
        </w:rPr>
        <w:t>AT&amp;T COMCAST WILL BE SUBJECT TO ADDITIONAL REGULATORY BURDENS IN CONNECTION WITH THE PROVISION OF TELECOMMUNICATIONS SERVICES, WHICH COULD CAUSE IT TO INCUR ADDITIONAL COSTS.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189" w:lineRule="exact"/>
        <w:rPr>
          <w:sz w:val="20"/>
          <w:szCs w:val="20"/>
          <w:color w:val="auto"/>
        </w:rPr>
      </w:pPr>
    </w:p>
    <w:p>
      <w:pPr>
        <w:ind w:left="180" w:right="2819"/>
        <w:spacing w:after="0" w:line="237" w:lineRule="auto"/>
        <w:rPr>
          <w:sz w:val="20"/>
          <w:szCs w:val="20"/>
          <w:color w:val="auto"/>
        </w:rPr>
      </w:pPr>
      <w:r>
        <w:rPr>
          <w:rFonts w:ascii="Courier New" w:cs="Courier New" w:eastAsia="Courier New" w:hAnsi="Courier New"/>
          <w:sz w:val="16"/>
          <w:szCs w:val="16"/>
          <w:color w:val="auto"/>
        </w:rPr>
        <w:t>AT&amp;T COMCAST'S COMPETITION MAY INCREASE BECAUSE OF TECHNOLOGICAL ADVANCES AND NEW REGULATORY REQUIREMENTS, WHICH COULD ADVERSELY AFFECT ITS FUTURE RESULTS OF OPERATIONS.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Numerous companies, including telephone companies, have introduced Digital Subscriber Line technology, known as DSL, which provides Internet access to subscribers at data transmission speeds greater than that of modems over conventional telephone lines. Comcast and AT&amp;T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AT&amp;T Comcast's business operations.</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over the past several years, a number of companies, including telephone companies and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w:t>
      </w:r>
    </w:p>
    <w:p>
      <w:pPr>
        <w:spacing w:after="0" w:line="16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839" w:right="1440" w:bottom="1440" w:gutter="0" w:footer="0" w:header="0"/>
        </w:sectPr>
      </w:pPr>
    </w:p>
    <w:bookmarkStart w:id="73" w:name="page74"/>
    <w:bookmarkEnd w:id="73"/>
    <w:p>
      <w:pPr>
        <w:ind w:right="2719"/>
        <w:spacing w:after="0" w:line="238" w:lineRule="auto"/>
        <w:rPr>
          <w:sz w:val="20"/>
          <w:szCs w:val="20"/>
          <w:color w:val="auto"/>
        </w:rPr>
      </w:pPr>
      <w:r>
        <w:rPr>
          <w:rFonts w:ascii="Courier New" w:cs="Courier New" w:eastAsia="Courier New" w:hAnsi="Courier New"/>
          <w:sz w:val="16"/>
          <w:szCs w:val="16"/>
          <w:color w:val="auto"/>
        </w:rPr>
        <w:t>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number of cable operators have reached agreements to provide unaffiliated ISPs access to their cable systems in the absence of regulatory requirements. Recently, Comcast reached an "access" agreement with United Online and Broadband reached an "access" agreement with each of EarthLink, Internet Central and Connected Data Systems. In addition, under the terms of the exchange agreement that Comcast and AT&amp;T have executed with Microsoft, upon completion of the Microsoft transaction described in this prospectus and the AT&amp;T Comcast transaction, AT&amp;T Comcast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AT&amp;T Comcast as part of the regulatory review of the AT&amp;T Comcast transaction or as part of an industry-wide requirement. Such requirements could have a negative impact on AT&amp;T Comcast's business operations.</w:t>
      </w:r>
    </w:p>
    <w:p>
      <w:pPr>
        <w:spacing w:after="0" w:line="190" w:lineRule="exact"/>
        <w:rPr>
          <w:sz w:val="20"/>
          <w:szCs w:val="20"/>
          <w:color w:val="auto"/>
        </w:rPr>
      </w:pPr>
    </w:p>
    <w:p>
      <w:pPr>
        <w:ind w:left="180" w:right="2899"/>
        <w:spacing w:after="0" w:line="236" w:lineRule="auto"/>
        <w:rPr>
          <w:sz w:val="20"/>
          <w:szCs w:val="20"/>
          <w:color w:val="auto"/>
        </w:rPr>
      </w:pPr>
      <w:r>
        <w:rPr>
          <w:rFonts w:ascii="Courier New" w:cs="Courier New" w:eastAsia="Courier New" w:hAnsi="Courier New"/>
          <w:sz w:val="16"/>
          <w:szCs w:val="16"/>
          <w:color w:val="auto"/>
        </w:rPr>
        <w:t>AT&amp;T COMCAST, THROUGH BROADBAND, WILL HAVE SUBSTANTIAL ECONOMIC INTERESTS IN JOINT VENTURES IN WHICH IT WILL HAVE LIMITED MANAGEMENT RIGHTS.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Broadband, in these joint ventures may be affected by management policies that are determined without input from AT&amp;T Comcast or over the objections of AT&amp;T Comcast. AT&amp;T Broadband Group has cable partnerships with each of AOL Time Warner, Insight Communications, Adelphia Communications, Midcontinent and US Cable. Materially adverse financial or other developments with respect to a partner could adversely impact the applicable partnership. See "Summary -- Recent Developments."</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AT&amp;T Broadband Group holds a 25% interest through a wholly-owned subsidiary and which as of December 31, 2001 had an aggregate of approximately 775,000 subscribers in the greater Los Angeles, California area), Parnassos Communications, L.P. (in which AT&amp;T Broadband Group holds a 33.33% interest through a wholly owned subsidiary) and Western NY Cablevision, L.P. (in which AT&amp;T Broadband Group holds a 33.33% interest through a wholly-owned subsidiary and which as of December 31, 2001 had, together with Parnassos Communications, L.P., an aggregate of approximately 470,000 subscribers in Buffalo, New York and the surrounding areas). AT&amp;T cannot predict what the outcome of these proceedings will be on any of the partnerships and the proceedings may have a material adverse impact on the partnerships.</w:t>
      </w:r>
    </w:p>
    <w:p>
      <w:pPr>
        <w:spacing w:after="0" w:line="17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AT&amp;T Broadband Group recorded an impairment charge through net losses related to equity investments of $143 million, net of taxes of $90 million, in connection with the bankruptcy proceedings of the Adelphia partnerships.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59" w:right="1440" w:bottom="1440" w:gutter="0" w:footer="0" w:header="0"/>
        </w:sectPr>
      </w:pPr>
    </w:p>
    <w:bookmarkStart w:id="74" w:name="page75"/>
    <w:bookmarkEnd w:id="74"/>
    <w:p>
      <w:pPr>
        <w:ind w:left="180" w:right="2719"/>
        <w:spacing w:after="0" w:line="236" w:lineRule="auto"/>
        <w:rPr>
          <w:sz w:val="20"/>
          <w:szCs w:val="20"/>
          <w:color w:val="auto"/>
        </w:rPr>
      </w:pPr>
      <w:r>
        <w:rPr>
          <w:rFonts w:ascii="Courier New" w:cs="Courier New" w:eastAsia="Courier New" w:hAnsi="Courier New"/>
          <w:sz w:val="16"/>
          <w:szCs w:val="16"/>
          <w:color w:val="auto"/>
        </w:rPr>
        <w:t>AT&amp;T COMCAST, THROUGH COMCAST, AND BROADBAND FACE RISKS ARISING FROM THEIR AND AT&amp;T'S RELATIONSHIP WITH AT HOME CORPORATION AND US AIRWAYS GROUP INC.</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36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Broadband. No such lawsuits have been filed to date. On May 1, 2002, At Home filed a proposed plan of liquidation pursuant to Chapter 11 of the U.S. Bankruptcy Code, which, as modified on June 18, 2002, among other things, implements the creditor's settlement and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was approved by the bankruptcy court on August 15, 2002 and became effective on or about October 1, 2002.</w:t>
      </w:r>
    </w:p>
    <w:p>
      <w:pPr>
        <w:spacing w:after="0" w:line="35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Purported class action lawsuits have been filed in California state court on behalf of At Home shareholders against AT&amp;T, At Home, Comcast and former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At Home board of directors was reorganized, and AT&amp;T agreed to give Cox and Comcast rights to sell their At Home shares to AT&amp;T. These actions have been consolidated by the court. At the request of At Home's bondholders, on September 10, 2002, the bankruptcy court ruled that the claims asserted in these actions belong to At Home's bankruptcy estate, not its shareholders, that the actions must be dismissed, and that the claims in the actions are to be prosecuted by the At Home bondholders liquidating trust under the confirmed Chapter 11 plan. The order remains subject to appeal. The liability for these lawsuits would be shared equally between AT&amp;T and Broadband.</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23, 2002, the Official Committee of Unsecured Bondholders of At Home filed suit in the United States District Court for the District of Delaware against Comcast, Cox, Brian L. Roberts in his capacity as a director of At Home, and other corporate and individual defendants. The complaint seeks alleged "short-swing" profits under Section 16(b) of the Securities and Exchange Act in connection with At Home put options Comcast and Cox entered into with AT&amp;T. The complaint alleges a total of at least $600 million in damages in the aggregate from Comcast and Cox in connection with this claim. The complaint also seeks damages in an unspecified amount for alleged breaches of fiduciary duty by the defendants in connection with transactions entered into among AT&amp;T, At Home, Comcast and Cox. Comcast believes this suit is without merit and intends to vigorously defend itself in the action.</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Spring of 2002, three purported class actions were filed in the United States District Court for the Southern District of New York against, among others, AT&amp;T and certain of its senior officers alleging violations of the federal securities laws in connection with the disclosures made by At Home in the period from March 28, 2000 through August 28, 2001. These actions have been consolidated. Any liabilities resulting from this lawsuit would be shared equally between AT&amp;T and Broadband.</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As part of a portfolio of lease and project financing assets Broadband assumed in connection with the acquisition of MediaOne, Broadband is the lessor of some airplanes under leveraged leases to US Airways Group. Under a leveraged lease, the assets are secured with debt, which is non-recourse to Broadband. On August 11, 2002, US Airways filed for Chapter 11 bankruptcy protection. In connection with the bankruptcy filing, US Airways can reject or reaffirm its leases. Broadband does not know if the leases will be rejected or reaffirmed. If the leases are rejected and the non-recourse debtholder forecloses on the</w:t>
      </w:r>
    </w:p>
    <w:p>
      <w:pPr>
        <w:spacing w:after="0" w:line="16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59" w:right="1440" w:bottom="1440" w:gutter="0" w:footer="0" w:header="0"/>
        </w:sectPr>
      </w:pPr>
    </w:p>
    <w:bookmarkStart w:id="75" w:name="page76"/>
    <w:bookmarkEnd w:id="75"/>
    <w:p>
      <w:pPr>
        <w:ind w:right="3179"/>
        <w:spacing w:after="0" w:line="236" w:lineRule="auto"/>
        <w:rPr>
          <w:sz w:val="20"/>
          <w:szCs w:val="20"/>
          <w:color w:val="auto"/>
        </w:rPr>
      </w:pPr>
      <w:r>
        <w:rPr>
          <w:rFonts w:ascii="Courier New" w:cs="Courier New" w:eastAsia="Courier New" w:hAnsi="Courier New"/>
          <w:sz w:val="16"/>
          <w:szCs w:val="16"/>
          <w:color w:val="auto"/>
        </w:rPr>
        <w:t>assets, Broadband could incur an after-tax loss of approximately $35 to $45 million (based on June 30, 2002 balances).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AT&amp;T'S CREDIT RATING</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noteholders should consider the following additional risk.</w:t>
      </w:r>
    </w:p>
    <w:p>
      <w:pPr>
        <w:spacing w:after="0" w:line="187" w:lineRule="exact"/>
        <w:rPr>
          <w:sz w:val="20"/>
          <w:szCs w:val="20"/>
          <w:color w:val="auto"/>
        </w:rPr>
      </w:pPr>
    </w:p>
    <w:p>
      <w:pPr>
        <w:ind w:left="180" w:right="3279"/>
        <w:spacing w:after="0" w:line="236" w:lineRule="auto"/>
        <w:rPr>
          <w:sz w:val="20"/>
          <w:szCs w:val="20"/>
          <w:color w:val="auto"/>
        </w:rPr>
      </w:pPr>
      <w:r>
        <w:rPr>
          <w:rFonts w:ascii="Courier New" w:cs="Courier New" w:eastAsia="Courier New" w:hAnsi="Courier New"/>
          <w:sz w:val="16"/>
          <w:szCs w:val="16"/>
          <w:color w:val="auto"/>
        </w:rPr>
        <w:t>THE FINANCIAL CONDITION AND PROSPECTS OF AT&amp;T AND THE AT&amp;T GROUPS MAY BE MATERIALLY ADVERSELY AFFECTED BY FURTHER RATINGS DOWNGRADES.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May 29, 2002, Moody's Investors Service lowered its ratings of long-term debt issued or guaranteed by AT&amp;T to Baa2 from A3. Moody's also confirmed AT&amp;T's short-term rating as Prime-2. Moody's ratings outlook for AT&amp;T remains negative but AT&amp;T is not currently on review for any additional downgrade by Moody's. On June 3, 2002, Fitch Ratings also downgraded AT&amp;T's long-term debt rating to BBB+ from A-, with the rating remaining on Rating Watch Negative pending completion of the AT&amp;T Comcast transaction. AT&amp;T's long-term debt ratings remain BBB+ and on CreditWatch with negative implications by Standard &amp; Poor's Ratings Group. A recent press release from Standard &amp; Poor's confirmed that following the AT&amp;T Comcast transaction Standard &amp; Poor's expects AT&amp;T to have a stable outlook. However, further ratings actions could occur at any time.</w:t>
      </w:r>
    </w:p>
    <w:p>
      <w:pPr>
        <w:spacing w:after="0" w:line="17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Any downgrade by either Standard &amp; Poor's or Moody's increases, by one-quarter of one percent (0.25%) for each ratings notch downgrade by either agency, the interest rates paid by AT&amp;T on approximately $10.1 billion of long-term debt, which would increase AT&amp;T's interest costs by approximately $25 million per year for each such ratings notch downgrade by either rating agency. As a result, the Moody's downgrade referred to above increased by one-half of one percent (0.50%) the interest rates paid by AT&amp;T on approximately $10.1 billion of long-term debt, which will increase AT&amp;T's interest costs by approximately $50 million per year. Any ratings downgrade by Standard &amp; Poor's would also increase such interest costs by one-quarter of one percent (0.25%) for each ratings notch downgrade.</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addition to the increased interest costs on the $10.1 billion of long-term debt referred to above, AT&amp;T could incur increased costs in the replacement or renewal of its credit facility and refinancings of approximately $5 billion of debt and certain operating leases through June 30, 2003. Assuming current market conditions and assumptions regarding the type of financing available, the additional annualized cost increases could approximate $100 million, although it is not possible to predict the actual amount of any such interest cost increase as a result of a rating notch downgrade. Additional ratings downgrades could result in greater interest rate increases for each notch downgrade. In addition, interest expense could be higher in subsequent periods than it otherwise would have been as additional maturing debt is replaced by debt with higher interest rate spreads due to the lower credit ratings. Also, in addition to interest rates, differences in credit ratings affect the amounts of indebtedness, types of financing structures and debt markets that may be available to AT&amp;T. For example, with additional ratings downgrades, AT&amp;T may not have access to the commercial paper market sufficient to satisfy its short-term borrowing needs. If necessary, AT&amp;T could access its short-term credit facilities or increase its borrowings under its securitization program. If our ratings were downgraded below investment grade, there are provisions in our securitization programs which could require the outstanding balances to be paid by collection of the receivables. In addition, there are provisions in several of our debt instruments that require us to pay the present value of up to $0.7 billion of future interest payments if our credit ratings are downgraded below investment grade.</w:t>
      </w:r>
    </w:p>
    <w:p>
      <w:pPr>
        <w:spacing w:after="0" w:line="35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59" w:right="1440" w:bottom="1440" w:gutter="0" w:footer="0" w:header="0"/>
        </w:sectPr>
      </w:pPr>
    </w:p>
    <w:bookmarkStart w:id="76" w:name="page77"/>
    <w:bookmarkEnd w:id="76"/>
    <w:p>
      <w:pPr>
        <w:ind w:right="2719"/>
        <w:spacing w:after="0" w:line="238" w:lineRule="auto"/>
        <w:rPr>
          <w:sz w:val="20"/>
          <w:szCs w:val="20"/>
          <w:color w:val="auto"/>
        </w:rPr>
      </w:pPr>
      <w:r>
        <w:rPr>
          <w:rFonts w:ascii="Courier New" w:cs="Courier New" w:eastAsia="Courier New" w:hAnsi="Courier New"/>
          <w:sz w:val="16"/>
          <w:szCs w:val="16"/>
          <w:color w:val="auto"/>
        </w:rPr>
        <w:t>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 AT&amp;T were to draw upon the bank facilities, which are intended to serve as a back-up source of liquidity only. Such impacts could cause further deterioration in AT&amp;T's cost of and access to capital.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is in the process of replacing its $8 billion 364-day term bank facility (under which no amounts are drawn) that expires in December 2002 with a new 364-day term bank facility of up to $4 billion at or prior to the spin-off of Broadband. The old facility would cease to be effective if, among other things, AT&amp;T consummated the AT&amp;T Comcast transaction without AT&amp;T's long term debt being rated at least Baa1 by Moody's. AT&amp;T has received commitments for the $4 billion facility, subject to completion of documentation. AT&amp;T and the banks are in the final stages of documentation. The amount available under this facility would be reduced to $3 billion upon the completion of the AT&amp;T Comcast transaction.</w:t>
      </w:r>
    </w:p>
    <w:p>
      <w:pPr>
        <w:spacing w:after="0" w:line="187"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RISKS RELATING TO THE BUSINESSES OF AT&amp;T CONSUMER SERVICES GROUP AND AT&amp;T BUSINESS SERVICES GROUP</w:t>
      </w:r>
    </w:p>
    <w:p>
      <w:pPr>
        <w:spacing w:after="0" w:line="185" w:lineRule="exact"/>
        <w:rPr>
          <w:sz w:val="20"/>
          <w:szCs w:val="20"/>
          <w:color w:val="auto"/>
        </w:rPr>
      </w:pPr>
    </w:p>
    <w:p>
      <w:pPr>
        <w:ind w:left="180" w:right="2819"/>
        <w:spacing w:after="0" w:line="236" w:lineRule="auto"/>
        <w:rPr>
          <w:sz w:val="20"/>
          <w:szCs w:val="20"/>
          <w:color w:val="auto"/>
        </w:rPr>
      </w:pPr>
      <w:r>
        <w:rPr>
          <w:rFonts w:ascii="Courier New" w:cs="Courier New" w:eastAsia="Courier New" w:hAnsi="Courier New"/>
          <w:sz w:val="16"/>
          <w:szCs w:val="16"/>
          <w:color w:val="auto"/>
        </w:rPr>
        <w:t>AT&amp;T CONSUMER SERVICES GROUP AND AT&amp;T BUSINESS SERVICES GROUP EXPECT THERE TO BE A CONTINUED DECLINE IN THE LONG DISTANCE INDUSTRY.</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178"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AT&amp;T CONSUMER SERVICES GROUP AND AT&amp;T BUSINESS SERVICES GROUP FACE SUBSTANTIAL COMPETITION THAT MAY MATERIALLY ADVERSELY IMPACT BOTH MARKET SHARE AND MARGINS.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Each of AT&amp;T Consumer Services Group and AT&amp;T Business Services Group currently faces significant competition, and AT&amp;T expects the level of competition to continue to increase. Some of the potential materially adverse consequences of this competition include the following:</w:t>
      </w:r>
    </w:p>
    <w:p>
      <w:pPr>
        <w:spacing w:after="0" w:line="181" w:lineRule="exact"/>
        <w:rPr>
          <w:sz w:val="20"/>
          <w:szCs w:val="20"/>
          <w:color w:val="auto"/>
        </w:rPr>
      </w:pPr>
    </w:p>
    <w:p>
      <w:pPr>
        <w:ind w:left="660" w:hanging="195"/>
        <w:spacing w:after="0"/>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share loss and loss of key customers;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possibility that customers shift to less profitable, lower margin services;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need to initiate or respond to price cuts in order to retain market share;</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AT&amp;T Consumer Services Group's and AT&amp;T Business Services Group's ability to grow new businesses, introduce new services successfully or execute on their business plan; and</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purchase fairly priced access services or fairly priced elements of local carriers' networks.</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As a result of competitive factors, AT&amp;T Consumer Services Group and AT&amp;T Business Services Group believe it is unlikely that they will sustain existing price or margin levels.</w:t>
      </w:r>
    </w:p>
    <w:p>
      <w:pPr>
        <w:spacing w:after="0" w:line="185" w:lineRule="exact"/>
        <w:rPr>
          <w:sz w:val="20"/>
          <w:szCs w:val="20"/>
          <w:color w:val="auto"/>
        </w:rPr>
      </w:pPr>
    </w:p>
    <w:p>
      <w:pPr>
        <w:ind w:left="180" w:right="2719"/>
        <w:spacing w:after="0" w:line="236" w:lineRule="auto"/>
        <w:rPr>
          <w:sz w:val="20"/>
          <w:szCs w:val="20"/>
          <w:color w:val="auto"/>
        </w:rPr>
      </w:pPr>
      <w:r>
        <w:rPr>
          <w:rFonts w:ascii="Courier New" w:cs="Courier New" w:eastAsia="Courier New" w:hAnsi="Courier New"/>
          <w:sz w:val="16"/>
          <w:szCs w:val="16"/>
          <w:color w:val="auto"/>
        </w:rPr>
        <w:t>AT&amp;T CONSUMER SERVICES GROUP AND AT&amp;T BUSINESS SERVICES GROUP FACE COMPETITION FROM A VARIETY OF SOURCES.</w:t>
      </w:r>
    </w:p>
    <w:p>
      <w:pPr>
        <w:spacing w:after="0" w:line="185" w:lineRule="exact"/>
        <w:rPr>
          <w:sz w:val="20"/>
          <w:szCs w:val="20"/>
          <w:color w:val="auto"/>
        </w:rPr>
      </w:pPr>
    </w:p>
    <w:p>
      <w:pPr>
        <w:ind w:left="660" w:right="2719" w:hanging="195"/>
        <w:spacing w:after="0" w:line="254" w:lineRule="auto"/>
        <w:tabs>
          <w:tab w:leader="none" w:pos="6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from new entrants into long distance, including regional phone companies. AT&amp;T Consumer Services Group and AT&amp;T Business Services Group traditionally have competed with other long distance carriers. In</w:t>
      </w:r>
    </w:p>
    <w:p>
      <w:pPr>
        <w:spacing w:after="0" w:line="2" w:lineRule="exact"/>
        <w:rPr>
          <w:sz w:val="20"/>
          <w:szCs w:val="20"/>
          <w:color w:val="auto"/>
        </w:rPr>
      </w:pPr>
    </w:p>
    <w:p>
      <w:pPr>
        <w:ind w:left="3740" w:right="3939" w:hanging="3094"/>
        <w:spacing w:after="0" w:line="236" w:lineRule="auto"/>
        <w:rPr>
          <w:sz w:val="20"/>
          <w:szCs w:val="20"/>
          <w:color w:val="auto"/>
        </w:rPr>
      </w:pPr>
      <w:r>
        <w:rPr>
          <w:rFonts w:ascii="Courier New" w:cs="Courier New" w:eastAsia="Courier New" w:hAnsi="Courier New"/>
          <w:sz w:val="16"/>
          <w:szCs w:val="16"/>
          <w:color w:val="auto"/>
        </w:rPr>
        <w:t>recent years, AT&amp;T Consumer Services Group and AT&amp;T Business 59</w:t>
      </w:r>
    </w:p>
    <w:p>
      <w:pPr>
        <w:sectPr>
          <w:pgSz w:w="11900" w:h="16838" w:orient="portrait"/>
          <w:cols w:equalWidth="0" w:num="1">
            <w:col w:w="10219"/>
          </w:cols>
          <w:pgMar w:left="240" w:top="659" w:right="1440" w:bottom="1440" w:gutter="0" w:footer="0" w:header="0"/>
        </w:sectPr>
      </w:pPr>
    </w:p>
    <w:bookmarkStart w:id="77" w:name="page78"/>
    <w:bookmarkEnd w:id="77"/>
    <w:p>
      <w:pPr>
        <w:ind w:left="660" w:right="2719"/>
        <w:spacing w:after="0" w:line="237" w:lineRule="auto"/>
        <w:rPr>
          <w:sz w:val="20"/>
          <w:szCs w:val="20"/>
          <w:color w:val="auto"/>
        </w:rPr>
      </w:pPr>
      <w:r>
        <w:rPr>
          <w:rFonts w:ascii="Courier New" w:cs="Courier New" w:eastAsia="Courier New" w:hAnsi="Courier New"/>
          <w:sz w:val="16"/>
          <w:szCs w:val="16"/>
          <w:color w:val="auto"/>
        </w:rPr>
        <w:t>Services Group have begun to compete with incumbent local exchange carriers, which historically have dominated local telecommunications, and with other competitive local exchange carriers for the provision of long distance services. In addition, other long distance companies are beginning to offer local residential services bundled with long distance in portions of over 30 states.</w:t>
      </w:r>
    </w:p>
    <w:p>
      <w:pPr>
        <w:spacing w:after="0" w:line="189" w:lineRule="exact"/>
        <w:rPr>
          <w:sz w:val="20"/>
          <w:szCs w:val="20"/>
          <w:color w:val="auto"/>
        </w:rPr>
      </w:pPr>
    </w:p>
    <w:p>
      <w:pPr>
        <w:ind w:left="560" w:right="2719"/>
        <w:spacing w:after="0" w:line="237" w:lineRule="auto"/>
        <w:rPr>
          <w:sz w:val="20"/>
          <w:szCs w:val="20"/>
          <w:color w:val="auto"/>
        </w:rPr>
      </w:pPr>
      <w:r>
        <w:rPr>
          <w:rFonts w:ascii="Courier New" w:cs="Courier New" w:eastAsia="Courier New" w:hAnsi="Courier New"/>
          <w:sz w:val="16"/>
          <w:szCs w:val="16"/>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189" w:lineRule="exact"/>
        <w:rPr>
          <w:sz w:val="20"/>
          <w:szCs w:val="20"/>
          <w:color w:val="auto"/>
        </w:rPr>
      </w:pPr>
    </w:p>
    <w:p>
      <w:pPr>
        <w:ind w:left="560" w:right="2899"/>
        <w:spacing w:after="0" w:line="263" w:lineRule="auto"/>
        <w:rPr>
          <w:sz w:val="20"/>
          <w:szCs w:val="20"/>
          <w:color w:val="auto"/>
        </w:rPr>
      </w:pPr>
      <w:r>
        <w:rPr>
          <w:rFonts w:ascii="Courier New" w:cs="Courier New" w:eastAsia="Courier New" w:hAnsi="Courier New"/>
          <w:sz w:val="15"/>
          <w:szCs w:val="15"/>
          <w:color w:val="auto"/>
        </w:rPr>
        <w:t>The incumbent local exchange carriers presently have numerous advantages as a result of their historic monopoly control over local exchanges.</w:t>
      </w:r>
    </w:p>
    <w:p>
      <w:pPr>
        <w:spacing w:after="0" w:line="169" w:lineRule="exact"/>
        <w:rPr>
          <w:sz w:val="20"/>
          <w:szCs w:val="20"/>
          <w:color w:val="auto"/>
        </w:rPr>
      </w:pPr>
    </w:p>
    <w:p>
      <w:pPr>
        <w:ind w:left="660" w:right="2719" w:hanging="195"/>
        <w:spacing w:after="0" w:line="238" w:lineRule="auto"/>
        <w:tabs>
          <w:tab w:leader="none" w:pos="6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facilities-based companies, including regional phone companies. AT&amp;T Consumer Services Group and AT&amp;T Business Services Group also face the risk of increasing 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a superior position vis-a-vis AT&amp;T Consumer Services Group and AT&amp;T Business Services Group and other competitors that must purchase such high-margin access services.</w:t>
      </w:r>
    </w:p>
    <w:p>
      <w:pPr>
        <w:spacing w:after="0" w:line="187" w:lineRule="exact"/>
        <w:rPr>
          <w:rFonts w:ascii="Courier New" w:cs="Courier New" w:eastAsia="Courier New" w:hAnsi="Courier New"/>
          <w:sz w:val="16"/>
          <w:szCs w:val="16"/>
          <w:color w:val="auto"/>
        </w:rPr>
      </w:pPr>
    </w:p>
    <w:p>
      <w:pPr>
        <w:ind w:left="660" w:right="2819" w:hanging="195"/>
        <w:spacing w:after="0" w:line="238" w:lineRule="auto"/>
        <w:tabs>
          <w:tab w:leader="none" w:pos="6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186" w:lineRule="exact"/>
        <w:rPr>
          <w:rFonts w:ascii="Courier New" w:cs="Courier New" w:eastAsia="Courier New" w:hAnsi="Courier New"/>
          <w:sz w:val="16"/>
          <w:szCs w:val="16"/>
          <w:color w:val="auto"/>
        </w:rPr>
      </w:pPr>
    </w:p>
    <w:p>
      <w:pPr>
        <w:ind w:left="660" w:right="2719" w:hanging="195"/>
        <w:spacing w:after="0" w:line="255" w:lineRule="auto"/>
        <w:tabs>
          <w:tab w:leader="none" w:pos="6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 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Many of these new products and services are substitutes for traditional telephone service. In particular, the rapid expansion of usage of wireless and email services has led and is expected to lead to an overall decline in telephone voice traffic volume on traditional wireline networks.</w:t>
      </w:r>
    </w:p>
    <w:p>
      <w:pPr>
        <w:spacing w:after="0" w:line="358"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excess capacity. Each of AT&amp;T Consumer Services Group and AT&amp;T Business Services Group faces competition as a result of excess capacity resulting from substantial network build-out by competitors that had access to inexpensive capital.</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Strength of competitors. Some of AT&amp;T Consumer Services Group's and AT&amp;T Business Services Group's existing and potential competitors have financial, personnel and other resources significantly greater than those of AT&amp;T Consumer Services Group and AT&amp;T Business Services Group.</w:t>
      </w:r>
    </w:p>
    <w:p>
      <w:pPr>
        <w:spacing w:after="0" w:line="186" w:lineRule="exact"/>
        <w:rPr>
          <w:sz w:val="20"/>
          <w:szCs w:val="20"/>
          <w:color w:val="auto"/>
        </w:rPr>
      </w:pPr>
    </w:p>
    <w:p>
      <w:pPr>
        <w:jc w:val="both"/>
        <w:ind w:left="180" w:right="2719"/>
        <w:spacing w:after="0" w:line="237" w:lineRule="auto"/>
        <w:rPr>
          <w:sz w:val="20"/>
          <w:szCs w:val="20"/>
          <w:color w:val="auto"/>
        </w:rPr>
      </w:pPr>
      <w:r>
        <w:rPr>
          <w:rFonts w:ascii="Courier New" w:cs="Courier New" w:eastAsia="Courier New" w:hAnsi="Courier New"/>
          <w:sz w:val="16"/>
          <w:szCs w:val="16"/>
          <w:color w:val="auto"/>
        </w:rPr>
        <w:t>THE PRICES CHARGED TO AT&amp;T CONSUMER SERVICES GROUP FOR NETWORK UTILIZATION MAY INCREASE OVER TIME AND MAY BE ADVERSELY IMPACTED BY THE VOLUME OF THE BUSINESS OF AT&amp;T BUSINESS SERVICES GROUP.</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During the next few years, AT&amp;T's voice traffic volumes may decline at a rate faster than the rate at which AT&amp;T is able to reduce the cost of operating its circuit switched network, resulting in higher unit</w:t>
      </w: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59" w:right="1440" w:bottom="1440" w:gutter="0" w:footer="0" w:header="0"/>
        </w:sectPr>
      </w:pPr>
    </w:p>
    <w:bookmarkStart w:id="78" w:name="page79"/>
    <w:bookmarkEnd w:id="78"/>
    <w:p>
      <w:pPr>
        <w:ind w:right="2719"/>
        <w:spacing w:after="0" w:line="238" w:lineRule="auto"/>
        <w:rPr>
          <w:sz w:val="20"/>
          <w:szCs w:val="20"/>
          <w:color w:val="auto"/>
        </w:rPr>
      </w:pPr>
      <w:r>
        <w:rPr>
          <w:rFonts w:ascii="Courier New" w:cs="Courier New" w:eastAsia="Courier New" w:hAnsi="Courier New"/>
          <w:sz w:val="16"/>
          <w:szCs w:val="16"/>
          <w:color w:val="auto"/>
        </w:rPr>
        <w:t>costs for both AT&amp;T Consumer Services Group and AT&amp;T Business Services Group. Under the terms of a proposed master carrier agreement, AT&amp;T Consumer Services Group will be required to procure all of its telecommunications needs from Network Services within the AT&amp;T Business Group. The pricing of these services will be based on the costs to Network Services of providing those services, unless otherwise agreed. Also, the agreement will contain provisions intended to assure that the AT&amp;T Consumer Services Group is treated no less favorably than the AT&amp;T Business Services Group with respect to the allocation of costs between the units, including a fair allocation of any low cost capacity Network Services provides or obtains.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overall level of network utilization by AT&amp;T Consumer Services Group and AT&amp;T Business Services Group together will impact the per minute cost of providing telecommunications services. There are substantial fixed costs associated with providing telecommunications services and it is possible that overall levels of usage (including usage by AT&amp;T Business Services Group) may decrease faster than the related decrease in variable costs. As a result, although it will depend upon a variety of factors that are difficult to predict, it is possible that costs per minute may increase over time. Since the terms of this arrangement by which AT&amp;T Consumer Services Group purchases telecommunications services are essentially cost based, any such cost increase would increase the charges to the AT&amp;T Consumer Services Group and could materially adversely impact the results of operations and financial condition of the Group.</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Since per minute costs are affected by both the level of usage of the AT&amp;T Consumer Services Group and AT&amp;T Business Services Group, adverse business conditions of either Group could increase per minute costs. As a result, the costs charged to AT&amp;T Consumer Services Group may increase as a result of a decrease in the volume of usage by AT&amp;T Business Services, and vice versa.</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Consumer Services Group, however, may be more adversely affected by a downturn in telecommunications traffic than its competitors since it is required to obtain all of its telecommunications services from AT&amp;T, even if more favorable pricing is available elsewhere.</w:t>
      </w:r>
    </w:p>
    <w:p>
      <w:pPr>
        <w:spacing w:after="0" w:line="186" w:lineRule="exact"/>
        <w:rPr>
          <w:sz w:val="20"/>
          <w:szCs w:val="20"/>
          <w:color w:val="auto"/>
        </w:rPr>
      </w:pPr>
    </w:p>
    <w:p>
      <w:pPr>
        <w:ind w:left="180" w:right="2819"/>
        <w:spacing w:after="0" w:line="236" w:lineRule="auto"/>
        <w:rPr>
          <w:sz w:val="20"/>
          <w:szCs w:val="20"/>
          <w:color w:val="auto"/>
        </w:rPr>
      </w:pPr>
      <w:r>
        <w:rPr>
          <w:rFonts w:ascii="Courier New" w:cs="Courier New" w:eastAsia="Courier New" w:hAnsi="Courier New"/>
          <w:sz w:val="16"/>
          <w:szCs w:val="16"/>
          <w:color w:val="auto"/>
        </w:rPr>
        <w:t>AT&amp;T FACES RISKS IN CONNECTION WITH AT&amp;T CANADA, ALESTRA AND US AIRWAYS GROUP INC.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has an approximately 31% equity ownership in AT&amp;T Canada. On June 25, 2002, AT&amp;T provided notice triggering the requirement to purchase in cash the outstanding shares of AT&amp;T Canada from the public at the greater of fair market value and a floor price. AT&amp;T has arranged for Tricap Investments Corporation, a wholly owned subsidiary of Brascan Financial Corporation, and CIBC Capital Partners to acquire such AT&amp;T Canada shares. AT&amp;T has agreed to pay the purchase price for the AT&amp;T Canada shares on behalf of Tricap and CIBC Capital Partners. On June 11, 2002, AT&amp;T completed an offering of 200,000,000 shares of AT&amp;T common stock to the public together with 30,000,000 shares of AT&amp;T common stock pursuant to the underwriters' over-allotment option. The offer price to the public was $11.25 per share of AT&amp;T common stock. The underwriting discount and commission was $0.2897 per share of AT&amp;T common stock. AT&amp;T will use the proceeds from this offering to satisfy a portion of its obligations to AT&amp;T Canada common stockholders.</w:t>
      </w:r>
    </w:p>
    <w:p>
      <w:pPr>
        <w:spacing w:after="0" w:line="189" w:lineRule="exact"/>
        <w:rPr>
          <w:sz w:val="20"/>
          <w:szCs w:val="20"/>
          <w:color w:val="auto"/>
        </w:rPr>
      </w:pPr>
    </w:p>
    <w:p>
      <w:pPr>
        <w:ind w:right="2899" w:firstLine="469"/>
        <w:spacing w:after="0" w:line="255" w:lineRule="auto"/>
        <w:rPr>
          <w:sz w:val="20"/>
          <w:szCs w:val="20"/>
          <w:color w:val="auto"/>
        </w:rPr>
      </w:pPr>
      <w:r>
        <w:rPr>
          <w:rFonts w:ascii="Courier New" w:cs="Courier New" w:eastAsia="Courier New" w:hAnsi="Courier New"/>
          <w:sz w:val="15"/>
          <w:szCs w:val="15"/>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British Telecommunications plc's obligation to purchase the publicly owned shares of AT&amp;T Canada. In the first and second quarters of 2002, AT&amp;T recorded an additional $0.3 billion in after-tax charges ($0.5 billion pretax) reflecting further deterioration in the underlying value of AT&amp;T Canada as well as the accretion of the floor price. These charges reflect the difference between the underlying value of AT&amp;T Canada shares and the price AT&amp;T has committed to pay for them, and are included in "Net losses related to other equity investments" in the Consolidated Statement of Income and the related liability of $3.7 billion within current liabilities in the Consolidated Balance Sheet. The liability at June 30, 2002, also reflects foreign currency translation losses due to fluctuations in the Canadian dollar of $0.2 billion pretax. AT&amp;T has a hedge related to this obligation and at June 30, 2002, had realized and unrealized gains of $0.2 billion pretax relating to this hedge.</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59" w:right="1440" w:bottom="1440" w:gutter="0" w:footer="0" w:header="0"/>
        </w:sectPr>
      </w:pPr>
    </w:p>
    <w:bookmarkStart w:id="79" w:name="page80"/>
    <w:bookmarkEnd w:id="79"/>
    <w:p>
      <w:pPr>
        <w:ind w:right="2719" w:firstLine="469"/>
        <w:spacing w:after="0" w:line="237"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On April 18, 2002, the counsel to the ad hoc group of bondholders issued a press release stating that this group was concerned about AT&amp;T's and AT&amp;T Canada's failure to engage in a dialogue concerning the commitment to bondholders. The committee said it was troubled that AT&amp;T would not commit to stand behind the AT&amp;T Canada bonds, alleging that senior executives of AT&amp;T participated in the road shows for placement of the AT&amp;T Canada notes and made certain statements to rating agencies. Further, the release stated that, in the absence of AT&amp;T committing to support AT&amp;T Canada, the committee will have no choice but to explore any and all available remedies. As stated above, approximately Canadian $4.5 billion (approximately U.S. $2.9 billion) in aggregate amount of indebtedness of AT&amp;T Canada was outstanding as of April 26, 2002. AT&amp;T expressly disclaims any obligation with respect to the bonds.</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May 9, 2002, a group of institutional investors holding approximately $458 million of AT&amp;T Canada's public notes announced that it had filed an oppression application with the Ontario Superior Court of Justice asserting that the conduct of AT&amp;T Canada and its directors has been oppressive and unfairly prejudicial to, and has unfairly disregarded, the interests of AT&amp;T Canada's noteholders. The investors also stated that the Application is supported by other AT&amp;T Canada noteholders holding an additional $250 million of AT&amp;T Canada's notes. Among other things, the Application seeks the following relief: replacement of all current directors of AT&amp;T Canada or orders regulating the conduct of current directors; an order restraining AT&amp;T Canada from collapsing any "in the money" foreign currency swaps; and an order requiring AT&amp;T Canada and its directors to preserve assets and liquidity pending a restructuring.</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11, 2002, AT&amp;T Canada reported that it has elected not to make bond interest payments totaling approximately U.S. $47.8 million, due on September 15, 2002 and approximately Canadian $5.4 million due on September 23, 2002. Under the terms of the indentures governing these series of bonds, AT&amp;T Canada has 30 days from the scheduled interest payment date to make the required interest payment. On September 16, 2002, Standard &amp; Poor's cut its long-term corporate credit rating on AT&amp;T Canada to "D," effectively a default rating, from double "C."</w:t>
      </w:r>
    </w:p>
    <w:p>
      <w:pPr>
        <w:spacing w:after="0" w:line="200" w:lineRule="exact"/>
        <w:rPr>
          <w:sz w:val="20"/>
          <w:szCs w:val="20"/>
          <w:color w:val="auto"/>
        </w:rPr>
      </w:pPr>
    </w:p>
    <w:p>
      <w:pPr>
        <w:spacing w:after="0" w:line="346"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On October 2, 2002, AT&amp;T Canada announced that the applicant institutional investors have withdrawn the oppression application referred to above and that an order has been made by the court dismissing that Application.</w:t>
      </w:r>
    </w:p>
    <w:p>
      <w:pPr>
        <w:spacing w:after="0" w:line="200" w:lineRule="exact"/>
        <w:rPr>
          <w:sz w:val="20"/>
          <w:szCs w:val="20"/>
          <w:color w:val="auto"/>
        </w:rPr>
      </w:pPr>
    </w:p>
    <w:p>
      <w:pPr>
        <w:spacing w:after="0" w:line="332"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October 3, 2002, an investor holding U.S. $4 million of AT&amp;T Canada's public notes filed an application in the Ontario Superior Court of Justice alleging, among other things, that the purchase from the public deposit receipt holders of the outstanding shares of AT&amp;T Canada constitutes a change of control as defined in an AT&amp;T Canada Indenture dated as of June 10, 1998 and noting that AT&amp;T Canada has announced that it does not intend to make a change of control offer to MetroNet bondholders. The Application seeks to enjoin completion of the purchase unless AT&amp;T Canada undertakes to meet AT&amp;T Canada's alleged obligations to make a change of control offer. The Application is scheduled to be heard on October 4, 2002.</w:t>
      </w:r>
    </w:p>
    <w:p>
      <w:pPr>
        <w:spacing w:after="0" w:line="36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59" w:right="1440" w:bottom="1440" w:gutter="0" w:footer="0" w:header="0"/>
        </w:sectPr>
      </w:pPr>
    </w:p>
    <w:bookmarkStart w:id="80" w:name="page81"/>
    <w:bookmarkEnd w:id="80"/>
    <w:p>
      <w:pPr>
        <w:ind w:right="2719" w:firstLine="469"/>
        <w:spacing w:after="0" w:line="238" w:lineRule="auto"/>
        <w:rPr>
          <w:sz w:val="20"/>
          <w:szCs w:val="20"/>
          <w:color w:val="auto"/>
        </w:rPr>
      </w:pPr>
      <w:r>
        <w:rPr>
          <w:rFonts w:ascii="Courier New" w:cs="Courier New" w:eastAsia="Courier New" w:hAnsi="Courier New"/>
          <w:sz w:val="16"/>
          <w:szCs w:val="16"/>
          <w:color w:val="auto"/>
        </w:rPr>
        <w:t>AT&amp;T has no contractual restrictions on selling shares that may cause a change of control and AT&amp;T has the express right under the purchase agreement to purchase or designate third party purchasers of the public shares of AT&amp;T Canada, without reference to whether any purchase might cause a change of control. Accordingly, although no assurance can be given regarding how a court may rule, AT&amp;T believes the claim is without merit and intends to contest it vigorously. However, an adverse determination in this Application could have materially adverse consequences for AT&amp;T. AT&amp;T Canada has advised AT&amp;T that counsel to the bondholder has agreed to dismiss the application.</w:t>
      </w: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According to AT&amp;T Canada's public statements:</w:t>
      </w:r>
    </w:p>
    <w:p>
      <w:pPr>
        <w:spacing w:after="0" w:line="36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Effective January 1, 2002, AT&amp;T Canada adopted new accounting standards for Business Combinations and Goodwill and Other Intangible Assets and recorded an impairment of goodwill totaling Canadian $1,530.8 million. During the second quarter of 2002, AT&amp;T Canada performed an assessment of the carrying value of its remaining goodwill and recorded an impairment of Canadian $108.2 million. Also in the second quarter of 2002, AT&amp;T Canada performed an assessment for impairment of the carrying values of its property, plant and equipment that resulted in a charge of Canadian $1,095.0 million.</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Business Services also owns a 49% economic interest in Alestra S. de R.L. de C.V., a telecommunications company in Mexico that offers voice, data and internet services throughout Mexico to residential, small business and enterprise customers. Alestra has announced that it may not be able to make a $35 million bond payment due in November 2002 and that it is working jointly with Morgan Stanley in analyzing available options to address the company's financial condition, including its liquidity position. Standard &amp; Poor's has downgraded Alestra's corporate credit rating and said the company would likely default on its debt obligations during financial year 2002, probably by way of a bond restructuring. Moody's also downgraded all ratings of Alestra stating that "based upon current long distance network asset valuations, Moody's considers that unsecured debt holders face poor recovery prospects in a distress scenario." On September 23, Alestra filed a preliminary registration statement with the U.S. Securities and Exchange Commission relating to a proposed offer to repurchase and exchange new debt securities for any and all of the outstanding $270 million 12 1/8% Senior Notes due 2006 and the $300 million 12 5/8% Senior Notes due 2009. As part of the exchange offer, Alestra intends to include a cash alternative that will allow it to repurchase a portion of the outstanding securities, subject to pro-ration if the cash alternative is oversubscribed. The financial terms of the offer have not yet been set. AT&amp;T cannot predict the success of the proposed restructuring and the ultimate impacts of these activities on Alestra and AT&amp;T.</w:t>
      </w:r>
    </w:p>
    <w:p>
      <w:pPr>
        <w:spacing w:after="0" w:line="194"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In addition, adverse business developments involving AT&amp;T Canada and Alestra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part of portfolios of lease and project financing assets AT&amp;T assumed in connection with the IPO and subsequent sale of AT&amp;T Capital Corp. and in the acquisition of Media One, AT&amp;T is the lessor of some airplanes under leveraged leases to US Airways Group. Under a leveraged lease, the assets are secured with debt, which is non-recourse to AT&amp;T. On August 11, 2002, US Airways filed for Chapter 11 bankruptcy protection. In connection with the bankruptcy filing, US Airways can reject or reaffirm its leases. AT&amp;T does not know if the leases will be rejected or reaffirmed. If the leases are rejected and the non-recourse debtholder forecloses on the assets, AT&amp;T could incur an after-tax loss of approximately $70 to $80 million (based on June 30, 2002 balances), with $35 to $45 million of such loss attributable to Broadband.</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839" w:right="1440" w:bottom="1440" w:gutter="0" w:footer="0" w:header="0"/>
        </w:sectPr>
      </w:pPr>
    </w:p>
    <w:bookmarkStart w:id="81" w:name="page82"/>
    <w:bookmarkEnd w:id="81"/>
    <w:p>
      <w:pPr>
        <w:ind w:left="180" w:right="3479"/>
        <w:spacing w:after="0" w:line="236" w:lineRule="auto"/>
        <w:rPr>
          <w:sz w:val="20"/>
          <w:szCs w:val="20"/>
          <w:color w:val="auto"/>
        </w:rPr>
      </w:pPr>
      <w:r>
        <w:rPr>
          <w:rFonts w:ascii="Courier New" w:cs="Courier New" w:eastAsia="Courier New" w:hAnsi="Courier New"/>
          <w:sz w:val="16"/>
          <w:szCs w:val="16"/>
          <w:color w:val="auto"/>
        </w:rPr>
        <w:t>THE REGULATORY AND LEGISLATIVE ENVIRONMENT CREATES CHALLENGES FOR AT&amp;T CONSUMER SERVICES GROUP AND AT&amp;T BUSINESS SERVICES GROUP.</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Each of AT&amp;T Consumer Services Group and AT&amp;T Business Services Group faces risks relating to regulation and legislation. These risks include:</w:t>
      </w:r>
    </w:p>
    <w:p>
      <w:pPr>
        <w:spacing w:after="0" w:line="185" w:lineRule="exact"/>
        <w:rPr>
          <w:sz w:val="20"/>
          <w:szCs w:val="20"/>
          <w:color w:val="auto"/>
        </w:rPr>
      </w:pPr>
    </w:p>
    <w:p>
      <w:pPr>
        <w:ind w:left="660" w:right="2899" w:hanging="195"/>
        <w:spacing w:after="0" w:line="237" w:lineRule="auto"/>
        <w:tabs>
          <w:tab w:leader="none" w:pos="6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185"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head-on competition as regional phone companies begin to enter the long distance business;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emergence of few facilities-based competitors to regional phone companies, and the absence of any significant alternate source of supply for most access and local services.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regional phone companies will be entering the long distance business while they still control substantially all the access facilities in their regions. This will likely result in an increased level of competition for long distance or end-to-end services as the services offered by regional phone companies expand.</w:t>
      </w:r>
    </w:p>
    <w:p>
      <w:pPr>
        <w:spacing w:after="0" w:line="187"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EACH OF AT&amp;T CONSUMER SERVICES GROUP AND AT&amp;T BUSINESS SERVICES GROUP MAY SUBSTANTIALLY INCREASE ITS DEBT LEVEL IN THE FUTURE, WHICH COULD SUBJECT IT TO VARIOUS RESTRICTIONS AND HIGHER INTEREST COSTS AND DECREASE ITS CASH FLOW AND EARNINGS.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 which, in turn, may be materially adversely affected by competitive and other pressures. Any agreements governing indebtedness obtained by AT&amp;T Consumer Services Group or AT&amp;T Business Services Group may contain financial and other covenants that could impair AT&amp;T Consumer Services Group's or AT&amp;T Business Services Group's flexibility and restrict its ability to pursue growth opportunities.</w:t>
      </w:r>
    </w:p>
    <w:p>
      <w:pPr>
        <w:spacing w:after="0" w:line="178" w:lineRule="exact"/>
        <w:rPr>
          <w:sz w:val="20"/>
          <w:szCs w:val="20"/>
          <w:color w:val="auto"/>
        </w:rPr>
      </w:pPr>
    </w:p>
    <w:p>
      <w:pPr>
        <w:ind w:left="180" w:right="2719"/>
        <w:spacing w:after="0" w:line="237" w:lineRule="auto"/>
        <w:rPr>
          <w:sz w:val="20"/>
          <w:szCs w:val="20"/>
          <w:color w:val="auto"/>
        </w:rPr>
      </w:pPr>
      <w:r>
        <w:rPr>
          <w:rFonts w:ascii="Courier New" w:cs="Courier New" w:eastAsia="Courier New" w:hAnsi="Courier New"/>
          <w:sz w:val="16"/>
          <w:szCs w:val="16"/>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w:t>
      </w:r>
    </w:p>
    <w:p>
      <w:pPr>
        <w:spacing w:after="0" w:line="186"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169" w:lineRule="exact"/>
        <w:rPr>
          <w:sz w:val="20"/>
          <w:szCs w:val="20"/>
          <w:color w:val="auto"/>
        </w:rPr>
      </w:pPr>
    </w:p>
    <w:p>
      <w:pPr>
        <w:ind w:left="660" w:hanging="195"/>
        <w:spacing w:after="0"/>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downward pressures on revenues and margins;</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departures from AT&amp;T Consumer Services Group's and AT&amp;T Business Services Group's respective current business plans;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developments;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competitive developments;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and other risks;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expenses;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delays and cost overruns;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engineering design changes.</w:t>
      </w: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59" w:right="1440" w:bottom="1440" w:gutter="0" w:footer="0" w:header="0"/>
        </w:sectPr>
      </w:pPr>
    </w:p>
    <w:bookmarkStart w:id="82" w:name="page83"/>
    <w:bookmarkEnd w:id="82"/>
    <w:p>
      <w:pPr>
        <w:ind w:right="2819" w:firstLine="469"/>
        <w:spacing w:after="0" w:line="237" w:lineRule="auto"/>
        <w:rPr>
          <w:sz w:val="20"/>
          <w:szCs w:val="20"/>
          <w:color w:val="auto"/>
        </w:rPr>
      </w:pPr>
      <w:r>
        <w:rPr>
          <w:rFonts w:ascii="Courier New" w:cs="Courier New" w:eastAsia="Courier New" w:hAnsi="Courier New"/>
          <w:sz w:val="16"/>
          <w:szCs w:val="16"/>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187" w:lineRule="exact"/>
        <w:rPr>
          <w:sz w:val="20"/>
          <w:szCs w:val="20"/>
          <w:color w:val="auto"/>
        </w:rPr>
      </w:pPr>
    </w:p>
    <w:p>
      <w:pPr>
        <w:ind w:left="180" w:right="3279"/>
        <w:spacing w:after="0" w:line="237" w:lineRule="auto"/>
        <w:rPr>
          <w:sz w:val="20"/>
          <w:szCs w:val="20"/>
          <w:color w:val="auto"/>
        </w:rPr>
      </w:pPr>
      <w:r>
        <w:rPr>
          <w:rFonts w:ascii="Courier New" w:cs="Courier New" w:eastAsia="Courier New" w:hAnsi="Courier New"/>
          <w:sz w:val="16"/>
          <w:szCs w:val="16"/>
          <w:color w:val="auto"/>
        </w:rPr>
        <w:t>AT&amp;T CONSUMER SERVICES GROUP'S POTENTIAL GROWTH IN ITS AT&amp;T DSL SERVICE COMBINING VOICE AND DATA SERVICES UTILIZING DSL TECHNOLOGY INVOLVES TECHNOLOGICAL, MARKETING AND REGULATORY HURDLES AND REQUIRES SUBSTANTIAL CAPITAL EXPENDITURES.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marketing success,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179" w:lineRule="exact"/>
        <w:rPr>
          <w:sz w:val="20"/>
          <w:szCs w:val="20"/>
          <w:color w:val="auto"/>
        </w:rPr>
      </w:pPr>
    </w:p>
    <w:p>
      <w:pPr>
        <w:ind w:left="180" w:right="2899"/>
        <w:spacing w:after="0" w:line="237" w:lineRule="auto"/>
        <w:rPr>
          <w:sz w:val="20"/>
          <w:szCs w:val="20"/>
          <w:color w:val="auto"/>
        </w:rPr>
      </w:pPr>
      <w:r>
        <w:rPr>
          <w:rFonts w:ascii="Courier New" w:cs="Courier New" w:eastAsia="Courier New" w:hAnsi="Courier New"/>
          <w:sz w:val="16"/>
          <w:szCs w:val="16"/>
          <w:color w:val="auto"/>
        </w:rPr>
        <w:t>SUBSTANTIALLY ALL OF THE TELEPHONE CALLS MADE BY EACH OF AT&amp;T CONSUMER SERVICES GROUP'S AND AT&amp;T BUSINESS SERVICES GROUP'S CUSTOMERS ARE CONNECTED USING OTHER COMPANIES' NETWORKS, INCLUDING THOSE OF COMPETITORS, WHICH MAKES COMPETITION MORE DIFFICULT FOR AT&amp;T.</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that it obtains from network services within AT&amp;T Business Services Group under a Master Carrier Agreement.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 through a local telephone company to reach AT&amp;T Business Services Group's transmission facilities and, ultimately, to reach their final destinations.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 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188" w:lineRule="exact"/>
        <w:rPr>
          <w:sz w:val="20"/>
          <w:szCs w:val="20"/>
          <w:color w:val="auto"/>
        </w:rPr>
      </w:pPr>
    </w:p>
    <w:p>
      <w:pPr>
        <w:ind w:left="180" w:right="3279"/>
        <w:spacing w:after="0" w:line="237" w:lineRule="auto"/>
        <w:rPr>
          <w:sz w:val="20"/>
          <w:szCs w:val="20"/>
          <w:color w:val="auto"/>
        </w:rPr>
      </w:pPr>
      <w:r>
        <w:rPr>
          <w:rFonts w:ascii="Courier New" w:cs="Courier New" w:eastAsia="Courier New" w:hAnsi="Courier New"/>
          <w:sz w:val="16"/>
          <w:szCs w:val="16"/>
          <w:color w:val="auto"/>
        </w:rPr>
        <w:t>AT&amp;T CONSUMER SERVICES GROUP MUST RELY ON AT&amp;T BUSINESS SERVICES GROUP'S ABILITY TO MAINTAIN, UPGRADE AND REDUCE COSTS ASSOCIATED WITH THE CORE NETWORK, WHICH MAY LEAD TO ADDITIONAL COSTS.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59" w:right="1440" w:bottom="1440" w:gutter="0" w:footer="0" w:header="0"/>
        </w:sectPr>
      </w:pPr>
    </w:p>
    <w:bookmarkStart w:id="83" w:name="page84"/>
    <w:bookmarkEnd w:id="83"/>
    <w:p>
      <w:pPr>
        <w:ind w:left="180" w:right="2899"/>
        <w:spacing w:after="0" w:line="236" w:lineRule="auto"/>
        <w:rPr>
          <w:sz w:val="20"/>
          <w:szCs w:val="20"/>
          <w:color w:val="auto"/>
        </w:rPr>
      </w:pPr>
      <w:r>
        <w:rPr>
          <w:rFonts w:ascii="Courier New" w:cs="Courier New" w:eastAsia="Courier New" w:hAnsi="Courier New"/>
          <w:sz w:val="16"/>
          <w:szCs w:val="16"/>
          <w:color w:val="auto"/>
        </w:rPr>
        <w:t>FAILURE TO DEVELOP FUTURE BUSINESS OPPORTUNITIES MAY HAVE A MATERIAL ADVERSE EFFECT ON AT&amp;T CONSUMER SERVICES GROUP'S GROWTH POTENTIAL.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Consumer Services Group intends to actively evaluate pursuing growth opportunities by providing local telecommunications service. AT&amp;T Consumer Services Group faces risk associated with effective entry into local markets due to non-competitive pricing and the emergence of few facilities-based competitors to regional phone companies and the absence of any significant alternative source of supply for most access and local services. AT&amp;T Consumer Services Group is also evaluating pursuing further growth opportunities in these markets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be incurred by AT&amp;T Business Services and charged to AT&amp;T Consumer Services Group as part of its network usage under the transport agreement. These outlays are currently estimated to be approximately $1 billion over a three-year planning period, to deploy on the planned scale, but are subject to adjustment for change in competitive conditions and market uncertainties.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w:t>
      </w:r>
    </w:p>
    <w:p>
      <w:pPr>
        <w:spacing w:after="0" w:line="19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These services may not be successful when they are in place and customers may not purchase the services offered.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59" w:right="1440" w:bottom="1440" w:gutter="0" w:footer="0" w:header="0"/>
        </w:sectPr>
      </w:pPr>
    </w:p>
    <w:bookmarkStart w:id="84" w:name="page85"/>
    <w:bookmarkEnd w:id="84"/>
    <w:p>
      <w:pPr>
        <w:ind w:left="2160"/>
        <w:spacing w:after="0"/>
        <w:rPr>
          <w:sz w:val="20"/>
          <w:szCs w:val="20"/>
          <w:color w:val="auto"/>
        </w:rPr>
      </w:pPr>
      <w:r>
        <w:rPr>
          <w:rFonts w:ascii="Courier New" w:cs="Courier New" w:eastAsia="Courier New" w:hAnsi="Courier New"/>
          <w:sz w:val="16"/>
          <w:szCs w:val="16"/>
          <w:color w:val="auto"/>
        </w:rPr>
        <w:t>DESCRIPTION OF 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EXCHANGE OFFER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are making this exchange offer in connection with the proposed transfer of AT&amp;T's broadband businesses to Broadband, the spin-off of Broadband, and the subsequent combination of Broadband with Comcast into a new entity, AT&amp;T Comcast. The AT&amp;T Comcast transaction is described under "Description of AT&amp;T Comcast Transaction."</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is conditioned on AT&amp;T's obtaining the consents, or deemed consents in the exchange offer, or having defeased, purchased, retired or acquired its debt in respect of series representing at least 90% in aggregate principal amount outstanding on December 19, 2001, which was approximately $12.7 billion, of debt securities issued under the AT&amp;T Indenture. AT&amp;T and Comcast could mutually agree to waive this condition with respect to all or any portion of the AT&amp;T Notes for which consents, or deemed consents, are not obtained. If the AT&amp;T Comcast transaction were to occur and if holders of the AT&amp;T Notes were to assert successfully that completing the AT&amp;T Comcast transaction required Broadband or one of its affiliates to assume AT&amp;T's obligations under the AT&amp;T Notes and that did not occur, then AT&amp;T could be required to refinance the AT&amp;T Notes.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190"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The exchange offer is not being made to, nor will we accept tenders for exchange from, holders of Broadband Eligible Notes and AT&amp;T Eligible Notes in any jurisdiction in which the exchange offer or the acceptance of it would not be in compliance with the securities or blue sky laws of such jurisdiction.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EXCHANGE OFFER; PERIOD FOR TENDERING</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This prospectus and the accompanying letter of transmittal contain the terms and conditions of the exchange offer. Upon the terms and subject to the conditions included in this prospectus and in the accompanying letter of transmittal, which together are the exchange offer, we will accept for exchange Broadband Eligible Notes and AT&amp;T Eligible Notes which are properly tendered on or prior to the expiration date, unless you have previously withdrawn them.</w:t>
      </w:r>
    </w:p>
    <w:p>
      <w:pPr>
        <w:spacing w:after="0" w:line="175" w:lineRule="exact"/>
        <w:rPr>
          <w:sz w:val="20"/>
          <w:szCs w:val="20"/>
          <w:color w:val="auto"/>
        </w:rPr>
      </w:pPr>
    </w:p>
    <w:p>
      <w:pPr>
        <w:ind w:left="660" w:right="2719" w:hanging="195"/>
        <w:spacing w:after="0" w:line="237"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you tender to us Broadband Eligible Notes and AT&amp;T Eligible Notes as provided below, our acceptance of the Broadband Eligible Notes and AT&amp;T Eligible Notes will constitute a binding agreement between you and us upon the terms and subject to the conditions in this prospectus and in the accompanying letter of transmittal.</w:t>
      </w:r>
    </w:p>
    <w:p>
      <w:pPr>
        <w:spacing w:after="0" w:line="187" w:lineRule="exact"/>
        <w:rPr>
          <w:rFonts w:ascii="Courier New" w:cs="Courier New" w:eastAsia="Courier New" w:hAnsi="Courier New"/>
          <w:sz w:val="16"/>
          <w:szCs w:val="16"/>
          <w:color w:val="auto"/>
        </w:rPr>
      </w:pPr>
    </w:p>
    <w:p>
      <w:pPr>
        <w:ind w:left="660" w:right="2819" w:hanging="195"/>
        <w:spacing w:after="0" w:line="256" w:lineRule="auto"/>
        <w:tabs>
          <w:tab w:leader="none" w:pos="6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$1,000 principal amount of Broadband Eligible Notes accepted by us in the exchange offer, we will give you a like principal amount of Broadband Exchange Notes. Upon completion of the AT&amp;T Comcast transaction, the Broadband Exchange Notes will be mandatorily exchanged at an exchange ratio based upon the exchange spread set forth on the cover page of this prospectus for New Broadband Notes. For each $1,000 principal amount of AT&amp;T Eligible Notes accepted by us in the exchange offer, we will give you a like principal amount of New AT&amp;T Notes.</w:t>
      </w:r>
    </w:p>
    <w:p>
      <w:pPr>
        <w:spacing w:after="0" w:line="173" w:lineRule="exact"/>
        <w:rPr>
          <w:rFonts w:ascii="Courier New" w:cs="Courier New" w:eastAsia="Courier New" w:hAnsi="Courier New"/>
          <w:sz w:val="15"/>
          <w:szCs w:val="15"/>
          <w:color w:val="auto"/>
        </w:rPr>
      </w:pPr>
    </w:p>
    <w:p>
      <w:pPr>
        <w:ind w:left="660" w:right="2819" w:hanging="195"/>
        <w:spacing w:after="0" w:line="254" w:lineRule="auto"/>
        <w:tabs>
          <w:tab w:leader="none" w:pos="6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will accept Broadband Eligible Notes in the exchange offer only up to the applicable proration percentage set forth on the cover of this prospectus of the aggregate principal amount outstanding with respect to each series of Broadband Eligible Notes. If Broadband Eligible Notes of any series are tendered in excess of that amount, the tendered notes of that series will be subject to proration as described under</w:t>
      </w:r>
    </w:p>
    <w:p>
      <w:pPr>
        <w:spacing w:after="0" w:line="3" w:lineRule="exact"/>
        <w:rPr>
          <w:rFonts w:ascii="Courier New" w:cs="Courier New" w:eastAsia="Courier New" w:hAnsi="Courier New"/>
          <w:sz w:val="15"/>
          <w:szCs w:val="15"/>
          <w:color w:val="auto"/>
        </w:rPr>
      </w:pPr>
    </w:p>
    <w:p>
      <w:pPr>
        <w:ind w:left="660"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 Proration" when the exchange offer expires. The exchange offer for each series of AT&amp;T Eligible Notes is for all notes of that series and is not subject to proration.</w:t>
      </w:r>
    </w:p>
    <w:p>
      <w:pPr>
        <w:spacing w:after="0" w:line="184"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will only be issued in denominations of $1,000 and multiples of $1,000. If the exchange of a series of Broadband Eligible Notes is subject to proration and proration would result in your being entitled to receive a fractional interest in the relevant series of Broadband Eligible Notes, the principal amount of Broadband Eligible Notes accepted in the exchange will be rounded to the</w:t>
      </w:r>
    </w:p>
    <w:p>
      <w:pPr>
        <w:spacing w:after="0" w:line="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54" w:right="1440" w:bottom="1440" w:gutter="0" w:footer="0" w:header="0"/>
        </w:sectPr>
      </w:pPr>
    </w:p>
    <w:bookmarkStart w:id="85" w:name="page86"/>
    <w:bookmarkEnd w:id="85"/>
    <w:p>
      <w:pPr>
        <w:ind w:left="195" w:right="2719"/>
        <w:spacing w:after="0" w:line="256" w:lineRule="auto"/>
        <w:rPr>
          <w:sz w:val="20"/>
          <w:szCs w:val="20"/>
          <w:color w:val="auto"/>
        </w:rPr>
      </w:pPr>
      <w:r>
        <w:rPr>
          <w:rFonts w:ascii="Courier New" w:cs="Courier New" w:eastAsia="Courier New" w:hAnsi="Courier New"/>
          <w:sz w:val="15"/>
          <w:szCs w:val="15"/>
          <w:color w:val="auto"/>
        </w:rPr>
        <w:t>nearest $1,000, which will result in your receiving only whole Broadband Exchange Notes in the exchange. If the mandatory exchange of a series of Broadband Exchange Notes into New Broadband Notes would result in your being entitled to receive a fractional interest in the relevant series of New Broadband Notes, the principal amount you receive will be rounded down to the nearest $1,000 multiple and you will receive cash in lieu of a fractional New Broadband Note for the balance.</w:t>
      </w:r>
    </w:p>
    <w:p>
      <w:pPr>
        <w:spacing w:after="0" w:line="174" w:lineRule="exact"/>
        <w:rPr>
          <w:sz w:val="20"/>
          <w:szCs w:val="20"/>
          <w:color w:val="auto"/>
        </w:rPr>
      </w:pPr>
    </w:p>
    <w:p>
      <w:pPr>
        <w:ind w:left="195" w:right="2719" w:hanging="195"/>
        <w:spacing w:after="0" w:line="237" w:lineRule="auto"/>
        <w:tabs>
          <w:tab w:leader="none" w:pos="19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series of Broadband Eligible Notes and AT&amp;T Eligible Notes, the exchange offer is conditioned upon the holders of at least 50% in principal amount of that series having validly tendered and not withdrawn their notes. For these purposes, all of the Series A Medium-Term Notes are treated as part of a single series.</w:t>
      </w:r>
    </w:p>
    <w:p>
      <w:pPr>
        <w:spacing w:after="0" w:line="187" w:lineRule="exact"/>
        <w:rPr>
          <w:rFonts w:ascii="Courier New" w:cs="Courier New" w:eastAsia="Courier New" w:hAnsi="Courier New"/>
          <w:sz w:val="16"/>
          <w:szCs w:val="16"/>
          <w:color w:val="auto"/>
        </w:rPr>
      </w:pPr>
    </w:p>
    <w:p>
      <w:pPr>
        <w:ind w:left="195" w:right="2719" w:hanging="195"/>
        <w:spacing w:after="0" w:line="237" w:lineRule="auto"/>
        <w:tabs>
          <w:tab w:leader="none" w:pos="19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obligation to accept Broadband Eligible Notes and/or AT&amp;T Eligible Notes for exchange in the exchange offer is also subject to the conditions described under "-- Conditions to the Exchange Offer."</w:t>
      </w:r>
    </w:p>
    <w:p>
      <w:pPr>
        <w:spacing w:after="0" w:line="364" w:lineRule="exact"/>
        <w:rPr>
          <w:rFonts w:ascii="Courier New" w:cs="Courier New" w:eastAsia="Courier New" w:hAnsi="Courier New"/>
          <w:sz w:val="16"/>
          <w:szCs w:val="16"/>
          <w:color w:val="auto"/>
        </w:rPr>
      </w:pPr>
    </w:p>
    <w:p>
      <w:pPr>
        <w:ind w:left="195" w:right="2719" w:hanging="195"/>
        <w:spacing w:after="0" w:line="256" w:lineRule="auto"/>
        <w:tabs>
          <w:tab w:leader="none" w:pos="19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expires at 12:00 midnight, New York City time, on November 1, 2002. AT&amp;T may, however, in its sole discretion, extend the period of time for which the exchange offer is open as to any one or more series of Broadband Eligible Notes or AT&amp;T Eligible Notes. References in this prospectus to the expiration date with respect to any series of Broadband Eligible Notes or AT&amp;T Eligible Notes mean November 1, 2002 or, if extended by AT&amp;T, the latest time and date to which the exchange offer is extended by AT&amp;T as to that series of notes.</w:t>
      </w:r>
    </w:p>
    <w:p>
      <w:pPr>
        <w:spacing w:after="0" w:line="353" w:lineRule="exact"/>
        <w:rPr>
          <w:rFonts w:ascii="Courier New" w:cs="Courier New" w:eastAsia="Courier New" w:hAnsi="Courier New"/>
          <w:sz w:val="15"/>
          <w:szCs w:val="15"/>
          <w:color w:val="auto"/>
        </w:rPr>
      </w:pPr>
    </w:p>
    <w:p>
      <w:pPr>
        <w:ind w:left="195" w:right="2899" w:hanging="195"/>
        <w:spacing w:after="0" w:line="238" w:lineRule="auto"/>
        <w:tabs>
          <w:tab w:leader="none" w:pos="19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keep the exchange offer open for not less than 20 business days, or longer if required by applicable law, after the date that we first mail notice of the exchange offer to the holders of the Broadband Eligible Notes and AT&amp;T Eligible Notes. We are sending this prospectus, together with the letter of transmittal, on or about the date of this prospectus to all of the registered holders of Broadband Eligible Notes and AT&amp;T Eligible Notes at their addresses listed in the trustee's security register with respect to those notes.</w:t>
      </w:r>
    </w:p>
    <w:p>
      <w:pPr>
        <w:spacing w:after="0" w:line="185" w:lineRule="exact"/>
        <w:rPr>
          <w:rFonts w:ascii="Courier New" w:cs="Courier New" w:eastAsia="Courier New" w:hAnsi="Courier New"/>
          <w:sz w:val="16"/>
          <w:szCs w:val="16"/>
          <w:color w:val="auto"/>
        </w:rPr>
      </w:pPr>
    </w:p>
    <w:p>
      <w:pPr>
        <w:ind w:left="195" w:right="2719" w:hanging="195"/>
        <w:spacing w:after="0" w:line="238" w:lineRule="auto"/>
        <w:tabs>
          <w:tab w:leader="none" w:pos="19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expressly reserves the right, at any time, to extend the period of time during which the exchange offer is open with respect to any one or more series of Broadband Eligible Notes or AT&amp;T Eligible Notes, and thereby delay acceptance of any series of Broadband Eligible Notes or AT&amp;T Eligible Notes to which the extension applies, by giving oral or written notice of an extension to the exchange agent and notice of that extension to the holders as described below. During any extension, all Broadband Eligible Notes and AT&amp;T Eligible Notes previously tendered will remain subject to the exchange offer unless withdrawal rights are exercised. Any Broadband Eligible Notes and AT&amp;T Eligible Notes not accepted for exchange for any reason will be returned without expense to the tendering holder as promptly as practicable after the expiration or termination of the exchange offer.</w:t>
      </w:r>
    </w:p>
    <w:p>
      <w:pPr>
        <w:spacing w:after="0" w:line="188" w:lineRule="exact"/>
        <w:rPr>
          <w:rFonts w:ascii="Courier New" w:cs="Courier New" w:eastAsia="Courier New" w:hAnsi="Courier New"/>
          <w:sz w:val="16"/>
          <w:szCs w:val="16"/>
          <w:color w:val="auto"/>
        </w:rPr>
      </w:pPr>
    </w:p>
    <w:p>
      <w:pPr>
        <w:ind w:left="195" w:right="2899" w:hanging="195"/>
        <w:spacing w:after="0" w:line="237" w:lineRule="auto"/>
        <w:tabs>
          <w:tab w:leader="none" w:pos="19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expressly reserves the right to amend or terminate the exchange offer with respect to any series of Broadband Eligible Notes or AT&amp;T Eligible Notes, and not to accept for exchange any Broadband Eligible Notes or AT&amp;T Eligible Notes that it has not yet accepted for exchange, if any of the conditions of the exchange offer specified below under "-- Conditions to the Exchange Offer" are not satisfied.</w:t>
      </w:r>
    </w:p>
    <w:p>
      <w:pPr>
        <w:spacing w:after="0" w:line="188" w:lineRule="exact"/>
        <w:rPr>
          <w:rFonts w:ascii="Courier New" w:cs="Courier New" w:eastAsia="Courier New" w:hAnsi="Courier New"/>
          <w:sz w:val="16"/>
          <w:szCs w:val="16"/>
          <w:color w:val="auto"/>
        </w:rPr>
      </w:pPr>
    </w:p>
    <w:p>
      <w:pPr>
        <w:ind w:left="195" w:right="2719" w:hanging="195"/>
        <w:spacing w:after="0" w:line="255" w:lineRule="auto"/>
        <w:tabs>
          <w:tab w:leader="none" w:pos="19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will give oral or written notice of any extension, amendment, termination or non-acceptance described above to holders of the Broadband Eligible Notes and AT&amp;T Eligible Notes as promptly as practicable. If AT&amp;T extends the expiration date with respect to any one or more series, AT&amp;T will give notice by means of a press release or other public announcement no later than 9:00 a.m., New York City time, on the business day after the previously scheduled expiration date. Without limiting the manner in which AT&amp;T may choose to make any public announcement and subject to applicable law, AT&amp;T will have no obligation to publish, advertise or otherwise communicate any public announcements other than by issuing a release to the Dow Jones News Service. Notices in Luxembourg with respect to these matters will be published in the Luxemburger Wort.</w:t>
      </w:r>
    </w:p>
    <w:p>
      <w:pPr>
        <w:spacing w:after="0" w:line="173" w:lineRule="exact"/>
        <w:rPr>
          <w:sz w:val="20"/>
          <w:szCs w:val="20"/>
          <w:color w:val="auto"/>
        </w:rPr>
      </w:pPr>
    </w:p>
    <w:p>
      <w:pPr>
        <w:ind w:left="3275"/>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9754"/>
          </w:cols>
          <w:pgMar w:left="705" w:top="659" w:right="1440" w:bottom="1440" w:gutter="0" w:footer="0" w:header="0"/>
        </w:sectPr>
      </w:pPr>
    </w:p>
    <w:bookmarkStart w:id="86" w:name="page87"/>
    <w:bookmarkEnd w:id="86"/>
    <w:p>
      <w:pPr>
        <w:ind w:left="660" w:right="2899" w:hanging="195"/>
        <w:spacing w:after="0" w:line="237" w:lineRule="auto"/>
        <w:tabs>
          <w:tab w:leader="none" w:pos="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Broadband Eligible Notes and AT&amp;T Eligible Notes do not have any appraisal or dissenters' rights in connection with the exchange offer.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Eligible Notes and AT&amp;T Eligible Notes which are not tendered for exchange or are tendered but not accepted in connection with the exchange offer will remain outstanding and be subject to the note amendment described below under "Description of the Note Amendment -- The Note Amendment," assuming the note amendment receives the requisite consents as described under "Description of the Note</w:t>
      </w:r>
    </w:p>
    <w:p>
      <w:pPr>
        <w:spacing w:after="0" w:line="4" w:lineRule="exact"/>
        <w:rPr>
          <w:rFonts w:ascii="Courier New" w:cs="Courier New" w:eastAsia="Courier New" w:hAnsi="Courier New"/>
          <w:sz w:val="16"/>
          <w:szCs w:val="16"/>
          <w:color w:val="auto"/>
        </w:rPr>
      </w:pP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 Requisite Consents; Outstanding Notes."</w:t>
      </w:r>
    </w:p>
    <w:p>
      <w:pPr>
        <w:spacing w:after="0" w:line="183"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Broadband Eligible Notes and AT&amp;T Eligible Notes that validly tender and do not withdraw their notes must consent to the note amendment, as described under "Description of the Note Amendment -- The Note Amendment," to the extent their notes are actually exchanged. See "-- Required Consent."</w:t>
      </w:r>
    </w:p>
    <w:p>
      <w:pPr>
        <w:spacing w:after="0" w:line="187"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intend to conduct the exchange offer in accordance with the applicable requirements of the Exchange Act and the applicable rules and regulations of the SEC, and with respect to the eligible notes listed on the Luxembourg Stock Exchange, with the applicable rules and regulations of the Commission de Surveillance du Secteur Financier.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IMPORTANT RESERVATION OF RIGHTS REGARDING THE EXCHANGE OFFER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You should note that:</w:t>
      </w:r>
    </w:p>
    <w:p>
      <w:pPr>
        <w:spacing w:after="0" w:line="365" w:lineRule="exact"/>
        <w:rPr>
          <w:sz w:val="20"/>
          <w:szCs w:val="20"/>
          <w:color w:val="auto"/>
        </w:rPr>
      </w:pPr>
    </w:p>
    <w:p>
      <w:pPr>
        <w:ind w:left="660" w:right="2719" w:hanging="195"/>
        <w:spacing w:after="0" w:line="237"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questions as to the validity, form, eligibility, time of receipt and acceptance of Broadband Eligible Notes and AT&amp;T Eligible Notes tendered for exchange will be jointly determined by AT&amp;T and Comcast in their sole discretion, which determination shall be final and binding.</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660" w:right="3099" w:hanging="195"/>
        <w:spacing w:after="0" w:line="237"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reserves the absolute right to reject any and all tenders of any particular Broadband Eligible Notes and/or AT&amp;T Eligible Notes not properly tendered or to not accept any particular Broadband Eligible Notes and/or AT&amp;T Eligible Notes which acceptance might, in AT&amp;T's or Comcast's judgment or the judgment of AT&amp;T's or Comcast's counsel, be unlawful.</w:t>
      </w:r>
    </w:p>
    <w:p>
      <w:pPr>
        <w:spacing w:after="0" w:line="200" w:lineRule="exact"/>
        <w:rPr>
          <w:rFonts w:ascii="Courier New" w:cs="Courier New" w:eastAsia="Courier New" w:hAnsi="Courier New"/>
          <w:sz w:val="16"/>
          <w:szCs w:val="16"/>
          <w:color w:val="auto"/>
        </w:rPr>
      </w:pPr>
    </w:p>
    <w:p>
      <w:pPr>
        <w:spacing w:after="0" w:line="349" w:lineRule="exact"/>
        <w:rPr>
          <w:rFonts w:ascii="Courier New" w:cs="Courier New" w:eastAsia="Courier New" w:hAnsi="Courier New"/>
          <w:sz w:val="16"/>
          <w:szCs w:val="16"/>
          <w:color w:val="auto"/>
        </w:rPr>
      </w:pPr>
    </w:p>
    <w:p>
      <w:pPr>
        <w:ind w:left="660" w:right="2719" w:hanging="195"/>
        <w:spacing w:after="0" w:line="238"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also reserve the absolute right to jointly waive any defects or irregularities or conditions of the exchange offer as to any particular Broadband Eligible Notes and/or AT&amp;T Eligible Notes either before or after the expiration date, including the right to waive the ineligibility of any holder who seeks to tender Broadband Eligible Notes and/or AT&amp;T Eligible Notes in the exchange offer. Unless AT&amp;T and Comcast agree to waive any defect or irregularity in connection with the tender of Broadband Eligible Notes and/or AT&amp;T Eligible Notes for exchange, you must cure any defect or irregularity within any reasonable period of time as AT&amp;T and Comcast shall determine.</w:t>
      </w:r>
    </w:p>
    <w:p>
      <w:pPr>
        <w:spacing w:after="0" w:line="200" w:lineRule="exact"/>
        <w:rPr>
          <w:rFonts w:ascii="Courier New" w:cs="Courier New" w:eastAsia="Courier New" w:hAnsi="Courier New"/>
          <w:sz w:val="16"/>
          <w:szCs w:val="16"/>
          <w:color w:val="auto"/>
        </w:rPr>
      </w:pPr>
    </w:p>
    <w:p>
      <w:pPr>
        <w:spacing w:after="0" w:line="347"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and Comcast's interpretation of the terms and conditions of the exchange offer as to any particular Broadband Eligible Notes and/or AT&amp;T Eligible Notes either before or after the expiration date shall be final and binding on all other parties.</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AT&amp;T, Comcast, the exchange agent, the Luxembourg exchange agent or any other person shall be under any duty to give notification of any defect or irregularity with respect to any tender of Broadband Eligible Notes and/or AT&amp;T Eligible Notes for exchange, nor shall any of them incur any liability for failure to give any notification.</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RATIO FOR THE NEW BROADBAND NOTES</w:t>
      </w:r>
    </w:p>
    <w:p>
      <w:pPr>
        <w:spacing w:after="0" w:line="185" w:lineRule="exact"/>
        <w:rPr>
          <w:sz w:val="20"/>
          <w:szCs w:val="20"/>
          <w:color w:val="auto"/>
        </w:rPr>
      </w:pPr>
    </w:p>
    <w:p>
      <w:pPr>
        <w:ind w:left="660" w:right="2899" w:hanging="195"/>
        <w:spacing w:after="0" w:line="254" w:lineRule="auto"/>
        <w:tabs>
          <w:tab w:leader="none" w:pos="6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will be calculated as the exchange price per $1,000 principal amount of the Broadband Eligible Notes divided by $1,000, and the exchange price is equal to the present value of the Broadband Eligible Notes on the exchange settlement date in accordance with standard market practice assuming the Broadband Eligible Notes would be repaid at $1,000 at maturity, determined on the basis of a yield to maturity equal to the sum of the relevant exchange spread set forth on</w:t>
      </w:r>
    </w:p>
    <w:p>
      <w:pPr>
        <w:spacing w:after="0" w:line="4" w:lineRule="exact"/>
        <w:rPr>
          <w:sz w:val="20"/>
          <w:szCs w:val="20"/>
          <w:color w:val="auto"/>
        </w:rPr>
      </w:pPr>
    </w:p>
    <w:p>
      <w:pPr>
        <w:ind w:left="660" w:right="3559"/>
        <w:spacing w:after="0" w:line="236" w:lineRule="auto"/>
        <w:rPr>
          <w:sz w:val="20"/>
          <w:szCs w:val="20"/>
          <w:color w:val="auto"/>
        </w:rPr>
      </w:pPr>
      <w:r>
        <w:rPr>
          <w:rFonts w:ascii="Courier New" w:cs="Courier New" w:eastAsia="Courier New" w:hAnsi="Courier New"/>
          <w:sz w:val="16"/>
          <w:szCs w:val="16"/>
          <w:color w:val="auto"/>
        </w:rPr>
        <w:t>the cover of this prospectus and the table below and the related reference U.S. Treasury yield. The</w:t>
      </w:r>
    </w:p>
    <w:p>
      <w:pPr>
        <w:ind w:left="37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59" w:right="1440" w:bottom="467" w:gutter="0" w:footer="0" w:header="0"/>
        </w:sectPr>
      </w:pPr>
    </w:p>
    <w:bookmarkStart w:id="87" w:name="page88"/>
    <w:bookmarkEnd w:id="87"/>
    <w:p>
      <w:pPr>
        <w:ind w:left="660" w:right="2719"/>
        <w:spacing w:after="0" w:line="237" w:lineRule="auto"/>
        <w:rPr>
          <w:sz w:val="20"/>
          <w:szCs w:val="20"/>
          <w:color w:val="auto"/>
        </w:rPr>
      </w:pPr>
      <w:r>
        <w:rPr>
          <w:rFonts w:ascii="Courier New" w:cs="Courier New" w:eastAsia="Courier New" w:hAnsi="Courier New"/>
          <w:sz w:val="16"/>
          <w:szCs w:val="16"/>
          <w:color w:val="auto"/>
        </w:rPr>
        <w:t>related reference U.S. Treasury yield will be calculated by the dealer managers in accordance with standard market practice based on the bid side price for such reference security, as of 2:00 p.m., New York City time, two business days prior to the expiration date of the exchange offer, as displayed in Bloomberg Government Pricing Monitor, or any other recognized quotation source selected by the dealer managers.</w:t>
      </w:r>
    </w:p>
    <w:p>
      <w:pPr>
        <w:spacing w:after="0" w:line="189" w:lineRule="exact"/>
        <w:rPr>
          <w:sz w:val="20"/>
          <w:szCs w:val="20"/>
          <w:color w:val="auto"/>
        </w:rPr>
      </w:pPr>
    </w:p>
    <w:p>
      <w:pPr>
        <w:ind w:left="660" w:right="2719" w:hanging="195"/>
        <w:spacing w:after="0" w:line="256" w:lineRule="auto"/>
        <w:tabs>
          <w:tab w:leader="none" w:pos="6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reference U.S. Treasury rate with respect to each series of Broadband Eligible Notes is set forth in the table below and has been selected to approximate the maturity characteristics for the applicable series of Broadband Eligible Notes. For current yield information for a particular U.S. Treasury security, you should consult publicly available sources.</w:t>
      </w:r>
    </w:p>
    <w:p>
      <w:pPr>
        <w:spacing w:after="0" w:line="351"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BROADBAND ELIGIBLE</w:t>
      </w:r>
    </w:p>
    <w:p>
      <w:pPr>
        <w:jc w:val="center"/>
        <w:ind w:right="8159"/>
        <w:spacing w:after="0"/>
        <w:rPr>
          <w:sz w:val="20"/>
          <w:szCs w:val="20"/>
          <w:color w:val="auto"/>
        </w:rPr>
      </w:pPr>
      <w:r>
        <w:rPr>
          <w:rFonts w:ascii="Courier New" w:cs="Courier New" w:eastAsia="Courier New" w:hAnsi="Courier New"/>
          <w:sz w:val="16"/>
          <w:szCs w:val="16"/>
          <w:color w:val="auto"/>
        </w:rPr>
        <w:t>NOTES REFERENCE US</w:t>
      </w:r>
    </w:p>
    <w:p>
      <w:pPr>
        <w:jc w:val="center"/>
        <w:ind w:right="8159"/>
        <w:spacing w:after="0" w:line="237" w:lineRule="auto"/>
        <w:rPr>
          <w:sz w:val="20"/>
          <w:szCs w:val="20"/>
          <w:color w:val="auto"/>
        </w:rPr>
      </w:pPr>
      <w:r>
        <w:rPr>
          <w:rFonts w:ascii="Courier New" w:cs="Courier New" w:eastAsia="Courier New" w:hAnsi="Courier New"/>
          <w:sz w:val="16"/>
          <w:szCs w:val="16"/>
          <w:color w:val="auto"/>
        </w:rPr>
        <w:t>TREASURY BLOOMBERG</w:t>
      </w:r>
    </w:p>
    <w:p>
      <w:pPr>
        <w:jc w:val="center"/>
        <w:ind w:right="8159"/>
        <w:spacing w:after="0"/>
        <w:rPr>
          <w:sz w:val="20"/>
          <w:szCs w:val="20"/>
          <w:color w:val="auto"/>
        </w:rPr>
      </w:pPr>
      <w:r>
        <w:rPr>
          <w:rFonts w:ascii="Courier New" w:cs="Courier New" w:eastAsia="Courier New" w:hAnsi="Courier New"/>
          <w:sz w:val="16"/>
          <w:szCs w:val="16"/>
          <w:color w:val="auto"/>
        </w:rPr>
        <w:t>PAGE EXCHANGE SPREAD</w:t>
      </w:r>
    </w:p>
    <w:p>
      <w:pPr>
        <w:ind w:left="220" w:hanging="181"/>
        <w:spacing w:after="0" w:line="238" w:lineRule="auto"/>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--------------- 7.00%</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 May 15,</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2005..................</w:t>
      </w:r>
    </w:p>
    <w:p>
      <w:pPr>
        <w:spacing w:after="0" w:line="3" w:lineRule="exact"/>
        <w:rPr>
          <w:rFonts w:ascii="Courier New" w:cs="Courier New" w:eastAsia="Courier New" w:hAnsi="Courier New"/>
          <w:sz w:val="16"/>
          <w:szCs w:val="16"/>
          <w:color w:val="auto"/>
        </w:rPr>
      </w:pPr>
    </w:p>
    <w:p>
      <w:pPr>
        <w:jc w:val="center"/>
        <w:ind w:left="80" w:right="8259" w:firstLine="141"/>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6.50% US Treasury Note PX5 2.85% Due 05/15/05 7.50% Notes Due 2006.... 4.625% US Treasury Note PX5 3.40 Due 05/15/06</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7.75% Notes Due March</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2007..................</w:t>
      </w:r>
    </w:p>
    <w:p>
      <w:pPr>
        <w:spacing w:after="0" w:line="3" w:lineRule="exact"/>
        <w:rPr>
          <w:rFonts w:ascii="Courier New" w:cs="Courier New" w:eastAsia="Courier New" w:hAnsi="Courier New"/>
          <w:sz w:val="16"/>
          <w:szCs w:val="16"/>
          <w:color w:val="auto"/>
        </w:rPr>
      </w:pPr>
    </w:p>
    <w:p>
      <w:pPr>
        <w:jc w:val="center"/>
        <w:ind w:left="40" w:right="8219" w:firstLine="188"/>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6.25% US Treasury Note PX6 3.40 Due 02/15/07 6.00% Notes Due 2009.... 5.50% US Treasury Note PX6 2.65 Due 5/15/09</w:t>
      </w:r>
    </w:p>
    <w:p>
      <w:pPr>
        <w:spacing w:after="0" w:line="4"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8.125% Debentures Due</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January 15,</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2022...... 5.375% US</w:t>
      </w:r>
    </w:p>
    <w:p>
      <w:pPr>
        <w:spacing w:after="0" w:line="3" w:lineRule="exact"/>
        <w:rPr>
          <w:rFonts w:ascii="Courier New" w:cs="Courier New" w:eastAsia="Courier New" w:hAnsi="Courier New"/>
          <w:sz w:val="16"/>
          <w:szCs w:val="16"/>
          <w:color w:val="auto"/>
        </w:rPr>
      </w:pPr>
    </w:p>
    <w:p>
      <w:pPr>
        <w:jc w:val="both"/>
        <w:ind w:left="220" w:right="839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Treasury Bond PX8 3.15 Due 02/15/31</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8.125% Debentures Due</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July 15,</w:t>
      </w:r>
    </w:p>
    <w:p>
      <w:pPr>
        <w:spacing w:after="0" w:line="3" w:lineRule="exact"/>
        <w:rPr>
          <w:rFonts w:ascii="Courier New" w:cs="Courier New" w:eastAsia="Courier New" w:hAnsi="Courier New"/>
          <w:sz w:val="16"/>
          <w:szCs w:val="16"/>
          <w:color w:val="auto"/>
        </w:rPr>
      </w:pPr>
    </w:p>
    <w:p>
      <w:pPr>
        <w:jc w:val="center"/>
        <w:ind w:left="80" w:right="825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2024......... 5.375% US Treasury Bond PX8 3.20 Due 02/15/31</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8.35% Debentures Due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2025..................</w:t>
      </w:r>
    </w:p>
    <w:p>
      <w:pPr>
        <w:spacing w:after="0" w:line="3" w:lineRule="exact"/>
        <w:rPr>
          <w:rFonts w:ascii="Courier New" w:cs="Courier New" w:eastAsia="Courier New" w:hAnsi="Courier New"/>
          <w:sz w:val="16"/>
          <w:szCs w:val="16"/>
          <w:color w:val="auto"/>
        </w:rPr>
      </w:pPr>
    </w:p>
    <w:p>
      <w:pPr>
        <w:jc w:val="center"/>
        <w:ind w:left="80" w:right="8259" w:firstLine="94"/>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5.375% US Treasury Bond PX8 3.35 Due 02/15/31 8.625% Debentures Due December 1, 2031...... 5.375% US Treasury Bond PX8 3.35 Due 02/15/31</w:t>
      </w:r>
    </w:p>
    <w:p>
      <w:pPr>
        <w:spacing w:after="0" w:line="200" w:lineRule="exact"/>
        <w:rPr>
          <w:sz w:val="20"/>
          <w:szCs w:val="20"/>
          <w:color w:val="auto"/>
        </w:rPr>
      </w:pPr>
    </w:p>
    <w:p>
      <w:pPr>
        <w:spacing w:after="0" w:line="32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59" w:right="1440" w:bottom="1440" w:gutter="0" w:footer="0" w:header="0"/>
        </w:sectPr>
      </w:pPr>
    </w:p>
    <w:bookmarkStart w:id="88" w:name="page89"/>
    <w:bookmarkEnd w:id="88"/>
    <w:p>
      <w:pPr>
        <w:ind w:left="180"/>
        <w:spacing w:after="0"/>
        <w:rPr>
          <w:sz w:val="20"/>
          <w:szCs w:val="20"/>
          <w:color w:val="auto"/>
        </w:rPr>
      </w:pPr>
      <w:r>
        <w:rPr>
          <w:rFonts w:ascii="Courier New" w:cs="Courier New" w:eastAsia="Courier New" w:hAnsi="Courier New"/>
          <w:sz w:val="16"/>
          <w:szCs w:val="16"/>
          <w:color w:val="auto"/>
        </w:rPr>
        <w:t>CALCULATION OF EXCHANGE PRICE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following formula will be used to calculate the exchange price of a relevant series of Broadband Eligible Notes based upon a given exchange spread over the relevant reference U.S. treasury security.</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P(BEN)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price per $1,000 principal amount of the series of Broadband Eligible Notes being calculated (excluding accrued interest), rounded to the second digit after the decimal point.</w:t>
      </w:r>
    </w:p>
    <w:p>
      <w:pPr>
        <w:spacing w:after="0" w:line="200" w:lineRule="exact"/>
        <w:rPr>
          <w:sz w:val="20"/>
          <w:szCs w:val="20"/>
          <w:color w:val="auto"/>
        </w:rPr>
      </w:pPr>
    </w:p>
    <w:p>
      <w:pPr>
        <w:sectPr>
          <w:pgSz w:w="11900" w:h="16838" w:orient="portrait"/>
          <w:cols w:equalWidth="0" w:num="3">
            <w:col w:w="940" w:space="280"/>
            <w:col w:w="80" w:space="380"/>
            <w:col w:w="8539"/>
          </w:cols>
          <w:pgMar w:left="240" w:top="654" w:right="1440" w:bottom="1440" w:gutter="0" w:footer="0" w:header="0"/>
          <w:type w:val="continuous"/>
        </w:sectPr>
      </w:pPr>
    </w:p>
    <w:p>
      <w:pPr>
        <w:spacing w:after="0" w:line="347" w:lineRule="exact"/>
        <w:rPr>
          <w:sz w:val="20"/>
          <w:szCs w:val="20"/>
          <w:color w:val="auto"/>
        </w:rPr>
      </w:pPr>
    </w:p>
    <w:p>
      <w:pPr>
        <w:ind w:left="1680" w:right="3099" w:hanging="1309"/>
        <w:spacing w:after="0" w:line="237" w:lineRule="auto"/>
        <w:tabs>
          <w:tab w:leader="none" w:pos="121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remaining cash payment dates (both principal and interest) for the series of Broadband Eligible Notes whose price is being determined from but excluding the settlement date for that series to and including the maturity date for such securities.</w:t>
      </w:r>
    </w:p>
    <w:p>
      <w:pPr>
        <w:spacing w:after="0" w:line="200" w:lineRule="exact"/>
        <w:rPr>
          <w:sz w:val="20"/>
          <w:szCs w:val="20"/>
          <w:color w:val="auto"/>
        </w:rPr>
      </w:pPr>
    </w:p>
    <w:p>
      <w:pPr>
        <w:spacing w:after="0" w:line="34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40" w:type="dxa"/>
            <w:vAlign w:val="bottom"/>
          </w:tcPr>
          <w:p>
            <w:pPr>
              <w:spacing w:after="0"/>
              <w:rPr>
                <w:sz w:val="20"/>
                <w:szCs w:val="20"/>
                <w:color w:val="auto"/>
              </w:rPr>
            </w:pPr>
            <w:r>
              <w:rPr>
                <w:rFonts w:ascii="Courier New" w:cs="Courier New" w:eastAsia="Courier New" w:hAnsi="Courier New"/>
                <w:sz w:val="16"/>
                <w:szCs w:val="16"/>
                <w:color w:val="auto"/>
              </w:rPr>
              <w:t>CF(i)</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The aggregate amount of cash per $1,000 principal amount</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scheduled to be paid on the securities being priced on the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"ith" of the N remaining cash payment dates from such</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7"/>
              </w:rPr>
              <w:t>securities. Scheduled payments of cash include interest and,</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on the applicable maturity date, principal.</w:t>
            </w:r>
          </w:p>
        </w:tc>
      </w:tr>
      <w:tr>
        <w:trPr>
          <w:trHeight w:val="721"/>
        </w:trPr>
        <w:tc>
          <w:tcPr>
            <w:tcW w:w="640" w:type="dxa"/>
            <w:vAlign w:val="bottom"/>
          </w:tcPr>
          <w:p>
            <w:pPr>
              <w:spacing w:after="0"/>
              <w:rPr>
                <w:sz w:val="20"/>
                <w:szCs w:val="20"/>
                <w:color w:val="auto"/>
              </w:rPr>
            </w:pPr>
            <w:r>
              <w:rPr>
                <w:rFonts w:ascii="Courier New" w:cs="Courier New" w:eastAsia="Courier New" w:hAnsi="Courier New"/>
                <w:sz w:val="16"/>
                <w:szCs w:val="16"/>
                <w:color w:val="auto"/>
              </w:rPr>
              <w:t>YLD</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The specified yield to maturity (expressed as a decimal</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9"/>
              </w:rPr>
              <w:t>number) equal to the Exchange Spread set forth on the cover</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of this prospectus for that series of Broadband Eligible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Notes plus the interest rate for the applicable reference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U.S. Treasury security.</w:t>
            </w:r>
          </w:p>
        </w:tc>
      </w:tr>
      <w:tr>
        <w:trPr>
          <w:trHeight w:val="721"/>
        </w:trPr>
        <w:tc>
          <w:tcPr>
            <w:tcW w:w="640" w:type="dxa"/>
            <w:vAlign w:val="bottom"/>
          </w:tcPr>
          <w:p>
            <w:pPr>
              <w:spacing w:after="0"/>
              <w:rPr>
                <w:sz w:val="20"/>
                <w:szCs w:val="20"/>
                <w:color w:val="auto"/>
              </w:rPr>
            </w:pPr>
            <w:r>
              <w:rPr>
                <w:rFonts w:ascii="Courier New" w:cs="Courier New" w:eastAsia="Courier New" w:hAnsi="Courier New"/>
                <w:sz w:val="16"/>
                <w:szCs w:val="16"/>
                <w:color w:val="auto"/>
              </w:rPr>
              <w:t>D(i)</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The number of days from and including the settlement date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7"/>
              </w:rPr>
              <w:t>for that series of Broadband Eligible Notes to but excluding</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9"/>
              </w:rPr>
              <w:t>the "ith" out of the N remaining cash payment dates for the</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securities being priced. The number of days is computed</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w w:val="99"/>
              </w:rPr>
              <w:t>using the 30/360 day count method in accordance with market</w:t>
            </w:r>
          </w:p>
        </w:tc>
      </w:tr>
      <w:tr>
        <w:trPr>
          <w:trHeight w:val="180"/>
        </w:trPr>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convention.</w:t>
            </w:r>
          </w:p>
        </w:tc>
      </w:tr>
    </w:tbl>
    <w:p>
      <w:pPr>
        <w:spacing w:after="0" w:line="200" w:lineRule="exact"/>
        <w:rPr>
          <w:sz w:val="20"/>
          <w:szCs w:val="20"/>
          <w:color w:val="auto"/>
        </w:rPr>
      </w:pPr>
    </w:p>
    <w:p>
      <w:pPr>
        <w:spacing w:after="0" w:line="340" w:lineRule="exact"/>
        <w:rPr>
          <w:sz w:val="20"/>
          <w:szCs w:val="20"/>
          <w:color w:val="auto"/>
        </w:rPr>
      </w:pPr>
    </w:p>
    <w:p>
      <w:pPr>
        <w:ind w:left="1680" w:hanging="1309"/>
        <w:spacing w:after="0"/>
        <w:tabs>
          <w:tab w:leader="none" w:pos="16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Summate. The term to the right of summation symbol is</w:t>
      </w:r>
    </w:p>
    <w:tbl>
      <w:tblPr>
        <w:tblLayout w:type="fixed"/>
        <w:tblInd w:w="380" w:type="dxa"/>
        <w:tblCellMar>
          <w:top w:w="0" w:type="dxa"/>
          <w:left w:w="0" w:type="dxa"/>
          <w:bottom w:w="0" w:type="dxa"/>
          <w:right w:w="0" w:type="dxa"/>
        </w:tblCellMar>
      </w:tblPr>
      <w:tr>
        <w:trPr>
          <w:trHeight w:val="180"/>
        </w:trPr>
        <w:tc>
          <w:tcPr>
            <w:tcW w:w="640" w:type="dxa"/>
            <w:vAlign w:val="bottom"/>
          </w:tcPr>
          <w:p>
            <w:pPr>
              <w:spacing w:after="0"/>
              <w:rPr>
                <w:sz w:val="20"/>
                <w:szCs w:val="20"/>
                <w:color w:val="auto"/>
              </w:rPr>
            </w:pPr>
            <w:r>
              <w:rPr>
                <w:rFonts w:ascii="Courier New" w:cs="Courier New" w:eastAsia="Courier New" w:hAnsi="Courier New"/>
                <w:sz w:val="16"/>
                <w:szCs w:val="16"/>
                <w:color w:val="auto"/>
              </w:rPr>
              <w:t>(Sum</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w w:val="99"/>
              </w:rPr>
              <w:t>separately calculated "N"</w:t>
            </w:r>
          </w:p>
        </w:tc>
        <w:tc>
          <w:tcPr>
            <w:tcW w:w="3240" w:type="dxa"/>
            <w:vAlign w:val="bottom"/>
          </w:tcPr>
          <w:p>
            <w:pPr>
              <w:ind w:left="40"/>
              <w:spacing w:after="0"/>
              <w:rPr>
                <w:sz w:val="20"/>
                <w:szCs w:val="20"/>
                <w:color w:val="auto"/>
              </w:rPr>
            </w:pPr>
            <w:r>
              <w:rPr>
                <w:rFonts w:ascii="Courier New" w:cs="Courier New" w:eastAsia="Courier New" w:hAnsi="Courier New"/>
                <w:sz w:val="16"/>
                <w:szCs w:val="16"/>
                <w:color w:val="auto"/>
                <w:w w:val="97"/>
              </w:rPr>
              <w:t>times (substituting for the "i" in</w:t>
            </w:r>
          </w:p>
        </w:tc>
      </w:tr>
      <w:tr>
        <w:trPr>
          <w:trHeight w:val="180"/>
        </w:trPr>
        <w:tc>
          <w:tcPr>
            <w:tcW w:w="640" w:type="dxa"/>
            <w:vAlign w:val="bottom"/>
          </w:tcPr>
          <w:p>
            <w:pPr>
              <w:spacing w:after="0"/>
              <w:rPr>
                <w:sz w:val="20"/>
                <w:szCs w:val="20"/>
                <w:color w:val="auto"/>
              </w:rPr>
            </w:pPr>
            <w:r>
              <w:rPr>
                <w:rFonts w:ascii="Courier New" w:cs="Courier New" w:eastAsia="Courier New" w:hAnsi="Courier New"/>
                <w:sz w:val="16"/>
                <w:szCs w:val="16"/>
                <w:color w:val="auto"/>
              </w:rPr>
              <w:t>sign)</w:t>
            </w:r>
          </w:p>
        </w:tc>
        <w:tc>
          <w:tcPr>
            <w:tcW w:w="480" w:type="dxa"/>
            <w:vAlign w:val="bottom"/>
          </w:tcPr>
          <w:p>
            <w:pPr>
              <w:spacing w:after="0"/>
              <w:rPr>
                <w:sz w:val="15"/>
                <w:szCs w:val="15"/>
                <w:color w:val="auto"/>
              </w:rPr>
            </w:pPr>
          </w:p>
        </w:tc>
        <w:tc>
          <w:tcPr>
            <w:tcW w:w="58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that term each whole number between 1 and N, inclusive) and</w:t>
            </w:r>
          </w:p>
        </w:tc>
      </w:tr>
      <w:tr>
        <w:trPr>
          <w:trHeight w:val="180"/>
        </w:trPr>
        <w:tc>
          <w:tcPr>
            <w:tcW w:w="640" w:type="dxa"/>
            <w:vAlign w:val="bottom"/>
          </w:tcPr>
          <w:p>
            <w:pPr>
              <w:spacing w:after="0"/>
              <w:rPr>
                <w:sz w:val="20"/>
                <w:szCs w:val="20"/>
                <w:color w:val="auto"/>
              </w:rPr>
            </w:pPr>
            <w:r>
              <w:rPr>
                <w:rFonts w:ascii="Courier New" w:cs="Courier New" w:eastAsia="Courier New" w:hAnsi="Courier New"/>
                <w:sz w:val="16"/>
                <w:szCs w:val="16"/>
                <w:color w:val="auto"/>
              </w:rPr>
              <w:t>i=1</w:t>
            </w:r>
          </w:p>
        </w:tc>
        <w:tc>
          <w:tcPr>
            <w:tcW w:w="480" w:type="dxa"/>
            <w:vAlign w:val="bottom"/>
          </w:tcPr>
          <w:p>
            <w:pPr>
              <w:spacing w:after="0"/>
              <w:rPr>
                <w:sz w:val="15"/>
                <w:szCs w:val="15"/>
                <w:color w:val="auto"/>
              </w:rPr>
            </w:pPr>
          </w:p>
        </w:tc>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w w:val="99"/>
              </w:rPr>
              <w:t>the separate calculations</w:t>
            </w:r>
          </w:p>
        </w:tc>
        <w:tc>
          <w:tcPr>
            <w:tcW w:w="3240" w:type="dxa"/>
            <w:vAlign w:val="bottom"/>
          </w:tcPr>
          <w:p>
            <w:pPr>
              <w:ind w:left="40"/>
              <w:spacing w:after="0"/>
              <w:rPr>
                <w:sz w:val="20"/>
                <w:szCs w:val="20"/>
                <w:color w:val="auto"/>
              </w:rPr>
            </w:pPr>
            <w:r>
              <w:rPr>
                <w:rFonts w:ascii="Courier New" w:cs="Courier New" w:eastAsia="Courier New" w:hAnsi="Courier New"/>
                <w:sz w:val="16"/>
                <w:szCs w:val="16"/>
                <w:color w:val="auto"/>
              </w:rPr>
              <w:t>are then added together.</w:t>
            </w:r>
          </w:p>
        </w:tc>
      </w:tr>
    </w:tbl>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Accrued</w:t>
      </w:r>
    </w:p>
    <w:p>
      <w:pPr>
        <w:spacing w:after="0" w:line="4" w:lineRule="exact"/>
        <w:rPr>
          <w:sz w:val="20"/>
          <w:szCs w:val="20"/>
          <w:color w:val="auto"/>
        </w:rPr>
      </w:pPr>
    </w:p>
    <w:p>
      <w:pPr>
        <w:ind w:left="1680" w:right="3099" w:hanging="1312"/>
        <w:spacing w:after="0" w:line="237" w:lineRule="auto"/>
        <w:tabs>
          <w:tab w:leader="none" w:pos="1660" w:val="left"/>
        </w:tabs>
        <w:rPr>
          <w:sz w:val="20"/>
          <w:szCs w:val="20"/>
          <w:color w:val="auto"/>
        </w:rPr>
      </w:pPr>
      <w:r>
        <w:rPr>
          <w:rFonts w:ascii="Courier New" w:cs="Courier New" w:eastAsia="Courier New" w:hAnsi="Courier New"/>
          <w:sz w:val="16"/>
          <w:szCs w:val="16"/>
          <w:color w:val="auto"/>
        </w:rPr>
        <w:t>Interest =</w:t>
      </w:r>
      <w:r>
        <w:rPr>
          <w:sz w:val="20"/>
          <w:szCs w:val="20"/>
          <w:color w:val="auto"/>
        </w:rPr>
        <w:tab/>
      </w:r>
      <w:r>
        <w:rPr>
          <w:rFonts w:ascii="Courier New" w:cs="Courier New" w:eastAsia="Courier New" w:hAnsi="Courier New"/>
          <w:sz w:val="16"/>
          <w:szCs w:val="16"/>
          <w:color w:val="auto"/>
        </w:rPr>
        <w:t>Accrued and unpaid interest per $1,000 principal amount of the Broadband Eligible Notes from and including the last applicable interest payment date to but excluding the applicable settlement date.</w:t>
      </w:r>
    </w:p>
    <w:p>
      <w:pPr>
        <w:sectPr>
          <w:pgSz w:w="11900" w:h="16838" w:orient="portrait"/>
          <w:cols w:equalWidth="0" w:num="1">
            <w:col w:w="10219"/>
          </w:cols>
          <w:pgMar w:left="240" w:top="6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P(BEN)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w:t>
      </w:r>
    </w:p>
    <w:p>
      <w:pPr>
        <w:spacing w:after="0" w:line="4"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(Sum</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sign)</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(CF(i))</w:t>
      </w:r>
    </w:p>
    <w:p>
      <w:pPr>
        <w:ind w:left="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(1+YLD)( Di )</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 Accrued Interest</w:t>
      </w:r>
    </w:p>
    <w:p>
      <w:pPr>
        <w:spacing w:after="0" w:line="548" w:lineRule="exact"/>
        <w:rPr>
          <w:sz w:val="20"/>
          <w:szCs w:val="20"/>
          <w:color w:val="auto"/>
        </w:rPr>
      </w:pPr>
    </w:p>
    <w:p>
      <w:pPr>
        <w:sectPr>
          <w:pgSz w:w="11900" w:h="16838" w:orient="portrait"/>
          <w:cols w:equalWidth="0" w:num="4">
            <w:col w:w="3460" w:space="280"/>
            <w:col w:w="660" w:space="480"/>
            <w:col w:w="1500" w:space="280"/>
            <w:col w:w="3559"/>
          </w:cols>
          <w:pgMar w:left="240" w:top="654" w:right="1440" w:bottom="1440" w:gutter="0" w:footer="0" w:header="0"/>
          <w:type w:val="continuous"/>
        </w:sectPr>
      </w:pPr>
    </w:p>
    <w:p>
      <w:pPr>
        <w:ind w:left="5240"/>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180</w:t>
      </w:r>
    </w:p>
    <w:p>
      <w:pPr>
        <w:spacing w:after="0" w:line="207" w:lineRule="exact"/>
        <w:rPr>
          <w:sz w:val="20"/>
          <w:szCs w:val="20"/>
          <w:color w:val="auto"/>
        </w:rPr>
      </w:pPr>
    </w:p>
    <w:p>
      <w:pPr>
        <w:sectPr>
          <w:pgSz w:w="11900" w:h="16838" w:orient="portrait"/>
          <w:cols w:equalWidth="0" w:num="2">
            <w:col w:w="5340" w:space="560"/>
            <w:col w:w="4319"/>
          </w:cols>
          <w:pgMar w:left="240" w:top="654" w:right="1440" w:bottom="1440" w:gutter="0" w:footer="0" w:header="0"/>
          <w:type w:val="continuous"/>
        </w:sectPr>
      </w:pPr>
    </w:p>
    <w:p>
      <w:pPr>
        <w:spacing w:after="0" w:line="15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54" w:right="1440" w:bottom="1440" w:gutter="0" w:footer="0" w:header="0"/>
          <w:type w:val="continuous"/>
        </w:sectPr>
      </w:pPr>
    </w:p>
    <w:bookmarkStart w:id="89" w:name="page90"/>
    <w:bookmarkEnd w:id="89"/>
    <w:p>
      <w:pPr>
        <w:ind w:left="180"/>
        <w:spacing w:after="0"/>
        <w:rPr>
          <w:sz w:val="20"/>
          <w:szCs w:val="20"/>
          <w:color w:val="auto"/>
        </w:rPr>
      </w:pPr>
      <w:r>
        <w:rPr>
          <w:rFonts w:ascii="Courier New" w:cs="Courier New" w:eastAsia="Courier New" w:hAnsi="Courier New"/>
          <w:sz w:val="16"/>
          <w:szCs w:val="16"/>
          <w:color w:val="auto"/>
        </w:rPr>
        <w:t>HYPOTHETICAL EXCHANGE RATIO CALCULATION</w:t>
      </w:r>
    </w:p>
    <w:p>
      <w:pPr>
        <w:spacing w:after="0" w:line="36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The following table sets forth a hypothetical example for $100,000 principal amount of Broadband Eligible Notes assuming relevant U.S. Treasury yields on the applicable reference U.S. Treasury as reported on October 3, 2002 plus the applicable Exchange Spread for a settlement date of November 6, 2002.</w:t>
      </w:r>
    </w:p>
    <w:p>
      <w:pPr>
        <w:spacing w:after="0" w:line="34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6"/>
          <w:szCs w:val="16"/>
          <w:color w:val="auto"/>
        </w:rPr>
        <w:t>EXCHANGE PRICE OF</w:t>
      </w:r>
    </w:p>
    <w:p>
      <w:pPr>
        <w:jc w:val="center"/>
        <w:ind w:right="7699"/>
        <w:spacing w:after="0"/>
        <w:rPr>
          <w:sz w:val="20"/>
          <w:szCs w:val="20"/>
          <w:color w:val="auto"/>
        </w:rPr>
      </w:pPr>
      <w:r>
        <w:rPr>
          <w:rFonts w:ascii="Courier New" w:cs="Courier New" w:eastAsia="Courier New" w:hAnsi="Courier New"/>
          <w:sz w:val="16"/>
          <w:szCs w:val="16"/>
          <w:color w:val="auto"/>
        </w:rPr>
        <w:t>BROADBAND BROADBAND</w:t>
      </w:r>
    </w:p>
    <w:p>
      <w:pPr>
        <w:jc w:val="center"/>
        <w:ind w:right="7699"/>
        <w:spacing w:after="0" w:line="237" w:lineRule="auto"/>
        <w:rPr>
          <w:sz w:val="20"/>
          <w:szCs w:val="20"/>
          <w:color w:val="auto"/>
        </w:rPr>
      </w:pPr>
      <w:r>
        <w:rPr>
          <w:rFonts w:ascii="Courier New" w:cs="Courier New" w:eastAsia="Courier New" w:hAnsi="Courier New"/>
          <w:sz w:val="16"/>
          <w:szCs w:val="16"/>
          <w:color w:val="auto"/>
        </w:rPr>
        <w:t>PRORATED REFERENCE</w:t>
      </w:r>
    </w:p>
    <w:p>
      <w:pPr>
        <w:jc w:val="center"/>
        <w:ind w:right="7699"/>
        <w:spacing w:after="0"/>
        <w:rPr>
          <w:sz w:val="20"/>
          <w:szCs w:val="20"/>
          <w:color w:val="auto"/>
        </w:rPr>
      </w:pPr>
      <w:r>
        <w:rPr>
          <w:rFonts w:ascii="Courier New" w:cs="Courier New" w:eastAsia="Courier New" w:hAnsi="Courier New"/>
          <w:sz w:val="16"/>
          <w:szCs w:val="16"/>
          <w:color w:val="auto"/>
        </w:rPr>
        <w:t>ELIGIBLE ELIGIBLE</w:t>
      </w:r>
    </w:p>
    <w:p>
      <w:pPr>
        <w:jc w:val="center"/>
        <w:ind w:right="7699"/>
        <w:spacing w:after="0" w:line="238" w:lineRule="auto"/>
        <w:rPr>
          <w:sz w:val="20"/>
          <w:szCs w:val="20"/>
          <w:color w:val="auto"/>
        </w:rPr>
      </w:pPr>
      <w:r>
        <w:rPr>
          <w:rFonts w:ascii="Courier New" w:cs="Courier New" w:eastAsia="Courier New" w:hAnsi="Courier New"/>
          <w:sz w:val="16"/>
          <w:szCs w:val="16"/>
          <w:color w:val="auto"/>
        </w:rPr>
        <w:t>BROADBAND US NOTE NOTE AT</w:t>
      </w:r>
    </w:p>
    <w:p>
      <w:pPr>
        <w:jc w:val="center"/>
        <w:ind w:right="7699"/>
        <w:spacing w:after="0"/>
        <w:rPr>
          <w:sz w:val="20"/>
          <w:szCs w:val="20"/>
          <w:color w:val="auto"/>
        </w:rPr>
      </w:pPr>
      <w:r>
        <w:rPr>
          <w:rFonts w:ascii="Courier New" w:cs="Courier New" w:eastAsia="Courier New" w:hAnsi="Courier New"/>
          <w:sz w:val="16"/>
          <w:szCs w:val="16"/>
          <w:color w:val="auto"/>
        </w:rPr>
        <w:t>EXCHANGE TREASURY EXCHANGE</w:t>
      </w:r>
    </w:p>
    <w:p>
      <w:pPr>
        <w:jc w:val="center"/>
        <w:ind w:right="7699"/>
        <w:spacing w:after="0" w:line="238" w:lineRule="auto"/>
        <w:rPr>
          <w:sz w:val="20"/>
          <w:szCs w:val="20"/>
          <w:color w:val="auto"/>
        </w:rPr>
      </w:pPr>
      <w:r>
        <w:rPr>
          <w:rFonts w:ascii="Courier New" w:cs="Courier New" w:eastAsia="Courier New" w:hAnsi="Courier New"/>
          <w:sz w:val="16"/>
          <w:szCs w:val="16"/>
          <w:color w:val="auto"/>
        </w:rPr>
        <w:t>EXCHANGE EXCHANGE EXCHANGE</w:t>
      </w:r>
    </w:p>
    <w:p>
      <w:pPr>
        <w:jc w:val="center"/>
        <w:ind w:right="7699"/>
        <w:spacing w:after="0"/>
        <w:rPr>
          <w:sz w:val="20"/>
          <w:szCs w:val="20"/>
          <w:color w:val="auto"/>
        </w:rPr>
      </w:pPr>
      <w:r>
        <w:rPr>
          <w:rFonts w:ascii="Courier New" w:cs="Courier New" w:eastAsia="Courier New" w:hAnsi="Courier New"/>
          <w:sz w:val="16"/>
          <w:szCs w:val="16"/>
          <w:color w:val="auto"/>
        </w:rPr>
        <w:t>BROADBAND ELIGIBLE NOTE</w:t>
      </w:r>
    </w:p>
    <w:p>
      <w:pPr>
        <w:jc w:val="center"/>
        <w:ind w:right="7699"/>
        <w:spacing w:after="0" w:line="237" w:lineRule="auto"/>
        <w:rPr>
          <w:sz w:val="20"/>
          <w:szCs w:val="20"/>
          <w:color w:val="auto"/>
        </w:rPr>
      </w:pPr>
      <w:r>
        <w:rPr>
          <w:rFonts w:ascii="Courier New" w:cs="Courier New" w:eastAsia="Courier New" w:hAnsi="Courier New"/>
          <w:sz w:val="16"/>
          <w:szCs w:val="16"/>
          <w:color w:val="auto"/>
        </w:rPr>
        <w:t>NOTE REFERENCE U.S.</w:t>
      </w:r>
    </w:p>
    <w:p>
      <w:pPr>
        <w:jc w:val="center"/>
        <w:ind w:right="7699"/>
        <w:spacing w:after="0"/>
        <w:rPr>
          <w:sz w:val="20"/>
          <w:szCs w:val="20"/>
          <w:color w:val="auto"/>
        </w:rPr>
      </w:pPr>
      <w:r>
        <w:rPr>
          <w:rFonts w:ascii="Courier New" w:cs="Courier New" w:eastAsia="Courier New" w:hAnsi="Courier New"/>
          <w:sz w:val="16"/>
          <w:szCs w:val="16"/>
          <w:color w:val="auto"/>
        </w:rPr>
        <w:t>TREASURY YIELD SPREAD</w:t>
      </w:r>
    </w:p>
    <w:p>
      <w:pPr>
        <w:jc w:val="center"/>
        <w:ind w:right="7699"/>
        <w:spacing w:after="0" w:line="238" w:lineRule="auto"/>
        <w:rPr>
          <w:sz w:val="20"/>
          <w:szCs w:val="20"/>
          <w:color w:val="auto"/>
        </w:rPr>
      </w:pPr>
      <w:r>
        <w:rPr>
          <w:rFonts w:ascii="Courier New" w:cs="Courier New" w:eastAsia="Courier New" w:hAnsi="Courier New"/>
          <w:sz w:val="16"/>
          <w:szCs w:val="16"/>
          <w:color w:val="auto"/>
        </w:rPr>
        <w:t>YIELD YIELD RATIO --------</w:t>
      </w:r>
    </w:p>
    <w:p>
      <w:pPr>
        <w:ind w:left="80"/>
        <w:spacing w:after="0"/>
        <w:rPr>
          <w:sz w:val="20"/>
          <w:szCs w:val="20"/>
          <w:color w:val="auto"/>
        </w:rPr>
      </w:pPr>
      <w:r>
        <w:rPr>
          <w:rFonts w:ascii="Courier New" w:cs="Courier New" w:eastAsia="Courier New" w:hAnsi="Courier New"/>
          <w:sz w:val="16"/>
          <w:szCs w:val="16"/>
          <w:color w:val="auto"/>
        </w:rPr>
        <w:t>--------------- ---------</w:t>
      </w:r>
    </w:p>
    <w:p>
      <w:pPr>
        <w:ind w:left="40"/>
        <w:spacing w:after="0" w:line="238" w:lineRule="auto"/>
        <w:rPr>
          <w:sz w:val="20"/>
          <w:szCs w:val="20"/>
          <w:color w:val="auto"/>
        </w:rPr>
      </w:pPr>
      <w:r>
        <w:rPr>
          <w:rFonts w:ascii="Courier New" w:cs="Courier New" w:eastAsia="Courier New" w:hAnsi="Courier New"/>
          <w:sz w:val="16"/>
          <w:szCs w:val="16"/>
          <w:color w:val="auto"/>
        </w:rPr>
        <w:t>----------------------- --</w:t>
      </w:r>
    </w:p>
    <w:p>
      <w:pPr>
        <w:ind w:left="40"/>
        <w:spacing w:after="0"/>
        <w:rPr>
          <w:sz w:val="20"/>
          <w:szCs w:val="20"/>
          <w:color w:val="auto"/>
        </w:rPr>
      </w:pPr>
      <w:r>
        <w:rPr>
          <w:rFonts w:ascii="Courier New" w:cs="Courier New" w:eastAsia="Courier New" w:hAnsi="Courier New"/>
          <w:sz w:val="16"/>
          <w:szCs w:val="16"/>
          <w:color w:val="auto"/>
        </w:rPr>
        <w:t>------- -------- ---------</w:t>
      </w:r>
    </w:p>
    <w:p>
      <w:pPr>
        <w:ind w:left="140"/>
        <w:spacing w:after="0" w:line="237" w:lineRule="auto"/>
        <w:rPr>
          <w:sz w:val="20"/>
          <w:szCs w:val="20"/>
          <w:color w:val="auto"/>
        </w:rPr>
      </w:pPr>
      <w:r>
        <w:rPr>
          <w:rFonts w:ascii="Courier New" w:cs="Courier New" w:eastAsia="Courier New" w:hAnsi="Courier New"/>
          <w:sz w:val="16"/>
          <w:szCs w:val="16"/>
          <w:color w:val="auto"/>
        </w:rPr>
        <w:t>--------- -------- 7.00%</w:t>
      </w:r>
    </w:p>
    <w:p>
      <w:pPr>
        <w:jc w:val="center"/>
        <w:ind w:right="7699"/>
        <w:spacing w:after="0"/>
        <w:rPr>
          <w:sz w:val="20"/>
          <w:szCs w:val="20"/>
          <w:color w:val="auto"/>
        </w:rPr>
      </w:pPr>
      <w:r>
        <w:rPr>
          <w:rFonts w:ascii="Courier New" w:cs="Courier New" w:eastAsia="Courier New" w:hAnsi="Courier New"/>
          <w:sz w:val="16"/>
          <w:szCs w:val="16"/>
          <w:color w:val="auto"/>
        </w:rPr>
        <w:t>Notes Due May 15, 6.50% US</w:t>
      </w:r>
    </w:p>
    <w:p>
      <w:pPr>
        <w:jc w:val="center"/>
        <w:ind w:right="7699"/>
        <w:spacing w:after="0" w:line="238" w:lineRule="auto"/>
        <w:rPr>
          <w:sz w:val="20"/>
          <w:szCs w:val="20"/>
          <w:color w:val="auto"/>
        </w:rPr>
      </w:pPr>
      <w:r>
        <w:rPr>
          <w:rFonts w:ascii="Courier New" w:cs="Courier New" w:eastAsia="Courier New" w:hAnsi="Courier New"/>
          <w:sz w:val="16"/>
          <w:szCs w:val="16"/>
          <w:color w:val="auto"/>
        </w:rPr>
        <w:t>Treasury 1.950% 2.850%</w:t>
      </w:r>
    </w:p>
    <w:p>
      <w:pPr>
        <w:jc w:val="center"/>
        <w:ind w:right="7699"/>
        <w:spacing w:after="0"/>
        <w:rPr>
          <w:sz w:val="20"/>
          <w:szCs w:val="20"/>
          <w:color w:val="auto"/>
        </w:rPr>
      </w:pPr>
      <w:r>
        <w:rPr>
          <w:rFonts w:ascii="Courier New" w:cs="Courier New" w:eastAsia="Courier New" w:hAnsi="Courier New"/>
          <w:sz w:val="16"/>
          <w:szCs w:val="16"/>
          <w:color w:val="auto"/>
        </w:rPr>
        <w:t>4.800% $1,051.71 1.05171</w:t>
      </w:r>
    </w:p>
    <w:p>
      <w:pPr>
        <w:spacing w:after="0" w:line="4"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5"/>
          <w:szCs w:val="15"/>
          <w:color w:val="auto"/>
        </w:rPr>
        <w:t>2005.......................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$65,000 Note Due 05/15/05</w:t>
      </w:r>
    </w:p>
    <w:p>
      <w:pPr>
        <w:ind w:left="140"/>
        <w:spacing w:after="0"/>
        <w:rPr>
          <w:sz w:val="20"/>
          <w:szCs w:val="20"/>
          <w:color w:val="auto"/>
        </w:rPr>
      </w:pPr>
      <w:r>
        <w:rPr>
          <w:rFonts w:ascii="Courier New" w:cs="Courier New" w:eastAsia="Courier New" w:hAnsi="Courier New"/>
          <w:sz w:val="16"/>
          <w:szCs w:val="16"/>
          <w:color w:val="auto"/>
        </w:rPr>
        <w:t>4.625% US Treasury 7.50%</w:t>
      </w:r>
    </w:p>
    <w:p>
      <w:pPr>
        <w:ind w:left="180"/>
        <w:spacing w:after="0" w:line="237" w:lineRule="auto"/>
        <w:rPr>
          <w:sz w:val="20"/>
          <w:szCs w:val="20"/>
          <w:color w:val="auto"/>
        </w:rPr>
      </w:pPr>
      <w:r>
        <w:rPr>
          <w:rFonts w:ascii="Courier New" w:cs="Courier New" w:eastAsia="Courier New" w:hAnsi="Courier New"/>
          <w:sz w:val="16"/>
          <w:szCs w:val="16"/>
          <w:color w:val="auto"/>
        </w:rPr>
        <w:t>Notes Due 2006.........</w:t>
      </w:r>
    </w:p>
    <w:p>
      <w:pPr>
        <w:jc w:val="center"/>
        <w:ind w:right="7699"/>
        <w:spacing w:after="0"/>
        <w:rPr>
          <w:sz w:val="20"/>
          <w:szCs w:val="20"/>
          <w:color w:val="auto"/>
        </w:rPr>
      </w:pPr>
      <w:r>
        <w:rPr>
          <w:rFonts w:ascii="Courier New" w:cs="Courier New" w:eastAsia="Courier New" w:hAnsi="Courier New"/>
          <w:sz w:val="16"/>
          <w:szCs w:val="16"/>
          <w:color w:val="auto"/>
        </w:rPr>
        <w:t>65,000 Note Due 05/15/06</w:t>
      </w:r>
    </w:p>
    <w:p>
      <w:pPr>
        <w:jc w:val="center"/>
        <w:ind w:right="7699"/>
        <w:spacing w:after="0" w:line="238" w:lineRule="auto"/>
        <w:rPr>
          <w:sz w:val="20"/>
          <w:szCs w:val="20"/>
          <w:color w:val="auto"/>
        </w:rPr>
      </w:pPr>
      <w:r>
        <w:rPr>
          <w:rFonts w:ascii="Courier New" w:cs="Courier New" w:eastAsia="Courier New" w:hAnsi="Courier New"/>
          <w:sz w:val="16"/>
          <w:szCs w:val="16"/>
          <w:color w:val="auto"/>
        </w:rPr>
        <w:t>2.320 3.400 5.720 1,056.68</w:t>
      </w:r>
    </w:p>
    <w:p>
      <w:pPr>
        <w:jc w:val="center"/>
        <w:ind w:right="7699"/>
        <w:spacing w:after="0"/>
        <w:rPr>
          <w:sz w:val="20"/>
          <w:szCs w:val="20"/>
          <w:color w:val="auto"/>
        </w:rPr>
      </w:pPr>
      <w:r>
        <w:rPr>
          <w:rFonts w:ascii="Courier New" w:cs="Courier New" w:eastAsia="Courier New" w:hAnsi="Courier New"/>
          <w:sz w:val="16"/>
          <w:szCs w:val="16"/>
          <w:color w:val="auto"/>
        </w:rPr>
        <w:t>1.05668 7.75% Notes Due</w:t>
      </w:r>
    </w:p>
    <w:p>
      <w:pPr>
        <w:jc w:val="center"/>
        <w:ind w:right="7699"/>
        <w:spacing w:after="0" w:line="238" w:lineRule="auto"/>
        <w:rPr>
          <w:sz w:val="20"/>
          <w:szCs w:val="20"/>
          <w:color w:val="auto"/>
        </w:rPr>
      </w:pPr>
      <w:r>
        <w:rPr>
          <w:rFonts w:ascii="Courier New" w:cs="Courier New" w:eastAsia="Courier New" w:hAnsi="Courier New"/>
          <w:sz w:val="16"/>
          <w:szCs w:val="16"/>
          <w:color w:val="auto"/>
        </w:rPr>
        <w:t>March 1, 6.25% US Treasury</w:t>
      </w:r>
    </w:p>
    <w:p>
      <w:pPr>
        <w:jc w:val="center"/>
        <w:ind w:right="7699"/>
        <w:spacing w:after="0"/>
        <w:rPr>
          <w:sz w:val="20"/>
          <w:szCs w:val="20"/>
          <w:color w:val="auto"/>
        </w:rPr>
      </w:pPr>
      <w:r>
        <w:rPr>
          <w:rFonts w:ascii="Courier New" w:cs="Courier New" w:eastAsia="Courier New" w:hAnsi="Courier New"/>
          <w:sz w:val="16"/>
          <w:szCs w:val="16"/>
          <w:color w:val="auto"/>
        </w:rPr>
        <w:t>2.560 3.400 5.960 1,067.16</w:t>
      </w:r>
    </w:p>
    <w:p>
      <w:pPr>
        <w:jc w:val="center"/>
        <w:ind w:right="7699"/>
        <w:spacing w:after="0" w:line="237" w:lineRule="auto"/>
        <w:rPr>
          <w:sz w:val="20"/>
          <w:szCs w:val="20"/>
          <w:color w:val="auto"/>
        </w:rPr>
      </w:pPr>
      <w:r>
        <w:rPr>
          <w:rFonts w:ascii="Courier New" w:cs="Courier New" w:eastAsia="Courier New" w:hAnsi="Courier New"/>
          <w:sz w:val="16"/>
          <w:szCs w:val="16"/>
          <w:color w:val="auto"/>
        </w:rPr>
        <w:t>1.06716</w:t>
      </w:r>
    </w:p>
    <w:p>
      <w:pPr>
        <w:spacing w:after="0" w:line="5"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5"/>
          <w:szCs w:val="15"/>
          <w:color w:val="auto"/>
        </w:rPr>
        <w:t>2007.......................</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65,000 Note Due 02/15/07</w:t>
      </w:r>
    </w:p>
    <w:p>
      <w:pPr>
        <w:ind w:left="180"/>
        <w:spacing w:after="0"/>
        <w:rPr>
          <w:sz w:val="20"/>
          <w:szCs w:val="20"/>
          <w:color w:val="auto"/>
        </w:rPr>
      </w:pPr>
      <w:r>
        <w:rPr>
          <w:rFonts w:ascii="Courier New" w:cs="Courier New" w:eastAsia="Courier New" w:hAnsi="Courier New"/>
          <w:sz w:val="16"/>
          <w:szCs w:val="16"/>
          <w:color w:val="auto"/>
        </w:rPr>
        <w:t>5.50% US Treasury 6.00%</w:t>
      </w:r>
    </w:p>
    <w:p>
      <w:pPr>
        <w:ind w:left="180"/>
        <w:spacing w:after="0" w:line="237" w:lineRule="auto"/>
        <w:rPr>
          <w:sz w:val="20"/>
          <w:szCs w:val="20"/>
          <w:color w:val="auto"/>
        </w:rPr>
      </w:pPr>
      <w:r>
        <w:rPr>
          <w:rFonts w:ascii="Courier New" w:cs="Courier New" w:eastAsia="Courier New" w:hAnsi="Courier New"/>
          <w:sz w:val="16"/>
          <w:szCs w:val="16"/>
          <w:color w:val="auto"/>
        </w:rPr>
        <w:t>Notes Due 2009.........</w:t>
      </w:r>
    </w:p>
    <w:p>
      <w:pPr>
        <w:ind w:left="140"/>
        <w:spacing w:after="0"/>
        <w:rPr>
          <w:sz w:val="20"/>
          <w:szCs w:val="20"/>
          <w:color w:val="auto"/>
        </w:rPr>
      </w:pPr>
      <w:r>
        <w:rPr>
          <w:rFonts w:ascii="Courier New" w:cs="Courier New" w:eastAsia="Courier New" w:hAnsi="Courier New"/>
          <w:sz w:val="16"/>
          <w:szCs w:val="16"/>
          <w:color w:val="auto"/>
        </w:rPr>
        <w:t>65,000 Note Due 05/15/09</w:t>
      </w:r>
    </w:p>
    <w:tbl>
      <w:tblPr>
        <w:tblLayout w:type="fixed"/>
        <w:tblInd w:w="40" w:type="dxa"/>
        <w:tblCellMar>
          <w:top w:w="0" w:type="dxa"/>
          <w:left w:w="0" w:type="dxa"/>
          <w:bottom w:w="0" w:type="dxa"/>
          <w:right w:w="0" w:type="dxa"/>
        </w:tblCellMar>
      </w:tblPr>
      <w:tr>
        <w:trPr>
          <w:trHeight w:val="180"/>
        </w:trPr>
        <w:tc>
          <w:tcPr>
            <w:tcW w:w="560" w:type="dxa"/>
            <w:vAlign w:val="bottom"/>
          </w:tcPr>
          <w:p>
            <w:pPr>
              <w:jc w:val="right"/>
              <w:ind w:right="24"/>
              <w:spacing w:after="0" w:line="180" w:lineRule="exact"/>
              <w:rPr>
                <w:sz w:val="20"/>
                <w:szCs w:val="20"/>
                <w:color w:val="auto"/>
              </w:rPr>
            </w:pPr>
            <w:r>
              <w:rPr>
                <w:rFonts w:ascii="Courier New" w:cs="Courier New" w:eastAsia="Courier New" w:hAnsi="Courier New"/>
                <w:sz w:val="16"/>
                <w:szCs w:val="16"/>
                <w:color w:val="auto"/>
                <w:w w:val="91"/>
              </w:rPr>
              <w:t>3.200</w:t>
            </w:r>
          </w:p>
        </w:tc>
        <w:tc>
          <w:tcPr>
            <w:tcW w:w="1880" w:type="dxa"/>
            <w:vAlign w:val="bottom"/>
          </w:tcPr>
          <w:p>
            <w:pPr>
              <w:spacing w:after="0" w:line="180" w:lineRule="exact"/>
              <w:rPr>
                <w:sz w:val="20"/>
                <w:szCs w:val="20"/>
                <w:color w:val="auto"/>
              </w:rPr>
            </w:pPr>
            <w:r>
              <w:rPr>
                <w:rFonts w:ascii="Courier New" w:cs="Courier New" w:eastAsia="Courier New" w:hAnsi="Courier New"/>
                <w:sz w:val="16"/>
                <w:szCs w:val="16"/>
                <w:color w:val="auto"/>
                <w:w w:val="96"/>
              </w:rPr>
              <w:t>2.650 5.850 1,007.78</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1.00778 8.125% Debentures</w:t>
            </w:r>
          </w:p>
        </w:tc>
      </w:tr>
      <w:tr>
        <w:trPr>
          <w:trHeight w:val="180"/>
        </w:trPr>
        <w:tc>
          <w:tcPr>
            <w:tcW w:w="560" w:type="dxa"/>
            <w:vAlign w:val="bottom"/>
          </w:tcPr>
          <w:p>
            <w:pPr>
              <w:jc w:val="right"/>
              <w:ind w:right="24"/>
              <w:spacing w:after="0"/>
              <w:rPr>
                <w:sz w:val="20"/>
                <w:szCs w:val="20"/>
                <w:color w:val="auto"/>
              </w:rPr>
            </w:pPr>
            <w:r>
              <w:rPr>
                <w:rFonts w:ascii="Courier New" w:cs="Courier New" w:eastAsia="Courier New" w:hAnsi="Courier New"/>
                <w:sz w:val="16"/>
                <w:szCs w:val="16"/>
                <w:color w:val="auto"/>
              </w:rPr>
              <w:t>Due</w:t>
            </w:r>
          </w:p>
        </w:tc>
        <w:tc>
          <w:tcPr>
            <w:tcW w:w="1880" w:type="dxa"/>
            <w:vAlign w:val="bottom"/>
          </w:tcPr>
          <w:p>
            <w:pPr>
              <w:spacing w:after="0"/>
              <w:rPr>
                <w:sz w:val="20"/>
                <w:szCs w:val="20"/>
                <w:color w:val="auto"/>
              </w:rPr>
            </w:pPr>
            <w:r>
              <w:rPr>
                <w:rFonts w:ascii="Courier New" w:cs="Courier New" w:eastAsia="Courier New" w:hAnsi="Courier New"/>
                <w:sz w:val="16"/>
                <w:szCs w:val="16"/>
                <w:color w:val="auto"/>
              </w:rPr>
              <w:t>5.375% US Treasury</w:t>
            </w:r>
          </w:p>
        </w:tc>
      </w:tr>
      <w:tr>
        <w:trPr>
          <w:trHeight w:val="180"/>
        </w:trPr>
        <w:tc>
          <w:tcPr>
            <w:tcW w:w="560" w:type="dxa"/>
            <w:vAlign w:val="bottom"/>
          </w:tcPr>
          <w:p>
            <w:pPr>
              <w:jc w:val="right"/>
              <w:ind w:right="24"/>
              <w:spacing w:after="0"/>
              <w:rPr>
                <w:sz w:val="20"/>
                <w:szCs w:val="20"/>
                <w:color w:val="auto"/>
              </w:rPr>
            </w:pPr>
            <w:r>
              <w:rPr>
                <w:rFonts w:ascii="Courier New" w:cs="Courier New" w:eastAsia="Courier New" w:hAnsi="Courier New"/>
                <w:sz w:val="16"/>
                <w:szCs w:val="16"/>
                <w:color w:val="auto"/>
                <w:w w:val="91"/>
              </w:rPr>
              <w:t>4.740</w:t>
            </w:r>
          </w:p>
        </w:tc>
        <w:tc>
          <w:tcPr>
            <w:tcW w:w="1880" w:type="dxa"/>
            <w:vAlign w:val="bottom"/>
          </w:tcPr>
          <w:p>
            <w:pPr>
              <w:spacing w:after="0"/>
              <w:rPr>
                <w:sz w:val="20"/>
                <w:szCs w:val="20"/>
                <w:color w:val="auto"/>
              </w:rPr>
            </w:pPr>
            <w:r>
              <w:rPr>
                <w:rFonts w:ascii="Courier New" w:cs="Courier New" w:eastAsia="Courier New" w:hAnsi="Courier New"/>
                <w:sz w:val="16"/>
                <w:szCs w:val="16"/>
                <w:color w:val="auto"/>
                <w:w w:val="96"/>
              </w:rPr>
              <w:t>3.150 7.890 1,022.85</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1.02285 January 15,</w:t>
            </w:r>
          </w:p>
        </w:tc>
      </w:tr>
      <w:tr>
        <w:trPr>
          <w:trHeight w:val="180"/>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2022</w:t>
            </w:r>
          </w:p>
        </w:tc>
        <w:tc>
          <w:tcPr>
            <w:tcW w:w="1880" w:type="dxa"/>
            <w:vAlign w:val="bottom"/>
          </w:tcPr>
          <w:p>
            <w:pPr>
              <w:spacing w:after="0"/>
              <w:rPr>
                <w:sz w:val="20"/>
                <w:szCs w:val="20"/>
                <w:color w:val="auto"/>
              </w:rPr>
            </w:pPr>
            <w:r>
              <w:rPr>
                <w:rFonts w:ascii="Courier New" w:cs="Courier New" w:eastAsia="Courier New" w:hAnsi="Courier New"/>
                <w:sz w:val="16"/>
                <w:szCs w:val="16"/>
                <w:color w:val="auto"/>
              </w:rPr>
              <w:t>........... 65,000</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Bond Due 02/15/31 8.125%</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Debentures Due 5.375% US</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Treasury 4.740 3.200 7.940</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1,018.81 1.01881 July 15,</w:t>
            </w:r>
          </w:p>
        </w:tc>
      </w:tr>
      <w:tr>
        <w:trPr>
          <w:trHeight w:val="180"/>
        </w:trPr>
        <w:tc>
          <w:tcPr>
            <w:tcW w:w="560" w:type="dxa"/>
            <w:vAlign w:val="bottom"/>
          </w:tcPr>
          <w:p>
            <w:pPr>
              <w:jc w:val="right"/>
              <w:spacing w:after="0"/>
              <w:rPr>
                <w:sz w:val="20"/>
                <w:szCs w:val="20"/>
                <w:color w:val="auto"/>
              </w:rPr>
            </w:pPr>
            <w:r>
              <w:rPr>
                <w:rFonts w:ascii="Courier New" w:cs="Courier New" w:eastAsia="Courier New" w:hAnsi="Courier New"/>
                <w:sz w:val="7"/>
                <w:szCs w:val="7"/>
                <w:color w:val="auto"/>
                <w:w w:val="71"/>
              </w:rPr>
              <w:t>2024..............</w:t>
            </w:r>
          </w:p>
        </w:tc>
        <w:tc>
          <w:tcPr>
            <w:tcW w:w="1880" w:type="dxa"/>
            <w:vAlign w:val="bottom"/>
          </w:tcPr>
          <w:p>
            <w:pPr>
              <w:ind w:left="1260"/>
              <w:spacing w:after="0"/>
              <w:rPr>
                <w:sz w:val="20"/>
                <w:szCs w:val="20"/>
                <w:color w:val="auto"/>
              </w:rPr>
            </w:pPr>
            <w:r>
              <w:rPr>
                <w:rFonts w:ascii="Courier New" w:cs="Courier New" w:eastAsia="Courier New" w:hAnsi="Courier New"/>
                <w:sz w:val="16"/>
                <w:szCs w:val="16"/>
                <w:color w:val="auto"/>
              </w:rPr>
              <w:t>65,000</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Bond Due 02/15/31 5.375%</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US Treasury 8.35%</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Debentures Due 2025....</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65,000 Bond Due 02/15/31</w:t>
            </w:r>
          </w:p>
        </w:tc>
      </w:tr>
      <w:tr>
        <w:trPr>
          <w:trHeight w:val="180"/>
        </w:trPr>
        <w:tc>
          <w:tcPr>
            <w:tcW w:w="560" w:type="dxa"/>
            <w:vAlign w:val="bottom"/>
          </w:tcPr>
          <w:p>
            <w:pPr>
              <w:jc w:val="right"/>
              <w:ind w:right="24"/>
              <w:spacing w:after="0"/>
              <w:rPr>
                <w:sz w:val="20"/>
                <w:szCs w:val="20"/>
                <w:color w:val="auto"/>
              </w:rPr>
            </w:pPr>
            <w:r>
              <w:rPr>
                <w:rFonts w:ascii="Courier New" w:cs="Courier New" w:eastAsia="Courier New" w:hAnsi="Courier New"/>
                <w:sz w:val="16"/>
                <w:szCs w:val="16"/>
                <w:color w:val="auto"/>
                <w:w w:val="91"/>
              </w:rPr>
              <w:t>4.740</w:t>
            </w:r>
          </w:p>
        </w:tc>
        <w:tc>
          <w:tcPr>
            <w:tcW w:w="1880" w:type="dxa"/>
            <w:vAlign w:val="bottom"/>
          </w:tcPr>
          <w:p>
            <w:pPr>
              <w:spacing w:after="0"/>
              <w:rPr>
                <w:sz w:val="20"/>
                <w:szCs w:val="20"/>
                <w:color w:val="auto"/>
              </w:rPr>
            </w:pPr>
            <w:r>
              <w:rPr>
                <w:rFonts w:ascii="Courier New" w:cs="Courier New" w:eastAsia="Courier New" w:hAnsi="Courier New"/>
                <w:sz w:val="16"/>
                <w:szCs w:val="16"/>
                <w:color w:val="auto"/>
                <w:w w:val="96"/>
              </w:rPr>
              <w:t>3.350 8.090 1,026.41</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1.02641 8.625% Debentures</w:t>
            </w:r>
          </w:p>
        </w:tc>
      </w:tr>
      <w:tr>
        <w:trPr>
          <w:trHeight w:val="180"/>
        </w:trPr>
        <w:tc>
          <w:tcPr>
            <w:tcW w:w="560" w:type="dxa"/>
            <w:vAlign w:val="bottom"/>
          </w:tcPr>
          <w:p>
            <w:pPr>
              <w:jc w:val="right"/>
              <w:ind w:right="24"/>
              <w:spacing w:after="0"/>
              <w:rPr>
                <w:sz w:val="20"/>
                <w:szCs w:val="20"/>
                <w:color w:val="auto"/>
              </w:rPr>
            </w:pPr>
            <w:r>
              <w:rPr>
                <w:rFonts w:ascii="Courier New" w:cs="Courier New" w:eastAsia="Courier New" w:hAnsi="Courier New"/>
                <w:sz w:val="16"/>
                <w:szCs w:val="16"/>
                <w:color w:val="auto"/>
              </w:rPr>
              <w:t>Due</w:t>
            </w:r>
          </w:p>
        </w:tc>
        <w:tc>
          <w:tcPr>
            <w:tcW w:w="1880" w:type="dxa"/>
            <w:vAlign w:val="bottom"/>
          </w:tcPr>
          <w:p>
            <w:pPr>
              <w:spacing w:after="0"/>
              <w:rPr>
                <w:sz w:val="20"/>
                <w:szCs w:val="20"/>
                <w:color w:val="auto"/>
              </w:rPr>
            </w:pPr>
            <w:r>
              <w:rPr>
                <w:rFonts w:ascii="Courier New" w:cs="Courier New" w:eastAsia="Courier New" w:hAnsi="Courier New"/>
                <w:sz w:val="16"/>
                <w:szCs w:val="16"/>
                <w:color w:val="auto"/>
              </w:rPr>
              <w:t>5.375% US Treasury</w:t>
            </w:r>
          </w:p>
        </w:tc>
      </w:tr>
      <w:tr>
        <w:trPr>
          <w:trHeight w:val="180"/>
        </w:trPr>
        <w:tc>
          <w:tcPr>
            <w:tcW w:w="560" w:type="dxa"/>
            <w:vAlign w:val="bottom"/>
          </w:tcPr>
          <w:p>
            <w:pPr>
              <w:jc w:val="right"/>
              <w:ind w:right="24"/>
              <w:spacing w:after="0"/>
              <w:rPr>
                <w:sz w:val="20"/>
                <w:szCs w:val="20"/>
                <w:color w:val="auto"/>
              </w:rPr>
            </w:pPr>
            <w:r>
              <w:rPr>
                <w:rFonts w:ascii="Courier New" w:cs="Courier New" w:eastAsia="Courier New" w:hAnsi="Courier New"/>
                <w:sz w:val="16"/>
                <w:szCs w:val="16"/>
                <w:color w:val="auto"/>
                <w:w w:val="91"/>
              </w:rPr>
              <w:t>4.740</w:t>
            </w:r>
          </w:p>
        </w:tc>
        <w:tc>
          <w:tcPr>
            <w:tcW w:w="1880" w:type="dxa"/>
            <w:vAlign w:val="bottom"/>
          </w:tcPr>
          <w:p>
            <w:pPr>
              <w:spacing w:after="0"/>
              <w:rPr>
                <w:sz w:val="20"/>
                <w:szCs w:val="20"/>
                <w:color w:val="auto"/>
              </w:rPr>
            </w:pPr>
            <w:r>
              <w:rPr>
                <w:rFonts w:ascii="Courier New" w:cs="Courier New" w:eastAsia="Courier New" w:hAnsi="Courier New"/>
                <w:sz w:val="16"/>
                <w:szCs w:val="16"/>
                <w:color w:val="auto"/>
                <w:w w:val="96"/>
              </w:rPr>
              <w:t>3.350 8.090 1,059.43</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1.05943 December 1,</w:t>
            </w:r>
          </w:p>
        </w:tc>
      </w:tr>
      <w:tr>
        <w:trPr>
          <w:trHeight w:val="180"/>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2031</w:t>
            </w:r>
          </w:p>
        </w:tc>
        <w:tc>
          <w:tcPr>
            <w:tcW w:w="1880" w:type="dxa"/>
            <w:vAlign w:val="bottom"/>
          </w:tcPr>
          <w:p>
            <w:pPr>
              <w:spacing w:after="0"/>
              <w:rPr>
                <w:sz w:val="20"/>
                <w:szCs w:val="20"/>
                <w:color w:val="auto"/>
              </w:rPr>
            </w:pPr>
            <w:r>
              <w:rPr>
                <w:rFonts w:ascii="Courier New" w:cs="Courier New" w:eastAsia="Courier New" w:hAnsi="Courier New"/>
                <w:sz w:val="16"/>
                <w:szCs w:val="16"/>
                <w:color w:val="auto"/>
              </w:rPr>
              <w:t>........... 65,000</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Bond Due 02/15/31</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FACE AMOUNT OF NEW</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RESIDUAL BROADBAND CASH</w:t>
            </w:r>
          </w:p>
        </w:tc>
      </w:tr>
      <w:tr>
        <w:trPr>
          <w:trHeight w:val="180"/>
        </w:trPr>
        <w:tc>
          <w:tcPr>
            <w:tcW w:w="24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BROADBAND ELIGIBLE NOTE</w:t>
            </w:r>
          </w:p>
        </w:tc>
      </w:tr>
    </w:tbl>
    <w:p>
      <w:pPr>
        <w:ind w:left="40"/>
        <w:spacing w:after="0"/>
        <w:rPr>
          <w:sz w:val="20"/>
          <w:szCs w:val="20"/>
          <w:color w:val="auto"/>
        </w:rPr>
      </w:pPr>
      <w:r>
        <w:rPr>
          <w:rFonts w:ascii="Courier New" w:cs="Courier New" w:eastAsia="Courier New" w:hAnsi="Courier New"/>
          <w:sz w:val="16"/>
          <w:szCs w:val="16"/>
          <w:color w:val="auto"/>
        </w:rPr>
        <w:t>NOTES AMOUNT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360" w:right="7879" w:hanging="180"/>
        <w:spacing w:after="0" w:line="254" w:lineRule="auto"/>
        <w:tabs>
          <w:tab w:leader="none" w:pos="54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7.00% Notes Due May 15, $68,000 $361.15</w:t>
      </w:r>
    </w:p>
    <w:p>
      <w:pPr>
        <w:spacing w:after="0" w:line="234" w:lineRule="auto"/>
        <w:rPr>
          <w:sz w:val="20"/>
          <w:szCs w:val="20"/>
          <w:color w:val="auto"/>
        </w:rPr>
      </w:pPr>
      <w:r>
        <w:rPr>
          <w:rFonts w:ascii="Courier New" w:cs="Courier New" w:eastAsia="Courier New" w:hAnsi="Courier New"/>
          <w:sz w:val="16"/>
          <w:szCs w:val="16"/>
          <w:color w:val="auto"/>
        </w:rPr>
        <w:t>2005.......................</w:t>
      </w:r>
    </w:p>
    <w:p>
      <w:pPr>
        <w:jc w:val="center"/>
        <w:ind w:right="7699"/>
        <w:spacing w:after="0"/>
        <w:rPr>
          <w:sz w:val="20"/>
          <w:szCs w:val="20"/>
          <w:color w:val="auto"/>
        </w:rPr>
      </w:pPr>
      <w:r>
        <w:rPr>
          <w:rFonts w:ascii="Courier New" w:cs="Courier New" w:eastAsia="Courier New" w:hAnsi="Courier New"/>
          <w:sz w:val="16"/>
          <w:szCs w:val="16"/>
          <w:color w:val="auto"/>
        </w:rPr>
        <w:t>7.50% Notes Due</w:t>
      </w:r>
    </w:p>
    <w:p>
      <w:pPr>
        <w:ind w:left="320"/>
        <w:spacing w:after="0" w:line="238" w:lineRule="auto"/>
        <w:rPr>
          <w:sz w:val="20"/>
          <w:szCs w:val="20"/>
          <w:color w:val="auto"/>
        </w:rPr>
      </w:pPr>
      <w:r>
        <w:rPr>
          <w:rFonts w:ascii="Courier New" w:cs="Courier New" w:eastAsia="Courier New" w:hAnsi="Courier New"/>
          <w:sz w:val="16"/>
          <w:szCs w:val="16"/>
          <w:color w:val="auto"/>
        </w:rPr>
        <w:t>2006......... 68,000</w:t>
      </w:r>
    </w:p>
    <w:p>
      <w:pPr>
        <w:ind w:left="220"/>
        <w:spacing w:after="0"/>
        <w:rPr>
          <w:sz w:val="20"/>
          <w:szCs w:val="20"/>
          <w:color w:val="auto"/>
        </w:rPr>
      </w:pPr>
      <w:r>
        <w:rPr>
          <w:rFonts w:ascii="Courier New" w:cs="Courier New" w:eastAsia="Courier New" w:hAnsi="Courier New"/>
          <w:sz w:val="16"/>
          <w:szCs w:val="16"/>
          <w:color w:val="auto"/>
        </w:rPr>
        <w:t>684.20 7.75% Notes Due</w:t>
      </w:r>
    </w:p>
    <w:p>
      <w:pPr>
        <w:ind w:left="220"/>
        <w:spacing w:after="0" w:line="238" w:lineRule="auto"/>
        <w:rPr>
          <w:sz w:val="20"/>
          <w:szCs w:val="20"/>
          <w:color w:val="auto"/>
        </w:rPr>
      </w:pPr>
      <w:r>
        <w:rPr>
          <w:rFonts w:ascii="Courier New" w:cs="Courier New" w:eastAsia="Courier New" w:hAnsi="Courier New"/>
          <w:sz w:val="16"/>
          <w:szCs w:val="16"/>
          <w:color w:val="auto"/>
        </w:rPr>
        <w:t>March 1, 69,000 365.40</w:t>
      </w:r>
    </w:p>
    <w:p>
      <w:pPr>
        <w:spacing w:after="0" w:line="4"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5"/>
          <w:szCs w:val="15"/>
          <w:color w:val="auto"/>
        </w:rPr>
        <w:t>2007.......................</w:t>
      </w:r>
    </w:p>
    <w:p>
      <w:pPr>
        <w:spacing w:after="0" w:line="5"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6"/>
          <w:szCs w:val="16"/>
          <w:color w:val="auto"/>
        </w:rPr>
        <w:t>6.00% Notes Due</w:t>
      </w:r>
    </w:p>
    <w:p>
      <w:pPr>
        <w:jc w:val="center"/>
        <w:ind w:right="7699"/>
        <w:spacing w:after="0"/>
        <w:rPr>
          <w:sz w:val="20"/>
          <w:szCs w:val="20"/>
          <w:color w:val="auto"/>
        </w:rPr>
      </w:pPr>
      <w:r>
        <w:rPr>
          <w:rFonts w:ascii="Courier New" w:cs="Courier New" w:eastAsia="Courier New" w:hAnsi="Courier New"/>
          <w:sz w:val="16"/>
          <w:szCs w:val="16"/>
          <w:color w:val="auto"/>
        </w:rPr>
        <w:t>2009......... 65,000</w:t>
      </w:r>
    </w:p>
    <w:p>
      <w:pPr>
        <w:jc w:val="center"/>
        <w:ind w:right="7699"/>
        <w:spacing w:after="0" w:line="237" w:lineRule="auto"/>
        <w:rPr>
          <w:sz w:val="20"/>
          <w:szCs w:val="20"/>
          <w:color w:val="auto"/>
        </w:rPr>
      </w:pPr>
      <w:r>
        <w:rPr>
          <w:rFonts w:ascii="Courier New" w:cs="Courier New" w:eastAsia="Courier New" w:hAnsi="Courier New"/>
          <w:sz w:val="16"/>
          <w:szCs w:val="16"/>
          <w:color w:val="auto"/>
        </w:rPr>
        <w:t>505.70 8.125% Debentures</w:t>
      </w:r>
    </w:p>
    <w:p>
      <w:pPr>
        <w:jc w:val="center"/>
        <w:ind w:right="7699"/>
        <w:spacing w:after="0"/>
        <w:rPr>
          <w:sz w:val="20"/>
          <w:szCs w:val="20"/>
          <w:color w:val="auto"/>
        </w:rPr>
      </w:pPr>
      <w:r>
        <w:rPr>
          <w:rFonts w:ascii="Courier New" w:cs="Courier New" w:eastAsia="Courier New" w:hAnsi="Courier New"/>
          <w:sz w:val="16"/>
          <w:szCs w:val="16"/>
          <w:color w:val="auto"/>
        </w:rPr>
        <w:t>Due 66,000 485.25 January</w:t>
      </w:r>
    </w:p>
    <w:p>
      <w:pPr>
        <w:jc w:val="center"/>
        <w:ind w:right="7699"/>
        <w:spacing w:after="0" w:line="238" w:lineRule="auto"/>
        <w:rPr>
          <w:sz w:val="20"/>
          <w:szCs w:val="20"/>
          <w:color w:val="auto"/>
        </w:rPr>
      </w:pPr>
      <w:r>
        <w:rPr>
          <w:rFonts w:ascii="Courier New" w:cs="Courier New" w:eastAsia="Courier New" w:hAnsi="Courier New"/>
          <w:sz w:val="16"/>
          <w:szCs w:val="16"/>
          <w:color w:val="auto"/>
        </w:rPr>
        <w:t>15, 2022........... 8.125%</w:t>
      </w:r>
    </w:p>
    <w:p>
      <w:pPr>
        <w:jc w:val="center"/>
        <w:ind w:right="7699"/>
        <w:spacing w:after="0"/>
        <w:rPr>
          <w:sz w:val="20"/>
          <w:szCs w:val="20"/>
          <w:color w:val="auto"/>
        </w:rPr>
      </w:pPr>
      <w:r>
        <w:rPr>
          <w:rFonts w:ascii="Courier New" w:cs="Courier New" w:eastAsia="Courier New" w:hAnsi="Courier New"/>
          <w:sz w:val="16"/>
          <w:szCs w:val="16"/>
          <w:color w:val="auto"/>
        </w:rPr>
        <w:t>Debentures Due 66,000</w:t>
      </w:r>
    </w:p>
    <w:p>
      <w:pPr>
        <w:jc w:val="center"/>
        <w:ind w:right="7699"/>
        <w:spacing w:after="0" w:line="238" w:lineRule="auto"/>
        <w:rPr>
          <w:sz w:val="20"/>
          <w:szCs w:val="20"/>
          <w:color w:val="auto"/>
        </w:rPr>
      </w:pPr>
      <w:r>
        <w:rPr>
          <w:rFonts w:ascii="Courier New" w:cs="Courier New" w:eastAsia="Courier New" w:hAnsi="Courier New"/>
          <w:sz w:val="16"/>
          <w:szCs w:val="16"/>
          <w:color w:val="auto"/>
        </w:rPr>
        <w:t>222.65 July 15,</w:t>
      </w:r>
    </w:p>
    <w:p>
      <w:pPr>
        <w:jc w:val="center"/>
        <w:ind w:right="7699"/>
        <w:spacing w:after="0"/>
        <w:rPr>
          <w:sz w:val="20"/>
          <w:szCs w:val="20"/>
          <w:color w:val="auto"/>
        </w:rPr>
      </w:pPr>
      <w:r>
        <w:rPr>
          <w:rFonts w:ascii="Courier New" w:cs="Courier New" w:eastAsia="Courier New" w:hAnsi="Courier New"/>
          <w:sz w:val="16"/>
          <w:szCs w:val="16"/>
          <w:color w:val="auto"/>
        </w:rPr>
        <w:t>2024.............. 8.35%</w:t>
      </w:r>
    </w:p>
    <w:p>
      <w:pPr>
        <w:jc w:val="center"/>
        <w:ind w:right="7699"/>
        <w:spacing w:after="0" w:line="237" w:lineRule="auto"/>
        <w:rPr>
          <w:sz w:val="20"/>
          <w:szCs w:val="20"/>
          <w:color w:val="auto"/>
        </w:rPr>
      </w:pPr>
      <w:r>
        <w:rPr>
          <w:rFonts w:ascii="Courier New" w:cs="Courier New" w:eastAsia="Courier New" w:hAnsi="Courier New"/>
          <w:sz w:val="16"/>
          <w:szCs w:val="16"/>
          <w:color w:val="auto"/>
        </w:rPr>
        <w:t>Debentures Due 2025....</w:t>
      </w:r>
    </w:p>
    <w:p>
      <w:pPr>
        <w:jc w:val="center"/>
        <w:ind w:right="7699"/>
        <w:spacing w:after="0"/>
        <w:rPr>
          <w:sz w:val="20"/>
          <w:szCs w:val="20"/>
          <w:color w:val="auto"/>
        </w:rPr>
      </w:pPr>
      <w:r>
        <w:rPr>
          <w:rFonts w:ascii="Courier New" w:cs="Courier New" w:eastAsia="Courier New" w:hAnsi="Courier New"/>
          <w:sz w:val="16"/>
          <w:szCs w:val="16"/>
          <w:color w:val="auto"/>
        </w:rPr>
        <w:t>66,000 716.65 8.625%</w:t>
      </w:r>
    </w:p>
    <w:p>
      <w:pPr>
        <w:ind w:left="280"/>
        <w:spacing w:after="0" w:line="238" w:lineRule="auto"/>
        <w:rPr>
          <w:sz w:val="20"/>
          <w:szCs w:val="20"/>
          <w:color w:val="auto"/>
        </w:rPr>
      </w:pPr>
      <w:r>
        <w:rPr>
          <w:rFonts w:ascii="Courier New" w:cs="Courier New" w:eastAsia="Courier New" w:hAnsi="Courier New"/>
          <w:sz w:val="16"/>
          <w:szCs w:val="16"/>
          <w:color w:val="auto"/>
        </w:rPr>
        <w:t>Debentures Due 68,000</w:t>
      </w:r>
    </w:p>
    <w:p>
      <w:pPr>
        <w:sectPr>
          <w:pgSz w:w="11900" w:h="16838" w:orient="portrait"/>
          <w:cols w:equalWidth="0" w:num="1">
            <w:col w:w="10219"/>
          </w:cols>
          <w:pgMar w:left="240" w:top="654" w:right="1440" w:bottom="0" w:gutter="0" w:footer="0" w:header="0"/>
        </w:sectPr>
      </w:pPr>
    </w:p>
    <w:bookmarkStart w:id="90" w:name="page91"/>
    <w:bookmarkEnd w:id="90"/>
    <w:p>
      <w:pPr>
        <w:jc w:val="center"/>
        <w:ind w:right="7699"/>
        <w:spacing w:after="0"/>
        <w:rPr>
          <w:sz w:val="20"/>
          <w:szCs w:val="20"/>
          <w:color w:val="auto"/>
        </w:rPr>
      </w:pPr>
      <w:r>
        <w:rPr>
          <w:rFonts w:ascii="Courier New" w:cs="Courier New" w:eastAsia="Courier New" w:hAnsi="Courier New"/>
          <w:sz w:val="16"/>
          <w:szCs w:val="16"/>
          <w:color w:val="auto"/>
        </w:rPr>
        <w:t>862.95 December 1,</w:t>
      </w:r>
    </w:p>
    <w:p>
      <w:pPr>
        <w:ind w:left="560"/>
        <w:spacing w:after="0"/>
        <w:rPr>
          <w:sz w:val="20"/>
          <w:szCs w:val="20"/>
          <w:color w:val="auto"/>
        </w:rPr>
      </w:pPr>
      <w:r>
        <w:rPr>
          <w:rFonts w:ascii="Courier New" w:cs="Courier New" w:eastAsia="Courier New" w:hAnsi="Courier New"/>
          <w:sz w:val="16"/>
          <w:szCs w:val="16"/>
          <w:color w:val="auto"/>
        </w:rPr>
        <w:t>2031...........</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FOR THE NEW BROADBAND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interest rate for each series of New Broadband Notes will be announced by press release two business days prior to the expiration of the exchange offer for that series and will be based on a credit spread over the relevant reference U.S. Treasury rates. The reference U.S. Treasury rate with respect to each series of New Broadband Notes will be calculated, by the dealer managers, in accordance with standard market practice, based on the bid side price of the relevant reference U.S. Treasury as listed on the relevant Bloomberg Government Pricing Monitor or any other recognized quotation source selected by the dealer managers at 2:00 p.m., New York City time, two business days prior to the expiration of the exchange offer. The relevant reference U.S. Treasury has been selected to approximate the maturity characteristics of the applicable series of New Broadband Notes. The interest rate will be equal to the reference U.S. Treasury rate plus the applicable credit spread as set forth below. For current yield information for a particular U.S. Treasury security, you should consult publicly available sources. While those spreads have been selected so that as of the date of calculation the New Broadband Notes would initially trade at par, there can be no assurance as to the price at which the New Broadband Notes will actually trade, either initially or thereafter. In addition, because the New Broadband Notes will not be issued until completion of the AT&amp;T Comcast transaction, it is not possible to determine the present value of the combined cash flows on any series of Broadband Exchange Notes and the related series of New Broadband Notes.</w:t>
      </w:r>
    </w:p>
    <w:p>
      <w:pPr>
        <w:spacing w:after="0" w:line="37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BLOOMBERG NEW</w:t>
      </w:r>
    </w:p>
    <w:p>
      <w:pPr>
        <w:ind w:left="80"/>
        <w:spacing w:after="0"/>
        <w:rPr>
          <w:sz w:val="20"/>
          <w:szCs w:val="20"/>
          <w:color w:val="auto"/>
        </w:rPr>
      </w:pPr>
      <w:r>
        <w:rPr>
          <w:rFonts w:ascii="Courier New" w:cs="Courier New" w:eastAsia="Courier New" w:hAnsi="Courier New"/>
          <w:sz w:val="16"/>
          <w:szCs w:val="16"/>
          <w:color w:val="auto"/>
        </w:rPr>
        <w:t>BROADBAND NOTES</w:t>
      </w:r>
    </w:p>
    <w:p>
      <w:pPr>
        <w:ind w:left="140"/>
        <w:spacing w:after="0" w:line="237" w:lineRule="auto"/>
        <w:rPr>
          <w:sz w:val="20"/>
          <w:szCs w:val="20"/>
          <w:color w:val="auto"/>
        </w:rPr>
      </w:pPr>
      <w:r>
        <w:rPr>
          <w:rFonts w:ascii="Courier New" w:cs="Courier New" w:eastAsia="Courier New" w:hAnsi="Courier New"/>
          <w:sz w:val="16"/>
          <w:szCs w:val="16"/>
          <w:color w:val="auto"/>
        </w:rPr>
        <w:t>REFERENCE U.S.</w:t>
      </w:r>
    </w:p>
    <w:p>
      <w:pPr>
        <w:ind w:left="180"/>
        <w:spacing w:after="0"/>
        <w:rPr>
          <w:sz w:val="20"/>
          <w:szCs w:val="20"/>
          <w:color w:val="auto"/>
        </w:rPr>
      </w:pPr>
      <w:r>
        <w:rPr>
          <w:rFonts w:ascii="Courier New" w:cs="Courier New" w:eastAsia="Courier New" w:hAnsi="Courier New"/>
          <w:sz w:val="16"/>
          <w:szCs w:val="16"/>
          <w:color w:val="auto"/>
        </w:rPr>
        <w:t>TREASURY PAGE</w:t>
      </w:r>
    </w:p>
    <w:p>
      <w:pPr>
        <w:ind w:left="80"/>
        <w:spacing w:after="0" w:line="238" w:lineRule="auto"/>
        <w:rPr>
          <w:sz w:val="20"/>
          <w:szCs w:val="20"/>
          <w:color w:val="auto"/>
        </w:rPr>
      </w:pPr>
      <w:r>
        <w:rPr>
          <w:rFonts w:ascii="Courier New" w:cs="Courier New" w:eastAsia="Courier New" w:hAnsi="Courier New"/>
          <w:sz w:val="16"/>
          <w:szCs w:val="16"/>
          <w:color w:val="auto"/>
        </w:rPr>
        <w:t>CREDIT SPREAD -</w:t>
      </w:r>
    </w:p>
    <w:p>
      <w:pPr>
        <w:ind w:left="40"/>
        <w:spacing w:after="0"/>
        <w:rPr>
          <w:sz w:val="20"/>
          <w:szCs w:val="20"/>
          <w:color w:val="auto"/>
        </w:rPr>
      </w:pPr>
      <w:r>
        <w:rPr>
          <w:rFonts w:ascii="Courier New" w:cs="Courier New" w:eastAsia="Courier New" w:hAnsi="Courier New"/>
          <w:sz w:val="16"/>
          <w:szCs w:val="16"/>
          <w:color w:val="auto"/>
        </w:rPr>
        <w:t>----------------</w:t>
      </w:r>
    </w:p>
    <w:p>
      <w:pPr>
        <w:ind w:left="420" w:hanging="381"/>
        <w:spacing w:after="0" w:line="238" w:lineRule="auto"/>
        <w:tabs>
          <w:tab w:leader="none" w:pos="4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 w:lineRule="exact"/>
        <w:rPr>
          <w:rFonts w:ascii="Courier New" w:cs="Courier New" w:eastAsia="Courier New" w:hAnsi="Courier New"/>
          <w:sz w:val="16"/>
          <w:szCs w:val="16"/>
          <w:color w:val="auto"/>
        </w:rPr>
      </w:pPr>
    </w:p>
    <w:p>
      <w:pPr>
        <w:ind w:left="360" w:right="8819" w:hanging="180"/>
        <w:spacing w:after="0" w:line="254" w:lineRule="auto"/>
        <w:tabs>
          <w:tab w:leader="none" w:pos="54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Due March 15,</w:t>
      </w:r>
    </w:p>
    <w:p>
      <w:pPr>
        <w:spacing w:after="0" w:line="234" w:lineRule="auto"/>
        <w:rPr>
          <w:sz w:val="20"/>
          <w:szCs w:val="20"/>
          <w:color w:val="auto"/>
        </w:rPr>
      </w:pPr>
      <w:r>
        <w:rPr>
          <w:rFonts w:ascii="Courier New" w:cs="Courier New" w:eastAsia="Courier New" w:hAnsi="Courier New"/>
          <w:sz w:val="16"/>
          <w:szCs w:val="16"/>
          <w:color w:val="auto"/>
        </w:rPr>
        <w:t>2013.............</w:t>
      </w:r>
    </w:p>
    <w:p>
      <w:pPr>
        <w:jc w:val="center"/>
        <w:ind w:right="8639"/>
        <w:spacing w:after="0"/>
        <w:rPr>
          <w:sz w:val="20"/>
          <w:szCs w:val="20"/>
          <w:color w:val="auto"/>
        </w:rPr>
      </w:pPr>
      <w:r>
        <w:rPr>
          <w:rFonts w:ascii="Courier New" w:cs="Courier New" w:eastAsia="Courier New" w:hAnsi="Courier New"/>
          <w:sz w:val="16"/>
          <w:szCs w:val="16"/>
          <w:color w:val="auto"/>
        </w:rPr>
        <w:t>4.375% US</w:t>
      </w:r>
    </w:p>
    <w:p>
      <w:pPr>
        <w:jc w:val="center"/>
        <w:ind w:right="8639"/>
        <w:spacing w:after="0" w:line="238" w:lineRule="auto"/>
        <w:rPr>
          <w:sz w:val="20"/>
          <w:szCs w:val="20"/>
          <w:color w:val="auto"/>
        </w:rPr>
      </w:pPr>
      <w:r>
        <w:rPr>
          <w:rFonts w:ascii="Courier New" w:cs="Courier New" w:eastAsia="Courier New" w:hAnsi="Courier New"/>
          <w:sz w:val="16"/>
          <w:szCs w:val="16"/>
          <w:color w:val="auto"/>
        </w:rPr>
        <w:t>Treasury Note</w:t>
      </w:r>
    </w:p>
    <w:p>
      <w:pPr>
        <w:jc w:val="center"/>
        <w:ind w:right="8639"/>
        <w:spacing w:after="0"/>
        <w:rPr>
          <w:sz w:val="20"/>
          <w:szCs w:val="20"/>
          <w:color w:val="auto"/>
        </w:rPr>
      </w:pPr>
      <w:r>
        <w:rPr>
          <w:rFonts w:ascii="Courier New" w:cs="Courier New" w:eastAsia="Courier New" w:hAnsi="Courier New"/>
          <w:sz w:val="16"/>
          <w:szCs w:val="16"/>
          <w:color w:val="auto"/>
        </w:rPr>
        <w:t>Due 08/15/12 PX7</w:t>
      </w:r>
    </w:p>
    <w:p>
      <w:pPr>
        <w:jc w:val="center"/>
        <w:ind w:right="8639"/>
        <w:spacing w:after="0" w:line="238" w:lineRule="auto"/>
        <w:rPr>
          <w:sz w:val="20"/>
          <w:szCs w:val="20"/>
          <w:color w:val="auto"/>
        </w:rPr>
      </w:pPr>
      <w:r>
        <w:rPr>
          <w:rFonts w:ascii="Courier New" w:cs="Courier New" w:eastAsia="Courier New" w:hAnsi="Courier New"/>
          <w:sz w:val="16"/>
          <w:szCs w:val="16"/>
          <w:color w:val="auto"/>
        </w:rPr>
        <w:t>4.35% Notes Due</w:t>
      </w:r>
    </w:p>
    <w:p>
      <w:pPr>
        <w:jc w:val="center"/>
        <w:ind w:right="8639"/>
        <w:spacing w:after="0"/>
        <w:rPr>
          <w:sz w:val="20"/>
          <w:szCs w:val="20"/>
          <w:color w:val="auto"/>
        </w:rPr>
      </w:pPr>
      <w:r>
        <w:rPr>
          <w:rFonts w:ascii="Courier New" w:cs="Courier New" w:eastAsia="Courier New" w:hAnsi="Courier New"/>
          <w:sz w:val="16"/>
          <w:szCs w:val="16"/>
          <w:color w:val="auto"/>
        </w:rPr>
        <w:t>November 15,</w:t>
      </w:r>
    </w:p>
    <w:p>
      <w:pPr>
        <w:jc w:val="center"/>
        <w:ind w:right="8639"/>
        <w:spacing w:after="0" w:line="237" w:lineRule="auto"/>
        <w:rPr>
          <w:sz w:val="20"/>
          <w:szCs w:val="20"/>
          <w:color w:val="auto"/>
        </w:rPr>
      </w:pPr>
      <w:r>
        <w:rPr>
          <w:rFonts w:ascii="Courier New" w:cs="Courier New" w:eastAsia="Courier New" w:hAnsi="Courier New"/>
          <w:sz w:val="16"/>
          <w:szCs w:val="16"/>
          <w:color w:val="auto"/>
        </w:rPr>
        <w:t>2022..........</w:t>
      </w:r>
    </w:p>
    <w:p>
      <w:pPr>
        <w:jc w:val="center"/>
        <w:ind w:right="8639"/>
        <w:spacing w:after="0"/>
        <w:rPr>
          <w:sz w:val="20"/>
          <w:szCs w:val="20"/>
          <w:color w:val="auto"/>
        </w:rPr>
      </w:pPr>
      <w:r>
        <w:rPr>
          <w:rFonts w:ascii="Courier New" w:cs="Courier New" w:eastAsia="Courier New" w:hAnsi="Courier New"/>
          <w:sz w:val="16"/>
          <w:szCs w:val="16"/>
          <w:color w:val="auto"/>
        </w:rPr>
        <w:t>5.375% US</w:t>
      </w:r>
    </w:p>
    <w:p>
      <w:pPr>
        <w:jc w:val="center"/>
        <w:ind w:right="8639"/>
        <w:spacing w:after="0" w:line="238" w:lineRule="auto"/>
        <w:rPr>
          <w:sz w:val="20"/>
          <w:szCs w:val="20"/>
          <w:color w:val="auto"/>
        </w:rPr>
      </w:pPr>
      <w:r>
        <w:rPr>
          <w:rFonts w:ascii="Courier New" w:cs="Courier New" w:eastAsia="Courier New" w:hAnsi="Courier New"/>
          <w:sz w:val="16"/>
          <w:szCs w:val="16"/>
          <w:color w:val="auto"/>
        </w:rPr>
        <w:t>Treasury Note</w:t>
      </w:r>
    </w:p>
    <w:p>
      <w:pPr>
        <w:jc w:val="center"/>
        <w:ind w:right="8639"/>
        <w:spacing w:after="0"/>
        <w:rPr>
          <w:sz w:val="20"/>
          <w:szCs w:val="20"/>
          <w:color w:val="auto"/>
        </w:rPr>
      </w:pPr>
      <w:r>
        <w:rPr>
          <w:rFonts w:ascii="Courier New" w:cs="Courier New" w:eastAsia="Courier New" w:hAnsi="Courier New"/>
          <w:sz w:val="16"/>
          <w:szCs w:val="16"/>
          <w:color w:val="auto"/>
        </w:rPr>
        <w:t>Due 02/15/31 PX8</w:t>
      </w:r>
    </w:p>
    <w:p>
      <w:pPr>
        <w:jc w:val="center"/>
        <w:ind w:right="8639"/>
        <w:spacing w:after="0" w:line="238" w:lineRule="auto"/>
        <w:rPr>
          <w:sz w:val="20"/>
          <w:szCs w:val="20"/>
          <w:color w:val="auto"/>
        </w:rPr>
      </w:pPr>
      <w:r>
        <w:rPr>
          <w:rFonts w:ascii="Courier New" w:cs="Courier New" w:eastAsia="Courier New" w:hAnsi="Courier New"/>
          <w:sz w:val="16"/>
          <w:szCs w:val="16"/>
          <w:color w:val="auto"/>
        </w:rPr>
        <w:t>4.40%</w:t>
      </w:r>
    </w:p>
    <w:p>
      <w:pPr>
        <w:spacing w:after="0" w:line="200" w:lineRule="exact"/>
        <w:rPr>
          <w:sz w:val="20"/>
          <w:szCs w:val="20"/>
          <w:color w:val="auto"/>
        </w:rPr>
      </w:pPr>
    </w:p>
    <w:p>
      <w:pPr>
        <w:spacing w:after="0" w:line="34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OTHER TERMS OF THE BROADBAND EXCHANGE NOTES, NEW BROADBAND NOTES AND THE NEW AT&amp;T NOTES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Descriptions of the terms of the Broadband Exchange Notes, the New Broadband Notes and the cable guarantees, and the New AT&amp;T Notes are included in this prospectus under "Description of the</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137" w:right="1440" w:bottom="1440" w:gutter="0" w:footer="0" w:header="0"/>
        </w:sectPr>
      </w:pPr>
    </w:p>
    <w:bookmarkStart w:id="91" w:name="page92"/>
    <w:bookmarkEnd w:id="91"/>
    <w:p>
      <w:pPr>
        <w:ind w:right="2719"/>
        <w:spacing w:after="0" w:line="238" w:lineRule="auto"/>
        <w:rPr>
          <w:sz w:val="20"/>
          <w:szCs w:val="20"/>
          <w:color w:val="auto"/>
        </w:rPr>
      </w:pPr>
      <w:r>
        <w:rPr>
          <w:rFonts w:ascii="Courier New" w:cs="Courier New" w:eastAsia="Courier New" w:hAnsi="Courier New"/>
          <w:sz w:val="16"/>
          <w:szCs w:val="16"/>
          <w:color w:val="auto"/>
        </w:rPr>
        <w:t>Broadband Exchange Notes," "Description of the New Broadband Notes and the Cable Guarantees" and "Description of the New AT&amp;T Notes," respectively. A comparison of the terms of the New Broadband Notes to those of the Broadband Exchange Notes is included in this prospectus under "Comparison of the New Broadband Notes and the Broadband Exchange Notes." The material differences in the terms of the Broadband Exchange Notes from those of the Broadband Eligible Notes, and in the terms of the New AT&amp;T Notes from those of the AT&amp;T Eligible Notes, are described under "Description of the Broadband Exchange Notes" and "Description of the New AT&amp;T Notes," respectively.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EXCHANGE OFFER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Unless holders of more than 50% of the principal amount of any series of Broadband Eligible Notes or AT&amp;T Eligible Notes have consented to the note amendment discussed below and validly tendered and not withdrawn their notes prior to the expiration date of the exchange offer for that series, no notes of that series will be accepted for exchange. For these purposes, all of the Series A Medium-Term Notes are treated as part of a single series.</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following table sets forth the aggregate principal amount outstanding of each series of Broadband Eligible Notes and AT&amp;T Eligible Notes as of the date of this prospectus:</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PRINCIPAL AMOUNT BROADBAND ELIGIBLE NOTES</w:t>
      </w:r>
    </w:p>
    <w:tbl>
      <w:tblPr>
        <w:tblLayout w:type="fixed"/>
        <w:tblInd w:w="40" w:type="dxa"/>
        <w:tblCellMar>
          <w:top w:w="0" w:type="dxa"/>
          <w:left w:w="0" w:type="dxa"/>
          <w:bottom w:w="0" w:type="dxa"/>
          <w:right w:w="0" w:type="dxa"/>
        </w:tblCellMar>
      </w:tblPr>
      <w:tr>
        <w:trPr>
          <w:trHeight w:val="18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OUTSTANDING</w:t>
            </w:r>
          </w:p>
        </w:tc>
        <w:tc>
          <w:tcPr>
            <w:tcW w:w="3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 ----------</w:t>
            </w:r>
          </w:p>
        </w:tc>
      </w:tr>
      <w:tr>
        <w:trPr>
          <w:trHeight w:val="18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560" w:type="dxa"/>
            <w:vAlign w:val="bottom"/>
            <w:gridSpan w:val="2"/>
          </w:tcPr>
          <w:p>
            <w:pPr>
              <w:jc w:val="right"/>
              <w:ind w:right="822"/>
              <w:spacing w:after="0"/>
              <w:rPr>
                <w:sz w:val="20"/>
                <w:szCs w:val="20"/>
                <w:color w:val="auto"/>
              </w:rPr>
            </w:pPr>
            <w:r>
              <w:rPr>
                <w:rFonts w:ascii="Courier New" w:cs="Courier New" w:eastAsia="Courier New" w:hAnsi="Courier New"/>
                <w:sz w:val="16"/>
                <w:szCs w:val="16"/>
                <w:color w:val="auto"/>
              </w:rPr>
              <w:t>7.00% Notes Due May 15,</w:t>
            </w:r>
          </w:p>
        </w:tc>
      </w:tr>
      <w:tr>
        <w:trPr>
          <w:trHeight w:val="180"/>
        </w:trPr>
        <w:tc>
          <w:tcPr>
            <w:tcW w:w="2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2005................................</w:t>
            </w:r>
          </w:p>
        </w:tc>
        <w:tc>
          <w:tcPr>
            <w:tcW w:w="24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r>
      <w:tr>
        <w:trPr>
          <w:trHeight w:val="180"/>
        </w:trPr>
        <w:tc>
          <w:tcPr>
            <w:tcW w:w="104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300,000,000</w:t>
            </w:r>
          </w:p>
        </w:tc>
        <w:tc>
          <w:tcPr>
            <w:tcW w:w="2440" w:type="dxa"/>
            <w:vAlign w:val="bottom"/>
          </w:tcPr>
          <w:p>
            <w:pPr>
              <w:spacing w:after="0"/>
              <w:rPr>
                <w:sz w:val="20"/>
                <w:szCs w:val="20"/>
                <w:color w:val="auto"/>
              </w:rPr>
            </w:pPr>
            <w:r>
              <w:rPr>
                <w:rFonts w:ascii="Courier New" w:cs="Courier New" w:eastAsia="Courier New" w:hAnsi="Courier New"/>
                <w:sz w:val="16"/>
                <w:szCs w:val="16"/>
                <w:color w:val="auto"/>
              </w:rPr>
              <w:t>7.50% Notes Due</w:t>
            </w:r>
          </w:p>
        </w:tc>
      </w:tr>
      <w:tr>
        <w:trPr>
          <w:trHeight w:val="180"/>
        </w:trPr>
        <w:tc>
          <w:tcPr>
            <w:tcW w:w="2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2006........................................</w:t>
            </w:r>
          </w:p>
        </w:tc>
        <w:tc>
          <w:tcPr>
            <w:tcW w:w="2440" w:type="dxa"/>
            <w:vAlign w:val="bottom"/>
          </w:tcPr>
          <w:p>
            <w:pPr>
              <w:spacing w:after="0"/>
              <w:rPr>
                <w:sz w:val="15"/>
                <w:szCs w:val="15"/>
                <w:color w:val="auto"/>
              </w:rPr>
            </w:pPr>
          </w:p>
        </w:tc>
      </w:tr>
      <w:tr>
        <w:trPr>
          <w:trHeight w:val="180"/>
        </w:trPr>
        <w:tc>
          <w:tcPr>
            <w:tcW w:w="4600" w:type="dxa"/>
            <w:vAlign w:val="bottom"/>
            <w:gridSpan w:val="3"/>
          </w:tcPr>
          <w:p>
            <w:pPr>
              <w:jc w:val="right"/>
              <w:ind w:right="542"/>
              <w:spacing w:after="0"/>
              <w:rPr>
                <w:sz w:val="20"/>
                <w:szCs w:val="20"/>
                <w:color w:val="auto"/>
              </w:rPr>
            </w:pPr>
            <w:r>
              <w:rPr>
                <w:rFonts w:ascii="Courier New" w:cs="Courier New" w:eastAsia="Courier New" w:hAnsi="Courier New"/>
                <w:sz w:val="16"/>
                <w:szCs w:val="16"/>
                <w:color w:val="auto"/>
              </w:rPr>
              <w:t>500,000,000 7.75% Notes Due March 1,</w:t>
            </w:r>
          </w:p>
        </w:tc>
      </w:tr>
      <w:tr>
        <w:trPr>
          <w:trHeight w:val="180"/>
        </w:trPr>
        <w:tc>
          <w:tcPr>
            <w:tcW w:w="2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2007...............................</w:t>
            </w:r>
          </w:p>
        </w:tc>
        <w:tc>
          <w:tcPr>
            <w:tcW w:w="2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500,000,000</w:t>
            </w:r>
          </w:p>
        </w:tc>
      </w:tr>
      <w:tr>
        <w:trPr>
          <w:trHeight w:val="180"/>
        </w:trPr>
        <w:tc>
          <w:tcPr>
            <w:tcW w:w="104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6.00%</w:t>
            </w:r>
          </w:p>
        </w:tc>
        <w:tc>
          <w:tcPr>
            <w:tcW w:w="2440" w:type="dxa"/>
            <w:vAlign w:val="bottom"/>
          </w:tcPr>
          <w:p>
            <w:pPr>
              <w:spacing w:after="0"/>
              <w:rPr>
                <w:sz w:val="20"/>
                <w:szCs w:val="20"/>
                <w:color w:val="auto"/>
              </w:rPr>
            </w:pPr>
            <w:r>
              <w:rPr>
                <w:rFonts w:ascii="Courier New" w:cs="Courier New" w:eastAsia="Courier New" w:hAnsi="Courier New"/>
                <w:sz w:val="16"/>
                <w:szCs w:val="16"/>
                <w:color w:val="auto"/>
              </w:rPr>
              <w:t>Notes Due</w:t>
            </w:r>
          </w:p>
        </w:tc>
      </w:tr>
    </w:tbl>
    <w:p>
      <w:pPr>
        <w:ind w:left="280"/>
        <w:spacing w:after="0"/>
        <w:rPr>
          <w:sz w:val="20"/>
          <w:szCs w:val="20"/>
          <w:color w:val="auto"/>
        </w:rPr>
      </w:pPr>
      <w:r>
        <w:rPr>
          <w:rFonts w:ascii="Courier New" w:cs="Courier New" w:eastAsia="Courier New" w:hAnsi="Courier New"/>
          <w:sz w:val="16"/>
          <w:szCs w:val="16"/>
          <w:color w:val="auto"/>
        </w:rPr>
        <w:t>2009........................................</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3,000,000,000 8.125% Debentures Due January 15,</w:t>
      </w:r>
    </w:p>
    <w:p>
      <w:pPr>
        <w:jc w:val="center"/>
        <w:ind w:right="5539"/>
        <w:spacing w:after="0"/>
        <w:rPr>
          <w:sz w:val="20"/>
          <w:szCs w:val="20"/>
          <w:color w:val="auto"/>
        </w:rPr>
      </w:pPr>
      <w:r>
        <w:rPr>
          <w:rFonts w:ascii="Courier New" w:cs="Courier New" w:eastAsia="Courier New" w:hAnsi="Courier New"/>
          <w:sz w:val="16"/>
          <w:szCs w:val="16"/>
          <w:color w:val="auto"/>
        </w:rPr>
        <w:t>2022...................... 500,000,000 8.125%</w:t>
      </w:r>
    </w:p>
    <w:p>
      <w:pPr>
        <w:jc w:val="center"/>
        <w:ind w:right="5539"/>
        <w:spacing w:after="0" w:line="238" w:lineRule="auto"/>
        <w:rPr>
          <w:sz w:val="20"/>
          <w:szCs w:val="20"/>
          <w:color w:val="auto"/>
        </w:rPr>
      </w:pPr>
      <w:r>
        <w:rPr>
          <w:rFonts w:ascii="Courier New" w:cs="Courier New" w:eastAsia="Courier New" w:hAnsi="Courier New"/>
          <w:sz w:val="16"/>
          <w:szCs w:val="16"/>
          <w:color w:val="auto"/>
        </w:rPr>
        <w:t>Debentures Due July 15,</w:t>
      </w:r>
    </w:p>
    <w:p>
      <w:pPr>
        <w:jc w:val="center"/>
        <w:ind w:right="5539"/>
        <w:spacing w:after="0"/>
        <w:rPr>
          <w:sz w:val="20"/>
          <w:szCs w:val="20"/>
          <w:color w:val="auto"/>
        </w:rPr>
      </w:pPr>
      <w:r>
        <w:rPr>
          <w:rFonts w:ascii="Courier New" w:cs="Courier New" w:eastAsia="Courier New" w:hAnsi="Courier New"/>
          <w:sz w:val="16"/>
          <w:szCs w:val="16"/>
          <w:color w:val="auto"/>
        </w:rPr>
        <w:t>2024......................... 500,000,000 8.35%</w:t>
      </w:r>
    </w:p>
    <w:p>
      <w:pPr>
        <w:jc w:val="center"/>
        <w:ind w:right="5539"/>
        <w:spacing w:after="0" w:line="238" w:lineRule="auto"/>
        <w:rPr>
          <w:sz w:val="20"/>
          <w:szCs w:val="20"/>
          <w:color w:val="auto"/>
        </w:rPr>
      </w:pPr>
      <w:r>
        <w:rPr>
          <w:rFonts w:ascii="Courier New" w:cs="Courier New" w:eastAsia="Courier New" w:hAnsi="Courier New"/>
          <w:sz w:val="16"/>
          <w:szCs w:val="16"/>
          <w:color w:val="auto"/>
        </w:rPr>
        <w:t>Debentures Due</w:t>
      </w:r>
    </w:p>
    <w:p>
      <w:pPr>
        <w:jc w:val="center"/>
        <w:ind w:right="5539"/>
        <w:spacing w:after="0"/>
        <w:rPr>
          <w:sz w:val="20"/>
          <w:szCs w:val="20"/>
          <w:color w:val="auto"/>
        </w:rPr>
      </w:pPr>
      <w:r>
        <w:rPr>
          <w:rFonts w:ascii="Courier New" w:cs="Courier New" w:eastAsia="Courier New" w:hAnsi="Courier New"/>
          <w:sz w:val="16"/>
          <w:szCs w:val="16"/>
          <w:color w:val="auto"/>
        </w:rPr>
        <w:t>2025...................................</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 8.625% Debentures Due December 1,</w:t>
      </w:r>
    </w:p>
    <w:p>
      <w:pPr>
        <w:jc w:val="center"/>
        <w:ind w:right="5539"/>
        <w:spacing w:after="0"/>
        <w:rPr>
          <w:sz w:val="20"/>
          <w:szCs w:val="20"/>
          <w:color w:val="auto"/>
        </w:rPr>
      </w:pPr>
      <w:r>
        <w:rPr>
          <w:rFonts w:ascii="Courier New" w:cs="Courier New" w:eastAsia="Courier New" w:hAnsi="Courier New"/>
          <w:sz w:val="16"/>
          <w:szCs w:val="16"/>
          <w:color w:val="auto"/>
        </w:rPr>
        <w:t>2031...................... 676,000,000 AT&amp;T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ELIGIBLE NOTES - ------------------- 5.625% Notes</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Due 2004.......................................</w:t>
      </w:r>
    </w:p>
    <w:p>
      <w:pPr>
        <w:jc w:val="center"/>
        <w:ind w:right="5539"/>
        <w:spacing w:after="0"/>
        <w:rPr>
          <w:sz w:val="20"/>
          <w:szCs w:val="20"/>
          <w:color w:val="auto"/>
        </w:rPr>
      </w:pPr>
      <w:r>
        <w:rPr>
          <w:rFonts w:ascii="Courier New" w:cs="Courier New" w:eastAsia="Courier New" w:hAnsi="Courier New"/>
          <w:sz w:val="16"/>
          <w:szCs w:val="16"/>
          <w:color w:val="auto"/>
        </w:rPr>
        <w:t>2,000,000,000 6.75% Notes Due</w:t>
      </w:r>
    </w:p>
    <w:p>
      <w:pPr>
        <w:jc w:val="center"/>
        <w:ind w:right="5539"/>
        <w:spacing w:after="0" w:line="237" w:lineRule="auto"/>
        <w:rPr>
          <w:sz w:val="20"/>
          <w:szCs w:val="20"/>
          <w:color w:val="auto"/>
        </w:rPr>
      </w:pPr>
      <w:r>
        <w:rPr>
          <w:rFonts w:ascii="Courier New" w:cs="Courier New" w:eastAsia="Courier New" w:hAnsi="Courier New"/>
          <w:sz w:val="16"/>
          <w:szCs w:val="16"/>
          <w:color w:val="auto"/>
        </w:rPr>
        <w:t>2004........................................</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400,000,000 7.75% Medium-Term Notes, Series A Due</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May 15, 2025.......... 25,000,000 8.00% Medium-</w:t>
      </w:r>
    </w:p>
    <w:p>
      <w:pPr>
        <w:jc w:val="center"/>
        <w:ind w:right="5539"/>
        <w:spacing w:after="0"/>
        <w:rPr>
          <w:sz w:val="20"/>
          <w:szCs w:val="20"/>
          <w:color w:val="auto"/>
        </w:rPr>
      </w:pPr>
      <w:r>
        <w:rPr>
          <w:rFonts w:ascii="Courier New" w:cs="Courier New" w:eastAsia="Courier New" w:hAnsi="Courier New"/>
          <w:sz w:val="16"/>
          <w:szCs w:val="16"/>
          <w:color w:val="auto"/>
        </w:rPr>
        <w:t>Term Notes, Series A Due May 15, 2025..........</w:t>
      </w:r>
    </w:p>
    <w:p>
      <w:pPr>
        <w:jc w:val="center"/>
        <w:ind w:right="5539"/>
        <w:spacing w:after="0" w:line="237" w:lineRule="auto"/>
        <w:rPr>
          <w:sz w:val="20"/>
          <w:szCs w:val="20"/>
          <w:color w:val="auto"/>
        </w:rPr>
      </w:pPr>
      <w:r>
        <w:rPr>
          <w:rFonts w:ascii="Courier New" w:cs="Courier New" w:eastAsia="Courier New" w:hAnsi="Courier New"/>
          <w:sz w:val="16"/>
          <w:szCs w:val="16"/>
          <w:color w:val="auto"/>
        </w:rPr>
        <w:t>50,000,000 6.50% Notes Due</w:t>
      </w:r>
    </w:p>
    <w:p>
      <w:pPr>
        <w:jc w:val="center"/>
        <w:ind w:right="5539"/>
        <w:spacing w:after="0"/>
        <w:rPr>
          <w:sz w:val="20"/>
          <w:szCs w:val="20"/>
          <w:color w:val="auto"/>
        </w:rPr>
      </w:pPr>
      <w:r>
        <w:rPr>
          <w:rFonts w:ascii="Courier New" w:cs="Courier New" w:eastAsia="Courier New" w:hAnsi="Courier New"/>
          <w:sz w:val="16"/>
          <w:szCs w:val="16"/>
          <w:color w:val="auto"/>
        </w:rPr>
        <w:t>2029........................................</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3,000,000,000 FRN Medium-Term Notes, Series A Due</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2054.................... 10,563,000 -------------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$11,761,563,000 ===============</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Even if this condition is met with respect to each series of eligible notes, despite any other term of the exchange offer, AT&amp;T will not be required to accept for exchange any Broadband Eligible Notes or AT&amp;T Eligible Notes and may terminate, amend, or extend the exchange offer before the acceptance of the Broadband Eligible Notes and/or AT&amp;T Eligible Notes, if, on or before the expiration date:</w:t>
      </w:r>
    </w:p>
    <w:p>
      <w:pPr>
        <w:spacing w:after="0" w:line="189" w:lineRule="exact"/>
        <w:rPr>
          <w:sz w:val="20"/>
          <w:szCs w:val="20"/>
          <w:color w:val="auto"/>
        </w:rPr>
      </w:pPr>
    </w:p>
    <w:p>
      <w:pPr>
        <w:ind w:left="660" w:right="2719" w:hanging="195"/>
        <w:spacing w:after="0" w:line="255" w:lineRule="auto"/>
        <w:tabs>
          <w:tab w:leader="none" w:pos="66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has not received, as of the expiration of the exchange offer, the valid and unrevoked consents to the note amendment of the holders of more than 50% in aggregate principal amount of those series of AT&amp;T Notes which will result in AT&amp;T's obtaining the consent of, or having defeased, purchased, retired or acquired its debt in respect of series representing at least 90% in aggregate principal amount outstanding on December 19, 2001, which was approximately $12.7 billion, of debt securities issued under the AT&amp;T Indenture. As of the date of this prospectus, approximately $11.8 billion of these debt securities, including Broadband Eligible Notes and AT&amp;T Eligible Notes, remained outstanding;</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59" w:right="1440" w:bottom="1440" w:gutter="0" w:footer="0" w:header="0"/>
        </w:sectPr>
      </w:pPr>
    </w:p>
    <w:bookmarkStart w:id="92" w:name="page93"/>
    <w:bookmarkEnd w:id="92"/>
    <w:p>
      <w:pPr>
        <w:ind w:left="660" w:right="3179" w:hanging="195"/>
        <w:spacing w:after="0" w:line="237" w:lineRule="auto"/>
        <w:tabs>
          <w:tab w:leader="none" w:pos="6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received a private letter ruling from the Internal Revenue Service with respect to the spin-off, the exchange offer and certain related transactions, in form and substance reasonably satisfactory to AT&amp;T and Comcast;</w:t>
      </w:r>
    </w:p>
    <w:p>
      <w:pPr>
        <w:spacing w:after="0" w:line="366"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proceeding or litigation seeking to enjoin, make illegal, delay the completion of or challenge in any respect the exchange offer or the AT&amp;T Comcast transaction or otherwise relating in any manner to the exchange offer or AT&amp;T Comcast transaction is pending, instituted or threatened;</w:t>
      </w:r>
    </w:p>
    <w:p>
      <w:pPr>
        <w:spacing w:after="0" w:line="187" w:lineRule="exact"/>
        <w:rPr>
          <w:rFonts w:ascii="Courier New" w:cs="Courier New" w:eastAsia="Courier New" w:hAnsi="Courier New"/>
          <w:sz w:val="16"/>
          <w:szCs w:val="16"/>
          <w:color w:val="auto"/>
        </w:rPr>
      </w:pPr>
    </w:p>
    <w:p>
      <w:pPr>
        <w:ind w:left="660" w:right="2719" w:hanging="195"/>
        <w:spacing w:after="0" w:line="238" w:lineRule="auto"/>
        <w:tabs>
          <w:tab w:leader="none" w:pos="6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order, stay, judgment or decree is issued by any court, government, governmental authority or other regulatory or administrative authority and is in effect or any statute, rule, regulation, governmental order or injunction shall have been proposed, enacted, enforced or deemed applicable to the exchange offer or AT&amp;T Comcast transaction, any of which would or might restrain, prohibit or delay completion of the exchange offer or the AT&amp;T Comcast transaction or impair the contemplated benefits of the exchange offer or the AT&amp;T Comcast transaction to AT&amp;T, Broadband or AT&amp;T Comcast;</w:t>
      </w:r>
    </w:p>
    <w:p>
      <w:pPr>
        <w:spacing w:after="0" w:line="181"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w:t>
      </w:r>
    </w:p>
    <w:p>
      <w:pPr>
        <w:spacing w:after="0" w:line="185" w:lineRule="exact"/>
        <w:rPr>
          <w:sz w:val="20"/>
          <w:szCs w:val="20"/>
          <w:color w:val="auto"/>
        </w:rPr>
      </w:pPr>
    </w:p>
    <w:p>
      <w:pPr>
        <w:ind w:left="740" w:right="3179" w:hanging="179"/>
        <w:spacing w:after="0" w:line="259" w:lineRule="auto"/>
        <w:tabs>
          <w:tab w:leader="none" w:pos="720" w:val="left"/>
        </w:tabs>
        <w:rPr>
          <w:sz w:val="20"/>
          <w:szCs w:val="20"/>
          <w:color w:val="auto"/>
        </w:rPr>
      </w:pPr>
      <w:r>
        <w:rPr>
          <w:rFonts w:ascii="Courier New" w:cs="Courier New" w:eastAsia="Courier New" w:hAnsi="Courier New"/>
          <w:sz w:val="15"/>
          <w:szCs w:val="15"/>
          <w:color w:val="auto"/>
        </w:rPr>
        <w:t>o</w:t>
        <w:tab/>
        <w:t>any general suspension of trading in, or limitation on prices for, securities on any national securities exchange or in the over-the-counter market in the United States or the European Union,</w:t>
      </w:r>
    </w:p>
    <w:p>
      <w:pPr>
        <w:spacing w:after="0" w:line="171" w:lineRule="exact"/>
        <w:rPr>
          <w:sz w:val="20"/>
          <w:szCs w:val="20"/>
          <w:color w:val="auto"/>
        </w:rPr>
      </w:pPr>
    </w:p>
    <w:p>
      <w:pPr>
        <w:ind w:left="740" w:right="2719" w:hanging="179"/>
        <w:spacing w:after="0" w:line="236" w:lineRule="auto"/>
        <w:tabs>
          <w:tab w:leader="none" w:pos="720" w:val="left"/>
        </w:tabs>
        <w:rPr>
          <w:sz w:val="20"/>
          <w:szCs w:val="20"/>
          <w:color w:val="auto"/>
        </w:rPr>
      </w:pPr>
      <w:r>
        <w:rPr>
          <w:rFonts w:ascii="Courier New" w:cs="Courier New" w:eastAsia="Courier New" w:hAnsi="Courier New"/>
          <w:sz w:val="16"/>
          <w:szCs w:val="16"/>
          <w:color w:val="auto"/>
        </w:rPr>
        <w:t>o</w:t>
        <w:tab/>
        <w:t>the declaration of a banking moratorium or any suspension of payments in respect of banks in the United States or the European Union,</w:t>
      </w:r>
    </w:p>
    <w:p>
      <w:pPr>
        <w:spacing w:after="0" w:line="185"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commencement of a war, armed hostilities or other international or national calamity (or, with regard to the conflict in Afghanistan or the Middle East, any material escalation or expansion of such conflicts) directly or indirectly involving the United States or any of its territories,</w:t>
      </w:r>
    </w:p>
    <w:p>
      <w:pPr>
        <w:spacing w:after="0" w:line="368"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any limitation (whether or not mandatory) by any governmental, regulatory or administrative agency or authority on, or any event, or any disruption or adverse change in the financial or capital markets generally or the market for loan syndications in particular, that, in our or Comcast's judgment, might affect the extension of credit by banks or other lending institutions in the United States,</w:t>
      </w:r>
    </w:p>
    <w:p>
      <w:pPr>
        <w:spacing w:after="0" w:line="200" w:lineRule="exact"/>
        <w:rPr>
          <w:sz w:val="20"/>
          <w:szCs w:val="20"/>
          <w:color w:val="auto"/>
        </w:rPr>
      </w:pPr>
    </w:p>
    <w:p>
      <w:pPr>
        <w:spacing w:after="0" w:line="349" w:lineRule="exact"/>
        <w:rPr>
          <w:sz w:val="20"/>
          <w:szCs w:val="20"/>
          <w:color w:val="auto"/>
        </w:rPr>
      </w:pPr>
    </w:p>
    <w:p>
      <w:pPr>
        <w:ind w:left="740" w:right="2819" w:hanging="179"/>
        <w:spacing w:after="0" w:line="238" w:lineRule="auto"/>
        <w:tabs>
          <w:tab w:leader="none" w:pos="720" w:val="left"/>
        </w:tabs>
        <w:rPr>
          <w:sz w:val="20"/>
          <w:szCs w:val="20"/>
          <w:color w:val="auto"/>
        </w:rPr>
      </w:pPr>
      <w:r>
        <w:rPr>
          <w:rFonts w:ascii="Courier New" w:cs="Courier New" w:eastAsia="Courier New" w:hAnsi="Courier New"/>
          <w:sz w:val="16"/>
          <w:szCs w:val="16"/>
          <w:color w:val="auto"/>
        </w:rPr>
        <w:t>o</w:t>
        <w:tab/>
        <w:t>any change in the general political, market, economic or financial conditions in the United States or abroad that could, in our or Comcast's judgment, have an adverse effect on the business, condition (financial or other), income, operations, assets, liabilities, properties, securities ownership or prospects of the AT&amp;T broadband business, taken as a whole, AT&amp;T and its subsidiaries (other than the AT&amp;T broadband business), taken as a whole, Comcast and its subsidiaries, taken as a whole, or AT&amp;T Comcast and its subsidiaries, taken as a whole, or otherwise affects, or may impair in any way the contemplated future conduct of the business of, any of the foregoing or that otherwise materially affects the expected benefits of the exchange offer or the AT&amp;T Comcast transaction,</w:t>
      </w:r>
    </w:p>
    <w:p>
      <w:pPr>
        <w:spacing w:after="0" w:line="200" w:lineRule="exact"/>
        <w:rPr>
          <w:sz w:val="20"/>
          <w:szCs w:val="20"/>
          <w:color w:val="auto"/>
        </w:rPr>
      </w:pPr>
    </w:p>
    <w:p>
      <w:pPr>
        <w:spacing w:after="0" w:line="349" w:lineRule="exact"/>
        <w:rPr>
          <w:sz w:val="20"/>
          <w:szCs w:val="20"/>
          <w:color w:val="auto"/>
        </w:rPr>
      </w:pPr>
    </w:p>
    <w:p>
      <w:pPr>
        <w:ind w:left="740" w:right="2719" w:hanging="179"/>
        <w:spacing w:after="0" w:line="255" w:lineRule="auto"/>
        <w:tabs>
          <w:tab w:leader="none" w:pos="720" w:val="left"/>
        </w:tabs>
        <w:rPr>
          <w:sz w:val="20"/>
          <w:szCs w:val="20"/>
          <w:color w:val="auto"/>
        </w:rPr>
      </w:pPr>
      <w:r>
        <w:rPr>
          <w:rFonts w:ascii="Courier New" w:cs="Courier New" w:eastAsia="Courier New" w:hAnsi="Courier New"/>
          <w:sz w:val="15"/>
          <w:szCs w:val="15"/>
          <w:color w:val="auto"/>
        </w:rPr>
        <w:t>o</w:t>
        <w:tab/>
        <w:t>any event or events that have resulted or may result, in our or Comcast's judgment, in an actual or threatened change in the business condition (financial or other), income, operations, assets, liabilities, properties, securities ownership or prospects of AT&amp;T and its subsidiaries (other than the AT&amp;T broadband business) taken as a whole, or the AT&amp;T broadband business, taken as a whole, Comcast and its subsidiaries, taken as a whole, or AT&amp;T Comcast and its subsidiaries, taken as a whole, or that otherwise affects, or may impair in any way the contemplated future conduct of the business of, any of the foregoing, or that otherwise materially affects the expected benefits of the exchange offer or the AT&amp;T Comcast transaction; or</w:t>
      </w: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the AT&amp;T Comcast transaction has been terminated.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exchange of the Broadband Eligible Notes for the Broadband Exchange Notes is not contingent upon the completion of the AT&amp;T Comcast transaction, however the Broadband Exchange Notes will not be exchanged for the New Broadband Notes if the AT&amp;T Comcast transaction is terminated. In addition, if the AT&amp;T Comcast transaction is terminated, the interest rate and maturity of each series of New</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839" w:right="1440" w:bottom="107" w:gutter="0" w:footer="0" w:header="0"/>
        </w:sectPr>
      </w:pPr>
    </w:p>
    <w:bookmarkStart w:id="93" w:name="page94"/>
    <w:bookmarkEnd w:id="93"/>
    <w:p>
      <w:pPr>
        <w:ind w:right="2719"/>
        <w:spacing w:after="0" w:line="236" w:lineRule="auto"/>
        <w:rPr>
          <w:sz w:val="20"/>
          <w:szCs w:val="20"/>
          <w:color w:val="auto"/>
        </w:rPr>
      </w:pPr>
      <w:r>
        <w:rPr>
          <w:rFonts w:ascii="Courier New" w:cs="Courier New" w:eastAsia="Courier New" w:hAnsi="Courier New"/>
          <w:sz w:val="16"/>
          <w:szCs w:val="16"/>
          <w:color w:val="auto"/>
        </w:rPr>
        <w:t>AT&amp;T Notes shall remain the same as the interest rate and maturity applicable to the AT&amp;T Eligible Notes tendered for those New AT&amp;T Notes.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conditions listed above are for AT&amp;T's and Comcast's sole benefit and may be asserted by AT&amp;T or Comcast regardless of the circumstances giving rise to any of these conditions. On or before the expiration date, AT&amp;T and Comcast may waive these conditions in their sole discretion in whole or in part at any time and from time to time. The conditions may only be waived by AT&amp;T and Comcast jointly. The failure by AT&amp;T or Comcast at any time to exercise any of the above rights will not be considered a waiver of that right, and these rights will be considered to be ongoing rights which may be asserted, before the expiration date, at any time and from time to time.</w:t>
      </w:r>
    </w:p>
    <w:p>
      <w:pPr>
        <w:spacing w:after="0" w:line="200" w:lineRule="exact"/>
        <w:rPr>
          <w:sz w:val="20"/>
          <w:szCs w:val="20"/>
          <w:color w:val="auto"/>
        </w:rPr>
      </w:pPr>
    </w:p>
    <w:p>
      <w:pPr>
        <w:spacing w:after="0" w:line="347"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If either AT&amp;T or Comcast determines in its reasonable discretion that any of the conditions are not satisfied, AT&amp;T may:</w:t>
      </w:r>
    </w:p>
    <w:p>
      <w:pPr>
        <w:spacing w:after="0" w:line="365" w:lineRule="exact"/>
        <w:rPr>
          <w:sz w:val="20"/>
          <w:szCs w:val="20"/>
          <w:color w:val="auto"/>
        </w:rPr>
      </w:pPr>
    </w:p>
    <w:p>
      <w:pPr>
        <w:ind w:left="660" w:right="2899" w:hanging="195"/>
        <w:spacing w:after="0" w:line="257" w:lineRule="auto"/>
        <w:tabs>
          <w:tab w:leader="none" w:pos="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refuse to accept any Broadband Eligible Notes or AT&amp;T Eligible Notes, return any tendered Broadband Eligible Notes or AT&amp;T Eligible Notes to the tendering holders, and terminate the exchange offer with respect to one or more series of Broadband Eligible Notes or AT&amp;T Eligible Notes;</w:t>
      </w:r>
    </w:p>
    <w:p>
      <w:pPr>
        <w:spacing w:after="0" w:line="174"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exchange offer and retain all Broadband Eligible Notes and AT&amp;T Eligible Notes tendered before the expiration of the exchange offer, subject, however, to the rights of holders to withdraw these Broadband Eligible Notes and AT&amp;T Eligible Notes (see "-- Withdrawal Rights" below); or</w:t>
      </w:r>
    </w:p>
    <w:p>
      <w:pPr>
        <w:spacing w:after="0" w:line="367"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jointly with Comcast to waive unsatisfied conditions relating to the exchange offer with respect to one or more series of Broadband Eligible Notes or AT&amp;T Eligible Notes and accept all properly tendered Broadband Eligible Notes and AT&amp;T Eligible Notes of those series that have not been withdrawn.</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PRORATION</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AT&amp;T will accept in the exchange offer up to the applicable proration percentage set forth on the cover page of this prospectus of the aggregate principal amount outstanding of each series of Broadband Eligible Notes. If, upon the expiration date, holders of any one or more series of Broadband Eligible Notes have validly tendered a number of Broadband Eligible Notes in excess of the applicable proration percentage of the aggregate principal amount outstanding of that series of notes, AT&amp;T will accept, on a prorated basis, the notes of that series validly tendered and not withdrawn. This means that, with respect to any series of Broadband Eligible Notes for which the exchange offer is oversubscribed, a percentage of the total number of Broadband Eligible Notes of that series that are validly tendered and not withdrawn will be accepted by AT&amp;T for exchange. That percentage will be equal to (1) the aggregate principal amount of notes equal to the applicable proration percentage of the aggregate principal amount outstanding of that series of notes divided by (2) the aggregate principal amount of notes of that series validly tendered and not withdrawn. The exchange offer for each series of AT&amp;T Eligible Notes is for all notes of that series and is not subject to proration.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FRACTIONAL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Notes will only be issued in denominations of $1,000 and multiples of</w:t>
      </w:r>
    </w:p>
    <w:p>
      <w:pPr>
        <w:spacing w:after="0"/>
        <w:rPr>
          <w:sz w:val="20"/>
          <w:szCs w:val="20"/>
          <w:color w:val="auto"/>
        </w:rPr>
      </w:pPr>
      <w:r>
        <w:rPr>
          <w:rFonts w:ascii="Courier New" w:cs="Courier New" w:eastAsia="Courier New" w:hAnsi="Courier New"/>
          <w:sz w:val="16"/>
          <w:szCs w:val="16"/>
          <w:color w:val="auto"/>
        </w:rPr>
        <w:t>$1,000. If the exchange of a series of Broadband Eligible Notes is subject to</w:t>
      </w:r>
    </w:p>
    <w:p>
      <w:pPr>
        <w:spacing w:after="0" w:line="237" w:lineRule="auto"/>
        <w:rPr>
          <w:sz w:val="20"/>
          <w:szCs w:val="20"/>
          <w:color w:val="auto"/>
        </w:rPr>
      </w:pPr>
      <w:r>
        <w:rPr>
          <w:rFonts w:ascii="Courier New" w:cs="Courier New" w:eastAsia="Courier New" w:hAnsi="Courier New"/>
          <w:sz w:val="16"/>
          <w:szCs w:val="16"/>
          <w:color w:val="auto"/>
        </w:rPr>
        <w:t>proration and proration would result in your being entitled to receive a</w:t>
      </w:r>
    </w:p>
    <w:p>
      <w:pPr>
        <w:spacing w:after="0"/>
        <w:rPr>
          <w:sz w:val="20"/>
          <w:szCs w:val="20"/>
          <w:color w:val="auto"/>
        </w:rPr>
      </w:pPr>
      <w:r>
        <w:rPr>
          <w:rFonts w:ascii="Courier New" w:cs="Courier New" w:eastAsia="Courier New" w:hAnsi="Courier New"/>
          <w:sz w:val="16"/>
          <w:szCs w:val="16"/>
          <w:color w:val="auto"/>
        </w:rPr>
        <w:t>fractional interest in the relevant series of Broadband Exchange Notes, the</w:t>
      </w:r>
    </w:p>
    <w:p>
      <w:pPr>
        <w:spacing w:after="0" w:line="238" w:lineRule="auto"/>
        <w:rPr>
          <w:sz w:val="20"/>
          <w:szCs w:val="20"/>
          <w:color w:val="auto"/>
        </w:rPr>
      </w:pPr>
      <w:r>
        <w:rPr>
          <w:rFonts w:ascii="Courier New" w:cs="Courier New" w:eastAsia="Courier New" w:hAnsi="Courier New"/>
          <w:sz w:val="16"/>
          <w:szCs w:val="16"/>
          <w:color w:val="auto"/>
        </w:rPr>
        <w:t>principal amount of Broadband Eligible Notes accepted in the exchange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rounded to the nearest $1,000. This rounding will result in your receiving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whole Broadband Exchange Notes in exchange for your Broadband Eligible Notes.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If the mandatory exchange of a series of Broadband Exchange Notes into New Broadband Notes would result in your being entitled to receive a fractional interest in the relevant series of New Broadband Notes, the principal amount you receive will be rounded down to the nearest $1,000 multiple and you will receive cash in lieu of a fractional New Broadband Note for the balance.</w:t>
      </w:r>
    </w:p>
    <w:p>
      <w:pPr>
        <w:spacing w:after="0" w:line="1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59" w:right="1440" w:bottom="1440" w:gutter="0" w:footer="0" w:header="0"/>
        </w:sectPr>
      </w:pPr>
    </w:p>
    <w:bookmarkStart w:id="94" w:name="page95"/>
    <w:bookmarkEnd w:id="94"/>
    <w:p>
      <w:pPr>
        <w:ind w:right="2719" w:firstLine="469"/>
        <w:spacing w:after="0" w:line="237" w:lineRule="auto"/>
        <w:rPr>
          <w:sz w:val="20"/>
          <w:szCs w:val="20"/>
          <w:color w:val="auto"/>
        </w:rPr>
      </w:pPr>
      <w:r>
        <w:rPr>
          <w:rFonts w:ascii="Courier New" w:cs="Courier New" w:eastAsia="Courier New" w:hAnsi="Courier New"/>
          <w:sz w:val="16"/>
          <w:szCs w:val="16"/>
          <w:color w:val="auto"/>
        </w:rPr>
        <w:t>Because the exchange offer of New AT&amp;T Notes for AT&amp;T Eligible Notes is not subject to proration and will be issued in a like principal amount as the AT&amp;T Eligible Notes accepted in exchange, there will not be any need to pay cash in lieu of fractional New AT&amp;T Notes.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CONSENT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you wish to tender your Broadband Eligible Notes or AT&amp;T Eligible Notes, you must also consent to the note amendment to the indenture governing the Broadband Eligible Notes and AT&amp;T Eligible Notes to the extent your notes are accepted for exchange. By submitting a letter of transmittal, you will be granting that consent. See "Description of the Note Amendment." Any Broadband Eligible Notes or AT&amp;T Eligible Notes that are validly tendered and not withdrawn but are not exchanged as a result of the proration feature described under "-- Proration" will be treated as if they have not consented to the note amendment.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WHAT TO SUBMIT AND HOW</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If you, as the registered holder of Broadband Eligible Notes and/or AT&amp;T Eligible Notes, wish to tender your Broadband Eligible Notes or AT&amp;T Eligible Notes for exchange in the exchange offer, you must transmit a properly completed and duly executed letter of transmittal to The Bank of New York or, in the case of the Luxembourg Notes held in Luxembourg, The Bank of New York (Luxembourg) S.A., the Luxembourg exchange agent, at the address set forth below under</w:t>
      </w:r>
    </w:p>
    <w:p>
      <w:pPr>
        <w:spacing w:after="0" w:line="3"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 Exchange Agent" and "-- Luxembourg Exchange Agent," respectively, on or prior to the expiration date.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addition,</w:t>
      </w:r>
    </w:p>
    <w:p>
      <w:pPr>
        <w:spacing w:after="0" w:line="185" w:lineRule="exact"/>
        <w:rPr>
          <w:sz w:val="20"/>
          <w:szCs w:val="20"/>
          <w:color w:val="auto"/>
        </w:rPr>
      </w:pPr>
    </w:p>
    <w:p>
      <w:pPr>
        <w:ind w:left="460" w:right="2719" w:firstLine="474"/>
        <w:spacing w:after="0" w:line="237" w:lineRule="auto"/>
        <w:tabs>
          <w:tab w:leader="none" w:pos="130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the Broadband Eligible Notes and/or AT&amp;T Eligible Notes must be received by the exchange agent along with the letter of transmittal, or</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timely confirmation of a book-entry transfer of the Broadband Eligible Notes and/or AT&amp;T Eligible Notes, if such procedure is available, into the exchange agent's account at DTC using the procedure for book-entry transfer described below, must be received by the exchange agent prior to the expiration date, or</w:t>
      </w:r>
    </w:p>
    <w:p>
      <w:pPr>
        <w:spacing w:after="0" w:line="187" w:lineRule="exact"/>
        <w:rPr>
          <w:rFonts w:ascii="Courier New" w:cs="Courier New" w:eastAsia="Courier New" w:hAnsi="Courier New"/>
          <w:sz w:val="16"/>
          <w:szCs w:val="16"/>
          <w:color w:val="auto"/>
        </w:rPr>
      </w:pPr>
    </w:p>
    <w:p>
      <w:pPr>
        <w:ind w:left="460" w:right="3279" w:firstLine="474"/>
        <w:spacing w:after="0" w:line="263" w:lineRule="auto"/>
        <w:tabs>
          <w:tab w:leader="none" w:pos="130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must deliver a letter of transmittal and, if applicable, comply with the guaranteed delivery procedures described below.</w:t>
      </w:r>
    </w:p>
    <w:p>
      <w:pPr>
        <w:spacing w:after="0" w:line="34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For any Luxembourg Notes, letters of transmittal may be submitted in accordance with procedures that may be obtained by contacting the Luxembourg exchange agent at the telephone number listed on the back cover of this prospectus. In addition, in Luxembourg you may contact the Luxembourg exchange agent to obtain delivery of documents or for other assistance.</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method of delivery of Broadband Eligible Notes and/or AT&amp;T Eligible Notes, letters of transmittal and notices of guaranteed delivery is at your election and risk. If delivery is by mail, we recommend that registered mail, properly insured, with return receipt requested, be used. In all cases, sufficient time should be allowed to assure timely delivery. No letters of transmittal or Broadband Eligible Notes or AT&amp;T Eligible Notes should be sent to AT&amp;T, AT&amp;T Comcast, any dealer manager or any other person other than the exchange agent or the Luxembourg exchange agent.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HOW TO SIGN YOUR LETTER OF TRANSMITTAL AND OTHER DOCUMENTS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Signatures on a letter of transmittal or a notice of withdrawal, as the case may be, must be guaranteed unless the Broadband Eligible Notes and/or AT&amp;T Eligible Notes being surrendered for exchange are tendered:</w:t>
      </w:r>
    </w:p>
    <w:p>
      <w:pPr>
        <w:spacing w:after="0" w:line="185" w:lineRule="exact"/>
        <w:rPr>
          <w:sz w:val="20"/>
          <w:szCs w:val="20"/>
          <w:color w:val="auto"/>
        </w:rPr>
      </w:pPr>
    </w:p>
    <w:p>
      <w:pPr>
        <w:jc w:val="both"/>
        <w:ind w:left="460" w:right="3099" w:firstLine="474"/>
        <w:spacing w:after="0" w:line="237" w:lineRule="auto"/>
        <w:tabs>
          <w:tab w:leader="none" w:pos="130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registered holder of the Broadband Eligible Notes or AT&amp;T Eligible Notes who has not completed the box entitled "Special Issuance Instructions" or "Special Delivery Instructions" on the letter of transmittal, or</w:t>
      </w:r>
    </w:p>
    <w:p>
      <w:pPr>
        <w:spacing w:after="0" w:line="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59" w:right="1440" w:bottom="1440" w:gutter="0" w:footer="0" w:header="0"/>
        </w:sectPr>
      </w:pPr>
    </w:p>
    <w:bookmarkStart w:id="95" w:name="page96"/>
    <w:bookmarkEnd w:id="95"/>
    <w:p>
      <w:pPr>
        <w:ind w:left="940"/>
        <w:spacing w:after="0"/>
        <w:rPr>
          <w:sz w:val="20"/>
          <w:szCs w:val="20"/>
          <w:color w:val="auto"/>
        </w:rPr>
      </w:pPr>
      <w:r>
        <w:rPr>
          <w:rFonts w:ascii="Courier New" w:cs="Courier New" w:eastAsia="Courier New" w:hAnsi="Courier New"/>
          <w:sz w:val="16"/>
          <w:szCs w:val="16"/>
          <w:color w:val="auto"/>
        </w:rPr>
        <w:t>(2) for the account of an eligible institution.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signatures on a letter of transmittal or a notice of withdrawal, as the case may be, are required to be guaranteed, the signatures must be guaranteed by an "eligible guarantor institution" meeting the requirements of the exchange agent, which requirements include membership or participation in the Security Transfer Agent Medallion Program, referred to in this prospectus as STAMP, or such other "signature guarantee program" as may be determined by the exchange agent in addition to, or in substitution for, STAMP, all in accordance with the Securities Exchange Act of 1934, as amended.</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If the letter of transmittal or any powers of attorney are signed by trustees, executors, administrators, guardians, attorneys-in-fact, officers or corporations or others acting in a fiduciary or representative capacity, the person should so indicate when signing and, unless waived by AT&amp;T, proper evidence satisfactory to AT&amp;T of its authority to so act must be submitted.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TRANSFER</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exchange agent will make a request to establish an account with respect to the Broadband Eligible Notes and AT&amp;T Eligible Notes at DTC for purposes of the exchange offer promptly after the date of this prospectus. Any financial institution that is a participant in DTC's systems, or indirectly, any organization which is an indirect participant in DTC's systems, including Euroclear and Clearstream, may make book-entry delivery of Broadband Eligible Notes and AT&amp;T Eligible Notes by causing DTC to transfer Broadband Eligible Notes and AT&amp;T Eligible Notes into the exchange agent's account in accordance with DTC's Automated Tender Offer Program procedures for transfer. However, the exchange for the Broadband Eligible Notes and AT&amp;T Eligible Notes so tendered will only be made after timely confirmation of book-entry transfer of Broadband Eligible Notes and AT&amp;T Eligible Notes into the exchange agent's account, and timely receipt by the exchange agent of an agent's message, transmitted by DTC and received by the exchange agent and forming a part of a book-entry confirmation. The agent's message must state that DTC has received an express acknowledgment from the participant tendering Broadband Eligible Notes and AT&amp;T Eligible Notes that are the subject of that book-entry confirmation that the participant has received and agrees to be bound by the terms of the letter of transmittal, and that we may enforce the agreement against that participant.</w:t>
      </w:r>
    </w:p>
    <w:p>
      <w:pPr>
        <w:spacing w:after="0" w:line="35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If your Broadband Eligible Notes or AT&amp;T Eligible Notes are held through DTC, you must complete a form called "instructions to registered holder and/or book-entry participant," which will instruct the DTC participant through whom you hold your notes of your intention to tender your Broadband Eligible Notes and AT&amp;T Eligible Notes and complete a letter of transmittal on your behalf or not tender your Broadband Eligible Notes and AT&amp;T Eligible Notes. Please note that delivery of documents to DTC in accordance with its procedures does not constitute delivery to the exchange agent, and we will not be able to accept your tender of notes until the exchange agent receives a letter of transmittal, and a book-entry confirmation from DTC, with respect to your notes. A copy of that form is available from the exchange agent.</w:t>
      </w:r>
    </w:p>
    <w:p>
      <w:pPr>
        <w:spacing w:after="0" w:line="200" w:lineRule="exact"/>
        <w:rPr>
          <w:sz w:val="20"/>
          <w:szCs w:val="20"/>
          <w:color w:val="auto"/>
        </w:rPr>
      </w:pPr>
    </w:p>
    <w:p>
      <w:pPr>
        <w:spacing w:after="0" w:line="34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as described under "Description of the New Broadband Notes and the Cable Guarantees -- Certificated Notes" and "Description of the Broadband Exchange Notes -- Certificated Notes" (which description also applies to the New AT&amp;T Notes) we have arranged for the New Broadband Notes and the New AT&amp;T Notes to be issued in the form of global notes registered in the name of DTC or its nominee and each holder's interest in it will be transferable only in book-entry form through DTC. Those series of New AT&amp;T Notes that will be listed on the Luxembourg Stock Exchange will be required to be accepted for clearance on Euroclear and Clearstream.</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54"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GUARANTEED DELIVERY PROCEDURES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If you are a registered holder of Broadband Eligible Notes and/or AT&amp;T Eligible Notes and you want to tender your Broadband Eligible Notes or AT&amp;T Eligible Notes but your Broadband Eligible Notes or AT&amp;T Eligible Notes are not immediately available, or time will not permit your Broadband Eligible Notes or AT&amp;T Eligible Notes to reach the exchange agent before the expiration date, or the procedure for book-entry transfer cannot be completed on a timely basis, a tender may be effected if:</w:t>
      </w:r>
    </w:p>
    <w:p>
      <w:pPr>
        <w:spacing w:after="0" w:line="180" w:lineRule="exact"/>
        <w:rPr>
          <w:sz w:val="20"/>
          <w:szCs w:val="20"/>
          <w:color w:val="auto"/>
        </w:rPr>
      </w:pPr>
    </w:p>
    <w:p>
      <w:pPr>
        <w:ind w:left="840" w:hanging="375"/>
        <w:spacing w:after="0"/>
        <w:tabs>
          <w:tab w:leader="none" w:pos="8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made through an eligible institution;</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exchange agent receives, by facsimile transmission, mail or hand delivery, from that eligible institution a properly completed and duly executed letter of transmittal and notice of guaranteed delivery, in the form provided by us, stating:</w:t>
      </w:r>
    </w:p>
    <w:p>
      <w:pPr>
        <w:spacing w:after="0" w:line="186" w:lineRule="exact"/>
        <w:rPr>
          <w:sz w:val="20"/>
          <w:szCs w:val="20"/>
          <w:color w:val="auto"/>
        </w:rPr>
      </w:pPr>
    </w:p>
    <w:p>
      <w:pPr>
        <w:ind w:left="660" w:right="2999" w:hanging="195"/>
        <w:spacing w:after="0" w:line="236" w:lineRule="auto"/>
        <w:tabs>
          <w:tab w:leader="none" w:pos="6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holder of Broadband Eligible Notes or AT&amp;T Eligible Notes;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Broadband Eligible Notes and/or AT&amp;T Eligible Notes tendered; and</w:t>
      </w:r>
    </w:p>
    <w:p>
      <w:pPr>
        <w:spacing w:after="0" w:line="184" w:lineRule="exact"/>
        <w:rPr>
          <w:rFonts w:ascii="Courier New" w:cs="Courier New" w:eastAsia="Courier New" w:hAnsi="Courier New"/>
          <w:sz w:val="16"/>
          <w:szCs w:val="16"/>
          <w:color w:val="auto"/>
        </w:rPr>
      </w:pPr>
    </w:p>
    <w:p>
      <w:pPr>
        <w:ind w:left="660" w:right="2819" w:hanging="195"/>
        <w:spacing w:after="0" w:line="238" w:lineRule="auto"/>
        <w:tabs>
          <w:tab w:leader="none" w:pos="6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being made by delivering that notice and guaranteeing that within three New York Stock Exchange trading days after the date of execution of the notice of guaranteed delivery, the certificates of all physically tendered Broadband Eligible Notes and/or AT&amp;T Eligible Notes, in proper form for transfer, or a book-entry confirmation, as the case may be, will be deposited by that eligible institution with the exchange agent; and</w:t>
      </w:r>
    </w:p>
    <w:p>
      <w:pPr>
        <w:spacing w:after="0" w:line="185" w:lineRule="exact"/>
        <w:rPr>
          <w:sz w:val="20"/>
          <w:szCs w:val="20"/>
          <w:color w:val="auto"/>
        </w:rPr>
      </w:pPr>
    </w:p>
    <w:p>
      <w:pPr>
        <w:ind w:right="2899" w:firstLine="465"/>
        <w:spacing w:after="0" w:line="237" w:lineRule="auto"/>
        <w:tabs>
          <w:tab w:leader="none" w:pos="844"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for all physically tendered Broadband Eligible Notes and/or AT&amp;T Eligible Notes, in proper form for transfer, or a book-entry confirmation, as the case may be, are received by the exchange agent within three New York Stock Exchange trading days after the date of execution of the notice of guaranteed delivery.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OF ELIGIBLE NOTES AND DELIVERY OF NEW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Once all of the conditions to the exchange offer are satisfied or waived, AT&amp;T will accept, promptly after the expiration date, subject to the completion of the proration process described under "-- Proration" with respect to any series of Broadband Eligible Notes, all Broadband Eligible Notes and AT&amp;T Eligible Notes properly tendered and AT&amp;T and Broadband will issue the Broadband Exchange Notes and AT&amp;T will issue New AT&amp;T Notes promptly after acceptance of the Broadband Eligible Notes and AT&amp;T Eligible Notes. See "-- Conditions to the Exchange Offer" above. For purposes of the exchange offer, AT&amp;T's giving of oral or written notice of its acceptance to the exchange agent will be considered its acceptance of the exchange offer.</w:t>
      </w:r>
    </w:p>
    <w:p>
      <w:pPr>
        <w:spacing w:after="0" w:line="187"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In all cases, AT&amp;T (and Broadband, with respect to Broadband Exchange Notes) will issue Broadband Exchange Notes and New AT&amp;T Notes in exchange for Broadband Eligible Notes and AT&amp;T Eligible Notes, respectively, that are accepted for exchange only after timely receipt by the exchange agent of:</w:t>
      </w:r>
    </w:p>
    <w:p>
      <w:pPr>
        <w:spacing w:after="0" w:line="174" w:lineRule="exact"/>
        <w:rPr>
          <w:sz w:val="20"/>
          <w:szCs w:val="20"/>
          <w:color w:val="auto"/>
        </w:rPr>
      </w:pPr>
    </w:p>
    <w:p>
      <w:pPr>
        <w:ind w:left="660" w:right="2719" w:hanging="195"/>
        <w:spacing w:after="0" w:line="236" w:lineRule="auto"/>
        <w:tabs>
          <w:tab w:leader="none" w:pos="6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the Broadband Eligible Notes and/or AT&amp;T Eligible Notes;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timely book-entry confirmation of transfer of the Broadband Eligible Notes and/or AT&amp;T Eligible Notes into the exchange agent's account at DTC using the book-entry transfer procedures described above;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properly completed and duly executed letter of transmittal.</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will have accepted validly tendered Broadband Eligible Notes and AT&amp;T Eligible Notes if and when it has given oral or written notice to the exchange agent. The exchange agent will act as agent for the tendering holders for the purposes of receiving the Broadband Exchange Notes and the New AT&amp;T Notes from us. The exchange agent will make the exchange on, or promptly after, the date it receives notice of acceptance from AT&amp;T, and as a result of this exchange the holders in whose names the Broadband Exchange Notes and the New AT&amp;T Notes will be issuable upon exchange will be deemed to be the holders of record of the Broadband Exchange Notes and the New AT&amp;T Notes, respectively.</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54" w:right="1440" w:bottom="1440" w:gutter="0" w:footer="0" w:header="0"/>
        </w:sectPr>
      </w:pPr>
    </w:p>
    <w:bookmarkStart w:id="97" w:name="page98"/>
    <w:bookmarkEnd w:id="97"/>
    <w:p>
      <w:pPr>
        <w:ind w:left="460"/>
        <w:spacing w:after="0"/>
        <w:rPr>
          <w:sz w:val="20"/>
          <w:szCs w:val="20"/>
          <w:color w:val="auto"/>
        </w:rPr>
      </w:pPr>
      <w:r>
        <w:rPr>
          <w:rFonts w:ascii="Courier New" w:cs="Courier New" w:eastAsia="Courier New" w:hAnsi="Courier New"/>
          <w:sz w:val="16"/>
          <w:szCs w:val="16"/>
          <w:color w:val="auto"/>
        </w:rPr>
        <w:t>The reasons AT&amp;T may not accept tendered Broadband Eligible Notes and/or</w:t>
      </w:r>
    </w:p>
    <w:p>
      <w:pPr>
        <w:spacing w:after="0"/>
        <w:rPr>
          <w:sz w:val="20"/>
          <w:szCs w:val="20"/>
          <w:color w:val="auto"/>
        </w:rPr>
      </w:pPr>
      <w:r>
        <w:rPr>
          <w:rFonts w:ascii="Courier New" w:cs="Courier New" w:eastAsia="Courier New" w:hAnsi="Courier New"/>
          <w:sz w:val="16"/>
          <w:szCs w:val="16"/>
          <w:color w:val="auto"/>
        </w:rPr>
        <w:t>AT&amp;T Eligible Notes are:</w:t>
      </w:r>
    </w:p>
    <w:p>
      <w:pPr>
        <w:spacing w:after="0" w:line="184" w:lineRule="exact"/>
        <w:rPr>
          <w:sz w:val="20"/>
          <w:szCs w:val="20"/>
          <w:color w:val="auto"/>
        </w:rPr>
      </w:pPr>
    </w:p>
    <w:p>
      <w:pPr>
        <w:ind w:left="660" w:right="2719" w:hanging="195"/>
        <w:spacing w:after="0" w:line="237" w:lineRule="auto"/>
        <w:tabs>
          <w:tab w:leader="none" w:pos="6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Eligible Notes or AT&amp;T Eligible Notes were not validly tendered pursuant to the procedures for tendering; see "-- Procedures for Tendering;"</w:t>
      </w:r>
    </w:p>
    <w:p>
      <w:pPr>
        <w:spacing w:after="0" w:line="36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or Comcast determines in its reasonable discretion that one or more of the conditions to the exchange offer has not been satisfied; see "-- Conditions to the Exchange Offer;"</w:t>
      </w:r>
    </w:p>
    <w:p>
      <w:pPr>
        <w:spacing w:after="0" w:line="36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has validly withdrawn a tender of Broadband Eligible Notes or AT&amp;T Eligible Notes as described under "-- Withdrawal Rights;"</w:t>
      </w:r>
    </w:p>
    <w:p>
      <w:pPr>
        <w:spacing w:after="0" w:line="184"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has, in its sole discretion, delayed or terminated the exchange offer; see "-- Terms of the Exchange Offer; Period for Tendering;" or</w:t>
      </w:r>
    </w:p>
    <w:p>
      <w:pPr>
        <w:spacing w:after="0" w:line="349" w:lineRule="exact"/>
        <w:rPr>
          <w:rFonts w:ascii="Courier New" w:cs="Courier New" w:eastAsia="Courier New" w:hAnsi="Courier New"/>
          <w:sz w:val="15"/>
          <w:szCs w:val="15"/>
          <w:color w:val="auto"/>
        </w:rPr>
      </w:pPr>
    </w:p>
    <w:p>
      <w:pPr>
        <w:ind w:left="660" w:right="2819" w:hanging="195"/>
        <w:spacing w:after="0" w:line="236" w:lineRule="auto"/>
        <w:tabs>
          <w:tab w:leader="none" w:pos="6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proration feature applies to any series of Broadband Eligible Notes; see "-- Proration" and "-- Fractional Notes."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If AT&amp;T does not accept any tendered Broadband Eligible Notes or AT&amp;T Eligible Notes for any reason included in the terms and conditions of the exchange offer, including as a result of the proration feature, or if you submit certificates representing Broadband Eligible Notes or AT&amp;T Eligible Notes in a greater principal amount than you wish to exchange, AT&amp;T will return any unaccepted or non-exchanged Broadband Eligible Notes or AT&amp;T Eligible Notes without expense to the tendering holder or, in the case of Broadband Eligible Notes or AT&amp;T Eligible Notes tendered by book-entry transfer into the exchange agent's account at DTC using the book-entry transfer procedures described above, non-exchanged Broadband Eligible Notes or AT&amp;T Eligible Notes will be credited to an account maintained with DTC as promptly as practicable after the expiration or termination of the exchange offer.</w:t>
      </w:r>
    </w:p>
    <w:p>
      <w:pPr>
        <w:spacing w:after="0" w:line="35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Broadband Eligible Notes or AT&amp;T Eligible Notes which are not tendered for exchange or are tendered but not accepted in connection with the exchange offer will remain outstanding and remain subject to the AT&amp;T Indenture, as modified by the note amendment.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You can withdraw your tender of Broadband Eligible Notes and/or AT&amp;T Eligible Notes at any time on or prior to the expiration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8"/>
              </w:rPr>
              <w:t>a withdrawal to</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be effective, a</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w w:val="97"/>
              </w:rPr>
              <w:t>written notice of withdrawal must be</w:t>
            </w:r>
          </w:p>
        </w:tc>
      </w:tr>
      <w:tr>
        <w:trPr>
          <w:trHeight w:val="180"/>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received</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8"/>
              </w:rPr>
              <w:t>by the exchange</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agent at one of</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the addresses listed below under</w:t>
            </w:r>
          </w:p>
        </w:tc>
      </w:tr>
      <w:tr>
        <w:trPr>
          <w:trHeight w:val="180"/>
        </w:trPr>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 Exchange Agent." Any</w:t>
            </w:r>
          </w:p>
        </w:tc>
        <w:tc>
          <w:tcPr>
            <w:tcW w:w="4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notice of withdrawal must specify:</w:t>
            </w:r>
          </w:p>
        </w:tc>
      </w:tr>
    </w:tbl>
    <w:p>
      <w:pPr>
        <w:spacing w:after="0" w:line="185" w:lineRule="exact"/>
        <w:rPr>
          <w:sz w:val="20"/>
          <w:szCs w:val="20"/>
          <w:color w:val="auto"/>
        </w:rPr>
      </w:pPr>
    </w:p>
    <w:p>
      <w:pPr>
        <w:ind w:left="660" w:right="2999" w:hanging="195"/>
        <w:spacing w:after="0" w:line="236" w:lineRule="auto"/>
        <w:tabs>
          <w:tab w:leader="none" w:pos="6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person having tendered the Broadband Eligible Notes or AT&amp;T Eligible Notes to be withdrawn;</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Eligible Notes or AT&amp;T Eligible Notes to be withdrawn;</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Broadband Eligible Notes or AT&amp;T Eligible Notes to be withdrawn;</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certificates for Broadband Eligible Notes or AT&amp;T Eligible Notes have been delivered to the exchange agent, the name in which the Broadband Eligible Notes or AT&amp;T Eligible Notes are registered, if different from that of the withdrawing holder;</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certificates for Broadband Eligible Notes or AT&amp;T Eligible Notes have been delivered or otherwise identified to the exchange agent, then, prior to the release of those certificates, you must also submit the serial numbers of the particular certificates to be withdrawn and a signed notice of withdrawal with signatures guaranteed by an eligible institution unless you are an eligible institution; and</w:t>
      </w:r>
    </w:p>
    <w:p>
      <w:pPr>
        <w:spacing w:after="0" w:line="188" w:lineRule="exact"/>
        <w:rPr>
          <w:rFonts w:ascii="Courier New" w:cs="Courier New" w:eastAsia="Courier New" w:hAnsi="Courier New"/>
          <w:sz w:val="16"/>
          <w:szCs w:val="16"/>
          <w:color w:val="auto"/>
        </w:rPr>
      </w:pPr>
    </w:p>
    <w:p>
      <w:pPr>
        <w:ind w:left="660" w:right="2819" w:hanging="195"/>
        <w:spacing w:after="0" w:line="256" w:lineRule="auto"/>
        <w:tabs>
          <w:tab w:leader="none" w:pos="6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Broadband Eligible Notes or AT&amp;T Eligible Notes have been tendered using the procedure for book-entry transfer described above, any notice of withdrawal must specify the name and number of the account at DTC to be credited with the withdrawn Broadband Eligible Notes or AT&amp;T Eligible Notes and otherwise comply with the procedures of that facility.</w:t>
      </w:r>
    </w:p>
    <w:p>
      <w:pPr>
        <w:spacing w:after="0" w:line="1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54" w:right="1440" w:bottom="1440" w:gutter="0" w:footer="0" w:header="0"/>
        </w:sectPr>
      </w:pPr>
    </w:p>
    <w:bookmarkStart w:id="98" w:name="page99"/>
    <w:bookmarkEnd w:id="98"/>
    <w:p>
      <w:pPr>
        <w:ind w:right="2719" w:firstLine="469"/>
        <w:spacing w:after="0" w:line="256" w:lineRule="auto"/>
        <w:rPr>
          <w:sz w:val="20"/>
          <w:szCs w:val="20"/>
          <w:color w:val="auto"/>
        </w:rPr>
      </w:pPr>
      <w:r>
        <w:rPr>
          <w:rFonts w:ascii="Courier New" w:cs="Courier New" w:eastAsia="Courier New" w:hAnsi="Courier New"/>
          <w:sz w:val="15"/>
          <w:szCs w:val="15"/>
          <w:color w:val="auto"/>
        </w:rPr>
        <w:t>Please note that all questions as to the validity, form, eligibility and time of receipt of notices of withdrawal will be determined by AT&amp;T and Comcast, and their determination shall be final and binding on all parties. Any Broadband Eligible Notes or AT&amp;T Eligible Notes so withdrawn will be considered not to have been validly tendered for exchange for purposes of the exchange offer. In addition, any Broadband Eligible Notes or AT&amp;T Eligible Notes so withdrawn will be considered not to have consented to the note amendment described under "Description of the Note Amendment -- The Note Amendment."</w:t>
      </w:r>
    </w:p>
    <w:p>
      <w:pPr>
        <w:spacing w:after="0" w:line="35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you have properly withdrawn Broadband Eligible Notes or AT&amp;T Eligible Notes and wish to re-tender them, you may do so by following one of the procedures described under "-- Procedures for Tendering" above at any time on or prior to the expiration date.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DEALER MANAGERS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We have retained the following firms, listed in alphabetical order, to act as dealer managers in connection with the exchange offer:</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Credit Suisse First Boston Corporation</w:t>
      </w:r>
    </w:p>
    <w:p>
      <w:pPr>
        <w:jc w:val="center"/>
        <w:ind w:right="2819"/>
        <w:spacing w:after="0"/>
        <w:rPr>
          <w:sz w:val="20"/>
          <w:szCs w:val="20"/>
          <w:color w:val="auto"/>
        </w:rPr>
      </w:pPr>
      <w:r>
        <w:rPr>
          <w:rFonts w:ascii="Courier New" w:cs="Courier New" w:eastAsia="Courier New" w:hAnsi="Courier New"/>
          <w:sz w:val="16"/>
          <w:szCs w:val="16"/>
          <w:color w:val="auto"/>
        </w:rPr>
        <w:t>Deutsche Bank Securities Inc.</w:t>
      </w:r>
    </w:p>
    <w:p>
      <w:pPr>
        <w:jc w:val="center"/>
        <w:ind w:right="2719"/>
        <w:spacing w:after="0" w:line="237" w:lineRule="auto"/>
        <w:rPr>
          <w:sz w:val="20"/>
          <w:szCs w:val="20"/>
          <w:color w:val="auto"/>
        </w:rPr>
      </w:pPr>
      <w:r>
        <w:rPr>
          <w:rFonts w:ascii="Courier New" w:cs="Courier New" w:eastAsia="Courier New" w:hAnsi="Courier New"/>
          <w:sz w:val="16"/>
          <w:szCs w:val="16"/>
          <w:color w:val="auto"/>
        </w:rPr>
        <w:t>Goldman, Sachs &amp; Co.</w:t>
      </w:r>
    </w:p>
    <w:p>
      <w:pPr>
        <w:jc w:val="center"/>
        <w:ind w:right="2819"/>
        <w:spacing w:after="0"/>
        <w:rPr>
          <w:sz w:val="20"/>
          <w:szCs w:val="20"/>
          <w:color w:val="auto"/>
        </w:rPr>
      </w:pPr>
      <w:r>
        <w:rPr>
          <w:rFonts w:ascii="Courier New" w:cs="Courier New" w:eastAsia="Courier New" w:hAnsi="Courier New"/>
          <w:sz w:val="16"/>
          <w:szCs w:val="16"/>
          <w:color w:val="auto"/>
        </w:rPr>
        <w:t>J.P. Morgan Securities Inc.</w:t>
      </w:r>
    </w:p>
    <w:p>
      <w:pPr>
        <w:jc w:val="center"/>
        <w:ind w:right="2819"/>
        <w:spacing w:after="0" w:line="238" w:lineRule="auto"/>
        <w:rPr>
          <w:sz w:val="20"/>
          <w:szCs w:val="20"/>
          <w:color w:val="auto"/>
        </w:rPr>
      </w:pPr>
      <w:r>
        <w:rPr>
          <w:rFonts w:ascii="Courier New" w:cs="Courier New" w:eastAsia="Courier New" w:hAnsi="Courier New"/>
          <w:sz w:val="16"/>
          <w:szCs w:val="16"/>
          <w:color w:val="auto"/>
        </w:rPr>
        <w:t>Merrill Lynch, Pierce, Fenner &amp; Smith</w:t>
      </w:r>
    </w:p>
    <w:p>
      <w:pPr>
        <w:jc w:val="center"/>
        <w:ind w:right="2719"/>
        <w:spacing w:after="0"/>
        <w:rPr>
          <w:sz w:val="20"/>
          <w:szCs w:val="20"/>
          <w:color w:val="auto"/>
        </w:rPr>
      </w:pPr>
      <w:r>
        <w:rPr>
          <w:rFonts w:ascii="Courier New" w:cs="Courier New" w:eastAsia="Courier New" w:hAnsi="Courier New"/>
          <w:sz w:val="16"/>
          <w:szCs w:val="16"/>
          <w:color w:val="auto"/>
        </w:rPr>
        <w:t>Incorporated</w:t>
      </w:r>
    </w:p>
    <w:p>
      <w:pPr>
        <w:jc w:val="center"/>
        <w:ind w:right="2819"/>
        <w:spacing w:after="0" w:line="238" w:lineRule="auto"/>
        <w:rPr>
          <w:sz w:val="20"/>
          <w:szCs w:val="20"/>
          <w:color w:val="auto"/>
        </w:rPr>
      </w:pPr>
      <w:r>
        <w:rPr>
          <w:rFonts w:ascii="Courier New" w:cs="Courier New" w:eastAsia="Courier New" w:hAnsi="Courier New"/>
          <w:sz w:val="16"/>
          <w:szCs w:val="16"/>
          <w:color w:val="auto"/>
        </w:rPr>
        <w:t>Morgan Stanley &amp; Co. Incorporated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principal solicitation in connection with the exchange offer and the note amendment is being made by mail. However, additional solicitation may be made by telephone, facsimile, electronic media or in person by the dealer managers, the soliciting dealers, and their officers, regular employees and affiliates. In addition, additional solicitation may be made by telephone, facsimile, electronic media or in person by our officers, regular employees and affiliates. We will not pay any additional compensation to any of our officers and employees who engage in soliciting tenders. In any jurisdiction in which the securities laws or blue sky laws require solicitations to be made by a licensed broker or dealer, any solicitations in connection with the exchange offer and the note amendment will be deemed to be made on behalf of AT&amp;T and the other registrants by the dealer managers or their affiliates that are licensed under the laws of the applicable jurisdictions.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dealer managers have provided, and we expect will provide, investment banking, advisory and commercial banking services to AT&amp;T, Comcast and AT&amp;T Comcast, as the case may be, for which they received, and we expect will receive customary fees. In particular,</w:t>
      </w:r>
    </w:p>
    <w:p>
      <w:pPr>
        <w:spacing w:after="0" w:line="186" w:lineRule="exact"/>
        <w:rPr>
          <w:sz w:val="20"/>
          <w:szCs w:val="20"/>
          <w:color w:val="auto"/>
        </w:rPr>
      </w:pPr>
    </w:p>
    <w:p>
      <w:pPr>
        <w:ind w:left="660" w:right="2719" w:hanging="195"/>
        <w:spacing w:after="0" w:line="236" w:lineRule="auto"/>
        <w:tabs>
          <w:tab w:leader="none" w:pos="6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Suisse First Boston Corporation, Deutsche Bank Securities Inc. and Goldman, Sachs &amp; Co. advised AT&amp;T in the AT&amp;T Comcast transaction;</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J.P. Morgan Securities Inc., Merrill Lynch, Pierce, Fenner &amp; Smith Incorporated and Morgan Stanley &amp; Co. Incorporated advised Comcast in the AT&amp;T Comcast transaction.</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In addition, affiliates of certain of the dealer managers will act as lenders to AT&amp;T, Broadband and AT&amp;T Comcast under their new credit facilities.</w:t>
      </w:r>
    </w:p>
    <w:p>
      <w:pPr>
        <w:spacing w:after="0" w:line="185" w:lineRule="exact"/>
        <w:rPr>
          <w:sz w:val="20"/>
          <w:szCs w:val="20"/>
          <w:color w:val="auto"/>
        </w:rPr>
      </w:pPr>
    </w:p>
    <w:p>
      <w:pPr>
        <w:ind w:right="3179" w:firstLine="469"/>
        <w:spacing w:after="0" w:line="257" w:lineRule="auto"/>
        <w:rPr>
          <w:sz w:val="20"/>
          <w:szCs w:val="20"/>
          <w:color w:val="auto"/>
        </w:rPr>
      </w:pPr>
      <w:r>
        <w:rPr>
          <w:rFonts w:ascii="Courier New" w:cs="Courier New" w:eastAsia="Courier New" w:hAnsi="Courier New"/>
          <w:sz w:val="15"/>
          <w:szCs w:val="15"/>
          <w:color w:val="auto"/>
        </w:rPr>
        <w:t>AT&amp;T, Comcast, AT&amp;T Comcast and the cable guarantors will enter into a dealer manager agreement with the dealer managers. In that agreement, AT&amp;T, Comcast, AT&amp;T Comcast and the cable guarantors will indemnify the dealer managers for liabilities under the federal securities and other laws.</w:t>
      </w:r>
    </w:p>
    <w:p>
      <w:pPr>
        <w:spacing w:after="0" w:line="17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At any given time, the dealer managers may trade the New AT&amp;T Notes, the Broadband Exchange Notes and the New Broadband Notes or other securities of AT&amp;T, Broadband or the cable guarantors for their own accounts or for the accounts of their customers, and accordingly, may hold a long or a short position in the notes or such other securities.</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839" w:right="1440" w:bottom="1440" w:gutter="0" w:footer="0" w:header="0"/>
        </w:sectPr>
      </w:pPr>
    </w:p>
    <w:bookmarkStart w:id="99" w:name="page100"/>
    <w:bookmarkEnd w:id="99"/>
    <w:p>
      <w:pPr>
        <w:ind w:right="2819" w:firstLine="469"/>
        <w:spacing w:after="0" w:line="237" w:lineRule="auto"/>
        <w:rPr>
          <w:sz w:val="20"/>
          <w:szCs w:val="20"/>
          <w:color w:val="auto"/>
        </w:rPr>
      </w:pPr>
      <w:r>
        <w:rPr>
          <w:rFonts w:ascii="Courier New" w:cs="Courier New" w:eastAsia="Courier New" w:hAnsi="Courier New"/>
          <w:sz w:val="16"/>
          <w:szCs w:val="16"/>
          <w:color w:val="auto"/>
        </w:rPr>
        <w:t>None of the dealer managers assumes any responsibility for the accuracy or completeness of the information concerning the exchange offers, AT&amp;T, Comcast, AT&amp;T Comcast, Comcast Cable, MediaOne and TCI contained in this prospectus or any documents incorporated herein by reference or for any failure by us to disclose events that may have occurred and may affect the significance or accuracy of such information.</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Questions regarding the terms of the exchange offer should be directed to the dealer managers at the addresses and telephone numbers set forth on the back cover of this prospectus.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RETAIL SOLICITATION FEE</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will pay to soliciting dealers a retail solicitation fee of $2.50 per $1,000 of eligible notes tendered and accepted for exchange in the exchange offer. As used herein, a "soliciting dealer" is an entity covered by a letter of transmittal which names the dealer as having solicited and obtained the tender from a U.S. holder, and is:</w:t>
      </w:r>
    </w:p>
    <w:p>
      <w:pPr>
        <w:spacing w:after="0" w:line="368" w:lineRule="exact"/>
        <w:rPr>
          <w:sz w:val="20"/>
          <w:szCs w:val="20"/>
          <w:color w:val="auto"/>
        </w:rPr>
      </w:pPr>
    </w:p>
    <w:p>
      <w:pPr>
        <w:ind w:left="660" w:right="2899" w:hanging="195"/>
        <w:spacing w:after="0" w:line="237" w:lineRule="auto"/>
        <w:tabs>
          <w:tab w:leader="none" w:pos="6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broker or dealer in securities, excluding the dealer manager, which is a member of any national securities exchange or of the National Association of Securities Dealers, Inc. ("NASD");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foreign broker or dealer not eligible for membership in the NASD which agrees to conform to the NASD's Rules of Fair Practice in soliciting tenders outside the United States to the same extent as though it were an NASD member; or</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or trust company.</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 fee shall be payable to a soliciting dealer:</w:t>
      </w:r>
    </w:p>
    <w:p>
      <w:pPr>
        <w:spacing w:after="0" w:line="185" w:lineRule="exact"/>
        <w:rPr>
          <w:sz w:val="20"/>
          <w:szCs w:val="20"/>
          <w:color w:val="auto"/>
        </w:rPr>
      </w:pPr>
    </w:p>
    <w:p>
      <w:pPr>
        <w:ind w:left="660" w:right="2819" w:hanging="195"/>
        <w:spacing w:after="0" w:line="237"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eligible notes tendered due to solicitation by that dealer are not validly tendered or otherwise are not accepted in the exchange offer;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tender of eligible notes by a holder unless the letter of transmittal accompanying such tender designates that soliciting dealer;</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tender of eligible notes by a holder as to which a soliciting dealer fee has already been paid;</w:t>
      </w:r>
    </w:p>
    <w:p>
      <w:pPr>
        <w:spacing w:after="0" w:line="365"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tender of eligible notes by a beneficial holder of more than $250,000 in principal amount of eligible notes;</w:t>
      </w:r>
    </w:p>
    <w:p>
      <w:pPr>
        <w:spacing w:after="0" w:line="36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eligible notes registered in the name of that soliciting dealer unless the eligible notes are held by that soliciting dealer as nominee and the eligible notes are being tendered for the benefit of one or more beneficial owners identified on the letter of transmittal;</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soliciting dealer is a dealer manager;</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soliciting dealer is required for any reason to transfer the amount of the fee to a tendering holder other than itself;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eligible notes tendered for that soliciting dealer's own account.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Soliciting dealers should take care to ensure proper record-keeping to document their entitlement to any solicitation fee. AT&amp;T and the exchange agent reserve the right to require additional information, as deemed warranted in their sole discretion.</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No broker, dealer, bank, trust company or fiduciary shall be deemed to be the agent of AT&amp;T, Broadband, the cable guarantors, DTC, any of the dealer managers or the information agent for purposes of the exchange offer.</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AT&amp;T will also, upon request, reimburse soliciting dealers for reasonable and customary handling and mailing expenses incurred by them in forwarding materials relating to the exchange offer to their customers.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659" w:right="1440" w:bottom="1440" w:gutter="0" w:footer="0" w:header="0"/>
        </w:sectPr>
      </w:pPr>
    </w:p>
    <w:bookmarkStart w:id="100" w:name="page101"/>
    <w:bookmarkEnd w:id="100"/>
    <w:p>
      <w:pPr>
        <w:ind w:left="4" w:right="2819" w:firstLine="469"/>
        <w:spacing w:after="0" w:line="238" w:lineRule="auto"/>
        <w:rPr>
          <w:sz w:val="20"/>
          <w:szCs w:val="20"/>
          <w:color w:val="auto"/>
        </w:rPr>
      </w:pPr>
      <w:r>
        <w:rPr>
          <w:rFonts w:ascii="Courier New" w:cs="Courier New" w:eastAsia="Courier New" w:hAnsi="Courier New"/>
          <w:sz w:val="16"/>
          <w:szCs w:val="16"/>
          <w:color w:val="auto"/>
        </w:rPr>
        <w:t>All questions as to the validity, form, and eligibility, including time of receipt of notices of solicited tenders will be determined by the exchange agent, AT&amp;T and Comcast, in their sole discretion, which determination will be final and binding. Neither AT&amp;T, Comcast, the exchange agent nor any other person will be under any duty to give notification of any defects or irregularities in a notice of solicited tender or incur any liability for failure to give such notification.</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INFORMATION AGENT</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We have engaged D.F. King &amp; Co. as the information agent for the exchange offer. Questions and requests for assistance, requests for additional copies of this prospectus or of the letter of transmittal and requests for notices of guaranteed delivery should be directed to the information agent. The information agent may be contacted as follows:</w:t>
      </w:r>
    </w:p>
    <w:p>
      <w:pPr>
        <w:sectPr>
          <w:pgSz w:w="11900" w:h="16838" w:orient="portrait"/>
          <w:cols w:equalWidth="0" w:num="1">
            <w:col w:w="10223"/>
          </w:cols>
          <w:pgMar w:left="236" w:top="8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D. F. King &amp; Co., Inc.</w:t>
      </w:r>
    </w:p>
    <w:p>
      <w:pPr>
        <w:ind w:left="844"/>
        <w:spacing w:after="0"/>
        <w:rPr>
          <w:sz w:val="20"/>
          <w:szCs w:val="20"/>
          <w:color w:val="auto"/>
        </w:rPr>
      </w:pPr>
      <w:r>
        <w:rPr>
          <w:rFonts w:ascii="Courier New" w:cs="Courier New" w:eastAsia="Courier New" w:hAnsi="Courier New"/>
          <w:sz w:val="16"/>
          <w:szCs w:val="16"/>
          <w:color w:val="auto"/>
        </w:rPr>
        <w:t>77 Water Street, 20th Floor</w:t>
      </w:r>
    </w:p>
    <w:p>
      <w:pPr>
        <w:ind w:left="944"/>
        <w:spacing w:after="0" w:line="237" w:lineRule="auto"/>
        <w:rPr>
          <w:sz w:val="20"/>
          <w:szCs w:val="20"/>
          <w:color w:val="auto"/>
        </w:rPr>
      </w:pPr>
      <w:r>
        <w:rPr>
          <w:rFonts w:ascii="Courier New" w:cs="Courier New" w:eastAsia="Courier New" w:hAnsi="Courier New"/>
          <w:sz w:val="16"/>
          <w:szCs w:val="16"/>
          <w:color w:val="auto"/>
        </w:rPr>
        <w:t>New York, New York 10005</w:t>
      </w:r>
    </w:p>
    <w:p>
      <w:pPr>
        <w:spacing w:after="0" w:line="5" w:lineRule="exact"/>
        <w:rPr>
          <w:sz w:val="20"/>
          <w:szCs w:val="20"/>
          <w:color w:val="auto"/>
        </w:rPr>
      </w:pPr>
    </w:p>
    <w:p>
      <w:pPr>
        <w:ind w:left="664"/>
        <w:spacing w:after="0"/>
        <w:rPr>
          <w:sz w:val="20"/>
          <w:szCs w:val="20"/>
          <w:color w:val="auto"/>
        </w:rPr>
      </w:pPr>
      <w:r>
        <w:rPr>
          <w:rFonts w:ascii="Courier New" w:cs="Courier New" w:eastAsia="Courier New" w:hAnsi="Courier New"/>
          <w:sz w:val="15"/>
          <w:szCs w:val="15"/>
          <w:color w:val="auto"/>
        </w:rPr>
        <w:t>Banks and Brokers Call Collect:</w:t>
      </w:r>
    </w:p>
    <w:p>
      <w:pPr>
        <w:spacing w:after="0" w:line="5" w:lineRule="exact"/>
        <w:rPr>
          <w:sz w:val="20"/>
          <w:szCs w:val="20"/>
          <w:color w:val="auto"/>
        </w:rPr>
      </w:pPr>
    </w:p>
    <w:p>
      <w:pPr>
        <w:ind w:left="1404"/>
        <w:spacing w:after="0"/>
        <w:rPr>
          <w:sz w:val="20"/>
          <w:szCs w:val="20"/>
          <w:color w:val="auto"/>
        </w:rPr>
      </w:pPr>
      <w:r>
        <w:rPr>
          <w:rFonts w:ascii="Courier New" w:cs="Courier New" w:eastAsia="Courier New" w:hAnsi="Courier New"/>
          <w:sz w:val="16"/>
          <w:szCs w:val="16"/>
          <w:color w:val="auto"/>
        </w:rPr>
        <w:t>(212) 269-5550</w:t>
      </w:r>
    </w:p>
    <w:p>
      <w:pPr>
        <w:ind w:left="844"/>
        <w:spacing w:after="0"/>
        <w:rPr>
          <w:sz w:val="20"/>
          <w:szCs w:val="20"/>
          <w:color w:val="auto"/>
        </w:rPr>
      </w:pPr>
      <w:r>
        <w:rPr>
          <w:rFonts w:ascii="Courier New" w:cs="Courier New" w:eastAsia="Courier New" w:hAnsi="Courier New"/>
          <w:sz w:val="16"/>
          <w:szCs w:val="16"/>
          <w:color w:val="auto"/>
        </w:rPr>
        <w:t>All Others Call Toll Free:</w:t>
      </w:r>
    </w:p>
    <w:p>
      <w:pPr>
        <w:ind w:left="1404"/>
        <w:spacing w:after="0" w:line="237" w:lineRule="auto"/>
        <w:rPr>
          <w:sz w:val="20"/>
          <w:szCs w:val="20"/>
          <w:color w:val="auto"/>
        </w:rPr>
      </w:pPr>
      <w:r>
        <w:rPr>
          <w:rFonts w:ascii="Courier New" w:cs="Courier New" w:eastAsia="Courier New" w:hAnsi="Courier New"/>
          <w:sz w:val="16"/>
          <w:szCs w:val="16"/>
          <w:color w:val="auto"/>
        </w:rPr>
        <w:t>(866) 868-2409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6"/>
          <w:szCs w:val="16"/>
          <w:color w:val="auto"/>
        </w:rPr>
        <w:t>D.F. King (Europe) Limited</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5"/>
          <w:szCs w:val="15"/>
          <w:color w:val="auto"/>
        </w:rPr>
        <w:t>2 London Wall Buildings, 2nd Floor</w:t>
      </w:r>
    </w:p>
    <w:p>
      <w:pPr>
        <w:spacing w:after="0" w:line="5"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6"/>
          <w:szCs w:val="16"/>
          <w:color w:val="auto"/>
        </w:rPr>
        <w:t>London EC2M5PP</w:t>
      </w:r>
    </w:p>
    <w:p>
      <w:pPr>
        <w:jc w:val="center"/>
        <w:ind w:right="2159"/>
        <w:spacing w:after="0"/>
        <w:rPr>
          <w:sz w:val="20"/>
          <w:szCs w:val="20"/>
          <w:color w:val="auto"/>
        </w:rPr>
      </w:pPr>
      <w:r>
        <w:rPr>
          <w:rFonts w:ascii="Courier New" w:cs="Courier New" w:eastAsia="Courier New" w:hAnsi="Courier New"/>
          <w:sz w:val="16"/>
          <w:szCs w:val="16"/>
          <w:color w:val="auto"/>
        </w:rPr>
        <w:t>Telephone: 44 207 920 9700</w:t>
      </w:r>
    </w:p>
    <w:p>
      <w:pPr>
        <w:spacing w:after="0" w:line="739" w:lineRule="exact"/>
        <w:rPr>
          <w:sz w:val="20"/>
          <w:szCs w:val="20"/>
          <w:color w:val="auto"/>
        </w:rPr>
      </w:pPr>
    </w:p>
    <w:p>
      <w:pPr>
        <w:sectPr>
          <w:pgSz w:w="11900" w:h="16838" w:orient="portrait"/>
          <w:cols w:equalWidth="0" w:num="2">
            <w:col w:w="4164" w:space="720"/>
            <w:col w:w="5339"/>
          </w:cols>
          <w:pgMar w:left="236" w:top="839" w:right="1440" w:bottom="1440" w:gutter="0" w:footer="0" w:header="0"/>
          <w:type w:val="continuous"/>
        </w:sectPr>
      </w:pPr>
    </w:p>
    <w:p>
      <w:pPr>
        <w:spacing w:after="0" w:line="34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EXCHANGE AGENT</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We have engaged The Bank of New York as the exchange agent for the exchange offer. All executed letters of transmittal (other than in Luxembourg) should be directed to the exchange agent at the address set forth below:</w:t>
      </w:r>
    </w:p>
    <w:p>
      <w:pPr>
        <w:spacing w:after="0" w:line="18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Deliver To:</w:t>
      </w:r>
    </w:p>
    <w:p>
      <w:pPr>
        <w:spacing w:after="0" w:line="179"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The Bank of New York, Exchange Agent</w:t>
      </w:r>
    </w:p>
    <w:p>
      <w:pPr>
        <w:ind w:left="2064"/>
        <w:spacing w:after="0"/>
        <w:rPr>
          <w:sz w:val="20"/>
          <w:szCs w:val="20"/>
          <w:color w:val="auto"/>
        </w:rPr>
      </w:pPr>
      <w:r>
        <w:rPr>
          <w:rFonts w:ascii="Courier New" w:cs="Courier New" w:eastAsia="Courier New" w:hAnsi="Courier New"/>
          <w:sz w:val="16"/>
          <w:szCs w:val="16"/>
          <w:color w:val="auto"/>
        </w:rPr>
        <w:t>Corporate Trust Reorganization Unit</w:t>
      </w:r>
    </w:p>
    <w:p>
      <w:pPr>
        <w:ind w:left="2724"/>
        <w:spacing w:after="0" w:line="237" w:lineRule="auto"/>
        <w:rPr>
          <w:sz w:val="20"/>
          <w:szCs w:val="20"/>
          <w:color w:val="auto"/>
        </w:rPr>
      </w:pPr>
      <w:r>
        <w:rPr>
          <w:rFonts w:ascii="Courier New" w:cs="Courier New" w:eastAsia="Courier New" w:hAnsi="Courier New"/>
          <w:sz w:val="16"/>
          <w:szCs w:val="16"/>
          <w:color w:val="auto"/>
        </w:rPr>
        <w:t>101 Barclay Street, 7E</w:t>
      </w:r>
    </w:p>
    <w:p>
      <w:pPr>
        <w:ind w:left="2624"/>
        <w:spacing w:after="0"/>
        <w:rPr>
          <w:sz w:val="20"/>
          <w:szCs w:val="20"/>
          <w:color w:val="auto"/>
        </w:rPr>
      </w:pPr>
      <w:r>
        <w:rPr>
          <w:rFonts w:ascii="Courier New" w:cs="Courier New" w:eastAsia="Courier New" w:hAnsi="Courier New"/>
          <w:sz w:val="16"/>
          <w:szCs w:val="16"/>
          <w:color w:val="auto"/>
        </w:rPr>
        <w:t>New York, New York 10286</w:t>
      </w:r>
    </w:p>
    <w:p>
      <w:pPr>
        <w:ind w:left="3104"/>
        <w:spacing w:after="0" w:line="238" w:lineRule="auto"/>
        <w:rPr>
          <w:sz w:val="20"/>
          <w:szCs w:val="20"/>
          <w:color w:val="auto"/>
        </w:rPr>
      </w:pPr>
      <w:r>
        <w:rPr>
          <w:rFonts w:ascii="Courier New" w:cs="Courier New" w:eastAsia="Courier New" w:hAnsi="Courier New"/>
          <w:sz w:val="16"/>
          <w:szCs w:val="16"/>
          <w:color w:val="auto"/>
        </w:rPr>
        <w:t>Attn: Kin Lau</w:t>
      </w:r>
    </w:p>
    <w:p>
      <w:pPr>
        <w:spacing w:after="0" w:line="18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Facsimile Transmissions:</w:t>
      </w:r>
    </w:p>
    <w:p>
      <w:pPr>
        <w:ind w:left="3104"/>
        <w:spacing w:after="0"/>
        <w:rPr>
          <w:sz w:val="20"/>
          <w:szCs w:val="20"/>
          <w:color w:val="auto"/>
        </w:rPr>
      </w:pPr>
      <w:r>
        <w:rPr>
          <w:rFonts w:ascii="Courier New" w:cs="Courier New" w:eastAsia="Courier New" w:hAnsi="Courier New"/>
          <w:sz w:val="16"/>
          <w:szCs w:val="16"/>
          <w:color w:val="auto"/>
        </w:rPr>
        <w:t>(212) 298-1915</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To Confirm by Telephone</w:t>
      </w:r>
    </w:p>
    <w:p>
      <w:pPr>
        <w:ind w:left="2824"/>
        <w:spacing w:after="0"/>
        <w:rPr>
          <w:sz w:val="20"/>
          <w:szCs w:val="20"/>
          <w:color w:val="auto"/>
        </w:rPr>
      </w:pPr>
      <w:r>
        <w:rPr>
          <w:rFonts w:ascii="Courier New" w:cs="Courier New" w:eastAsia="Courier New" w:hAnsi="Courier New"/>
          <w:sz w:val="16"/>
          <w:szCs w:val="16"/>
          <w:color w:val="auto"/>
        </w:rPr>
        <w:t>or for Information:</w:t>
      </w:r>
    </w:p>
    <w:p>
      <w:pPr>
        <w:ind w:left="2624"/>
        <w:spacing w:after="0" w:line="237" w:lineRule="auto"/>
        <w:rPr>
          <w:sz w:val="20"/>
          <w:szCs w:val="20"/>
          <w:color w:val="auto"/>
        </w:rPr>
      </w:pPr>
      <w:r>
        <w:rPr>
          <w:rFonts w:ascii="Courier New" w:cs="Courier New" w:eastAsia="Courier New" w:hAnsi="Courier New"/>
          <w:sz w:val="16"/>
          <w:szCs w:val="16"/>
          <w:color w:val="auto"/>
        </w:rPr>
        <w:t>Toll Free (800) 254-2826</w:t>
      </w:r>
    </w:p>
    <w:p>
      <w:pPr>
        <w:jc w:val="center"/>
        <w:ind w:right="2715"/>
        <w:spacing w:after="0"/>
        <w:rPr>
          <w:sz w:val="20"/>
          <w:szCs w:val="20"/>
          <w:color w:val="auto"/>
        </w:rPr>
      </w:pPr>
      <w:r>
        <w:rPr>
          <w:rFonts w:ascii="Courier New" w:cs="Courier New" w:eastAsia="Courier New" w:hAnsi="Courier New"/>
          <w:sz w:val="16"/>
          <w:szCs w:val="16"/>
          <w:color w:val="auto"/>
        </w:rPr>
        <w:t>(212) 815-3750</w:t>
      </w:r>
    </w:p>
    <w:p>
      <w:pPr>
        <w:spacing w:after="0" w:line="184" w:lineRule="exact"/>
        <w:rPr>
          <w:sz w:val="20"/>
          <w:szCs w:val="20"/>
          <w:color w:val="auto"/>
        </w:rPr>
      </w:pPr>
    </w:p>
    <w:p>
      <w:pPr>
        <w:ind w:left="4" w:right="3179" w:firstLine="469"/>
        <w:spacing w:after="0" w:line="237" w:lineRule="auto"/>
        <w:rPr>
          <w:sz w:val="20"/>
          <w:szCs w:val="20"/>
          <w:color w:val="auto"/>
        </w:rPr>
      </w:pPr>
      <w:r>
        <w:rPr>
          <w:rFonts w:ascii="Courier New" w:cs="Courier New" w:eastAsia="Courier New" w:hAnsi="Courier New"/>
          <w:sz w:val="16"/>
          <w:szCs w:val="16"/>
          <w:color w:val="auto"/>
        </w:rPr>
        <w:t>Delivery to an address other than as listed above or transmission of instructions via facsimile other than as listed above does not constitute a valid delivery.</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LUXEMBOURG EXCHANGE AGENT</w:t>
      </w:r>
    </w:p>
    <w:p>
      <w:pPr>
        <w:spacing w:after="0" w:line="36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We have engaged The Bank of New York (Luxembourg) S.A. to act as the Luxembourg exchange agent in connection with the exchange offer. In Luxembourg, all services in connection with the exchange offer are available through the Luxembourg exchange agent as more fully set forth in this prospectus and the transmittal letter. In Luxembourg, you may contact the Luxembourg exchange agent at the telephone number listed on the back cover for assistance in connection with the exchange offer, including (1) to obtain the exchange offer materials,</w:t>
      </w:r>
    </w:p>
    <w:p>
      <w:pPr>
        <w:spacing w:after="0" w:line="4" w:lineRule="exact"/>
        <w:rPr>
          <w:sz w:val="20"/>
          <w:szCs w:val="20"/>
          <w:color w:val="auto"/>
        </w:rPr>
      </w:pPr>
    </w:p>
    <w:p>
      <w:pPr>
        <w:ind w:left="4" w:right="2719" w:hanging="4"/>
        <w:spacing w:after="0" w:line="238" w:lineRule="auto"/>
        <w:tabs>
          <w:tab w:leader="none" w:pos="3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obtain additional copies of the exchange offer materials, (3) for answers to questions concerning the terms and procedures of the exchange offer, (4) to have a letter of transmittal submitted on your behalf by the Luxembourg exchange agent and (5) to have Luxembourg Notes accepted for exchange delivered on your behalf by the Luxembourg exchange agent to the exchange agent. The Luxembourg exchange agent will also have information available regarding the exchange offer during the exchange offer period.</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23"/>
          </w:cols>
          <w:pgMar w:left="236" w:top="839" w:right="1440" w:bottom="1440" w:gutter="0" w:footer="0" w:header="0"/>
          <w:type w:val="continuous"/>
        </w:sectPr>
      </w:pPr>
    </w:p>
    <w:bookmarkStart w:id="101" w:name="page102"/>
    <w:bookmarkEnd w:id="101"/>
    <w:p>
      <w:pPr>
        <w:spacing w:after="0"/>
        <w:rPr>
          <w:sz w:val="20"/>
          <w:szCs w:val="20"/>
          <w:color w:val="auto"/>
        </w:rPr>
      </w:pPr>
      <w:r>
        <w:rPr>
          <w:rFonts w:ascii="Courier New" w:cs="Courier New" w:eastAsia="Courier New" w:hAnsi="Courier New"/>
          <w:sz w:val="16"/>
          <w:szCs w:val="16"/>
          <w:color w:val="auto"/>
        </w:rPr>
        <w:t>FEES AND EXPENSES</w:t>
      </w:r>
    </w:p>
    <w:p>
      <w:pPr>
        <w:spacing w:after="0" w:line="185"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The information agent, exchange agent and Luxembourg exchange agent will receive reasonable and customary compensation for their services, and will be reimbursed by AT&amp;T for various reasonable out-of-pocket expenses.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dealer managers, information agent, exchange agent and Luxembourg exchange agent will be indemnified against various liabilities in connection with the exchange offer, including liabilities under the federal securities laws.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as set forth above under "-- Retail Solicitation Fee" no fees or commissions (other than fees to the dealer managers, information agent and exchange agent) will be payable by AT&amp;T to brokers, dealers or other persons for soliciting tenders of eligible notes pursuant to the exchange offer. AT&amp;T, however, upon request, will reimburse brokers, dealers and commercial banks for customary mailing and handling expenses incurred by them in forwarding this prospectus and related materials to the beneficial owners of notes held by them as a nominee or in a fiduciary capacity. Other than the dealer managers, no broker, dealer, commercial bank or trust company has been authorized to act as the agent of AT&amp;T for purposes of the exchange offer.</w:t>
      </w:r>
    </w:p>
    <w:p>
      <w:pPr>
        <w:spacing w:after="0" w:line="367"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We estimate that the approximate amount of out-of-pocket fees and other expenses of the exchange offer will be $70 million.</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TAXES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who tender their Broadband Eligible Notes and AT&amp;T Eligible Notes for exchange will not be obligated to pay any U.S. transfer taxes in connection therewith, except that holders who instruct us to register Broadband Exchange Notes, New Broadband Notes or New AT&amp;T Notes in the name of, or request that Broadband Eligible Notes and AT&amp;T Eligible Notes not tendered or not accepted in the exchange offer be returned to, a person other than the registered tendering holder will be responsible for the payment of any applicable transfer tax thereon.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UNITED STATES FEDERAL INCOME TAX CONSEQUENCES OF THE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summary of the material United States federal income tax consequences to holders of (i) Broadband Eligible Notes resulting from the exchange of such notes for Broadband Exchange Notes which, in turn, are mandatorily exchanged for New Broadband Notes, (ii) AT&amp;T Eligible Notes resulting from the exchange of such notes for New AT&amp;T Notes and the amendment of certain terms of the New AT&amp;T Notes upon consummation of the AT&amp;T Comcast transaction, and (iii) New Broadband Notes and New AT&amp;T Notes that acquired such notes pursuant to the exchange offer regarding the ownership and disposition of the New Broadband Notes and New AT&amp;T Notes after consummation of the AT&amp;T Comcast transaction. This summary assumes that the AT&amp;T Comcast transaction will be completed. If the AT&amp;T Comcast transaction does not occur, there should be no federal income tax consequences from the exchange of Broadband Eligible Notes for Broadband Exchange Notes or AT&amp;T Eligible Notes for New AT&amp;T Notes, as the case may be, and the federal income tax consequences regarding the ownership and disposition of such notes will be the same as those of the Broadband Eligible Notes and AT&amp;T Eligible Notes.</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where otherwise noted, this summary is based on the Internal Revenue Code of 1986, as amended (the "Code"), administrative pronouncements, judicial decisions and existing and proposed U.S. Treasury Regulations, all as in effect on the date of this exchange offer and prospectus and all of which are subject to change, possibly with retroactive effect. This summary assumes that the notes are held as capital assets (within the meaning of Section 1221 of the Code) and does not address the tax consequences that may be relevant to a holder subject to special U.S. tax rules, including, but not limited to, non-U.S. holders, certain expatriates, dealers in securities or foreign currency, banks, trusts, insurance companies, tax-exempt organizations, persons that hold notes as part of a straddle, hedge against currency risk or constructive sale or conversion transaction, persons that have a functional currency other than the U.S. dollar, investors in pass-through entities and persons that acquired such notes as "qualified replacement property" within the meaning of Section 1042 of the Code. Moreover, this discussion does not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54" w:right="1440" w:bottom="1440" w:gutter="0" w:footer="0" w:header="0"/>
        </w:sectPr>
      </w:pPr>
    </w:p>
    <w:bookmarkStart w:id="102" w:name="page103"/>
    <w:bookmarkEnd w:id="102"/>
    <w:p>
      <w:pPr>
        <w:ind w:right="2999"/>
        <w:spacing w:after="0" w:line="237" w:lineRule="auto"/>
        <w:rPr>
          <w:sz w:val="20"/>
          <w:szCs w:val="20"/>
          <w:color w:val="auto"/>
        </w:rPr>
      </w:pPr>
      <w:r>
        <w:rPr>
          <w:rFonts w:ascii="Courier New" w:cs="Courier New" w:eastAsia="Courier New" w:hAnsi="Courier New"/>
          <w:sz w:val="16"/>
          <w:szCs w:val="16"/>
          <w:color w:val="auto"/>
        </w:rPr>
        <w:t>address any aspect of state, local or foreign tax considerations and does not address federal income tax consequences that may be relevant to a particular holder in light of his or her personal circumstances.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As used herein, a "holder" means a beneficial owner of an eligible note or new note who is, for federal income tax purposes:</w:t>
      </w:r>
    </w:p>
    <w:p>
      <w:pPr>
        <w:spacing w:after="0" w:line="180" w:lineRule="exact"/>
        <w:rPr>
          <w:sz w:val="20"/>
          <w:szCs w:val="20"/>
          <w:color w:val="auto"/>
        </w:rPr>
      </w:pPr>
    </w:p>
    <w:p>
      <w:pPr>
        <w:ind w:left="660" w:hanging="195"/>
        <w:spacing w:after="0"/>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(or an entity taxable as a corporation for federal income tax purposes) created or organized in or under the laws of the United States or of any political subdivision thereof;</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subject to federal income taxation regardless of its source; or</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U.S. court is able to exercise primary supervision over the administration of the trust and one or more U.S. persons have the authority to control all substantial decisions of the trust.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 Broadband Eligible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intends to take the position that the exchange of Broadband Eligible Notes for Broadband Exchange Notes is not an exchange pursuant to which gain or loss should be realized for federal income tax purposes. If the exchange is not one pursuant to which gain or loss should be realized, there will be no federal income tax consequences to the exchange of Broadband Eligible Notes for Broadband Exchange Notes and the federal income tax consequences regarding the ownership and disposition of Broadband Exchange Notes will be the same as those of Broadband Eligible Notes. For federal income tax purposes, the exchange of a Broadband Eligible Note for a Broadband Exchange Note followed by an exchange of such Broadband Exchange Note for a New Broadband Note, should be treated as a single exchange of a Broadband Eligible Note for a New Broadband Note upon the consummation of the AT&amp;T Comcast transaction and the following discussion is based on this assumption. For purposes of the following discussion in this section entitled "-- Material United States Federal Income Tax Consequences of the Exchange Offer," all references to "Broadband Eligible Notes" shall include Broadband Exchange Notes.</w:t>
      </w:r>
    </w:p>
    <w:p>
      <w:pPr>
        <w:spacing w:after="0" w:line="190"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Subject to the discussion below relating to excess principal amount, the exchange of Broadband Eligible Notes for New Broadband Notes pursuant to the mandatory exchange will not be treated as a taxable transaction for federal income tax purposes if both the Broadband Eligible Notes and the New Broadband Notes are treated as securities under the relevant provisions of the Code. The term "securities" is not defined under the Code or in the regulations promulgated thereunder. Under applicable administrative pronouncements and judicial decisions, as a general matter, the determination of whether a debt instrument is a security depends on the terms, conditions and other facts and circumstances relating to the instrument and, consequently, is inherently uncertain.</w:t>
      </w:r>
    </w:p>
    <w:p>
      <w:pPr>
        <w:spacing w:after="0" w:line="187" w:lineRule="exact"/>
        <w:rPr>
          <w:sz w:val="20"/>
          <w:szCs w:val="20"/>
          <w:color w:val="auto"/>
        </w:rPr>
      </w:pPr>
    </w:p>
    <w:p>
      <w:pPr>
        <w:ind w:left="460" w:right="2819"/>
        <w:spacing w:after="0" w:line="238" w:lineRule="auto"/>
        <w:rPr>
          <w:sz w:val="20"/>
          <w:szCs w:val="20"/>
          <w:color w:val="auto"/>
        </w:rPr>
      </w:pPr>
      <w:r>
        <w:rPr>
          <w:rFonts w:ascii="Courier New" w:cs="Courier New" w:eastAsia="Courier New" w:hAnsi="Courier New"/>
          <w:sz w:val="16"/>
          <w:szCs w:val="16"/>
          <w:color w:val="auto"/>
        </w:rPr>
        <w:t>Broadband Eligible Notes due January 15, 2022, July 15, 2024, 2025 and December 1, 2031. The Broadband Eligible Notes due January 15, 2022, July 15, 2024, 2025 and December 1, 2031 and the corresponding series of New Broadband Notes will be treated as securities for purposes of the relevant provisions of the Code. Except as described below with respect to cash received in lieu of fractional New Broadband Notes, the material federal income tax consequences of the exchange of such notes to a holder will be as follows:</w:t>
      </w:r>
    </w:p>
    <w:p>
      <w:pPr>
        <w:spacing w:after="0" w:line="185" w:lineRule="exact"/>
        <w:rPr>
          <w:sz w:val="20"/>
          <w:szCs w:val="20"/>
          <w:color w:val="auto"/>
        </w:rPr>
      </w:pPr>
    </w:p>
    <w:p>
      <w:pPr>
        <w:ind w:left="660" w:right="2819" w:hanging="195"/>
        <w:spacing w:after="0" w:line="238" w:lineRule="auto"/>
        <w:tabs>
          <w:tab w:leader="none" w:pos="6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on the exchange, except that gain (measured by the amount by which the "issue price" (as defined below) of the New Broadband Note exceeds the adjusted tax basis (discussed below) of the Broadband Eligible Note), if any, should be recognized but not in an amount in excess of the fair market value of any excess of the principal amount of the New Broadband Note received over the principal amount of the Broadband Eligible Note surrendered (the "excess principal amount");</w:t>
      </w:r>
    </w:p>
    <w:p>
      <w:pPr>
        <w:spacing w:after="0" w:line="185" w:lineRule="exact"/>
        <w:rPr>
          <w:rFonts w:ascii="Courier New" w:cs="Courier New" w:eastAsia="Courier New" w:hAnsi="Courier New"/>
          <w:sz w:val="16"/>
          <w:szCs w:val="16"/>
          <w:color w:val="auto"/>
        </w:rPr>
      </w:pPr>
    </w:p>
    <w:p>
      <w:pPr>
        <w:jc w:val="both"/>
        <w:ind w:left="660" w:right="3099" w:hanging="195"/>
        <w:spacing w:after="0" w:line="237" w:lineRule="auto"/>
        <w:tabs>
          <w:tab w:leader="none" w:pos="6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New Broadband Note will include the holding period of the Broadband Eligible Note exchanged for the New Broadband Note;</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59" w:right="1440" w:bottom="1440" w:gutter="0" w:footer="0" w:header="0"/>
        </w:sectPr>
      </w:pPr>
    </w:p>
    <w:bookmarkStart w:id="103" w:name="page104"/>
    <w:bookmarkEnd w:id="103"/>
    <w:p>
      <w:pPr>
        <w:ind w:left="660" w:right="2819" w:hanging="195"/>
        <w:spacing w:after="0" w:line="237" w:lineRule="auto"/>
        <w:tabs>
          <w:tab w:leader="none" w:pos="6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adjusted tax basis of the New Broadband Note will be the same as the adjusted tax basis of the Broadband Eligible Note exchanged for the New Broadband Note;</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bond premium applicable to the Broadband Eligible Note will carry over to the New Broadband Note;</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market discount on the Broadband Eligible Note not previously treated as ordinary income will carry over to the New Broadband Note to the extent that the holder's tax basis in the Broadband Eligible Note is less than the issue price of the New Broadband Note; and</w:t>
      </w:r>
    </w:p>
    <w:p>
      <w:pPr>
        <w:spacing w:after="0" w:line="174" w:lineRule="exact"/>
        <w:rPr>
          <w:rFonts w:ascii="Courier New" w:cs="Courier New" w:eastAsia="Courier New" w:hAnsi="Courier New"/>
          <w:sz w:val="15"/>
          <w:szCs w:val="15"/>
          <w:color w:val="auto"/>
        </w:rPr>
      </w:pPr>
    </w:p>
    <w:p>
      <w:pPr>
        <w:ind w:left="660" w:right="3099" w:hanging="195"/>
        <w:spacing w:after="0" w:line="237" w:lineRule="auto"/>
        <w:tabs>
          <w:tab w:leader="none" w:pos="6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additional market discount on the Broadband Eligible Note will be converted to original issue discount (discussed below) on the New Broadband Note.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calculation of excess principal amount is not entirely clear under current federal income tax law. In particular, such calculation might be based upon the difference between the stated principal amounts of the Broadband Eligible Note and the New Broadband Note, or, alternatively, the difference between the issue price of the New Broadband Note and the adjusted issue price of the Broadband Eligible Note. Holders should consult their own tax advisors regarding alternative interpretations of excess principal amount and the federal income tax consequences thereof.</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Broadband Eligible Notes due May 15, 2005, 2006, March 1, 2007 and</w:t>
      </w:r>
    </w:p>
    <w:p>
      <w:pPr>
        <w:spacing w:after="0"/>
        <w:tabs>
          <w:tab w:leader="none" w:pos="640" w:val="left"/>
        </w:tabs>
        <w:rPr>
          <w:sz w:val="20"/>
          <w:szCs w:val="20"/>
          <w:color w:val="auto"/>
        </w:rPr>
      </w:pPr>
      <w:r>
        <w:rPr>
          <w:rFonts w:ascii="Courier New" w:cs="Courier New" w:eastAsia="Courier New" w:hAnsi="Courier New"/>
          <w:sz w:val="16"/>
          <w:szCs w:val="16"/>
          <w:color w:val="auto"/>
        </w:rPr>
        <w:t>2009.</w:t>
        <w:tab/>
        <w:t>The Broadband Eligible Notes due May 15, 2005, 2006, March 1, 2007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2009 may be treated as securities and the corresponding series of New Broadband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should be treated as securities for purposes of the relevant provisions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Code. If such Broadband Eligible Notes and the corresponding series of New</w:t>
      </w:r>
    </w:p>
    <w:p>
      <w:pPr>
        <w:spacing w:after="0"/>
        <w:rPr>
          <w:sz w:val="20"/>
          <w:szCs w:val="20"/>
          <w:color w:val="auto"/>
        </w:rPr>
      </w:pPr>
      <w:r>
        <w:rPr>
          <w:rFonts w:ascii="Courier New" w:cs="Courier New" w:eastAsia="Courier New" w:hAnsi="Courier New"/>
          <w:sz w:val="16"/>
          <w:szCs w:val="16"/>
          <w:color w:val="auto"/>
        </w:rPr>
        <w:t>Broadband Notes are properly classified as securities, the material federal</w:t>
      </w:r>
    </w:p>
    <w:p>
      <w:pPr>
        <w:spacing w:after="0" w:line="237" w:lineRule="auto"/>
        <w:rPr>
          <w:sz w:val="20"/>
          <w:szCs w:val="20"/>
          <w:color w:val="auto"/>
        </w:rPr>
      </w:pPr>
      <w:r>
        <w:rPr>
          <w:rFonts w:ascii="Courier New" w:cs="Courier New" w:eastAsia="Courier New" w:hAnsi="Courier New"/>
          <w:sz w:val="16"/>
          <w:szCs w:val="16"/>
          <w:color w:val="auto"/>
        </w:rPr>
        <w:t>income tax consequences of the exchange of such notes will be as described in</w:t>
      </w:r>
    </w:p>
    <w:p>
      <w:pPr>
        <w:spacing w:after="0"/>
        <w:rPr>
          <w:sz w:val="20"/>
          <w:szCs w:val="20"/>
          <w:color w:val="auto"/>
        </w:rPr>
      </w:pPr>
      <w:r>
        <w:rPr>
          <w:rFonts w:ascii="Courier New" w:cs="Courier New" w:eastAsia="Courier New" w:hAnsi="Courier New"/>
          <w:sz w:val="16"/>
          <w:szCs w:val="16"/>
          <w:color w:val="auto"/>
        </w:rPr>
        <w:t>the immediately preceding section. If the Broadband Eligible Notes due May 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2005, 2006, March 1, 2007 and 2009 or the corresponding series of New Broadband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are not properly classified as securities, the material federal income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the exchange of such Broadband Eligible Notes for the New</w:t>
      </w:r>
    </w:p>
    <w:p>
      <w:pPr>
        <w:spacing w:after="0"/>
        <w:rPr>
          <w:sz w:val="20"/>
          <w:szCs w:val="20"/>
          <w:color w:val="auto"/>
        </w:rPr>
      </w:pPr>
      <w:r>
        <w:rPr>
          <w:rFonts w:ascii="Courier New" w:cs="Courier New" w:eastAsia="Courier New" w:hAnsi="Courier New"/>
          <w:sz w:val="16"/>
          <w:szCs w:val="16"/>
          <w:color w:val="auto"/>
        </w:rPr>
        <w:t>Broadband Notes will be a taxable exchange and, except as described below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cash received in lieu of fractional New Broadband Notes, the material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 of the exchange of such notes will be as</w:t>
      </w:r>
    </w:p>
    <w:p>
      <w:pPr>
        <w:spacing w:after="0"/>
        <w:rPr>
          <w:sz w:val="20"/>
          <w:szCs w:val="20"/>
          <w:color w:val="auto"/>
        </w:rPr>
      </w:pPr>
      <w:r>
        <w:rPr>
          <w:rFonts w:ascii="Courier New" w:cs="Courier New" w:eastAsia="Courier New" w:hAnsi="Courier New"/>
          <w:sz w:val="16"/>
          <w:szCs w:val="16"/>
          <w:color w:val="auto"/>
        </w:rPr>
        <w:t>follows:</w:t>
      </w:r>
    </w:p>
    <w:p>
      <w:pPr>
        <w:spacing w:after="0" w:line="184" w:lineRule="exact"/>
        <w:rPr>
          <w:sz w:val="20"/>
          <w:szCs w:val="20"/>
          <w:color w:val="auto"/>
        </w:rPr>
      </w:pPr>
    </w:p>
    <w:p>
      <w:pPr>
        <w:ind w:left="660" w:right="2719" w:hanging="195"/>
        <w:spacing w:after="0" w:line="238" w:lineRule="auto"/>
        <w:tabs>
          <w:tab w:leader="none" w:pos="6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Gain or loss will be recognized in an amount equal to the difference between the issue price of the New Broadband Note (except to the extent the issue price is attributable to accrued but unpaid interest, which is taxable as ordinary interest income upon the exchange) and the holder's adjusted tax basis in the Broadband Eligible Note. If the New Broadband Notes are "traded on an established market" (generally meaning that they are listed on a major securities exchange, appear on a quotation medium of general circulation or otherwise are readily quotable by dealers, brokers or traders during the 60-day period ending 30 days after the date of the exchange), the issue price of the New Broadband Notes will be equal to their fair market value on the date of the mandatory exchange. Otherwise, the issue price of the New Broadband Notes will be equal to the fair market value of the Broadband Eligible Notes exchanged on such date.</w:t>
      </w:r>
    </w:p>
    <w:p>
      <w:pPr>
        <w:spacing w:after="0" w:line="189" w:lineRule="exact"/>
        <w:rPr>
          <w:rFonts w:ascii="Courier New" w:cs="Courier New" w:eastAsia="Courier New" w:hAnsi="Courier New"/>
          <w:sz w:val="16"/>
          <w:szCs w:val="16"/>
          <w:color w:val="auto"/>
        </w:rPr>
      </w:pPr>
    </w:p>
    <w:p>
      <w:pPr>
        <w:ind w:left="660" w:right="2819" w:hanging="195"/>
        <w:spacing w:after="0" w:line="256" w:lineRule="auto"/>
        <w:tabs>
          <w:tab w:leader="none" w:pos="6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adjusted tax basis in the Broadband Eligible Note will generally equal the cost of the note to the holder, increased by the amount of any market discount and accrued but unpaid interest previously included in income by the holder with respect to such Broadband Eligible Note and decreased by any amount of any amortizable bond premium previously deducted from income by the holder with respect to such note.</w:t>
      </w:r>
    </w:p>
    <w:p>
      <w:pPr>
        <w:spacing w:after="0" w:line="175"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or loss recognized on the exchange will generally be capital gain (subject to the market discount rules discussed below) or loss and will be long-term capital gain or loss if at the time of the exchange the Broadband Eligible Note has been held for more than one year. The deduction of capital losses for federal income tax purposes is subject to limitations.</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659" w:right="1440" w:bottom="1440" w:gutter="0" w:footer="0" w:header="0"/>
        </w:sectPr>
      </w:pPr>
    </w:p>
    <w:bookmarkStart w:id="104" w:name="page105"/>
    <w:bookmarkEnd w:id="104"/>
    <w:p>
      <w:pPr>
        <w:ind w:right="3279" w:firstLine="469"/>
        <w:spacing w:after="0" w:line="236" w:lineRule="auto"/>
        <w:rPr>
          <w:sz w:val="20"/>
          <w:szCs w:val="20"/>
          <w:color w:val="auto"/>
        </w:rPr>
      </w:pPr>
      <w:r>
        <w:rPr>
          <w:rFonts w:ascii="Courier New" w:cs="Courier New" w:eastAsia="Courier New" w:hAnsi="Courier New"/>
          <w:sz w:val="16"/>
          <w:szCs w:val="16"/>
          <w:color w:val="auto"/>
        </w:rPr>
        <w:t>Cash Received in Connection with the Exchange by Holders of Broadband Eligible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 holder of Broadband Eligible Notes will not be entitled to receive any fractional New Broadband Notes in exchange for Broadband Eligible Notes but will receive cash in lieu of such fractional interest. For federal income tax purposes, a holder may be treated as if it received the fractional New Broadband Note pursuant to the mandatory exchange and received the cash in retirement of such fractional interest. In that case, a holder generally would recognize taxable gain or loss based upon the difference between the amount of cash received and such holder's adjusted tax basis in the fractional New Broadband Note. The gain or loss recognized on the retirement of a fractional New Broadband Note would be treated as described below for the sale or disposition of a New Broadband Note. Alternatively, a holder may be treated as having received New Broadband Notes and cash in exchange for Broadband Eligible Notes. In that event, holders of Broadband Eligible Notes that qualify as securities for federal income tax purposes would recognize gain (but not loss) in an amount equal to the lesser of the gain realized, if any, with respect to the Broadband Eligible Notes exchanged and the cash received. Such holders should consult their own tax advisors regarding alternative characterizations of any cash received in lieu of fractional New Broadband Notes.</w:t>
      </w:r>
    </w:p>
    <w:p>
      <w:pPr>
        <w:spacing w:after="0" w:line="35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Payments of accrued interest on any series of Broadband Eligible Notes made at the time of the mandatory exchange will be taxable to a holder as ordinary interest income, unless such holder has previously included such amount in income in accordance with its method of accounting for federal income tax purposes.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 AT&amp;T Eligible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intends to take the position that the exchange of AT&amp;T Eligible Notes for New AT&amp;T Notes is not an exchange pursuant to which gain or loss should be realized for federal income tax purposes. If the exchange is not one pursuant to which gain or loss should be realized, there will be no federal income tax consequences to the exchange of AT&amp;T Eligible Notes for New AT&amp;T Notes and the federal income tax consequences regarding the ownership and disposition of New AT&amp;T Notes prior to the consummation of the AT&amp;T Comcast transaction will be the same as those of AT&amp;T Eligible Notes. As described below, for federal income tax purposes, the modification of a New AT&amp;T Note in connection with the AT&amp;T Comcast transaction may be treated as an exchange. For purposes of the following discussion in this section entitled "-- Material United States Federal Income Tax Consequences of the Exchange Offer," all references to "AT&amp;T Eligible Notes" shall include New AT&amp;T Notes prior to the modification of the terms of such notes upon consummation of the AT&amp;T Comcast transaction.</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Eligible Notes due 2054. For federal income tax purposes, a "significant modification" of a debt instrument -- i.e., a modification that results in a debt instrument that differs materially either in kind or in extent -- may be treated as a taxable exchange of the debt instrument for a new debt instrument, whether or not evidenced by a physical surrender of the debt instrument for a newly-issued debt instrument. Under applicable Treasury regulations, a change in yield of a debt instrument generally is a significant modification if the yield, as modified (determined taking into account any payments made to the holder as consideration for the modification), varies from the yield of the unmodified instrument by more than the greater of (i) 0.25% and (ii) 5% of the annual yield of the unmodified instrument.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adjusted rate of interest that will be received by a holder of a New AT&amp;T Note due 2054 upon consummation of the AT&amp;T Comcast transaction does not increase the yield of a New AT&amp;T Note held by such holder by more than the greater of (i) 0.25% and (ii) 5% of the AT&amp;T Eligible Note's current annual yield, the adjustment will not result in a deemed exchange pursuant to which gain or loss should be realized for federal income tax purposes. In that event, there should be no federal income tax consequences from the adjustment of the interest rate of the AT&amp;T Eligible Notes due 2054 and the federal income tax consequences regarding the ownership and disposition of such notes will be the same as those of the AT&amp;T Eligible Notes due 2054.</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If the adjustment of the interest rate does increase the yield of a New AT&amp;T Note held by a holder of an AT&amp;T Eligible Note due 2054 by more than the greater of (i) 0.25% and (ii) 5% of the AT&amp;T</w:t>
      </w:r>
    </w:p>
    <w:p>
      <w:pPr>
        <w:ind w:left="374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659" w:right="1440" w:bottom="1440" w:gutter="0" w:footer="0" w:header="0"/>
        </w:sectPr>
      </w:pPr>
    </w:p>
    <w:bookmarkStart w:id="105" w:name="page106"/>
    <w:bookmarkEnd w:id="105"/>
    <w:p>
      <w:pPr>
        <w:ind w:right="2899"/>
        <w:spacing w:after="0" w:line="238" w:lineRule="auto"/>
        <w:rPr>
          <w:sz w:val="20"/>
          <w:szCs w:val="20"/>
          <w:color w:val="auto"/>
        </w:rPr>
      </w:pPr>
      <w:r>
        <w:rPr>
          <w:rFonts w:ascii="Courier New" w:cs="Courier New" w:eastAsia="Courier New" w:hAnsi="Courier New"/>
          <w:sz w:val="16"/>
          <w:szCs w:val="16"/>
          <w:color w:val="auto"/>
        </w:rPr>
        <w:t>Eligible Note's current annual yield, the adjustment will result in a deemed exchange pursuant to which gain or loss should be realized. In that event, the federal income tax consequences of the deemed exchange will depend on whether the AT&amp;T Eligible Notes due 2054 and the corresponding New AT&amp;T Notes are treated as securities for purposes of the relevant provisions of the Code. Holders should consult their own tax advisors to evaluate whether the AT&amp;T Eligible Notes due 2054 qualify as securities for federal income tax purposes and the tax consequences of a deemed exchange to them.</w:t>
      </w:r>
    </w:p>
    <w:p>
      <w:pPr>
        <w:spacing w:after="0" w:line="36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Eligible Notes due 2029. AT&amp;T intends to take the position that the change of the maturity of the AT&amp;T Eligible Notes due 2029 from March 15, 2029 to March 15, 2013 that would occur upon consummation of the AT&amp;T Comcast transaction is not a deemed exchange pursuant to which gain or loss should be realized for federal income tax purposes. In the event that there also were an adjustment to the rate of interest which will be received by a holder of a New AT&amp;T Note due March 15, 2013 upon consummation of the AT&amp;T Comcast transaction and such adjustment does not increase the yield of a New AT&amp;T Note held by such holder by more than the greater of (i) 0.25% and (ii) 5% of the AT&amp;T Eligible Note's current annual yield, there will be no federal income tax consequences from the adjustment, if any, of the interest rate and the federal income tax consequences regarding the ownership and disposition of such notes will be the same as those of the AT&amp;T Eligible Notes due 2029.</w:t>
      </w:r>
    </w:p>
    <w:p>
      <w:pPr>
        <w:spacing w:after="0" w:line="3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change of the maturity or the adjustment, if any, of the interest rate of the AT&amp;T Eligible Notes due 2029 resulted in a deemed exchange pursuant to which gain or loss is realized, since the AT&amp;T Eligible Notes due 2029 and the corresponding New AT&amp;T Notes will be treated as securities for purposes of the relevant provisions of the Code, the federal income tax consequences of such deemed exchange would be the same as those described above for the exchange of Broadband Eligible Notes that qualify as securities for New Broadband Notes that qualify as securities, except that the issue price of the New AT&amp;T Notes will be determined in the manner described below with respect to the AT&amp;T Eligible Notes due May 15, 2025.</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Eligible Notes due 2004 and May 15, 2025. The adjusted rate of interest, which will be received by a holder that exchanges an AT&amp;T Eligible Note due 2004 or May 15, 2025 for a corresponding New AT&amp;T Note upon consummation of the AT&amp;T Comcast transaction, may increase the yield of a New AT&amp;T Note held by such holder by more than both (i) 0.25% and (ii) 5% of the AT&amp;T Eligible Note's current annual yield. Accordingly, for federal income tax purposes, a holder of such an AT&amp;T Eligible Note may be deemed to have exchanged the AT&amp;T Eligible Note for a New AT&amp;T Note in a taxable exchange.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adjusted rate of interest that will be received by a holder of a New AT&amp;T Note due 2004 or May 15, 2025 upon consummation of the AT&amp;T Comcast transaction does not increase the yield of a New AT&amp;T Note held by such holder by more than the greater of (i) 0.25% and (ii) 5% of the AT&amp;T Eligible Note's current annual yield, the adjustment will not result in a deemed exchange pursuant to which gain or loss should be recognized for federal income tax purposes. In that event, there should be no federal income tax consequences from the adjustment of the interest rate and the federal income tax consequences regarding the ownership and disposition of such notes will be the same as those of the AT&amp;T Eligible Notes due 2004 or May 15, 2025. Otherwise, the adjustment will result in a deemed exchange pursuant to which gain or loss should be recognized for federal income tax purposes and the material federal income tax consequences of such deemed exchange are as described below.</w:t>
      </w:r>
    </w:p>
    <w:p>
      <w:pPr>
        <w:spacing w:after="0" w:line="3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Eligible Notes due 2004 may be treated as securities and the corresponding series of New AT&amp;T Notes will not be treated as securities for purposes of the relevant provisions of the Code. The material federal income tax consequences of a deemed exchange of such notes will be as described above for the exchange of Broadband Eligible Notes for New Broadband Notes in which the Broadband Eligible Notes and/or the New Broadband Notes do not qualify as securities, except that (1) the issue price of the New AT&amp;T Notes will be determined in the manner described below with respect to the AT&amp;T Eligible Notes due May 15, 2025 and (2) holders that are cash method taxpayers may need to include in income interest that has accrued but has not yet been paid as of the date of the deemed exchange, but any such interest would not be included in income when it is actually paid.</w:t>
      </w:r>
    </w:p>
    <w:p>
      <w:pPr>
        <w:spacing w:after="0" w:line="36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659" w:right="1440" w:bottom="1440" w:gutter="0" w:footer="0" w:header="0"/>
        </w:sectPr>
      </w:pPr>
    </w:p>
    <w:bookmarkStart w:id="106" w:name="page107"/>
    <w:bookmarkEnd w:id="106"/>
    <w:p>
      <w:pPr>
        <w:ind w:right="2819" w:firstLine="469"/>
        <w:spacing w:after="0" w:line="238" w:lineRule="auto"/>
        <w:rPr>
          <w:sz w:val="20"/>
          <w:szCs w:val="20"/>
          <w:color w:val="auto"/>
        </w:rPr>
      </w:pPr>
      <w:r>
        <w:rPr>
          <w:rFonts w:ascii="Courier New" w:cs="Courier New" w:eastAsia="Courier New" w:hAnsi="Courier New"/>
          <w:sz w:val="16"/>
          <w:szCs w:val="16"/>
          <w:color w:val="auto"/>
        </w:rPr>
        <w:t>The AT&amp;T Eligible Notes due May 15, 2025 and the corresponding series of New AT&amp;T Notes will be treated as securities for purposes of the relevant provisions of the Code. Consequently, the material federal income tax consequences of a deemed exchange of such notes will be as described above for the exchange of Broadband Eligible Notes that qualify as securities for New Broadband Notes that qualify as securities, except that the issue price of the New AT&amp;T Notes will be equal to their fair market value if such notes are considered to be "traded on an established market" or, alternatively, equal to the fair market value of the AT&amp;T Eligible Notes deemed exchanged, in each case as of the date on which the deemed exchange occurs.</w:t>
      </w:r>
    </w:p>
    <w:p>
      <w:pPr>
        <w:spacing w:after="0" w:line="36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Nonparticipation in the Exchange Offer</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While the matter is not free from doubt, AT&amp;T intends to take the position that the adoption of the note amendment should not constitute a significant modification of the terms of the Broadband Eligible Notes or AT&amp;T Eligible Notes. As such, holders of Broadband Eligible Notes or AT&amp;T Eligible Notes that do not participate in the exchange offer should not be deemed to have exchanged their Broadband Eligible Notes or AT&amp;T Eligible Notes, and otherwise should not recognize income, gain or loss solely as a result of the adoption of the note amendment.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Similarly, there should be no federal income tax consequences of the exchange offer to a participating holder with respect to any portion of the holder's eligible notes that are not tendered, are withdrawn prior to the expiration of the exchange offer, or are not exchanged because of proration. Furthermore, if the AT&amp;T Comcast transaction does not occur, there should be no federal income tax consequences from the exchange of Broadband Eligible Notes for Broadband Exchange Notes or AT&amp;T Eligible Notes for New AT&amp;T Notes, as the case may be, and the federal income tax consequences regarding the ownership and disposition of such notes will be the same as those of the Broadband Eligible Notes and AT&amp;T Eligible Notes.</w:t>
      </w:r>
    </w:p>
    <w:p>
      <w:pPr>
        <w:spacing w:after="0" w:line="187"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Broadband Eligible Notes or AT&amp;T Eligible Notes Purchased With Market Discount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gain recognized by a holder on the exchange of Broadband Eligible Notes or AT&amp;T Eligible Notes having market discount will be treated as ordinary income to the extent of the market discount that has accrued while such Broadband Eligible Notes or AT&amp;T Eligible Notes were held by the holder, unless the holder has included market discount in income currently as it accrues. In general, market discount is the excess, if any, of the Broadband Eligible Notes' or AT&amp;T Eligible Notes' stated redemption price at maturity over the holder's tax basis therein immediately after its acquisition (unless the amount of such excess is less than a specified de minimis amount, in which case the market discount is considered to be zero).</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Consequences of Holding New Broadband Notes or New AT&amp;T Notes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summary of the principal federal income tax consequences resulting from the ownership and disposition of (i) New Broadband Notes and (ii) New AT&amp;T Notes after the consummation of the AT&amp;T Comcast transaction. To the extent that the adjustment to the rate of interest of the AT&amp;T Eligible Notes due 2054 or the change of the maturity of the AT&amp;T Eligible Notes due 2029 upon consummation of the AT&amp;T Comcast transaction did not result in a deemed exchange pursuant to which gain or loss is realized for federal income tax purposes, the principal federal income tax consequences resulting from the ownership and disposition of such notes will not change. The discussion that follows, therefore, is not applicable to the New AT&amp;T Notes due 2054 or the New AT&amp;T Notes due 2013.</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Payments of Interest and Original Issue Discount. Qualified stated interest (defined as stated interest that is unconditionally payable in cash or property at least annually at a single fixed rate of interest) paid on a New Broadband Note or New AT&amp;T Note will be taxable to a holder as ordinary interest income at the time it accrues or is received in accordance with the holder's method of accounting for federal income tax purposes. Each New Broadband Note or New AT&amp;T Note will be considered to be issued with original issue discount ("OID") if the "stated redemption price at maturity" of the New Broadband Note or New AT&amp;T Note exceeds its "issue price", provided such excess is greater than a specified de minimis</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839" w:right="1440" w:bottom="1440" w:gutter="0" w:footer="0" w:header="0"/>
        </w:sectPr>
      </w:pPr>
    </w:p>
    <w:bookmarkStart w:id="107" w:name="page108"/>
    <w:bookmarkEnd w:id="107"/>
    <w:p>
      <w:pPr>
        <w:ind w:right="2719"/>
        <w:spacing w:after="0" w:line="238" w:lineRule="auto"/>
        <w:rPr>
          <w:sz w:val="20"/>
          <w:szCs w:val="20"/>
          <w:color w:val="auto"/>
        </w:rPr>
      </w:pPr>
      <w:r>
        <w:rPr>
          <w:rFonts w:ascii="Courier New" w:cs="Courier New" w:eastAsia="Courier New" w:hAnsi="Courier New"/>
          <w:sz w:val="16"/>
          <w:szCs w:val="16"/>
          <w:color w:val="auto"/>
        </w:rPr>
        <w:t>amount. For purposes of the foregoing, the general rule is that the stated redemption price at maturity of a debt instrument is the sum of all payments provided by the debt instrument other than payments of qualified stated interest. The issue price of each New Broadband Note or New AT&amp;T Note (other than a New AT&amp;T Note due 2054) will be equal to such note's fair market value if such note is considered to be "traded on an established market" or, alternatively, equal to the to the fair market value of the Eligible Broadband Notes exchanged or Eligible AT&amp;T Notes deemed exchanged, in each case as of the date on which the exchange or deemed exchange occurs. Holders of New AT&amp;T Notes due 2054 should consult their own tax advisors regarding the determination of the issue price of such notes and the amounts of qualified stated interest and OID.</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Each New Broadband Note and each New AT&amp;T Note may be issued with OID that exceeds the specified de minimis amount. In that event, each holder will be required to include in income each year, without regard to whether any cash payments of interest are made with respect to the New Broadband Notes and New AT&amp;T Notes and without regard to the holder's method of accounting for federal income tax purposes, a portion of the OID on the New Broadband Notes and New AT&amp;T Notes so as to provide a constant yield to maturity, subject to reductions in respect of acquisition premium as described below. The amount required to be so included will be treated as ordinary income. Any amount of such OID included in income will increase a holder's adjusted tax basis in a New Broadband Note or New AT&amp;T Note, and any payments from the issuer to the holder, other than payments of qualified stated interest, will decrease a holder's adjusted tax basis in such notes. A holder will not be subject to federal income tax on such payments. In compliance with U.S. Treasury regulations, AT&amp;T or Broadband, as the case may be, will provide certain information to the Internal Revenue Service ("IRS") and holders that is relevant to determining the amount of OID in each accrual period.</w:t>
      </w:r>
    </w:p>
    <w:p>
      <w:pPr>
        <w:spacing w:after="0" w:line="19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a holder's tax basis in a New Broadband Note or New AT&amp;T Note immediately after the exchange of a Broadband Eligible Note for a New Broadband Note or an AT&amp;T Eligible Note for a New AT&amp;T Note, exceeds the sum of all amounts payable on such New Broadband Note or New AT&amp;T Note other than qualified stated interest then the holder will not be required to include OID in gross income.</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Acquisition Premium and Amortizable Bond Premium. If a holder's adjusted tax basis in a New Broadband Note or New AT&amp;T Note immediately after the exchange of a Broadband Eligible Note for a New Broadband Note or the deemed exchange of an AT&amp;T Eligible Note for a New AT&amp;T Note, (i) is less than or equal to the sum of all amounts payable on the New Broadband Note or New AT&amp;T Note (other than payments of qualified stated interest), but (ii) exceeds the adjusted issue price of such New Broadband Note or New AT&amp;T Note, such excess will be considered "acquisition premium". In such case, a holder may reduce its OID inclusions with respect to the New Broadband Note or New AT&amp;T Note by an amount equal to the amount of OID such holder would otherwise include in its gross income multiplied by a fraction, the numerator of which is the amount of acquisition premium and the denominator of which is the excess of the sum of all amounts (other than qualified stated interest) payable on the New Broadband Note or New AT&amp;T Note after the date of the exchange over the adjusted issue price of the New Broadband Note or New AT&amp;T Note. Alternatively, a holder may elect to amortize acquisition premium on a constant-yield basis.</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If a holder's adjusted tax basis in a New Broadband Note or New AT&amp;T Note immediately after the exchange of a Broadband Eligible Note for a New Broadband Note or the deemed exchange of an AT&amp;T Eligible Note for a New AT&amp;T Note exceeds the amount that is payable at maturity, the holder will be considered to have amortizable bond premium equal to such excess. The holder may elect to amortize this premium using a constant yield method, over the remaining term of the note (where the note is not optionally redeemable prior to its maturity date). If the note may be optionally redeemed prior to maturity, the amount of amortizable bond premium is determined with reference to the amount payable on maturity or, if it results in a smaller premium attributable to the period up to the earlier redemption date, with reference to the amount payable on the earlier redemption date. A holder who elects to amortize bond premium may offset each interest payment on such note by the portion of the bond premium allocable to such payment and must reduce its tax basis in the note by the amount of the premium</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659" w:right="1440" w:bottom="1440" w:gutter="0" w:footer="0" w:header="0"/>
        </w:sectPr>
      </w:pPr>
    </w:p>
    <w:bookmarkStart w:id="108" w:name="page109"/>
    <w:bookmarkEnd w:id="108"/>
    <w:p>
      <w:pPr>
        <w:ind w:right="2999"/>
        <w:spacing w:after="0" w:line="237" w:lineRule="auto"/>
        <w:rPr>
          <w:sz w:val="20"/>
          <w:szCs w:val="20"/>
          <w:color w:val="auto"/>
        </w:rPr>
      </w:pPr>
      <w:r>
        <w:rPr>
          <w:rFonts w:ascii="Courier New" w:cs="Courier New" w:eastAsia="Courier New" w:hAnsi="Courier New"/>
          <w:sz w:val="16"/>
          <w:szCs w:val="16"/>
          <w:color w:val="auto"/>
        </w:rPr>
        <w:t>amortized in any year. An election to amortize bond premium applies to all taxable debt obligations then owned and thereafter acquired by the holder and may be revoked only with the consent of the IRS.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Market Discount. Market discount on a Broadband Eligible Note or AT&amp;T Eligible Note will carry over to the New Broadband Note or New AT&amp;T Note to the extent that the holder's tax basis in the Broadband Eligible Note or AT&amp;T Eligible Note is less than the issue price of the New Broadband Note or AT&amp;T Eligible Note. A holder will be required to treat any principal payment on, or any gain on the sale, exchange, retirement or other disposition of a New Broadband Note or New AT&amp;T Note as ordinary income to the extent of the market discount on the note at the time of the payment or disposition unless the market discount has been previously included in income by the holder pursuant to an election by the holder to include the market discount in income as it accrues, or pursuant to a constant yield election by the holder. If the New Broadband Note or New AT&amp;T Note is disposed of in certain nontaxable transactions, accrued market discount will be includible as ordinary income to the holder as if the holder had sold the note at its then fair market value. In addition, the holder may be required to defer, until the maturity of the note or its earlier disposition (including certain nontaxable transactions), the deduction of all or a portion of the interest expense on any indebtedness incurred or maintained to purchase or carry such note.</w:t>
      </w:r>
    </w:p>
    <w:p>
      <w:pPr>
        <w:spacing w:after="0" w:line="192"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Sale, Exchange, Redemption or other Taxable Disposition of New Broadband Notes or New AT&amp;T Notes. Upon the sale, exchange, redemption or other taxable disposition of a New Broadband Note or New AT&amp;T Note, a holder will recognize gain or loss, if any, for federal income tax purposes equal to the difference between (i) the amount realized upon the sale, exchange, redemption or other taxable disposition (except to the extent such amount is attributable to accrued but unpaid interest, which is taxable as ordinary interest income upon the sale, exchange, redemption or other taxable disposition) and (ii) such holder's adjusted tax basis in such New Broadband Notes or New AT&amp;T Notes. A holder's adjusted tax basis in a New Broadband Note or New AT&amp;T Note that was received in a tax-free exchange of a Broadband Eligible Note or AT&amp;T Eligible Note is generally the adjusted tax basis of such Broadband Eligible Note or AT&amp;T Eligible Note, and a holder's adjusted tax basis in a New Broadband Note or a New AT&amp;T Note that was received in a taxable exchange of a Broadband Eligible Note or AT&amp;T Eligible Note is generally the issue price of such note, in each case increased by any original issue discount, accrued but unpaid interest and market discount, if any, included in such holder's income and reduced (but not below zero) by any amortized bond premium which a holder has elected to deduct from taxable income on an annual basis and any payments other than payments of "qualified stated interest" with respect to a New Broadband Note or New AT&amp;T Note.</w:t>
      </w:r>
    </w:p>
    <w:p>
      <w:pPr>
        <w:spacing w:after="0" w:line="19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as provided below, any gain or loss recognized on the sale, exchange or redemption of a New Broadband Note or New AT&amp;T Note will generally be capital gain or loss and will be long-term capital gain or loss if at the time of sale, exchange or redemption the holder's holding period of the New Broadband Note or New AT&amp;T Note for federal income tax purposes is more than one year. A holder that has market discount with respect to a New Broadband Note or New AT&amp;T Note will generally be required to treat gain realized on the sale, exchange, redemption or other disposition of the New Broadband Notes or New AT&amp;T Notes (including certain dispositions which are nonrecognition transactions under the Code) as ordinary income to the extent of the market discount accrued to the date of the disposition, less any accrued market discount previously reported as ordinary income.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Information Reporting and Backup Withholding</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Information reporting requirements will generally apply to certain payments made and OID with respect to the New Broadband Notes and New AT&amp;T Notes. To prevent backup withholding at the then applicable rate with respect to such payments and with respect to the exchange, federal income tax law requires that each exchanging holder must provide the exchange agent with such holder's correct taxpayer identification number which, in the case of an individual is his or her social security number, and certain other information, or otherwise establish a basis for exemption from backup withholding. Exempt holders (including, among others, all corporations, and certain foreign individuals) are not subject to these backup withholding and information reporting requirements. Backup withholding tax is not an additional federal</w:t>
      </w:r>
    </w:p>
    <w:p>
      <w:pPr>
        <w:spacing w:after="0" w:line="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659" w:right="1440" w:bottom="1440" w:gutter="0" w:footer="0" w:header="0"/>
        </w:sectPr>
      </w:pPr>
    </w:p>
    <w:bookmarkStart w:id="109" w:name="page110"/>
    <w:bookmarkEnd w:id="109"/>
    <w:p>
      <w:pPr>
        <w:ind w:right="2899"/>
        <w:spacing w:after="0" w:line="237" w:lineRule="auto"/>
        <w:rPr>
          <w:sz w:val="20"/>
          <w:szCs w:val="20"/>
          <w:color w:val="auto"/>
        </w:rPr>
      </w:pPr>
      <w:r>
        <w:rPr>
          <w:rFonts w:ascii="Courier New" w:cs="Courier New" w:eastAsia="Courier New" w:hAnsi="Courier New"/>
          <w:sz w:val="16"/>
          <w:szCs w:val="16"/>
          <w:color w:val="auto"/>
        </w:rPr>
        <w:t>income tax. Rather, the federal income tax liability of persons subject to backup withholding tax will be offset by the amount of tax withheld. If backup withholding tax results in an overpayment of federal income tax, a refund or credit may be obtained from the IRS, provided the required information is furnished.</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FOREGOING DISCUSSION IS NOT INTENDED TO BE A COMPLETE ANALYSIS OR DESCRIPTION OF ALL POTENTIAL FEDERAL INCOME TAX CONSIDERATIONS OR ANY OTHER CONSIDERATIONS RELATING TO THE EXCHANGE OF BROADBAND ELIGIBLE NOTES OR AT&amp;T ELIGIBLE NOTES OR THE MODIFICATION OF CERTAIN TERMS OF SUCH NOTES UPON CONSUMMATION OF THE AT&amp;T COMCAST TRANSACTION. THUS, HOLDERS ARE URGED TO CONSULT THEIR OWN TAX ADVISORS AS TO THE SPECIFIC TAX CONSEQUENCES OF THE TENDER TO THEM, INCLUDING TAX RETURN REPORTING REQUIREMENTS, THE APPLICABILITY AND EFFECT OF FEDERAL, STATE, LOCAL, FOREIGN AND OTHER APPLICABLE TAX LAWS AND THE EFFECT OF ANY PROPOSED CHANGES IN THE TAX LAWS.</w:t>
      </w:r>
    </w:p>
    <w:p>
      <w:pPr>
        <w:spacing w:after="0" w:line="186"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CONSEQUENCES OF FAILURES TO PROPERLY TENDER BROADBAND ELIGIBLE NOTES AND AT&amp;T ELIGIBLE NOTES IN THE EXCHANGE OFFER</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Issuance of the Broadband Exchange Notes and the New AT&amp;T Notes in exchange for the Broadband Eligible Notes and AT&amp;T Eligible Notes, respectively, under the exchange offer will be made only after timely receipt by the exchange agent of such Broadband Eligible Notes or AT&amp;T Eligible Notes, a properly completed and duly executed letter of transmittal and all other required documents, and the completion of the proration process with respect to any series of Broadband Eligible Notes. Therefore, holders desiring to tender Broadband Eligible Notes or AT&amp;T Eligible Notes in exchange for Broadband Exchange Notes or New AT&amp;T Notes, as applicable, should allow sufficient time to ensure timely delivery. We are under no duty to give notification of defects or irregularities of tenders of Broadband Eligible Notes or AT&amp;T Eligible Notes for exchange.</w:t>
      </w:r>
    </w:p>
    <w:p>
      <w:pPr>
        <w:spacing w:after="0" w:line="17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To the extent that Broadband Eligible Notes and AT&amp;T Eligible Notes are tendered and accepted in connection with the exchange offer, any trading markets for the remaining Broadband Eligible Notes and AT&amp;T Eligible Notes could be adversely affected. See "Risk Factors -- Risks Relating to the Exchange Offer."</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To the extent that any Broadband Eligible Notes and AT&amp;T Eligible Notes remain outstanding following completion of the exchange offer, they will remain obligations of AT&amp;T.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None of AT&amp;T, Broadband or any other party will receive any proceeds from the issuance of the new notes in the exchange offer. The amount that Broadband would otherwise be required to pay to AT&amp;T upon completion of the AT&amp;T Comcast transaction to satisfy intercompany indebtedness then outstanding will be reduced based upon the aggregate principal amount of New Broadband Notes issued in the mandatory exchange.</w:t>
      </w:r>
    </w:p>
    <w:p>
      <w:pPr>
        <w:spacing w:after="0" w:line="3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659" w:right="1440" w:bottom="1440" w:gutter="0" w:footer="0" w:header="0"/>
        </w:sectPr>
      </w:pPr>
    </w:p>
    <w:bookmarkStart w:id="110" w:name="page111"/>
    <w:bookmarkEnd w:id="110"/>
    <w:p>
      <w:pPr>
        <w:ind w:left="2160"/>
        <w:spacing w:after="0"/>
        <w:rPr>
          <w:sz w:val="20"/>
          <w:szCs w:val="20"/>
          <w:color w:val="auto"/>
        </w:rPr>
      </w:pPr>
      <w:r>
        <w:rPr>
          <w:rFonts w:ascii="Courier New" w:cs="Courier New" w:eastAsia="Courier New" w:hAnsi="Courier New"/>
          <w:sz w:val="16"/>
          <w:szCs w:val="16"/>
          <w:color w:val="auto"/>
        </w:rPr>
        <w:t>DESCRIPTION OF THE NOTE AMENDMENT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 AMENDMENT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Any holders of Broadband Eligible Notes or AT&amp;T Eligible Notes whose notes are accepted in the exchange offer must consent to the note amendment to the AT&amp;T Indenture governing each series of those notes, upon the terms and subject to the conditions set forth in this prospectus, the accompanying letter of transmittal, applicable law and, to the extent applicable, the AT&amp;T Indenture. The note amendment would change the terms of the notes regarding the consolidation, merger with, or sale or conveyance of all or substantially all of the property of, AT&amp;T to clarify that in connection with the AT&amp;T Comcast transaction the successor formed by the consolidation or merger, or to which AT&amp;T shall have transferred the property, need not assume the obligations of AT&amp;T under the notes of that series and that such a successor shall not succeed to and be substituted for AT&amp;T under the notes of that series. The note amendment is described in further detail under "-- Terms of the Note Amendment."</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note amendment is designed to satisfy a condition to the AT&amp;T Comcast transaction. The AT&amp;T Comcast transaction is conditioned on AT&amp;T's obtaining the consent of, or having defeased, purchased, retired or acquired debt in respect of series representing 90% in aggregate principal amount of AT&amp;T Notes outstanding on December 19, 2001, which was approximately $12.7 billion, of debt securities issued under the AT&amp;T Indenture. As of the date of this prospectus, approximately $11.8 billion of these debt securities, including the Broadband Eligible Notes and AT&amp;T Eligible Notes, remained outstanding. AT&amp;T and Comcast could mutually agree to waive this condition with respect to all or any portion of the AT&amp;T Notes for which consents are not obtained. If the AT&amp;T Comcast transaction were to occur and if holders of the AT&amp;T Notes were to assert successfully that completing that AT&amp;T Comcast transaction required Broadband or one of its affiliates to assume AT&amp;T's obligations under the AT&amp;T Notes and that did not occur, then AT&amp;T could be required to refinance that indebtedness.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NOTE AMENDMENT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note amendment is an amendment to the AT&amp;T Indenture covenant regarding the consolidation, merger with, or sale or conveyance of all or substantially all of the property of AT&amp;T. The note amendment will be effective with respect to each series of notes that consents to the amendment and will provide that the AT&amp;T Comcast transaction, including all transactions consummated as steps in the AT&amp;T Comcast transaction, (1) will not result in a consolidation, merger, sale, conveyance or other transfer of property of AT&amp;T (including stock of subsidiaries) as an entirety or substantially as an entirety for purposes of the AT&amp;T Indenture, and (2) will not violate the successor clause of the AT&amp;T Indenture or any other provision of the AT&amp;T Indenture or any security issued under the AT&amp;T Indenture, regardless of whether any person assumes any of the indebtedness outstanding under the AT&amp;T Indenture or any other obligation under the AT&amp;T Indenture or any security issued under the AT&amp;T Indenture.</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foregoing description of the terms of the note amendment is qualified in its entirety by reference to the forms of the supplemental indenture with respect to the Broadband Exchange Notes and the supplemental indenture with respect to all other AT&amp;T Notes, which are filed as exhibits to the registration statement of which this prospectus is a part. The forms of supplemental indentures to the AT&amp;T Indenture may be modified or supplemented before their execution in a manner that would not require us to obtain additional consents under the terms of the AT&amp;T Indenture. The description is also qualified in its entirety by reference to the full provisions of the AT&amp;T Indenture, which is filed as an exhibit to the registration statement of which this prospectus is a part, and copies of which the information agent can provide to you. Holders of Broadband Eligible Notes or AT&amp;T Eligible Notes should carefully review the note amendment before consenting to the note amendment by tendering and not withdrawing their notes in the exchange offer.</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654"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6"/>
          <w:szCs w:val="16"/>
          <w:color w:val="auto"/>
        </w:rPr>
        <w:t>CONDITIONS TO THE NOTE AMENDMENT</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adoption of the note amendment is conditioned on</w:t>
      </w:r>
    </w:p>
    <w:p>
      <w:pPr>
        <w:spacing w:after="0" w:line="185" w:lineRule="exact"/>
        <w:rPr>
          <w:sz w:val="20"/>
          <w:szCs w:val="20"/>
          <w:color w:val="auto"/>
        </w:rPr>
      </w:pPr>
    </w:p>
    <w:p>
      <w:pPr>
        <w:ind w:left="660" w:right="2719" w:hanging="195"/>
        <w:spacing w:after="0" w:line="237" w:lineRule="auto"/>
        <w:tabs>
          <w:tab w:leader="none" w:pos="6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receiving the requisite consents to the note amendment and AT&amp;T having so certified to the indenture trustee; see "-- Requisite Consents; Outstanding Notes;"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transaction not having been terminated.</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If these conditions are satisfied, AT&amp;T and Broadband expect to execute and deliver to the indenture trustee the supplemental indentures with respect to each consenting series of notes as soon as the requisite consents are obtained. The supplemental indentures will be effective as soon as they are executed.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REQUISITE CONSENTS; OUTSTANDING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order for the note amendment to be effective as to a series of Broadband Eligible Notes or AT&amp;T Eligible Notes, registered holders of more than 50% in aggregate principal amount of the notes of that series outstanding at the expiration of the exchange offer must have been accepted in the exchange offer and consented to the note amendment as of the expiration of the exchange offer with respect to that series. For these purposes, all of the Series A Medium-Term Notes outstanding are treated as part of a single series. The following table sets forth the principal amount outstanding of each series of Broadband Eligible Notes and AT&amp;T Eligible Notes as of the date of this prospectus.</w:t>
      </w:r>
    </w:p>
    <w:p>
      <w:pPr>
        <w:spacing w:after="0" w:line="17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PRINCIPAL AMOUNT BROADBAND ELIGIBLE NOTES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OUTSTANDING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------ 7.00% Notes Due May 15,</w:t>
      </w:r>
    </w:p>
    <w:p>
      <w:pPr>
        <w:jc w:val="center"/>
        <w:ind w:right="5539"/>
        <w:spacing w:after="0"/>
        <w:rPr>
          <w:sz w:val="20"/>
          <w:szCs w:val="20"/>
          <w:color w:val="auto"/>
        </w:rPr>
      </w:pPr>
      <w:r>
        <w:rPr>
          <w:rFonts w:ascii="Courier New" w:cs="Courier New" w:eastAsia="Courier New" w:hAnsi="Courier New"/>
          <w:sz w:val="16"/>
          <w:szCs w:val="16"/>
          <w:color w:val="auto"/>
        </w:rPr>
        <w:t>2005................................ $</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 7.50% Notes Due</w:t>
      </w:r>
    </w:p>
    <w:p>
      <w:pPr>
        <w:jc w:val="center"/>
        <w:ind w:right="5539"/>
        <w:spacing w:after="0"/>
        <w:rPr>
          <w:sz w:val="20"/>
          <w:szCs w:val="20"/>
          <w:color w:val="auto"/>
        </w:rPr>
      </w:pPr>
      <w:r>
        <w:rPr>
          <w:rFonts w:ascii="Courier New" w:cs="Courier New" w:eastAsia="Courier New" w:hAnsi="Courier New"/>
          <w:sz w:val="16"/>
          <w:szCs w:val="16"/>
          <w:color w:val="auto"/>
        </w:rPr>
        <w:t>2006........................................</w:t>
      </w:r>
    </w:p>
    <w:p>
      <w:pPr>
        <w:jc w:val="center"/>
        <w:ind w:right="5539"/>
        <w:spacing w:after="0" w:line="238" w:lineRule="auto"/>
        <w:rPr>
          <w:sz w:val="20"/>
          <w:szCs w:val="20"/>
          <w:color w:val="auto"/>
        </w:rPr>
      </w:pPr>
      <w:r>
        <w:rPr>
          <w:rFonts w:ascii="Courier New" w:cs="Courier New" w:eastAsia="Courier New" w:hAnsi="Courier New"/>
          <w:sz w:val="16"/>
          <w:szCs w:val="16"/>
          <w:color w:val="auto"/>
        </w:rPr>
        <w:t>500,000,000 7.75% Notes Due March 1,</w:t>
      </w:r>
    </w:p>
    <w:p>
      <w:pPr>
        <w:jc w:val="center"/>
        <w:ind w:right="5539"/>
        <w:spacing w:after="0"/>
        <w:rPr>
          <w:sz w:val="20"/>
          <w:szCs w:val="20"/>
          <w:color w:val="auto"/>
        </w:rPr>
      </w:pPr>
      <w:r>
        <w:rPr>
          <w:rFonts w:ascii="Courier New" w:cs="Courier New" w:eastAsia="Courier New" w:hAnsi="Courier New"/>
          <w:sz w:val="16"/>
          <w:szCs w:val="16"/>
          <w:color w:val="auto"/>
        </w:rPr>
        <w:t>2007............................... 500,000,000</w:t>
      </w:r>
    </w:p>
    <w:p>
      <w:pPr>
        <w:jc w:val="center"/>
        <w:ind w:right="5539"/>
        <w:spacing w:after="0" w:line="238" w:lineRule="auto"/>
        <w:rPr>
          <w:sz w:val="20"/>
          <w:szCs w:val="20"/>
          <w:color w:val="auto"/>
        </w:rPr>
      </w:pPr>
      <w:r>
        <w:rPr>
          <w:rFonts w:ascii="Courier New" w:cs="Courier New" w:eastAsia="Courier New" w:hAnsi="Courier New"/>
          <w:sz w:val="16"/>
          <w:szCs w:val="16"/>
          <w:color w:val="auto"/>
        </w:rPr>
        <w:t>6.00% Notes Due</w:t>
      </w:r>
    </w:p>
    <w:p>
      <w:pPr>
        <w:jc w:val="center"/>
        <w:ind w:right="5539"/>
        <w:spacing w:after="0"/>
        <w:rPr>
          <w:sz w:val="20"/>
          <w:szCs w:val="20"/>
          <w:color w:val="auto"/>
        </w:rPr>
      </w:pPr>
      <w:r>
        <w:rPr>
          <w:rFonts w:ascii="Courier New" w:cs="Courier New" w:eastAsia="Courier New" w:hAnsi="Courier New"/>
          <w:sz w:val="16"/>
          <w:szCs w:val="16"/>
          <w:color w:val="auto"/>
        </w:rPr>
        <w:t>2009........................................</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3,000,000,000 8.125% Debentures Due January 15,</w:t>
      </w:r>
    </w:p>
    <w:p>
      <w:pPr>
        <w:jc w:val="center"/>
        <w:ind w:right="5539"/>
        <w:spacing w:after="0"/>
        <w:rPr>
          <w:sz w:val="20"/>
          <w:szCs w:val="20"/>
          <w:color w:val="auto"/>
        </w:rPr>
      </w:pPr>
      <w:r>
        <w:rPr>
          <w:rFonts w:ascii="Courier New" w:cs="Courier New" w:eastAsia="Courier New" w:hAnsi="Courier New"/>
          <w:sz w:val="16"/>
          <w:szCs w:val="16"/>
          <w:color w:val="auto"/>
        </w:rPr>
        <w:t>2022...................... 500,000,000 8.125%</w:t>
      </w:r>
    </w:p>
    <w:p>
      <w:pPr>
        <w:jc w:val="center"/>
        <w:ind w:right="5539"/>
        <w:spacing w:after="0" w:line="238" w:lineRule="auto"/>
        <w:rPr>
          <w:sz w:val="20"/>
          <w:szCs w:val="20"/>
          <w:color w:val="auto"/>
        </w:rPr>
      </w:pPr>
      <w:r>
        <w:rPr>
          <w:rFonts w:ascii="Courier New" w:cs="Courier New" w:eastAsia="Courier New" w:hAnsi="Courier New"/>
          <w:sz w:val="16"/>
          <w:szCs w:val="16"/>
          <w:color w:val="auto"/>
        </w:rPr>
        <w:t>Debentures Due July 15,</w:t>
      </w:r>
    </w:p>
    <w:p>
      <w:pPr>
        <w:jc w:val="center"/>
        <w:ind w:right="5539"/>
        <w:spacing w:after="0"/>
        <w:rPr>
          <w:sz w:val="20"/>
          <w:szCs w:val="20"/>
          <w:color w:val="auto"/>
        </w:rPr>
      </w:pPr>
      <w:r>
        <w:rPr>
          <w:rFonts w:ascii="Courier New" w:cs="Courier New" w:eastAsia="Courier New" w:hAnsi="Courier New"/>
          <w:sz w:val="16"/>
          <w:szCs w:val="16"/>
          <w:color w:val="auto"/>
        </w:rPr>
        <w:t>2024......................... 500,000,000 8.35%</w:t>
      </w:r>
    </w:p>
    <w:p>
      <w:pPr>
        <w:jc w:val="center"/>
        <w:ind w:right="5539"/>
        <w:spacing w:after="0" w:line="238" w:lineRule="auto"/>
        <w:rPr>
          <w:sz w:val="20"/>
          <w:szCs w:val="20"/>
          <w:color w:val="auto"/>
        </w:rPr>
      </w:pPr>
      <w:r>
        <w:rPr>
          <w:rFonts w:ascii="Courier New" w:cs="Courier New" w:eastAsia="Courier New" w:hAnsi="Courier New"/>
          <w:sz w:val="16"/>
          <w:szCs w:val="16"/>
          <w:color w:val="auto"/>
        </w:rPr>
        <w:t>Debentures Due</w:t>
      </w:r>
    </w:p>
    <w:p>
      <w:pPr>
        <w:jc w:val="center"/>
        <w:ind w:right="5539"/>
        <w:spacing w:after="0"/>
        <w:rPr>
          <w:sz w:val="20"/>
          <w:szCs w:val="20"/>
          <w:color w:val="auto"/>
        </w:rPr>
      </w:pPr>
      <w:r>
        <w:rPr>
          <w:rFonts w:ascii="Courier New" w:cs="Courier New" w:eastAsia="Courier New" w:hAnsi="Courier New"/>
          <w:sz w:val="16"/>
          <w:szCs w:val="16"/>
          <w:color w:val="auto"/>
        </w:rPr>
        <w:t>2025...................................</w:t>
      </w:r>
    </w:p>
    <w:p>
      <w:pPr>
        <w:jc w:val="center"/>
        <w:ind w:right="5539"/>
        <w:spacing w:after="0" w:line="237" w:lineRule="auto"/>
        <w:rPr>
          <w:sz w:val="20"/>
          <w:szCs w:val="20"/>
          <w:color w:val="auto"/>
        </w:rPr>
      </w:pPr>
      <w:r>
        <w:rPr>
          <w:rFonts w:ascii="Courier New" w:cs="Courier New" w:eastAsia="Courier New" w:hAnsi="Courier New"/>
          <w:sz w:val="16"/>
          <w:szCs w:val="16"/>
          <w:color w:val="auto"/>
        </w:rPr>
        <w:t>300,000,000 8.625% Debentures Due December 1,</w:t>
      </w:r>
    </w:p>
    <w:p>
      <w:pPr>
        <w:jc w:val="center"/>
        <w:ind w:right="5539"/>
        <w:spacing w:after="0"/>
        <w:rPr>
          <w:sz w:val="20"/>
          <w:szCs w:val="20"/>
          <w:color w:val="auto"/>
        </w:rPr>
      </w:pPr>
      <w:r>
        <w:rPr>
          <w:rFonts w:ascii="Courier New" w:cs="Courier New" w:eastAsia="Courier New" w:hAnsi="Courier New"/>
          <w:sz w:val="16"/>
          <w:szCs w:val="16"/>
          <w:color w:val="auto"/>
        </w:rPr>
        <w:t>2031...................... 676,000,000 AT&amp;T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ELIGIBLE NOTES - ------------------- 5.625% Notes</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Due 2004.......................................</w:t>
      </w:r>
    </w:p>
    <w:p>
      <w:pPr>
        <w:jc w:val="center"/>
        <w:ind w:right="5539"/>
        <w:spacing w:after="0"/>
        <w:rPr>
          <w:sz w:val="20"/>
          <w:szCs w:val="20"/>
          <w:color w:val="auto"/>
        </w:rPr>
      </w:pPr>
      <w:r>
        <w:rPr>
          <w:rFonts w:ascii="Courier New" w:cs="Courier New" w:eastAsia="Courier New" w:hAnsi="Courier New"/>
          <w:sz w:val="16"/>
          <w:szCs w:val="16"/>
          <w:color w:val="auto"/>
        </w:rPr>
        <w:t>2,000,000,000 6.75% Notes Due</w:t>
      </w:r>
    </w:p>
    <w:p>
      <w:pPr>
        <w:jc w:val="center"/>
        <w:ind w:right="5539"/>
        <w:spacing w:after="0" w:line="237" w:lineRule="auto"/>
        <w:rPr>
          <w:sz w:val="20"/>
          <w:szCs w:val="20"/>
          <w:color w:val="auto"/>
        </w:rPr>
      </w:pPr>
      <w:r>
        <w:rPr>
          <w:rFonts w:ascii="Courier New" w:cs="Courier New" w:eastAsia="Courier New" w:hAnsi="Courier New"/>
          <w:sz w:val="16"/>
          <w:szCs w:val="16"/>
          <w:color w:val="auto"/>
        </w:rPr>
        <w:t>2004........................................</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400,000,000 7.75% Medium-Term Notes, Series A Due</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May 15, 2025.......... 25,000,000 8.00% Medium-</w:t>
      </w:r>
    </w:p>
    <w:p>
      <w:pPr>
        <w:jc w:val="center"/>
        <w:ind w:right="5539"/>
        <w:spacing w:after="0"/>
        <w:rPr>
          <w:sz w:val="20"/>
          <w:szCs w:val="20"/>
          <w:color w:val="auto"/>
        </w:rPr>
      </w:pPr>
      <w:r>
        <w:rPr>
          <w:rFonts w:ascii="Courier New" w:cs="Courier New" w:eastAsia="Courier New" w:hAnsi="Courier New"/>
          <w:sz w:val="16"/>
          <w:szCs w:val="16"/>
          <w:color w:val="auto"/>
        </w:rPr>
        <w:t>Term Notes, Series A Due May 15, 2025..........</w:t>
      </w:r>
    </w:p>
    <w:p>
      <w:pPr>
        <w:jc w:val="center"/>
        <w:ind w:right="5539"/>
        <w:spacing w:after="0" w:line="237" w:lineRule="auto"/>
        <w:rPr>
          <w:sz w:val="20"/>
          <w:szCs w:val="20"/>
          <w:color w:val="auto"/>
        </w:rPr>
      </w:pPr>
      <w:r>
        <w:rPr>
          <w:rFonts w:ascii="Courier New" w:cs="Courier New" w:eastAsia="Courier New" w:hAnsi="Courier New"/>
          <w:sz w:val="16"/>
          <w:szCs w:val="16"/>
          <w:color w:val="auto"/>
        </w:rPr>
        <w:t>50,000,000 6.50% Notes Due</w:t>
      </w:r>
    </w:p>
    <w:p>
      <w:pPr>
        <w:jc w:val="center"/>
        <w:ind w:right="5539"/>
        <w:spacing w:after="0"/>
        <w:rPr>
          <w:sz w:val="20"/>
          <w:szCs w:val="20"/>
          <w:color w:val="auto"/>
        </w:rPr>
      </w:pPr>
      <w:r>
        <w:rPr>
          <w:rFonts w:ascii="Courier New" w:cs="Courier New" w:eastAsia="Courier New" w:hAnsi="Courier New"/>
          <w:sz w:val="16"/>
          <w:szCs w:val="16"/>
          <w:color w:val="auto"/>
        </w:rPr>
        <w:t>2029........................................</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3,000,000,000 FRN Medium-Term Notes, Series A Due</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2054.................... 10,563,000 -------------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$11,761,563,000 ===============</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failure of a holder of Broadband Eligible Notes or AT&amp;T Eligible Notes to have those notes accepted in the exchange offer, including any failures resulting from failures by brokers to properly tender or to receive instructions from their clients as to whether to tender Broadband Eligible Notes or AT&amp;T Eligible Notes in the exchange offer, will have the same effect as if that holder had not granted a consent to the note amendment.</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To our knowledge, no director or executive officer of AT&amp;T, Broadband or any of their affiliates held any Broadband Eligible Notes or AT&amp;T Eligible Notes as of the close of business on September 25, 2002.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CONSENT FEE</w:t>
      </w:r>
    </w:p>
    <w:p>
      <w:pPr>
        <w:spacing w:after="0" w:line="18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Holders of Broadband Eligible Notes or AT&amp;T Eligible Notes, to the extent their notes are accepted for exchange, must consent to the note amendment and will not receive any consent payment. Notes of any series not accepted for exchange will not receive any payment but will be bound by the note</w:t>
      </w:r>
    </w:p>
    <w:p>
      <w:pPr>
        <w:spacing w:after="0" w:line="1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654" w:right="1440" w:bottom="1440" w:gutter="0" w:footer="0" w:header="0"/>
        </w:sectPr>
      </w:pPr>
    </w:p>
    <w:bookmarkStart w:id="112" w:name="page113"/>
    <w:bookmarkEnd w:id="112"/>
    <w:p>
      <w:pPr>
        <w:ind w:right="2719"/>
        <w:spacing w:after="0" w:line="236" w:lineRule="auto"/>
        <w:rPr>
          <w:sz w:val="20"/>
          <w:szCs w:val="20"/>
          <w:color w:val="auto"/>
        </w:rPr>
      </w:pPr>
      <w:r>
        <w:rPr>
          <w:rFonts w:ascii="Courier New" w:cs="Courier New" w:eastAsia="Courier New" w:hAnsi="Courier New"/>
          <w:sz w:val="16"/>
          <w:szCs w:val="16"/>
          <w:color w:val="auto"/>
        </w:rPr>
        <w:t>amendment provided that more than 50% of the notes of that series have consented and been accepted for exchange.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EXTENSION OF THE EXCHANGE OFFER; AMENDMENT; TERMINATION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at the expiration of the exchange offer, we have obtained the requisite consents, AT&amp;T will so certify to the indenture trustee, and the consents will be effective and irrevocable. If we do not receive the requisite consents before the expiration of the exchange offer, we reserve the right to extend the exchange offer as to any one or more series of Broadband Eligible Notes or AT&amp;T Eligible Notes on one or more occasions. If we extend the exchange offer, we will give oral or written notice of this extension to the indenture trustee and make a public announcement of this extension by no later than 9:00 a.m. (Eastern time) on the next business day after the scheduled expiration date of the exchange offer.</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AT&amp;T reserves the right, exercisable in its sole discretion, to terminate the exchange offer and not adopt the note amendment, whether or not we have received the requisite consents, by giving oral or written notice of termination to the indenture trustee and making a public announcement of termination. AT&amp;T also reserves the right, subject to applicable laws, to amend the exchange offer in any respect by giving oral or written notice of the amendment to the indenture trustee and making a public announcement of the note amendment.</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we make any public announcement in connection with the exchange offer, we will disseminate it to AT&amp;T noteholders in a manner reasonably designed to inform noteholders of the announced change on a timely basis. Without limiting the manner in which we may choose to make a public announcement, except as may be required by applicable law, we will have no obligation to publish, advertise or otherwise communicate any public announcement other than by issuing a release to the Dow Jones News Service. Notices in Luxembourg with respect to these matters will be published in the Luxemburger Wort.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TO NON-CONSENTING HOLDERS; DISSENTERS' RIGHTS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If we obtain the requisite consents and execute the note amendment with respect to a series of Broadband Eligible Notes or AT&amp;T Eligible Notes, it will be binding on each holder of notes of that series, regardless of whether or not that holder consented. You will not be entitled to any appraisal or dissenters' rights if the note amendment becomes effective without your consent.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PROCEDURES</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In order to consent to the note amendment, a holder of Broadband Eligible Notes or of AT&amp;T Eligible Notes must validly tender and not withdraw its notes in the exchange offer. The letter of transmittal will include the holder's consent with respect to all of that holder's notes accepted in the exchange offer. See "Description of the Exchange Offer -- Required Consent."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REVOCATION OF CONSENTS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you consent by validly tendering AT&amp;T Eligible Notes or Broadband Eligible Notes, you may automatically revoke your consent by withdrawing those notes from the exchange offer prior to their acceptance. See "Description of the Exchange Offer -- Withdrawal Rights."</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659" w:right="1440" w:bottom="1440" w:gutter="0" w:footer="0" w:header="0"/>
        </w:sectPr>
      </w:pPr>
    </w:p>
    <w:bookmarkStart w:id="113" w:name="page114"/>
    <w:bookmarkEnd w:id="113"/>
    <w:p>
      <w:pPr>
        <w:jc w:val="center"/>
        <w:ind w:right="2819"/>
        <w:spacing w:after="0"/>
        <w:rPr>
          <w:sz w:val="20"/>
          <w:szCs w:val="20"/>
          <w:color w:val="auto"/>
        </w:rPr>
      </w:pPr>
      <w:r>
        <w:rPr>
          <w:rFonts w:ascii="Courier New" w:cs="Courier New" w:eastAsia="Courier New" w:hAnsi="Courier New"/>
          <w:sz w:val="16"/>
          <w:szCs w:val="16"/>
          <w:color w:val="auto"/>
        </w:rPr>
        <w:t>DESCRIPTION OF THE BROADBAND EXCHANGE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Broadband Exchange Notes initially will be AT&amp;T's and Broadband's direct unsecured and unsubordinated obligations; however, upon completion of the AT&amp;T Comcast transaction, the Broadband Exchange Notes will be mandatorily exchanged for New Broadband Notes, which will be primary obligations only of Broadband, fully and unconditionally guaranteed by AT&amp;T Comcast, Comcast Cable, MediaOne and TCI, referred to as the cable guarantors. See "-- Mandatory Exchange Upon Completion of the AT&amp;T Comcast Transaction" below. If the AT&amp;T Comcast transaction is terminated, the Broadband Exchange Notes will not be exchanged for New Broadband Notes, will become obligations only of AT&amp;T with Broadband released as an obligor and will not be entitled to the benefits of the cable guarantees. The Broadband Eligible Notes were issued under the AT&amp;T Indenture. The Broadband Exchange Notes will be issued under the AT&amp;T Indenture, as amended by the note amendment and a supplemental indenture that will have the purpose of, among other things, making Broadband a co-obligor on the Broadband Exchange Notes, each as described below in this section and under "Description of the Note Amendment." We refer to this supplemental indenture as the "Broadband Exchange Supplemental Indenture." The terms of the Broadband Exchange Notes include those stated in the AT&amp;T Indenture and the note amendment, those stated in the Broadband Exchange Supplemental Indenture and those made part of the AT&amp;T Indenture by reference to the Trust Indenture Act of 1939.</w:t>
      </w:r>
    </w:p>
    <w:p>
      <w:pPr>
        <w:spacing w:after="0" w:line="35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summary of the material provisions of the AT&amp;T Indenture as amended by the note amendment and the Broadband Exchange Supplemental Indenture. Because this is a summary, it may not contain all the information that is important to you. You should read the AT&amp;T Indenture, the note amendment and the Broadband Exchange Supplemental Indenture, which have been filed as exhibits to the registration statement of which this prospectus is a part, in their entirety.</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terms of the Broadband Exchange Notes are substantially identical to the terms of the Broadband Eligible Notes, except that: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the Broadband Exchange Notes will be:</w:t>
      </w:r>
    </w:p>
    <w:p>
      <w:pPr>
        <w:spacing w:after="0" w:line="185" w:lineRule="exact"/>
        <w:rPr>
          <w:sz w:val="20"/>
          <w:szCs w:val="20"/>
          <w:color w:val="auto"/>
        </w:rPr>
      </w:pPr>
    </w:p>
    <w:p>
      <w:pPr>
        <w:ind w:left="740" w:right="2719" w:hanging="179"/>
        <w:spacing w:after="0" w:line="236" w:lineRule="auto"/>
        <w:tabs>
          <w:tab w:leader="none" w:pos="720" w:val="left"/>
        </w:tabs>
        <w:rPr>
          <w:sz w:val="20"/>
          <w:szCs w:val="20"/>
          <w:color w:val="auto"/>
        </w:rPr>
      </w:pPr>
      <w:r>
        <w:rPr>
          <w:rFonts w:ascii="Courier New" w:cs="Courier New" w:eastAsia="Courier New" w:hAnsi="Courier New"/>
          <w:sz w:val="16"/>
          <w:szCs w:val="16"/>
          <w:color w:val="auto"/>
        </w:rPr>
        <w:t>o</w:t>
        <w:tab/>
        <w:t>co-obligations of AT&amp;T and Broadband unless the AT&amp;T Comcast transaction is terminated; and</w:t>
      </w:r>
    </w:p>
    <w:p>
      <w:pPr>
        <w:spacing w:after="0" w:line="185" w:lineRule="exact"/>
        <w:rPr>
          <w:sz w:val="20"/>
          <w:szCs w:val="20"/>
          <w:color w:val="auto"/>
        </w:rPr>
      </w:pPr>
    </w:p>
    <w:p>
      <w:pPr>
        <w:ind w:left="740" w:right="2719" w:hanging="179"/>
        <w:spacing w:after="0" w:line="259" w:lineRule="auto"/>
        <w:tabs>
          <w:tab w:leader="none" w:pos="720" w:val="left"/>
        </w:tabs>
        <w:rPr>
          <w:sz w:val="20"/>
          <w:szCs w:val="20"/>
          <w:color w:val="auto"/>
        </w:rPr>
      </w:pPr>
      <w:r>
        <w:rPr>
          <w:rFonts w:ascii="Courier New" w:cs="Courier New" w:eastAsia="Courier New" w:hAnsi="Courier New"/>
          <w:sz w:val="15"/>
          <w:szCs w:val="15"/>
          <w:color w:val="auto"/>
        </w:rPr>
        <w:t>o</w:t>
        <w:tab/>
        <w:t>mandatorily exchanged upon completion of the AT&amp;T Comcast transaction for New Broadband Notes, which will be primary obligations only of Broadband, fully and unconditionally guaranteed by the cable guarantors;</w:t>
      </w:r>
    </w:p>
    <w:p>
      <w:pPr>
        <w:spacing w:after="0" w:line="171" w:lineRule="exact"/>
        <w:rPr>
          <w:sz w:val="20"/>
          <w:szCs w:val="20"/>
          <w:color w:val="auto"/>
        </w:rPr>
      </w:pPr>
    </w:p>
    <w:p>
      <w:pPr>
        <w:ind w:left="660" w:right="2999" w:hanging="195"/>
        <w:spacing w:after="0" w:line="237" w:lineRule="auto"/>
        <w:tabs>
          <w:tab w:leader="none" w:pos="6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covenant applicable to the Broadband Exchange Notes will be the AT&amp;T Indenture merger covenant, as amended by the note amendment, which is described in greater detail under "-- Certain</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 Consolidation, Merger or Sale;" and</w:t>
      </w:r>
    </w:p>
    <w:p>
      <w:pPr>
        <w:spacing w:after="0" w:line="364" w:lineRule="exact"/>
        <w:rPr>
          <w:rFonts w:ascii="Courier New" w:cs="Courier New" w:eastAsia="Courier New" w:hAnsi="Courier New"/>
          <w:sz w:val="16"/>
          <w:szCs w:val="16"/>
          <w:color w:val="auto"/>
        </w:rPr>
      </w:pPr>
    </w:p>
    <w:p>
      <w:pPr>
        <w:ind w:left="660" w:right="2819" w:hanging="195"/>
        <w:spacing w:after="0" w:line="257" w:lineRule="auto"/>
        <w:tabs>
          <w:tab w:leader="none" w:pos="6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has applied to list the Broadband Exchange Notes on the New York Stock Exchange; if the AT&amp;T Comcast transaction is terminated, AT&amp;T will use its commercially reasonable efforts to list the 6.00% Broadband Exchange Notes Due 2009 additionally on the Luxembourg Stock Exchange.</w:t>
      </w:r>
    </w:p>
    <w:p>
      <w:pPr>
        <w:spacing w:after="0" w:line="35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For information regarding the New Broadband Notes and the cable guarantees and for a summary of the material differences between the New Broadband Notes and the Broadband Exchange Notes, see "Description of the New Broadband Notes and the Cable Guarantees" and "Comparison of the New Broadband Notes and the Broadband Exchange Notes."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TERMS OF THE BROADBAND EXCHANGE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Broadband Exchange Notes:</w:t>
      </w:r>
    </w:p>
    <w:p>
      <w:pPr>
        <w:spacing w:after="0" w:line="185" w:lineRule="exact"/>
        <w:rPr>
          <w:sz w:val="20"/>
          <w:szCs w:val="20"/>
          <w:color w:val="auto"/>
        </w:rPr>
      </w:pPr>
    </w:p>
    <w:p>
      <w:pPr>
        <w:ind w:left="660" w:right="2899" w:hanging="195"/>
        <w:spacing w:after="0" w:line="237" w:lineRule="auto"/>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co-obligations of AT&amp;T and Broadband (unless the AT&amp;T Comcast transaction is terminated, in which case Broadband's obligations under the Broadband Exchange Notes will be automatically fully and completely discharged and released) ranking equally with all of AT&amp;T's and Broadband's other unsecured and unsubordinated debt;</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654" w:right="1440" w:bottom="1440" w:gutter="0" w:footer="0" w:header="0"/>
        </w:sectPr>
      </w:pPr>
    </w:p>
    <w:bookmarkStart w:id="114" w:name="page115"/>
    <w:bookmarkEnd w:id="114"/>
    <w:p>
      <w:pPr>
        <w:spacing w:after="0" w:line="70" w:lineRule="exact"/>
        <w:rPr>
          <w:sz w:val="20"/>
          <w:szCs w:val="20"/>
          <w:color w:val="auto"/>
        </w:rPr>
      </w:pPr>
    </w:p>
    <w:p>
      <w:pPr>
        <w:ind w:left="660" w:right="2819" w:hanging="195"/>
        <w:spacing w:after="0" w:line="237" w:lineRule="auto"/>
        <w:tabs>
          <w:tab w:leader="none" w:pos="6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mandatorily exchanged upon completion of the AT&amp;T Comcast transaction for the applicable series of New Broadband Notes, which will be primary obligations only of Broadband, fully and unconditionally guaranteed by the cable guarantors;</w:t>
      </w:r>
    </w:p>
    <w:p>
      <w:pPr>
        <w:spacing w:after="0" w:line="185"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AT&amp;T Comcast transaction is terminated, will cease to be exchangeable for New Broadband Notes;</w:t>
      </w:r>
    </w:p>
    <w:p>
      <w:pPr>
        <w:spacing w:after="0" w:line="365" w:lineRule="exact"/>
        <w:rPr>
          <w:rFonts w:ascii="Courier New" w:cs="Courier New" w:eastAsia="Courier New" w:hAnsi="Courier New"/>
          <w:sz w:val="16"/>
          <w:szCs w:val="16"/>
          <w:color w:val="auto"/>
        </w:rPr>
      </w:pPr>
    </w:p>
    <w:p>
      <w:pPr>
        <w:ind w:left="660" w:right="3839" w:hanging="195"/>
        <w:spacing w:after="0" w:line="236" w:lineRule="auto"/>
        <w:tabs>
          <w:tab w:leader="none" w:pos="6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 $4,079,400,000, comprised as follows:</w:t>
      </w:r>
    </w:p>
    <w:p>
      <w:pPr>
        <w:spacing w:after="0" w:line="200" w:lineRule="exact"/>
        <w:rPr>
          <w:sz w:val="20"/>
          <w:szCs w:val="20"/>
          <w:color w:val="auto"/>
        </w:rPr>
      </w:pPr>
    </w:p>
    <w:p>
      <w:pPr>
        <w:spacing w:after="0" w:line="345" w:lineRule="exact"/>
        <w:rPr>
          <w:sz w:val="20"/>
          <w:szCs w:val="20"/>
          <w:color w:val="auto"/>
        </w:rPr>
      </w:pPr>
    </w:p>
    <w:p>
      <w:pPr>
        <w:ind w:left="740" w:right="2719" w:hanging="179"/>
        <w:spacing w:after="0" w:line="256" w:lineRule="auto"/>
        <w:tabs>
          <w:tab w:leader="none" w:pos="720" w:val="left"/>
        </w:tabs>
        <w:rPr>
          <w:sz w:val="20"/>
          <w:szCs w:val="20"/>
          <w:color w:val="auto"/>
        </w:rPr>
      </w:pPr>
      <w:r>
        <w:rPr>
          <w:rFonts w:ascii="Courier New" w:cs="Courier New" w:eastAsia="Courier New" w:hAnsi="Courier New"/>
          <w:sz w:val="15"/>
          <w:szCs w:val="15"/>
          <w:color w:val="auto"/>
        </w:rPr>
        <w:t>o</w:t>
        <w:tab/>
        <w:t>up to $195,000,000 in principal amount of 7.00% Broadband Exchange Notes Due May 15, 2005, with interest payable semiannually on each May 15 and November 15, beginning the first May 15 or November 15 occurring after the initial issuance of the 7.00% Broadband Exchange Notes Due May 15, 2005, to holders of record on the preceding May 1 and November 1;</w:t>
      </w:r>
    </w:p>
    <w:p>
      <w:pPr>
        <w:spacing w:after="0" w:line="200" w:lineRule="exact"/>
        <w:rPr>
          <w:sz w:val="20"/>
          <w:szCs w:val="20"/>
          <w:color w:val="auto"/>
        </w:rPr>
      </w:pPr>
    </w:p>
    <w:p>
      <w:pPr>
        <w:spacing w:after="0" w:line="337" w:lineRule="exact"/>
        <w:rPr>
          <w:sz w:val="20"/>
          <w:szCs w:val="20"/>
          <w:color w:val="auto"/>
        </w:rPr>
      </w:pPr>
    </w:p>
    <w:p>
      <w:pPr>
        <w:ind w:left="740" w:right="2719" w:hanging="179"/>
        <w:spacing w:after="0" w:line="256" w:lineRule="auto"/>
        <w:tabs>
          <w:tab w:leader="none" w:pos="720" w:val="left"/>
        </w:tabs>
        <w:rPr>
          <w:sz w:val="20"/>
          <w:szCs w:val="20"/>
          <w:color w:val="auto"/>
        </w:rPr>
      </w:pPr>
      <w:r>
        <w:rPr>
          <w:rFonts w:ascii="Courier New" w:cs="Courier New" w:eastAsia="Courier New" w:hAnsi="Courier New"/>
          <w:sz w:val="15"/>
          <w:szCs w:val="15"/>
          <w:color w:val="auto"/>
        </w:rPr>
        <w:t>o</w:t>
        <w:tab/>
        <w:t>up to $325,000,000 in principal amount of 7.50% Broadband Exchange Notes Due June 1, 2006, with interest payable semiannually on each June 1 and December 1, beginning the first June 1 or December 1 occurring after the initial issuance of the 7.50% Broadband Exchange Notes Due June 1, 2006, to holders of record on the preceding May 15 and November 15;</w:t>
      </w:r>
    </w:p>
    <w:p>
      <w:pPr>
        <w:spacing w:after="0" w:line="200" w:lineRule="exact"/>
        <w:rPr>
          <w:sz w:val="20"/>
          <w:szCs w:val="20"/>
          <w:color w:val="auto"/>
        </w:rPr>
      </w:pPr>
    </w:p>
    <w:p>
      <w:pPr>
        <w:spacing w:after="0" w:line="337"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$325,000,000 in principal amount of 7.75% Broadband Exchange Notes Due March 1, 2007, with interest payable semiannually on each March 1 and September 1, beginning the first March 1 or September 1 occurring after the initial issuance of the 7.75% Broadband Exchange Notes Due March 1, 2007, to holders of record on the preceding February 15 and August 15;</w:t>
      </w:r>
    </w:p>
    <w:p>
      <w:pPr>
        <w:spacing w:after="0" w:line="200" w:lineRule="exact"/>
        <w:rPr>
          <w:sz w:val="20"/>
          <w:szCs w:val="20"/>
          <w:color w:val="auto"/>
        </w:rPr>
      </w:pPr>
    </w:p>
    <w:p>
      <w:pPr>
        <w:spacing w:after="0" w:line="349"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$1,950,000,000 in principal amount of 6.00% Broadband Exchange Notes Due March 15, 2009, with interest payable semiannually on each March 15 and September 15, beginning the first March 15 or September 15 occurring after the initial issuance of the 6.00% Broadband Exchange Notes Due March 15, 2009, to holders of record on the preceding March 1 and September 1;</w:t>
      </w:r>
    </w:p>
    <w:p>
      <w:pPr>
        <w:spacing w:after="0" w:line="200" w:lineRule="exact"/>
        <w:rPr>
          <w:sz w:val="20"/>
          <w:szCs w:val="20"/>
          <w:color w:val="auto"/>
        </w:rPr>
      </w:pPr>
    </w:p>
    <w:p>
      <w:pPr>
        <w:spacing w:after="0" w:line="349" w:lineRule="exact"/>
        <w:rPr>
          <w:sz w:val="20"/>
          <w:szCs w:val="20"/>
          <w:color w:val="auto"/>
        </w:rPr>
      </w:pPr>
    </w:p>
    <w:p>
      <w:pPr>
        <w:ind w:left="740" w:right="28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$325,000,000 in principal amount of 8.125% Broadband Exchange Notes Due January 15, 2022, with interest payable semiannually on each January 15 and July 15, beginning the first January 15 or July 15 occurring after the initial issuance of the 8.125% Broadband Exchange Notes Due January 15, 2022, to holders of record on the preceding January 1 and July 1;</w:t>
      </w:r>
    </w:p>
    <w:p>
      <w:pPr>
        <w:spacing w:after="0" w:line="200" w:lineRule="exact"/>
        <w:rPr>
          <w:sz w:val="20"/>
          <w:szCs w:val="20"/>
          <w:color w:val="auto"/>
        </w:rPr>
      </w:pPr>
    </w:p>
    <w:p>
      <w:pPr>
        <w:spacing w:after="0" w:line="349"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$325,000,000 in principal amount of 8.125% Broadband Exchange Notes Due July 15, 2024, with interest payable semiannually on each January 15 and July 15, beginning the first January 15 or July 15 occurring after the initial issuance of the 8.125% Broadband Exchange Notes Due July 15, 2024, to holders of record on the preceding January 1 and July 1;</w:t>
      </w:r>
    </w:p>
    <w:p>
      <w:pPr>
        <w:spacing w:after="0" w:line="200" w:lineRule="exact"/>
        <w:rPr>
          <w:sz w:val="20"/>
          <w:szCs w:val="20"/>
          <w:color w:val="auto"/>
        </w:rPr>
      </w:pPr>
    </w:p>
    <w:p>
      <w:pPr>
        <w:spacing w:after="0" w:line="349"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$195,000,000 in principal amount of 8.35% Broadband Exchange Notes Due January 15, 2025, with interest payable semiannually on each January 15 and July 15, beginning the first January 15 or July 15 occurring after the initial issuance of the 8.35% Broadband Exchange Notes Due January 15, 2025, to holders of record on the preceding January 1 and July 1; and</w:t>
      </w:r>
    </w:p>
    <w:p>
      <w:pPr>
        <w:spacing w:after="0" w:line="200" w:lineRule="exact"/>
        <w:rPr>
          <w:sz w:val="20"/>
          <w:szCs w:val="20"/>
          <w:color w:val="auto"/>
        </w:rPr>
      </w:pPr>
    </w:p>
    <w:p>
      <w:pPr>
        <w:spacing w:after="0" w:line="349"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$439,400,000 in principal amount of 8.625% Broadband Exchange Notes Due December 1, 2031, with interest payable semiannually on each June 1 and December 1, beginning the first June 1 or December 1 occurring after the initial issuance of the 8.625% Broadband Exchange Notes Due December 1, 2031, to holders of record on the preceding May 15 and November 15;</w:t>
      </w:r>
    </w:p>
    <w:p>
      <w:pPr>
        <w:spacing w:after="0" w:line="369" w:lineRule="exact"/>
        <w:rPr>
          <w:sz w:val="20"/>
          <w:szCs w:val="20"/>
          <w:color w:val="auto"/>
        </w:rPr>
      </w:pPr>
    </w:p>
    <w:p>
      <w:pPr>
        <w:ind w:left="660" w:right="3099" w:hanging="195"/>
        <w:spacing w:after="0" w:line="236" w:lineRule="auto"/>
        <w:tabs>
          <w:tab w:leader="none" w:pos="6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issuable in fully registered form, in denominations of $1,000 and multiples thereof.</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EXCHANGE UPON COMPLETION OF THE AT&amp;T COMCAST TRANSACTION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Upon completion of the AT&amp;T Comcast transaction, the Broadband Exchange</w:t>
      </w:r>
    </w:p>
    <w:p>
      <w:pPr>
        <w:sectPr>
          <w:pgSz w:w="11900" w:h="16908" w:orient="portrait"/>
          <w:cols w:equalWidth="0" w:num="1">
            <w:col w:w="10219"/>
          </w:cols>
          <w:pgMar w:left="240" w:top="659" w:right="1440" w:bottom="0" w:gutter="0" w:footer="0" w:header="0"/>
        </w:sectPr>
      </w:pPr>
    </w:p>
    <w:bookmarkStart w:id="115" w:name="page116"/>
    <w:bookmarkEnd w:id="115"/>
    <w:p>
      <w:pPr>
        <w:ind w:right="2819"/>
        <w:spacing w:after="0" w:line="238" w:lineRule="auto"/>
        <w:rPr>
          <w:sz w:val="20"/>
          <w:szCs w:val="20"/>
          <w:color w:val="auto"/>
        </w:rPr>
      </w:pPr>
      <w:r>
        <w:rPr>
          <w:rFonts w:ascii="Courier New" w:cs="Courier New" w:eastAsia="Courier New" w:hAnsi="Courier New"/>
          <w:sz w:val="16"/>
          <w:szCs w:val="16"/>
          <w:color w:val="auto"/>
        </w:rPr>
        <w:t>Notes will be automatically and mandatorily exchanged for the applicable series of New Broadband Notes without any action on the part of the holders of the Broadband Exchange Notes. You will find a summary of the material terms and conditions of the New Broadband Notes, the New Broadband Indenture pursuant to which the New Broadband Notes will be issued and the cable guarantees in "Description of the New Broadband Notes and the Cable Guarantees" and a summary of the material differences between the New</w:t>
      </w:r>
    </w:p>
    <w:p>
      <w:pPr>
        <w:ind w:left="374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142" w:right="1440" w:bottom="1440" w:gutter="0" w:footer="0" w:header="0"/>
        </w:sectPr>
      </w:pPr>
    </w:p>
    <w:bookmarkStart w:id="116" w:name="page117"/>
    <w:bookmarkEnd w:id="116"/>
    <w:p>
      <w:pPr>
        <w:ind w:right="2899"/>
        <w:spacing w:after="0" w:line="257" w:lineRule="auto"/>
        <w:rPr>
          <w:sz w:val="20"/>
          <w:szCs w:val="20"/>
          <w:color w:val="auto"/>
        </w:rPr>
      </w:pPr>
      <w:r>
        <w:rPr>
          <w:rFonts w:ascii="Courier New" w:cs="Courier New" w:eastAsia="Courier New" w:hAnsi="Courier New"/>
          <w:sz w:val="15"/>
          <w:szCs w:val="15"/>
          <w:color w:val="auto"/>
        </w:rPr>
        <w:t>Broadband Notes and the Broadband Exchange Notes in "Comparison of the New Broadband Notes and the Broadband Exchange Notes." New global notes (or certificates, as the case may be) representing the New Broadband Notes will be delivered to holders of the Broadband Exchange Notes, which will become void.</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Upon completion of the AT&amp;T Comcast transaction, each $1,000 principal amount of Broadband Exchange Notes will be mandatorily exchanged for that principal amount times the relevant exchange ratio announced by press release two business days prior to the expiration of the exchange offer of New Broadband Notes, Broadband will be released and discharged from all obligations under the AT&amp;T Indenture and holders of the Broadband Exchange Notes will become holders of New Broadband Notes, entitled to look only to Broadband and the cable guarantors under the cable guarantees for payment of principal, premium, if any, and interest on the New Broadband Notes.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Interest accrued and unpaid on any Broadband Eligible Notes accepted in an exchange offer (a) will be paid along with the first payment of interest on the relevant series of Broadband Exchange Notes or (b) if the mandatory exchange of the Broadband Exchange Notes occurs prior to that first payment of interest, will be paid at the time of the mandatory exchange.</w:t>
      </w:r>
    </w:p>
    <w:p>
      <w:pPr>
        <w:spacing w:after="0" w:line="187"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Interest accrued and unpaid on any series of Broadband Exchange Notes will be paid at the time of mandatory exchange.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Interest for the Broadband Exchange Notes will be computed on the basis of a 360-day year consisting of twelve 30-day months. Interest on the notes accrues from the date of original issuance, which will be on the date this exchange offer is completed with respect to each series of Broadband Exchange Notes, or from the next recent interest payment date to which interest has been paid as duly provided for, and is payable semiannually on interest payment dates described of each year.</w:t>
      </w:r>
    </w:p>
    <w:p>
      <w:pPr>
        <w:spacing w:after="0" w:line="185" w:lineRule="exact"/>
        <w:rPr>
          <w:sz w:val="20"/>
          <w:szCs w:val="20"/>
          <w:color w:val="auto"/>
        </w:rPr>
      </w:pPr>
    </w:p>
    <w:p>
      <w:pPr>
        <w:ind w:right="2899" w:firstLine="469"/>
        <w:spacing w:after="0" w:line="254" w:lineRule="auto"/>
        <w:rPr>
          <w:sz w:val="20"/>
          <w:szCs w:val="20"/>
          <w:color w:val="auto"/>
        </w:rPr>
      </w:pPr>
      <w:r>
        <w:rPr>
          <w:rFonts w:ascii="Courier New" w:cs="Courier New" w:eastAsia="Courier New" w:hAnsi="Courier New"/>
          <w:sz w:val="15"/>
          <w:szCs w:val="15"/>
          <w:color w:val="auto"/>
        </w:rPr>
        <w:t>For more information on payment and transfer procedures for the Broadband Exchange Notes, see "-- Book-Entry System," "-- Same-Day Payment" and</w:t>
      </w:r>
    </w:p>
    <w:p>
      <w:pPr>
        <w:spacing w:after="0" w:line="1"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 Additional Terms Pertaining Only to the 6.00% Broadband Exchange Notes Due March 15, 2009 -- Payment of Additional Amounts."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ADDITIONAL TERMS PERTAINING ONLY TO THE 6.00% BROADBAND EXCHANGE NOTES DUE MARCH 15, 2009</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PAYMENT OF ADDITIONAL AMOUNTS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will, subject to the exceptions and limitations set forth below, pay as additional interest on the 6.00% Broadband Exchange Notes Due March 15, 2009 such additional amounts as are necessary so that the net payment by AT&amp;T or a paying agent of the principal of and interest on the 6.00% Broadband Exchange Notes Due March 15, 2009 to a person that is not a United States Holder (as defined below),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 6.00% Broadband Exchange Notes Due March 15, 2009 had no such withholding or deduction been required.</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used herein, a "United States Holder" of a note means a beneficial owner that is for United States federal income tax purposes: (a) a citizen or resident of the United States, (b) a corporation, partnership or other entity created or organized in or under the laws of the United States or of any political subdivision thereof, (c) an estate or trust the income of which is subject to United States federal income taxation regardless of its source or (d) any other person whose income from a note is effectively connected with the conduct of a United States trade or business.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AT&amp;T's obligation to pay additional amounts will not apply:</w:t>
      </w:r>
    </w:p>
    <w:p>
      <w:pPr>
        <w:spacing w:after="0" w:line="185" w:lineRule="exact"/>
        <w:rPr>
          <w:sz w:val="20"/>
          <w:szCs w:val="20"/>
          <w:color w:val="auto"/>
        </w:rPr>
      </w:pPr>
    </w:p>
    <w:p>
      <w:pPr>
        <w:ind w:left="460" w:right="2899" w:firstLine="474"/>
        <w:spacing w:after="0" w:line="237" w:lineRule="auto"/>
        <w:tabs>
          <w:tab w:leader="none" w:pos="130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 fiduciary, settlor, beneficiary, member or shareholder of the holder if the holder is an</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659" w:right="1440" w:bottom="1440" w:gutter="0" w:footer="0" w:header="0"/>
        </w:sectPr>
      </w:pPr>
    </w:p>
    <w:bookmarkStart w:id="117" w:name="page118"/>
    <w:bookmarkEnd w:id="117"/>
    <w:p>
      <w:pPr>
        <w:ind w:left="460" w:right="2719"/>
        <w:spacing w:after="0" w:line="236" w:lineRule="auto"/>
        <w:rPr>
          <w:sz w:val="20"/>
          <w:szCs w:val="20"/>
          <w:color w:val="auto"/>
        </w:rPr>
      </w:pPr>
      <w:r>
        <w:rPr>
          <w:rFonts w:ascii="Courier New" w:cs="Courier New" w:eastAsia="Courier New" w:hAnsi="Courier New"/>
          <w:sz w:val="16"/>
          <w:szCs w:val="16"/>
          <w:color w:val="auto"/>
        </w:rPr>
        <w:t>estate, trust, partnership or corporation, or a person holding a power over an estate or trust administered by a fiduciary holder:</w:t>
      </w:r>
    </w:p>
    <w:p>
      <w:pPr>
        <w:spacing w:after="0" w:line="185" w:lineRule="exact"/>
        <w:rPr>
          <w:sz w:val="20"/>
          <w:szCs w:val="20"/>
          <w:color w:val="auto"/>
        </w:rPr>
      </w:pPr>
    </w:p>
    <w:p>
      <w:pPr>
        <w:ind w:left="740" w:right="3179" w:firstLine="476"/>
        <w:spacing w:after="0" w:line="237" w:lineRule="auto"/>
        <w:tabs>
          <w:tab w:leader="none" w:pos="1678"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present or engaged in trade or business in the United States or has or had a permanent establishment in the United States;</w:t>
      </w:r>
    </w:p>
    <w:p>
      <w:pPr>
        <w:spacing w:after="0" w:line="184" w:lineRule="exact"/>
        <w:rPr>
          <w:rFonts w:ascii="Courier New" w:cs="Courier New" w:eastAsia="Courier New" w:hAnsi="Courier New"/>
          <w:sz w:val="16"/>
          <w:szCs w:val="16"/>
          <w:color w:val="auto"/>
        </w:rPr>
      </w:pPr>
    </w:p>
    <w:p>
      <w:pPr>
        <w:ind w:left="740" w:right="2899" w:firstLine="476"/>
        <w:spacing w:after="0" w:line="236" w:lineRule="auto"/>
        <w:tabs>
          <w:tab w:leader="none" w:pos="1678"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current or former relationship with the United States, including a relationship as a citizen or resident thereof;</w:t>
      </w:r>
    </w:p>
    <w:p>
      <w:pPr>
        <w:spacing w:after="0" w:line="184" w:lineRule="exact"/>
        <w:rPr>
          <w:rFonts w:ascii="Courier New" w:cs="Courier New" w:eastAsia="Courier New" w:hAnsi="Courier New"/>
          <w:sz w:val="16"/>
          <w:szCs w:val="16"/>
          <w:color w:val="auto"/>
        </w:rPr>
      </w:pPr>
    </w:p>
    <w:p>
      <w:pPr>
        <w:jc w:val="both"/>
        <w:ind w:left="740" w:right="2719" w:firstLine="476"/>
        <w:spacing w:after="0" w:line="237" w:lineRule="auto"/>
        <w:tabs>
          <w:tab w:leader="none" w:pos="1678"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has been a foreign or domestic personal holding company, a passive foreign investment company or a controlled foreign corporation with respect to the United States or a corporation that has accumulated earnings to avoid United States federal income tax; or</w:t>
      </w:r>
    </w:p>
    <w:p>
      <w:pPr>
        <w:spacing w:after="0" w:line="185" w:lineRule="exact"/>
        <w:rPr>
          <w:rFonts w:ascii="Courier New" w:cs="Courier New" w:eastAsia="Courier New" w:hAnsi="Courier New"/>
          <w:sz w:val="16"/>
          <w:szCs w:val="16"/>
          <w:color w:val="auto"/>
        </w:rPr>
      </w:pPr>
    </w:p>
    <w:p>
      <w:pPr>
        <w:ind w:left="740" w:right="3099" w:firstLine="476"/>
        <w:spacing w:after="0" w:line="237" w:lineRule="auto"/>
        <w:tabs>
          <w:tab w:leader="none" w:pos="1678"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a "10-percent shareholder" of AT&amp;T as defined in section 871(h)(3) of the United States Internal Revenue Code or any successor provision;</w:t>
      </w:r>
    </w:p>
    <w:p>
      <w:pPr>
        <w:spacing w:after="0" w:line="184" w:lineRule="exact"/>
        <w:rPr>
          <w:rFonts w:ascii="Courier New" w:cs="Courier New" w:eastAsia="Courier New" w:hAnsi="Courier New"/>
          <w:sz w:val="16"/>
          <w:szCs w:val="16"/>
          <w:color w:val="auto"/>
        </w:rPr>
      </w:pPr>
    </w:p>
    <w:p>
      <w:pPr>
        <w:ind w:left="460" w:right="2719" w:firstLine="474"/>
        <w:spacing w:after="0" w:line="256" w:lineRule="auto"/>
        <w:tabs>
          <w:tab w:leader="none" w:pos="130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holder that is not the sole beneficial owner of the 6.00% Broadband Exchange Notes Due March 15, 2009,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74" w:lineRule="exact"/>
        <w:rPr>
          <w:rFonts w:ascii="Courier New" w:cs="Courier New" w:eastAsia="Courier New" w:hAnsi="Courier New"/>
          <w:sz w:val="15"/>
          <w:szCs w:val="15"/>
          <w:color w:val="auto"/>
        </w:rPr>
      </w:pPr>
    </w:p>
    <w:p>
      <w:pPr>
        <w:ind w:left="460" w:right="2719" w:firstLine="474"/>
        <w:spacing w:after="0" w:line="255" w:lineRule="auto"/>
        <w:tabs>
          <w:tab w:leader="none" w:pos="130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the holder or any other person failed to comply with certification, identification or information reporting requirements concerning the nationality, residence, identity or connection with the United States of the holder or beneficial owner of the 6.00% Broadband Exchange Notes Due March 15, 2009,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178" w:lineRule="exact"/>
        <w:rPr>
          <w:rFonts w:ascii="Courier New" w:cs="Courier New" w:eastAsia="Courier New" w:hAnsi="Courier New"/>
          <w:sz w:val="15"/>
          <w:szCs w:val="15"/>
          <w:color w:val="auto"/>
        </w:rPr>
      </w:pPr>
    </w:p>
    <w:p>
      <w:pPr>
        <w:ind w:left="460" w:right="2819" w:firstLine="474"/>
        <w:spacing w:after="0" w:line="236" w:lineRule="auto"/>
        <w:tabs>
          <w:tab w:leader="none" w:pos="130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other than by withholding by AT&amp;T or a paying agent from the payment;</w:t>
      </w:r>
    </w:p>
    <w:p>
      <w:pPr>
        <w:spacing w:after="0" w:line="184" w:lineRule="exact"/>
        <w:rPr>
          <w:rFonts w:ascii="Courier New" w:cs="Courier New" w:eastAsia="Courier New" w:hAnsi="Courier New"/>
          <w:sz w:val="16"/>
          <w:szCs w:val="16"/>
          <w:color w:val="auto"/>
        </w:rPr>
      </w:pPr>
    </w:p>
    <w:p>
      <w:pPr>
        <w:ind w:left="460" w:right="2899" w:firstLine="474"/>
        <w:spacing w:after="0" w:line="257" w:lineRule="auto"/>
        <w:tabs>
          <w:tab w:leader="none" w:pos="130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of a change in law, regulation, or administrative or judicial interpretation that becomes effective more than 15 days after the payment becomes due or is duly provided for, whichever occurs later;</w:t>
      </w:r>
    </w:p>
    <w:p>
      <w:pPr>
        <w:spacing w:after="0" w:line="174" w:lineRule="exact"/>
        <w:rPr>
          <w:rFonts w:ascii="Courier New" w:cs="Courier New" w:eastAsia="Courier New" w:hAnsi="Courier New"/>
          <w:sz w:val="15"/>
          <w:szCs w:val="15"/>
          <w:color w:val="auto"/>
        </w:rPr>
      </w:pPr>
    </w:p>
    <w:p>
      <w:pPr>
        <w:ind w:left="460" w:right="2899" w:firstLine="474"/>
        <w:spacing w:after="0" w:line="237" w:lineRule="auto"/>
        <w:tabs>
          <w:tab w:leader="none" w:pos="130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 estate, inheritance, gift, sales, excise, transfer, wealth or personal property tax or a similar tax, assessment or governmental charge;</w:t>
      </w:r>
    </w:p>
    <w:p>
      <w:pPr>
        <w:spacing w:after="0" w:line="184" w:lineRule="exact"/>
        <w:rPr>
          <w:rFonts w:ascii="Courier New" w:cs="Courier New" w:eastAsia="Courier New" w:hAnsi="Courier New"/>
          <w:sz w:val="16"/>
          <w:szCs w:val="16"/>
          <w:color w:val="auto"/>
        </w:rPr>
      </w:pPr>
    </w:p>
    <w:p>
      <w:pPr>
        <w:jc w:val="both"/>
        <w:ind w:left="460" w:right="2899" w:firstLine="474"/>
        <w:spacing w:after="0" w:line="237" w:lineRule="auto"/>
        <w:tabs>
          <w:tab w:leader="none" w:pos="130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tax, assessment or other governmental charge any paying agent must withhold from any payment of principal of or interest on any 6.00% Broadband Exchange Notes Due March 15, 2009, if such payment can be made without such withholding by any other paying agent; or</w:t>
      </w:r>
    </w:p>
    <w:p>
      <w:pPr>
        <w:spacing w:after="0" w:line="180"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combination of the above items.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6.00% Broadband Exchange Notes Due March 15, 2009 are subject in all cases to any tax, fiscal or other law or regulation or administrative or judicial interpretation applicable. Except as specifically provided under this heading "-- Payment of Additional Amounts" and below under "-- Redemption Upon a Tax Event," AT&amp;T does not have to make any payment with respect to any tax, assessment or governmental charge imposed by any government or a political subdivision or taxing authority.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REDEMPTION UPON A TAX EVENT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(a) AT&amp;T becomes or will become obligated to pay additional amounts as described above under "-- Payment of Additional Amounts" as a result of any change in, or amendment to, the laws (or any regulations or rulings promulgated thereunder) of the United States (or any political subdivision or taxing authority thereof or therein), or any change in, or amendments to, any official position regarding the</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659" w:right="1440" w:bottom="1440" w:gutter="0" w:footer="0" w:header="0"/>
        </w:sectPr>
      </w:pPr>
    </w:p>
    <w:bookmarkStart w:id="118" w:name="page119"/>
    <w:bookmarkEnd w:id="118"/>
    <w:p>
      <w:pPr>
        <w:ind w:left="4" w:right="2719"/>
        <w:spacing w:after="0" w:line="254" w:lineRule="auto"/>
        <w:rPr>
          <w:sz w:val="20"/>
          <w:szCs w:val="20"/>
          <w:color w:val="auto"/>
        </w:rPr>
      </w:pPr>
      <w:r>
        <w:rPr>
          <w:rFonts w:ascii="Courier New" w:cs="Courier New" w:eastAsia="Courier New" w:hAnsi="Courier New"/>
          <w:sz w:val="15"/>
          <w:szCs w:val="15"/>
          <w:color w:val="auto"/>
        </w:rPr>
        <w:t>application or interpretation of such laws, regulations or rulings, which change or amendment is announced or becomes effective on or after March 23, 1999, or</w:t>
      </w:r>
    </w:p>
    <w:p>
      <w:pPr>
        <w:spacing w:after="0" w:line="1" w:lineRule="exact"/>
        <w:rPr>
          <w:sz w:val="20"/>
          <w:szCs w:val="20"/>
          <w:color w:val="auto"/>
        </w:rPr>
      </w:pPr>
    </w:p>
    <w:p>
      <w:pPr>
        <w:ind w:left="4" w:right="2719" w:hanging="4"/>
        <w:spacing w:after="0" w:line="238" w:lineRule="auto"/>
        <w:tabs>
          <w:tab w:leader="none" w:pos="37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taxing authority of the United States takes an action on or after March 23, 1999, whether or not with respect to AT&amp;T or any of its affiliates, that results in a substantial probability that AT&amp;T will or may be required to pay such additional amounts, then AT&amp;T may, at its option, redeem, as a whole, but not in part, the 6.00% Broadband Exchange Notes Due March 15, 2009 on any interest payment date on not less than 30 nor more than 60 calendar days' prior notice, at a redemption price equal to 100% of their principal amount, together with interest accrued thereon to the date fixed for redemption, provided that AT&amp;T determines, in its business judgment, that the obligation to pay such additional amounts cannot be avoided by the use of reasonable measures available to AT&amp;T, not including substitution of the obligor under the 6.00% Broadband Exchange Notes Due March 15, 2009. No redemption pursuant to (b) above may be made unless AT&amp;T has received an opinion of independent counsel to the effect that an act taken by a taxing authority of the United States results in a substantial probability that AT&amp;T will or may be required to pay the additional amounts described herein under the heading "-- Payment of Additional Amounts" and delivered to the trustee a certificate, signed by a duly authorized officer stating, that based on such opinion AT&amp;T is entitled to redeem the notes pursuant to their terms.</w:t>
      </w:r>
    </w:p>
    <w:p>
      <w:pPr>
        <w:spacing w:after="0" w:line="18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OPTIONAL REDEMPTION</w:t>
      </w:r>
    </w:p>
    <w:p>
      <w:pPr>
        <w:spacing w:after="0" w:line="185"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5"/>
          <w:szCs w:val="15"/>
          <w:color w:val="auto"/>
        </w:rPr>
        <w:t>AT&amp;T will have the right, at its option, to redeem those Broadband Exchange Notes indicated below at any time or from time to time during specified periods, with at least 30 days, but not more than 60 days, prior notice mailed to the registered address of each holder of such series of notes.</w:t>
      </w:r>
    </w:p>
    <w:p>
      <w:pPr>
        <w:spacing w:after="0" w:line="174"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On and after the redemption date, interest will cease to accrue on the Broadband Exchange Notes or any portion thereof that is called for redemption (unless AT&amp;T defaults in the payment of the redemption price and accrued and unpaid interest). On or before the redemption date, AT&amp;T will deposit with a paying agent (or the trustee) money sufficient to pay the redemption price of and accrued interest on the notes to be redeemed on such date. If less than all of the Broadband Exchange Notes are to be redeemed, the notes to be redeemed shall be selected by the trustee by such method as the trustee shall deem fair and appropriate.</w:t>
      </w:r>
    </w:p>
    <w:p>
      <w:pPr>
        <w:spacing w:after="0" w:line="186"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optional redemption terms for each series of notes are described below.</w:t>
      </w:r>
    </w:p>
    <w:p>
      <w:pPr>
        <w:spacing w:after="0" w:line="186"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7.00% BROADBAND EXCHANGE NOTES DUE MAY 15, 2005</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7.00% Broadband Exchange Notes Due May 15, 2005 will not be subject to optional redemption by AT&amp;T.</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7.50% BROADBAND EXCHANGE NOTES DUE JUNE 1, 2006</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7.50% Broadband Exchange Notes Due June 1, 2006 will not be subject to optional redemption by AT&amp;T.</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7.75% BROADBAND EXCHANGE NOTES DUE MARCH 1, 2007</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7.75% Broadband Exchange Notes Due March 1, 2007 will not be subject to optional redemption by AT&amp;T.</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6.00% BROADBAND EXCHANGE NOTES DUE MARCH 15, 2009</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6.00% Broadband Exchange Notes Due March 15, 2009 will be redeemable at AT&amp;T's option at any time or from time to time, in whole or in part. If you hold any of these notes and AT&amp;T decides to redeem them, then AT&amp;T will pay you the greater of:</w:t>
      </w:r>
    </w:p>
    <w:p>
      <w:pPr>
        <w:spacing w:after="0" w:line="186" w:lineRule="exact"/>
        <w:rPr>
          <w:sz w:val="20"/>
          <w:szCs w:val="20"/>
          <w:color w:val="auto"/>
        </w:rPr>
      </w:pPr>
    </w:p>
    <w:p>
      <w:pPr>
        <w:ind w:left="464" w:right="3179" w:firstLine="474"/>
        <w:spacing w:after="0" w:line="236" w:lineRule="auto"/>
        <w:tabs>
          <w:tab w:leader="none" w:pos="140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principal amount of the 6.00% Broadband Exchange Notes Due March 15, 2009 to be redeemed and</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23"/>
          </w:cols>
          <w:pgMar w:left="236" w:top="659" w:right="1440" w:bottom="1440" w:gutter="0" w:footer="0" w:header="0"/>
        </w:sectPr>
      </w:pPr>
    </w:p>
    <w:bookmarkStart w:id="119" w:name="page120"/>
    <w:bookmarkEnd w:id="119"/>
    <w:p>
      <w:pPr>
        <w:ind w:left="460" w:right="2719" w:firstLine="474"/>
        <w:spacing w:after="0" w:line="237" w:lineRule="auto"/>
        <w:tabs>
          <w:tab w:leader="none" w:pos="1398"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present values of the Remaining Scheduled Payments (as defined below) discounted, on a semiannual basis (assuming a 360-day year consisting of twelve 30-day months), at a rate equal to the sum of the Treasury Rate (as defined below under "-- Certain Definitions") and 15 basis points.</w:t>
      </w:r>
    </w:p>
    <w:p>
      <w:pPr>
        <w:spacing w:after="0" w:line="187"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In the case of each of clause (1) and (2), accrued interest will be payable to the redemption date.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Please see "-- Additional Terms Pertaining Only to the 6.00% Broadband Exchange Notes Due March 15, 2009" for information regarding AT&amp;T's option to redeem the 6.00% Broadband Exchange Notes Due March 15, 2009 upon the occurrence of certain tax events.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8.125% BROADBAND EXCHANGE NOTES DUE JANUARY 15, 2022</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8.125% Broadband Exchange Notes Due January 15, 2022 will be redeemable at AT&amp;T's option at any time or from time to time, as a whole or in part, at the following prices (expressed as percentages of the principal amount), together with accrued interest to the date fixed for redemption.</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January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2002........................................................</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103.21%</w:t>
      </w:r>
    </w:p>
    <w:p>
      <w:pPr>
        <w:spacing w:after="0"/>
        <w:rPr>
          <w:sz w:val="20"/>
          <w:szCs w:val="20"/>
          <w:color w:val="auto"/>
        </w:rPr>
      </w:pPr>
      <w:r>
        <w:rPr>
          <w:rFonts w:ascii="Courier New" w:cs="Courier New" w:eastAsia="Courier New" w:hAnsi="Courier New"/>
          <w:sz w:val="16"/>
          <w:szCs w:val="16"/>
          <w:color w:val="auto"/>
        </w:rPr>
        <w:t>2003........................................................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102.89</w:t>
      </w:r>
    </w:p>
    <w:p>
      <w:pPr>
        <w:spacing w:after="0"/>
        <w:rPr>
          <w:sz w:val="20"/>
          <w:szCs w:val="20"/>
          <w:color w:val="auto"/>
        </w:rPr>
      </w:pPr>
      <w:r>
        <w:rPr>
          <w:rFonts w:ascii="Courier New" w:cs="Courier New" w:eastAsia="Courier New" w:hAnsi="Courier New"/>
          <w:sz w:val="16"/>
          <w:szCs w:val="16"/>
          <w:color w:val="auto"/>
        </w:rPr>
        <w:t>2004........................................................</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102.57</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102.25</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101.93</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101.60</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101.28</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100.96</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100.64</w:t>
      </w:r>
    </w:p>
    <w:p>
      <w:pPr>
        <w:spacing w:after="0"/>
        <w:rPr>
          <w:sz w:val="20"/>
          <w:szCs w:val="20"/>
          <w:color w:val="auto"/>
        </w:rPr>
      </w:pPr>
      <w:r>
        <w:rPr>
          <w:rFonts w:ascii="Courier New" w:cs="Courier New" w:eastAsia="Courier New" w:hAnsi="Courier New"/>
          <w:sz w:val="16"/>
          <w:szCs w:val="16"/>
          <w:color w:val="auto"/>
        </w:rPr>
        <w:t>2011........................................................</w:t>
      </w:r>
    </w:p>
    <w:p>
      <w:pPr>
        <w:ind w:left="2520"/>
        <w:spacing w:after="0" w:line="237" w:lineRule="auto"/>
        <w:rPr>
          <w:sz w:val="20"/>
          <w:szCs w:val="20"/>
          <w:color w:val="auto"/>
        </w:rPr>
      </w:pPr>
      <w:r>
        <w:rPr>
          <w:rFonts w:ascii="Courier New" w:cs="Courier New" w:eastAsia="Courier New" w:hAnsi="Courier New"/>
          <w:sz w:val="16"/>
          <w:szCs w:val="16"/>
          <w:color w:val="auto"/>
        </w:rPr>
        <w:t>100.32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8.125% BROADBAND EXCHANGE NOTES DUE JULY 15, 2024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8.125% Broadband Exchange Notes Due July 15, 2024 will be redeemable at AT&amp;T's option at any time or from time to time, as a whole or in part, at the following prices (expressed as percentages of the principal amount), together with accrued interest to the date fixed for redemption.</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July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2002........................................................</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103.971%</w:t>
      </w:r>
    </w:p>
    <w:p>
      <w:pPr>
        <w:spacing w:after="0"/>
        <w:rPr>
          <w:sz w:val="20"/>
          <w:szCs w:val="20"/>
          <w:color w:val="auto"/>
        </w:rPr>
      </w:pPr>
      <w:r>
        <w:rPr>
          <w:rFonts w:ascii="Courier New" w:cs="Courier New" w:eastAsia="Courier New" w:hAnsi="Courier New"/>
          <w:sz w:val="16"/>
          <w:szCs w:val="16"/>
          <w:color w:val="auto"/>
        </w:rPr>
        <w:t>2003........................................................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103.640</w:t>
      </w:r>
    </w:p>
    <w:p>
      <w:pPr>
        <w:spacing w:after="0"/>
        <w:rPr>
          <w:sz w:val="20"/>
          <w:szCs w:val="20"/>
          <w:color w:val="auto"/>
        </w:rPr>
      </w:pPr>
      <w:r>
        <w:rPr>
          <w:rFonts w:ascii="Courier New" w:cs="Courier New" w:eastAsia="Courier New" w:hAnsi="Courier New"/>
          <w:sz w:val="16"/>
          <w:szCs w:val="16"/>
          <w:color w:val="auto"/>
        </w:rPr>
        <w:t>2004........................................................</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103.309</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102.978</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102.647</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102.316</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101.985</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101.655</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101.324</w:t>
      </w:r>
    </w:p>
    <w:p>
      <w:pPr>
        <w:spacing w:after="0"/>
        <w:rPr>
          <w:sz w:val="20"/>
          <w:szCs w:val="20"/>
          <w:color w:val="auto"/>
        </w:rPr>
      </w:pPr>
      <w:r>
        <w:rPr>
          <w:rFonts w:ascii="Courier New" w:cs="Courier New" w:eastAsia="Courier New" w:hAnsi="Courier New"/>
          <w:sz w:val="16"/>
          <w:szCs w:val="16"/>
          <w:color w:val="auto"/>
        </w:rPr>
        <w:t>2011........................................................</w:t>
      </w:r>
    </w:p>
    <w:p>
      <w:pPr>
        <w:ind w:left="2480"/>
        <w:spacing w:after="0" w:line="237" w:lineRule="auto"/>
        <w:rPr>
          <w:sz w:val="20"/>
          <w:szCs w:val="20"/>
          <w:color w:val="auto"/>
        </w:rPr>
      </w:pPr>
      <w:r>
        <w:rPr>
          <w:rFonts w:ascii="Courier New" w:cs="Courier New" w:eastAsia="Courier New" w:hAnsi="Courier New"/>
          <w:sz w:val="16"/>
          <w:szCs w:val="16"/>
          <w:color w:val="auto"/>
        </w:rPr>
        <w:t>100.993</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19"/>
          </w:cols>
          <w:pgMar w:left="240" w:top="659" w:right="1440" w:bottom="1009" w:gutter="0" w:footer="0" w:header="0"/>
        </w:sectPr>
      </w:pPr>
    </w:p>
    <w:bookmarkStart w:id="120" w:name="page121"/>
    <w:bookmarkEnd w:id="120"/>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100.662</w:t>
      </w:r>
    </w:p>
    <w:p>
      <w:pPr>
        <w:spacing w:after="0"/>
        <w:rPr>
          <w:sz w:val="20"/>
          <w:szCs w:val="20"/>
          <w:color w:val="auto"/>
        </w:rPr>
      </w:pPr>
      <w:r>
        <w:rPr>
          <w:rFonts w:ascii="Courier New" w:cs="Courier New" w:eastAsia="Courier New" w:hAnsi="Courier New"/>
          <w:sz w:val="16"/>
          <w:szCs w:val="16"/>
          <w:color w:val="auto"/>
        </w:rPr>
        <w:t>2013........................................................</w:t>
      </w:r>
    </w:p>
    <w:p>
      <w:pPr>
        <w:ind w:left="2480"/>
        <w:spacing w:after="0" w:line="238" w:lineRule="auto"/>
        <w:rPr>
          <w:sz w:val="20"/>
          <w:szCs w:val="20"/>
          <w:color w:val="auto"/>
        </w:rPr>
      </w:pPr>
      <w:r>
        <w:rPr>
          <w:rFonts w:ascii="Courier New" w:cs="Courier New" w:eastAsia="Courier New" w:hAnsi="Courier New"/>
          <w:sz w:val="16"/>
          <w:szCs w:val="16"/>
          <w:color w:val="auto"/>
        </w:rPr>
        <w:t>100.331</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8.35% BROADBAND EXCHANGE NOTES DUE JANUARY 15, 2025</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8.35% Broadband Exchange Notes Due January 15, 2025 will not be redeemable prior to January 15, 2005. On or after such date, the 8.35% Broadband Exchange Notes Due January 15, 2025 will be redeemable at AT&amp;T's option at any time or from time to time, as a whole or in part, at the following prices (expressed as percentages of the principal amount), together with accrued interest to the date fixed for redemption.</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January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103.288%</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102.959</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102.630</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102.302</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101.973</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101.644</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101.315</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100.986</w:t>
      </w:r>
    </w:p>
    <w:p>
      <w:pPr>
        <w:spacing w:after="0"/>
        <w:rPr>
          <w:sz w:val="20"/>
          <w:szCs w:val="20"/>
          <w:color w:val="auto"/>
        </w:rPr>
      </w:pPr>
      <w:r>
        <w:rPr>
          <w:rFonts w:ascii="Courier New" w:cs="Courier New" w:eastAsia="Courier New" w:hAnsi="Courier New"/>
          <w:sz w:val="16"/>
          <w:szCs w:val="16"/>
          <w:color w:val="auto"/>
        </w:rPr>
        <w:t>2013........................................................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100.658</w:t>
      </w:r>
    </w:p>
    <w:p>
      <w:pPr>
        <w:spacing w:after="0"/>
        <w:rPr>
          <w:sz w:val="20"/>
          <w:szCs w:val="20"/>
          <w:color w:val="auto"/>
        </w:rPr>
      </w:pPr>
      <w:r>
        <w:rPr>
          <w:rFonts w:ascii="Courier New" w:cs="Courier New" w:eastAsia="Courier New" w:hAnsi="Courier New"/>
          <w:sz w:val="16"/>
          <w:szCs w:val="16"/>
          <w:color w:val="auto"/>
        </w:rPr>
        <w:t>2014........................................................</w:t>
      </w:r>
    </w:p>
    <w:p>
      <w:pPr>
        <w:ind w:left="2480"/>
        <w:spacing w:after="0" w:line="237" w:lineRule="auto"/>
        <w:rPr>
          <w:sz w:val="20"/>
          <w:szCs w:val="20"/>
          <w:color w:val="auto"/>
        </w:rPr>
      </w:pPr>
      <w:r>
        <w:rPr>
          <w:rFonts w:ascii="Courier New" w:cs="Courier New" w:eastAsia="Courier New" w:hAnsi="Courier New"/>
          <w:sz w:val="16"/>
          <w:szCs w:val="16"/>
          <w:color w:val="auto"/>
        </w:rPr>
        <w:t>100.329</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8.625% BROADBAND EXCHANGE NOTES DUE DECEMBER 1, 2031</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8.625% Broadband Exchange Notes Due December 1, 2031 will be redeemable at AT&amp;T's option at any time, as a whole or in part, at the following prices (expressed as percentages of the principal amount), together with accrued interest to the date fixed for redemption:</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December 1:</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105.56%</w:t>
      </w:r>
    </w:p>
    <w:p>
      <w:pPr>
        <w:spacing w:after="0"/>
        <w:rPr>
          <w:sz w:val="20"/>
          <w:szCs w:val="20"/>
          <w:color w:val="auto"/>
        </w:rPr>
      </w:pPr>
      <w:r>
        <w:rPr>
          <w:rFonts w:ascii="Courier New" w:cs="Courier New" w:eastAsia="Courier New" w:hAnsi="Courier New"/>
          <w:sz w:val="16"/>
          <w:szCs w:val="16"/>
          <w:color w:val="auto"/>
        </w:rPr>
        <w:t>2002........................................................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105.28</w:t>
      </w:r>
    </w:p>
    <w:p>
      <w:pPr>
        <w:spacing w:after="0"/>
        <w:rPr>
          <w:sz w:val="20"/>
          <w:szCs w:val="20"/>
          <w:color w:val="auto"/>
        </w:rPr>
      </w:pPr>
      <w:r>
        <w:rPr>
          <w:rFonts w:ascii="Courier New" w:cs="Courier New" w:eastAsia="Courier New" w:hAnsi="Courier New"/>
          <w:sz w:val="16"/>
          <w:szCs w:val="16"/>
          <w:color w:val="auto"/>
        </w:rPr>
        <w:t>2003........................................................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105.00</w:t>
      </w:r>
    </w:p>
    <w:p>
      <w:pPr>
        <w:spacing w:after="0"/>
        <w:rPr>
          <w:sz w:val="20"/>
          <w:szCs w:val="20"/>
          <w:color w:val="auto"/>
        </w:rPr>
      </w:pPr>
      <w:r>
        <w:rPr>
          <w:rFonts w:ascii="Courier New" w:cs="Courier New" w:eastAsia="Courier New" w:hAnsi="Courier New"/>
          <w:sz w:val="16"/>
          <w:szCs w:val="16"/>
          <w:color w:val="auto"/>
        </w:rPr>
        <w:t>2004........................................................</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104.73</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104.45</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104.17</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103.89</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103.61</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103.34</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103.06</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102.78</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102.50</w:t>
      </w:r>
    </w:p>
    <w:p>
      <w:pPr>
        <w:spacing w:after="0"/>
        <w:rPr>
          <w:sz w:val="20"/>
          <w:szCs w:val="20"/>
          <w:color w:val="auto"/>
        </w:rPr>
      </w:pPr>
      <w:r>
        <w:rPr>
          <w:rFonts w:ascii="Courier New" w:cs="Courier New" w:eastAsia="Courier New" w:hAnsi="Courier New"/>
          <w:sz w:val="16"/>
          <w:szCs w:val="16"/>
          <w:color w:val="auto"/>
        </w:rPr>
        <w:t>2013........................................................</w:t>
      </w:r>
    </w:p>
    <w:p>
      <w:pPr>
        <w:ind w:left="2520"/>
        <w:spacing w:after="0" w:line="237" w:lineRule="auto"/>
        <w:rPr>
          <w:sz w:val="20"/>
          <w:szCs w:val="20"/>
          <w:color w:val="auto"/>
        </w:rPr>
      </w:pPr>
      <w:r>
        <w:rPr>
          <w:rFonts w:ascii="Courier New" w:cs="Courier New" w:eastAsia="Courier New" w:hAnsi="Courier New"/>
          <w:sz w:val="16"/>
          <w:szCs w:val="16"/>
          <w:color w:val="auto"/>
        </w:rPr>
        <w:t>102.22</w:t>
      </w:r>
    </w:p>
    <w:p>
      <w:pPr>
        <w:sectPr>
          <w:pgSz w:w="11900" w:h="16838" w:orient="portrait"/>
          <w:cols w:equalWidth="0" w:num="1">
            <w:col w:w="10219"/>
          </w:cols>
          <w:pgMar w:left="240" w:top="654" w:right="1440" w:bottom="474" w:gutter="0" w:footer="0" w:header="0"/>
        </w:sectPr>
      </w:pPr>
    </w:p>
    <w:p>
      <w:pPr>
        <w:spacing w:after="0" w:line="36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654" w:right="1440" w:bottom="474" w:gutter="0" w:footer="0" w:header="0"/>
          <w:type w:val="continuous"/>
        </w:sectPr>
      </w:pPr>
    </w:p>
    <w:bookmarkStart w:id="121" w:name="page122"/>
    <w:bookmarkEnd w:id="121"/>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2014........................................................</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101.95</w:t>
      </w:r>
    </w:p>
    <w:p>
      <w:pPr>
        <w:spacing w:after="0"/>
        <w:rPr>
          <w:sz w:val="20"/>
          <w:szCs w:val="20"/>
          <w:color w:val="auto"/>
        </w:rPr>
      </w:pPr>
      <w:r>
        <w:rPr>
          <w:rFonts w:ascii="Courier New" w:cs="Courier New" w:eastAsia="Courier New" w:hAnsi="Courier New"/>
          <w:sz w:val="16"/>
          <w:szCs w:val="16"/>
          <w:color w:val="auto"/>
        </w:rPr>
        <w:t>2015........................................................</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101.67</w:t>
      </w:r>
    </w:p>
    <w:p>
      <w:pPr>
        <w:spacing w:after="0"/>
        <w:rPr>
          <w:sz w:val="20"/>
          <w:szCs w:val="20"/>
          <w:color w:val="auto"/>
        </w:rPr>
      </w:pPr>
      <w:r>
        <w:rPr>
          <w:rFonts w:ascii="Courier New" w:cs="Courier New" w:eastAsia="Courier New" w:hAnsi="Courier New"/>
          <w:sz w:val="16"/>
          <w:szCs w:val="16"/>
          <w:color w:val="auto"/>
        </w:rPr>
        <w:t>2016........................................................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101.39</w:t>
      </w:r>
    </w:p>
    <w:p>
      <w:pPr>
        <w:spacing w:after="0"/>
        <w:rPr>
          <w:sz w:val="20"/>
          <w:szCs w:val="20"/>
          <w:color w:val="auto"/>
        </w:rPr>
      </w:pPr>
      <w:r>
        <w:rPr>
          <w:rFonts w:ascii="Courier New" w:cs="Courier New" w:eastAsia="Courier New" w:hAnsi="Courier New"/>
          <w:sz w:val="16"/>
          <w:szCs w:val="16"/>
          <w:color w:val="auto"/>
        </w:rPr>
        <w:t>2017........................................................</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101.11</w:t>
      </w:r>
    </w:p>
    <w:p>
      <w:pPr>
        <w:spacing w:after="0"/>
        <w:rPr>
          <w:sz w:val="20"/>
          <w:szCs w:val="20"/>
          <w:color w:val="auto"/>
        </w:rPr>
      </w:pPr>
      <w:r>
        <w:rPr>
          <w:rFonts w:ascii="Courier New" w:cs="Courier New" w:eastAsia="Courier New" w:hAnsi="Courier New"/>
          <w:sz w:val="16"/>
          <w:szCs w:val="16"/>
          <w:color w:val="auto"/>
        </w:rPr>
        <w:t>2018........................................................</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100.83</w:t>
      </w:r>
    </w:p>
    <w:p>
      <w:pPr>
        <w:spacing w:after="0"/>
        <w:rPr>
          <w:sz w:val="20"/>
          <w:szCs w:val="20"/>
          <w:color w:val="auto"/>
        </w:rPr>
      </w:pPr>
      <w:r>
        <w:rPr>
          <w:rFonts w:ascii="Courier New" w:cs="Courier New" w:eastAsia="Courier New" w:hAnsi="Courier New"/>
          <w:sz w:val="16"/>
          <w:szCs w:val="16"/>
          <w:color w:val="auto"/>
        </w:rPr>
        <w:t>2019........................................................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100.56</w:t>
      </w:r>
    </w:p>
    <w:p>
      <w:pPr>
        <w:spacing w:after="0"/>
        <w:rPr>
          <w:sz w:val="20"/>
          <w:szCs w:val="20"/>
          <w:color w:val="auto"/>
        </w:rPr>
      </w:pPr>
      <w:r>
        <w:rPr>
          <w:rFonts w:ascii="Courier New" w:cs="Courier New" w:eastAsia="Courier New" w:hAnsi="Courier New"/>
          <w:sz w:val="16"/>
          <w:szCs w:val="16"/>
          <w:color w:val="auto"/>
        </w:rPr>
        <w:t>2020........................................................</w:t>
      </w:r>
    </w:p>
    <w:p>
      <w:pPr>
        <w:ind w:left="2520"/>
        <w:spacing w:after="0" w:line="237" w:lineRule="auto"/>
        <w:rPr>
          <w:sz w:val="20"/>
          <w:szCs w:val="20"/>
          <w:color w:val="auto"/>
        </w:rPr>
      </w:pPr>
      <w:r>
        <w:rPr>
          <w:rFonts w:ascii="Courier New" w:cs="Courier New" w:eastAsia="Courier New" w:hAnsi="Courier New"/>
          <w:sz w:val="16"/>
          <w:szCs w:val="16"/>
          <w:color w:val="auto"/>
        </w:rPr>
        <w:t>100.28</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MANDATORY REDEMPTION OR SINKING FUND</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There will be no mandatory redemption prior to maturity or sinking fund payments for the Broadband Exchange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DEBT</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AT&amp;T Indenture does not limit the amount of debt that AT&amp;T may issue under the AT&amp;T Indenture or otherwise.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COVENANTS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has agreed to some restrictions on its activities for the benefit of holders of all series of debt securities issued under the AT&amp;T Indenture. The restrictive covenants summarized below will apply, unless the covenants are waived or amended, so long as any of the debt securities are outstanding. Please see "-- Certain Definitions" for the meaning of the capitalized terms used in describing the covenants.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LIMITATION ON SECURED INDEBTEDNESS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will not, and AT&amp;T will not permit any of its Restricted Subsidiaries to, create, assume, incur or guarantee any Secured Indebtedness unless AT&amp;T secures the debt securities issued under the AT&amp;T Indenture to the same extent as such Secured Indebtedness. However, AT&amp;T may incur Secured Indebtedness without securing these debt securities if, immediately after incurring the Secured Indebtedness, the aggregate amount of all Secured Indebtedness and the discounted present value of all net rentals payable under leases entered into in connection with sale and leaseback transactions would not exceed 10% of Consolidated Net Tangible Assets. The aggregate amount of all Secured Indebtedness in the preceding sentence excludes Secured Indebtedness which is secured to the same extent as these debt securities and Secured Indebtedness that is being repaid concurrently with the issuance of new Secured Indebtedness.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LIMITATION ON SALE AND LEASEBACK TRANSACTIONS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will not, and AT&amp;T will not permit any of its Restricted Subsidiaries to, enter into any lease longer than three years, excluding leases of newly acquired, improved or constructed property, covering any Principal Property of AT&amp;T or any Restricted Subsidiary that is sold to any other person in connection with such lease, unless either</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immediately thereafter, the sum of</w:t>
      </w:r>
    </w:p>
    <w:p>
      <w:pPr>
        <w:spacing w:after="0" w:line="185" w:lineRule="exact"/>
        <w:rPr>
          <w:sz w:val="20"/>
          <w:szCs w:val="20"/>
          <w:color w:val="auto"/>
        </w:rPr>
      </w:pPr>
    </w:p>
    <w:p>
      <w:pPr>
        <w:ind w:left="740" w:right="28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discounted present value of all net rentals payable under all such leases entered into after April 1, 1986 (except for any lease entered into by a Restricted Subsidiary before it became a Restricted Subsidiary) and</w:t>
      </w:r>
    </w:p>
    <w:p>
      <w:pPr>
        <w:spacing w:after="0" w:line="186" w:lineRule="exact"/>
        <w:rPr>
          <w:sz w:val="20"/>
          <w:szCs w:val="20"/>
          <w:color w:val="auto"/>
        </w:rPr>
      </w:pPr>
    </w:p>
    <w:p>
      <w:pPr>
        <w:ind w:left="740" w:right="317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aggregate amount of all Secured Indebtedness, excluding Secured Indebtedness which is secured to the same extent as these debt securities</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654" w:right="1440" w:bottom="1440" w:gutter="0" w:footer="0" w:header="0"/>
          <w:type w:val="continuous"/>
        </w:sectPr>
      </w:pPr>
    </w:p>
    <w:bookmarkStart w:id="122" w:name="page123"/>
    <w:bookmarkEnd w:id="122"/>
    <w:p>
      <w:pPr>
        <w:ind w:left="560"/>
        <w:spacing w:after="0"/>
        <w:rPr>
          <w:sz w:val="20"/>
          <w:szCs w:val="20"/>
          <w:color w:val="auto"/>
        </w:rPr>
      </w:pPr>
      <w:r>
        <w:rPr>
          <w:rFonts w:ascii="Courier New" w:cs="Courier New" w:eastAsia="Courier New" w:hAnsi="Courier New"/>
          <w:sz w:val="16"/>
          <w:szCs w:val="16"/>
          <w:color w:val="auto"/>
        </w:rPr>
        <w:t>does not exceed 10% of Consolidated Net Tangible Assets, or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an amount equal to the greater of</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net proceeds to AT&amp;T or a Restricted Subsidiary from such sale and</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discounted present value of all net rentals payable thereunder</w:t>
      </w:r>
    </w:p>
    <w:p>
      <w:pPr>
        <w:spacing w:after="0" w:line="185" w:lineRule="exact"/>
        <w:rPr>
          <w:sz w:val="20"/>
          <w:szCs w:val="20"/>
          <w:color w:val="auto"/>
        </w:rPr>
      </w:pPr>
    </w:p>
    <w:p>
      <w:pPr>
        <w:ind w:left="560" w:right="2719"/>
        <w:spacing w:after="0" w:line="237" w:lineRule="auto"/>
        <w:rPr>
          <w:sz w:val="20"/>
          <w:szCs w:val="20"/>
          <w:color w:val="auto"/>
        </w:rPr>
      </w:pPr>
      <w:r>
        <w:rPr>
          <w:rFonts w:ascii="Courier New" w:cs="Courier New" w:eastAsia="Courier New" w:hAnsi="Courier New"/>
          <w:sz w:val="16"/>
          <w:szCs w:val="16"/>
          <w:color w:val="auto"/>
        </w:rPr>
        <w:t>is used within 180 days to retire long-term debt of AT&amp;T or a Restricted Subsidiary. However, debt which is subordinate to these debt securities or which is owed to AT&amp;T or a Restricted Subsidiary may not be retired.</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CONSOLIDATION, MERGER OR SALE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has agreed not to consolidate with or merge into any other corporation or convey or transfer substantially all of its properties and assets to any person except as set forth below, unless</w:t>
      </w:r>
    </w:p>
    <w:p>
      <w:pPr>
        <w:spacing w:after="0" w:line="180" w:lineRule="exact"/>
        <w:rPr>
          <w:sz w:val="20"/>
          <w:szCs w:val="20"/>
          <w:color w:val="auto"/>
        </w:rPr>
      </w:pPr>
    </w:p>
    <w:p>
      <w:pPr>
        <w:ind w:left="660" w:hanging="195"/>
        <w:spacing w:after="0"/>
        <w:tabs>
          <w:tab w:leader="none" w:pos="66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person is authorized to acquire and operate its property and</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corporation expressly assumes by a supplemental indenture the due and punctual payment of the principal of and any premium or any interest on all the debt securities and the performance of every covenant in the AT&amp;T Indenture that AT&amp;T would otherwise have to perform.</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the merger covenant will be the merger covenant set forth in the AT&amp;T Indenture as amended by the note amendment, and will provide that the AT&amp;T Comcast transaction, including all transactions completed as steps in the AT&amp;T Comcast transaction, (1) will not result in a consolidation, merger, sale, conveyance or other transfer of property of AT&amp;T (including stock of subsidiaries) as an entirety or substantially as an entirety for purposes of the AT&amp;T Indenture; and (2) will not violate the successor clause of the AT&amp;T Indenture or any other provision of the AT&amp;T Indenture or any security issued under the AT&amp;T Indenture, regardless of whether any person assumes any of the indebtedness outstanding under the AT&amp;T Indenture or any other obligation under the AT&amp;T Indenture or any security issued under the AT&amp;T Indenture.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OF THE AT&amp;T INDENTURE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AT&amp;T's rights and obligations and the rights of the holders under the AT&amp;T Indenture may be modified if the holders of a majority in aggregate principal amount of the outstanding debt securities of each series affected by the modification consent to it. No modification of the principal or interest payment terms, and no modification reducing the percentage required for modifications, is effective against any holder without its consent.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AT&amp;T Indenture specifies Events of Default for the debt securities issued under the AT&amp;T Indenture. An Event of Default with respect to a series of debt securities will occur if:</w:t>
      </w:r>
    </w:p>
    <w:p>
      <w:pPr>
        <w:spacing w:after="0" w:line="185" w:lineRule="exact"/>
        <w:rPr>
          <w:sz w:val="20"/>
          <w:szCs w:val="20"/>
          <w:color w:val="auto"/>
        </w:rPr>
      </w:pPr>
    </w:p>
    <w:p>
      <w:pPr>
        <w:ind w:left="660" w:right="2999" w:hanging="195"/>
        <w:spacing w:after="0" w:line="236" w:lineRule="auto"/>
        <w:tabs>
          <w:tab w:leader="none" w:pos="66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fails to pay the principal or any premium on any debt security of that series when due;</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fails to pay interest when due on any debt security of that series for 90 days;</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fails to perform any other covenant in the AT&amp;T Indenture and this failure continues for 90 days after AT&amp;T receives written notice of it from the trustee or from the holders of 25% in principal amount of the outstanding debt securities of that series; or</w:t>
      </w:r>
    </w:p>
    <w:p>
      <w:pPr>
        <w:spacing w:after="0" w:line="185" w:lineRule="exact"/>
        <w:rPr>
          <w:rFonts w:ascii="Courier New" w:cs="Courier New" w:eastAsia="Courier New" w:hAnsi="Courier New"/>
          <w:sz w:val="16"/>
          <w:szCs w:val="16"/>
          <w:color w:val="auto"/>
        </w:rPr>
      </w:pPr>
    </w:p>
    <w:p>
      <w:pPr>
        <w:ind w:left="660" w:right="2999" w:hanging="195"/>
        <w:spacing w:after="0" w:line="263" w:lineRule="auto"/>
        <w:tabs>
          <w:tab w:leader="none" w:pos="66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or a court take certain actions relating to the bankruptcy, insolvency or reorganization of AT&amp;T for the benefit of its creditors.</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654" w:right="1440" w:bottom="1440" w:gutter="0" w:footer="0" w:header="0"/>
        </w:sectPr>
      </w:pPr>
    </w:p>
    <w:bookmarkStart w:id="123" w:name="page124"/>
    <w:bookmarkEnd w:id="123"/>
    <w:p>
      <w:pPr>
        <w:ind w:right="2899" w:firstLine="469"/>
        <w:spacing w:after="0" w:line="237" w:lineRule="auto"/>
        <w:rPr>
          <w:sz w:val="20"/>
          <w:szCs w:val="20"/>
          <w:color w:val="auto"/>
        </w:rPr>
      </w:pPr>
      <w:r>
        <w:rPr>
          <w:rFonts w:ascii="Courier New" w:cs="Courier New" w:eastAsia="Courier New" w:hAnsi="Courier New"/>
          <w:sz w:val="16"/>
          <w:szCs w:val="16"/>
          <w:color w:val="auto"/>
        </w:rPr>
        <w:t>A default under AT&amp;T's other indebtedness is not a default under the AT&amp;T Indenture, and a default under one series of debt securities under the AT&amp;T Indenture is not necessarily a default under another series.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trustee may withhold notice to the holders of debt securities of any default, except in the payment of principal or interest, if it considers such withholding of notice to be in the best interests of the holders. Default means any event which is an Event of Default described above or would be an Event of Default but for the giving of notice or the passage of time.</w:t>
      </w:r>
    </w:p>
    <w:p>
      <w:pPr>
        <w:spacing w:after="0" w:line="187"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If an Event of Default for any series of debt securities occurs and continues, the trustee or the holders of at least 25% in aggregate principal amount of the debt securities of such series may require AT&amp;T to repay immediately the entire principal and accrued but unpaid interest on the debt securities of such series.</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holders of a majority of the aggregate principal amount of the debt securities of the affected series can rescind this accelerated payment requirement or waive any past default or Event of Default or allow AT&amp;T to not comply with any provision of the AT&amp;T Indenture. However, among other things, they cannot waive a default in payment of principal of, premium, if any, or interest on, any of the debt securities of such series.</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Other than its duties in case of a default, the trustee will not be obligated to exercise any of its rights or powers under the AT&amp;T Indenture at the request, order or direction of any holders, unless the holders offer the trustee reasonable indemnity. If they provide reasonable indemnity, the holders of a majority in principal amount of any series of debt securities, may, subject to certain limitations, direct the time, method and place of conducting any proceeding or any remedy available to the trustee, or exercising any power conferred upon the trustee, for any series of debt securities.</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is not required to provide the trustee with any certificate or other document saying that AT&amp;T is in compliance with the AT&amp;T Indenture or that there are no defaults.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AND DEFEASANCE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term defeasance means discharge of AT&amp;T from some or all of its obligations under the AT&amp;T Indenture. If AT&amp;T deposits with the trustee sufficient cash or government securities to pay the principal, interest, any premium and any other sums due to the stated maturity date or a redemption date of the debt securities of a particular series, then at AT&amp;T's option:</w:t>
      </w:r>
    </w:p>
    <w:p>
      <w:pPr>
        <w:spacing w:after="0" w:line="187" w:lineRule="exact"/>
        <w:rPr>
          <w:sz w:val="20"/>
          <w:szCs w:val="20"/>
          <w:color w:val="auto"/>
        </w:rPr>
      </w:pPr>
    </w:p>
    <w:p>
      <w:pPr>
        <w:ind w:left="660" w:right="3099" w:hanging="195"/>
        <w:spacing w:after="0" w:line="236" w:lineRule="auto"/>
        <w:tabs>
          <w:tab w:leader="none" w:pos="6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be discharged from its obligations with respect to the debt securities of such series; or</w:t>
      </w:r>
    </w:p>
    <w:p>
      <w:pPr>
        <w:spacing w:after="0" w:line="184" w:lineRule="exact"/>
        <w:rPr>
          <w:rFonts w:ascii="Courier New" w:cs="Courier New" w:eastAsia="Courier New" w:hAnsi="Courier New"/>
          <w:sz w:val="16"/>
          <w:szCs w:val="16"/>
          <w:color w:val="auto"/>
        </w:rPr>
      </w:pPr>
    </w:p>
    <w:p>
      <w:pPr>
        <w:ind w:left="660" w:right="3099" w:hanging="195"/>
        <w:spacing w:after="0" w:line="237" w:lineRule="auto"/>
        <w:tabs>
          <w:tab w:leader="none" w:pos="6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 longer be under any obligation to comply with certain restrictive covenants under the AT&amp;T Indenture, and certain Events of Default will no longer apply to AT&amp;T.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this happens, the holders of the debt securities of the affected series will not be entitled to the benefits of the AT&amp;T Indenture except for registration of transfer and exchange of the debt securities and replacement of lost, stolen or mutilated debt securities. Such holders may look only to such deposited funds or obligations for payment.</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must deliver to the trustee an opinion of counsel to the effect that the deposit and related defeasance would not cause the holders of the debt securities to recognize income, gain or loss for Federal income tax purposes. AT&amp;T must also deliver a ruling to such effect received from or published by the United States Internal Revenue Service if AT&amp;T is discharged from its obligations with respect to the debt securities.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PERSONAL LIABILITY OF STOCKHOLDERS, OFFICERS, DIRECTORS OR EMPLOYEES</w:t>
      </w:r>
    </w:p>
    <w:p>
      <w:pPr>
        <w:spacing w:after="0" w:line="18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No stockholder, officer, director or employee of AT&amp;T or Broadband shall have any liability under the Broadband Exchange Notes. Each holder, by accepting the Broadband Exchange Notes, waives and releases all such liability.</w:t>
      </w:r>
    </w:p>
    <w:p>
      <w:pPr>
        <w:spacing w:after="0" w:line="1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659"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6"/>
          <w:szCs w:val="16"/>
          <w:color w:val="auto"/>
        </w:rPr>
        <w:t>CONCERNING THE TRUSTEE</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AT&amp;T Indenture provides that, except during the continuance of a default, the trustee will not be liable, except for the performance of such duties as are specifically set forth in the AT&amp;T Indenture. If an event of default occurs and is continuing, the trustee will exercise such rights and powers vested in it under the AT&amp;T Indenture and will use the same degree of care and skill in its exercise as a prudent person would exercise under the circumstances in the conduct of such person's own affairs. AT&amp;T and Broadband may have normal banking relationships with the trustee under the AT&amp;T Indenture in the ordinary course of business.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AT&amp;T Indenture and the debt securities issued under the AT&amp;T Indenture will be governed by, and construed in accordance with, the internal laws of the State of New York.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SYSTEM</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and Broadband will initially issue the Broadband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For more information on DTC and clearance and settlement of the securities through DTC, please see "Description of the New Broadband Notes and the Cable Guarantees -- Book-Entry System -- DTC."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CERTIFICATED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If DTC is at any time unwilling or unable to continue as depositary and a successor depositary is not appointed by AT&amp;T within 90 days, AT&amp;T will issue Broadband Exchange Notes in definitive form in exchange for the Global Notes. In addition, AT&amp;T may at any time and in its sole discretion determine not to have its debt securities issued under the AT&amp;T Indenture represented by the Global Notes and, in such event, will issue the debt securities in definitive form in exchange for the Global Notes. In any such instance, an owner of a beneficial interest in the Global Notes will be entitled to physical delivery in definitive form of AT&amp;T's debt securities represented by the Global Notes equal in principal amount to such beneficial interest and to have such debt securities registered in its name. AT&amp;T's debt securities so issued in definitive form will be issued as registered debt securities in denominations of $1,000 and multiples thereof, unless otherwise specified by AT&amp;T. AT&amp;T's definitive debt securities can be transferred by presentation for registration to the registrar at its New York or Luxembourg offices and must be duly endorsed by the holder or his attorney duly authorized in writing, or accompanied by a written instrument or instruments of transfer in form satisfactory to AT&amp;T or the trustee duly executed by the holder or his attorney duly authorized in writing. AT&amp;T may require payment of a sum sufficient to cover any tax or other governmental charge that may be imposed in connection with any exchange or registration of transfer of definitive AT&amp;T debt securities.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SAME-DAY PAYMENT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AT&amp;T Indenture requires payments to be made in respect of the applicable Broadband Exchange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Payments (including principal, premium and interest) and transfers with respect to Broadband Exchange Notes in certificated form may be executed at the office or agency maintained for such purpose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105</w:t>
      </w:r>
    </w:p>
    <w:p>
      <w:pPr>
        <w:sectPr>
          <w:pgSz w:w="11900" w:h="16838" w:orient="portrait"/>
          <w:cols w:equalWidth="0" w:num="1">
            <w:col w:w="10219"/>
          </w:cols>
          <w:pgMar w:left="240" w:top="654" w:right="1440" w:bottom="1440" w:gutter="0" w:footer="0" w:header="0"/>
        </w:sectPr>
      </w:pPr>
    </w:p>
    <w:bookmarkStart w:id="125" w:name="page126"/>
    <w:bookmarkEnd w:id="125"/>
    <w:p>
      <w:pPr>
        <w:ind w:right="2719"/>
        <w:spacing w:after="0" w:line="238" w:lineRule="auto"/>
        <w:rPr>
          <w:sz w:val="20"/>
          <w:szCs w:val="20"/>
          <w:color w:val="auto"/>
        </w:rPr>
      </w:pPr>
      <w:r>
        <w:rPr>
          <w:rFonts w:ascii="Courier New" w:cs="Courier New" w:eastAsia="Courier New" w:hAnsi="Courier New"/>
          <w:sz w:val="16"/>
          <w:szCs w:val="16"/>
          <w:color w:val="auto"/>
        </w:rPr>
        <w:t>within the City and State of New York (initially the office of the paying agent maintained for such purpose) or, at AT&amp;T's option, by check mailed to the holders thereof at the respective addresses set forth in the register of holders of the applicable Broadband Exchange Notes, provided that all payments (including principal, premium and interest) on Broadband Exchange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DEFINITIONS</w:t>
      </w:r>
    </w:p>
    <w:p>
      <w:pPr>
        <w:spacing w:after="0" w:line="185" w:lineRule="exact"/>
        <w:rPr>
          <w:sz w:val="20"/>
          <w:szCs w:val="20"/>
          <w:color w:val="auto"/>
        </w:rPr>
      </w:pPr>
    </w:p>
    <w:p>
      <w:pPr>
        <w:ind w:right="3379" w:firstLine="469"/>
        <w:spacing w:after="0" w:line="263" w:lineRule="auto"/>
        <w:rPr>
          <w:sz w:val="20"/>
          <w:szCs w:val="20"/>
          <w:color w:val="auto"/>
        </w:rPr>
      </w:pPr>
      <w:r>
        <w:rPr>
          <w:rFonts w:ascii="Courier New" w:cs="Courier New" w:eastAsia="Courier New" w:hAnsi="Courier New"/>
          <w:sz w:val="15"/>
          <w:szCs w:val="15"/>
          <w:color w:val="auto"/>
        </w:rPr>
        <w:t>The following definitions have been used to describe the restrictive covenants that are contained in the AT&amp;T Indenture and described above.</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"PRINCIPAL PROPERTY" means land, land improvements, buildings and associated factory, laboratory, office and switching equipment (excluding all products marketed by AT&amp;T or any of its subsidiaries) constituting a manufacturing, development, warehouse, service, office or operating facility owned by or leased to AT&amp;T or a Restricted Subsidiary, located within the United States and having an acquisition cost plus capitalized improvements in excess of 0.25 per cent of Consolidated Net Tangible Assets of the date of such determination, other than any such property financed through the issuance of tax-exempt governmental obligations, or which the Board of Directors determines is not of material importance to AT&amp;T and its Restricted Subsidiaries taken as a whole, or in which the interest of AT&amp;T and all its subsidiaries does not exceed 50%.</w:t>
      </w:r>
    </w:p>
    <w:p>
      <w:pPr>
        <w:spacing w:after="0" w:line="18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"CONSOLIDATED NET TANGIBLE ASSETS" means the total assets of AT&amp;T and its subsidiaries, less current liabilities and certain intangible assets (other than product development costs).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"RESTRICTED SUBSIDIARY" means any subsidiary of AT&amp;T which has substantially all its property in the United States, which owns or is a lessee of any Principal Property and in which the investment of AT&amp;T and all its subsidiaries exceeds 0.25 per cent of Consolidated Net Tangible Assets as of the date of such determination, other than certain financing subsidiaries and subsidiaries formed or acquired after April 1, 1986 for the purpose of acquiring the business or assets of another person and that do not acquire all or any substantial part of the business or assets of AT&amp;T or any Restricted Subsidiary. In addition, the Board of Directors of AT&amp;T may designate any other subsidiary as a Restricted Subsidiary.</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"SECURED INDEBTEDNESS" means:</w:t>
      </w:r>
    </w:p>
    <w:p>
      <w:pPr>
        <w:spacing w:after="0" w:line="185" w:lineRule="exact"/>
        <w:rPr>
          <w:sz w:val="20"/>
          <w:szCs w:val="20"/>
          <w:color w:val="auto"/>
        </w:rPr>
      </w:pPr>
    </w:p>
    <w:p>
      <w:pPr>
        <w:ind w:left="660" w:right="2819" w:hanging="195"/>
        <w:spacing w:after="0" w:line="237" w:lineRule="auto"/>
        <w:tabs>
          <w:tab w:leader="none" w:pos="6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AT&amp;T or any Restricted Subsidiary secured by any lien upon any Principal Property or the stock or indebtedness of a Restricted Subsidiary or</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conditional sale or other title retention agreement covering any Principal Property or Restricted Subsidiary;</w:t>
      </w:r>
    </w:p>
    <w:p>
      <w:pPr>
        <w:spacing w:after="0" w:line="185" w:lineRule="exact"/>
        <w:rPr>
          <w:sz w:val="20"/>
          <w:szCs w:val="20"/>
          <w:color w:val="auto"/>
        </w:rPr>
      </w:pPr>
    </w:p>
    <w:p>
      <w:pPr>
        <w:ind w:left="660" w:right="3559"/>
        <w:spacing w:after="0" w:line="236" w:lineRule="auto"/>
        <w:rPr>
          <w:sz w:val="20"/>
          <w:szCs w:val="20"/>
          <w:color w:val="auto"/>
        </w:rPr>
      </w:pPr>
      <w:r>
        <w:rPr>
          <w:rFonts w:ascii="Courier New" w:cs="Courier New" w:eastAsia="Courier New" w:hAnsi="Courier New"/>
          <w:sz w:val="16"/>
          <w:szCs w:val="16"/>
          <w:color w:val="auto"/>
        </w:rPr>
        <w:t>but does not include any indebtedness secured by any lien or any conditional sale or other title retention agreement:</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outstanding on April 1, 1986;</w:t>
      </w:r>
    </w:p>
    <w:p>
      <w:pPr>
        <w:spacing w:after="0" w:line="185"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incurred or entered into after April 1, 1986 to finance the acquisition, improvement or construction of such property and either secured by purchase money mortgages or liens placed on such property within 180 days of acquisition, improvement or construction;</w:t>
      </w:r>
    </w:p>
    <w:p>
      <w:pPr>
        <w:spacing w:after="0" w:line="186" w:lineRule="exact"/>
        <w:rPr>
          <w:sz w:val="20"/>
          <w:szCs w:val="20"/>
          <w:color w:val="auto"/>
        </w:rPr>
      </w:pPr>
    </w:p>
    <w:p>
      <w:pPr>
        <w:ind w:left="740" w:right="29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on Principal Property or the stock or indebtedness of Restricted Subsidiaries and existing at the time of acquisition of the property, stock or indebtedness;</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owing to AT&amp;T or any other Restricted Subsidiary;</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o existing at the time a corporation becomes a Restricted Subsidiary;</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106</w:t>
      </w:r>
    </w:p>
    <w:p>
      <w:pPr>
        <w:sectPr>
          <w:pgSz w:w="11900" w:h="16838" w:orient="portrait"/>
          <w:cols w:equalWidth="0" w:num="1">
            <w:col w:w="10219"/>
          </w:cols>
          <w:pgMar w:left="240" w:top="659" w:right="1440" w:bottom="1440" w:gutter="0" w:footer="0" w:header="0"/>
        </w:sectPr>
      </w:pPr>
    </w:p>
    <w:bookmarkStart w:id="126" w:name="page127"/>
    <w:bookmarkEnd w:id="126"/>
    <w:p>
      <w:pPr>
        <w:ind w:left="740" w:right="2719" w:hanging="179"/>
        <w:spacing w:after="0" w:line="236" w:lineRule="auto"/>
        <w:tabs>
          <w:tab w:leader="none" w:pos="720" w:val="left"/>
        </w:tabs>
        <w:rPr>
          <w:sz w:val="20"/>
          <w:szCs w:val="20"/>
          <w:color w:val="auto"/>
        </w:rPr>
      </w:pPr>
      <w:r>
        <w:rPr>
          <w:rFonts w:ascii="Courier New" w:cs="Courier New" w:eastAsia="Courier New" w:hAnsi="Courier New"/>
          <w:sz w:val="16"/>
          <w:szCs w:val="16"/>
          <w:color w:val="auto"/>
        </w:rPr>
        <w:t>o</w:t>
        <w:tab/>
        <w:t>incurred to finance the acquisition or construction of property in favor of any country or any of its political subdivisions; and</w:t>
      </w:r>
    </w:p>
    <w:p>
      <w:pPr>
        <w:spacing w:after="0" w:line="185" w:lineRule="exact"/>
        <w:rPr>
          <w:sz w:val="20"/>
          <w:szCs w:val="20"/>
          <w:color w:val="auto"/>
        </w:rPr>
      </w:pPr>
    </w:p>
    <w:p>
      <w:pPr>
        <w:ind w:left="740" w:right="2999" w:hanging="179"/>
        <w:spacing w:after="0" w:line="236" w:lineRule="auto"/>
        <w:tabs>
          <w:tab w:leader="none" w:pos="720" w:val="left"/>
        </w:tabs>
        <w:rPr>
          <w:sz w:val="20"/>
          <w:szCs w:val="20"/>
          <w:color w:val="auto"/>
        </w:rPr>
      </w:pPr>
      <w:r>
        <w:rPr>
          <w:rFonts w:ascii="Courier New" w:cs="Courier New" w:eastAsia="Courier New" w:hAnsi="Courier New"/>
          <w:sz w:val="16"/>
          <w:szCs w:val="16"/>
          <w:color w:val="auto"/>
        </w:rPr>
        <w:t>o</w:t>
        <w:tab/>
        <w:t>replacing, extending or renewing any such indebtedness (to the extent such indebtedness is not increased).</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definitions have been used to describe the optional redemption provisions applicable to each of the 6.00% Broadband Exchange Notes Due March 15, 2009, described above, and the New AT&amp;T Notes Due 2004 (Series 1) and the New AT&amp;T Notes Due 2013, which are described below under "Description of the New AT&amp;T Notes -- Optional Redemption."</w:t>
      </w:r>
    </w:p>
    <w:p>
      <w:pPr>
        <w:spacing w:after="0" w:line="36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6.00% Broadband Exchange Notes Due March 15, 2009, New AT&amp;T Notes Due 2004 (Series 1) or the New AT&amp;T Notes Due 2013, as the case may be, to be redeemed that would be utilized, at the time of selection and in accordance with customary financial practice, in pricing new issues of corporate debt securities of comparable maturity to the remaining term of such notes. "Independent Investment Banker" means one of the Reference Treasury Dealers appointed by AT&amp;T.</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"COMPARABLE TREASURY PRICE"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 "Reference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"REFERENCE TREASURY DEALER" means each of Merrill Lynch, Pierce, Fenner &amp; Smith Incorporated, Salomon Smith Barney Inc., Deutsche Bank Securities Inc., Banc One Capital Markets, Inc., Lehman Brothers Inc., J.P. Morgan Securities Inc. and Banc of America Securities LLC and their respective successors. If any of the foregoing ceases to be a primary U.S. Government securities dealer (a "Primary Treasury Dealer"), AT&amp;T will substitute another nationally recognized investment banking firm that is a Primary Treasury Dealer.</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"REMAINING SCHEDULED PAYMENTS" means, with respect to each note to be redeemed, the remaining scheduled payments of principal of and interest on such note that would be due after the related redemption date but for such redemption. If such redemption date is not an interest payment date with respect to such note, the amount of the next succeeding scheduled interest payment on such note will be reduced by the amount of interest accrued on such note to such redemption date.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107</w:t>
      </w:r>
    </w:p>
    <w:p>
      <w:pPr>
        <w:sectPr>
          <w:pgSz w:w="11900" w:h="16838" w:orient="portrait"/>
          <w:cols w:equalWidth="0" w:num="1">
            <w:col w:w="10219"/>
          </w:cols>
          <w:pgMar w:left="240" w:top="659" w:right="1440" w:bottom="1440" w:gutter="0" w:footer="0" w:header="0"/>
        </w:sectPr>
      </w:pPr>
    </w:p>
    <w:bookmarkStart w:id="127" w:name="page128"/>
    <w:bookmarkEnd w:id="127"/>
    <w:p>
      <w:pPr>
        <w:ind w:left="740"/>
        <w:spacing w:after="0"/>
        <w:rPr>
          <w:sz w:val="20"/>
          <w:szCs w:val="20"/>
          <w:color w:val="auto"/>
        </w:rPr>
      </w:pPr>
      <w:r>
        <w:rPr>
          <w:rFonts w:ascii="Courier New" w:cs="Courier New" w:eastAsia="Courier New" w:hAnsi="Courier New"/>
          <w:sz w:val="16"/>
          <w:szCs w:val="16"/>
          <w:color w:val="auto"/>
        </w:rPr>
        <w:t>DESCRIPTION OF THE NEW BROADBAND NOTES AND THE CABLE GUARANTEES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New Broadband Notes will be Broadband's direct unsecured and unsubordinated obligations and will be fully and unconditionally guaranteed by Comcast Cable, AT&amp;T Comcast, MediaOne and TCI, referred to as the cable guarantors, as described below. The New Broadband Notes will be issued under an indenture among Broadband, the cable guarantors and The Bank of New York, as trustee. The term "New Broadband Indenture" refers to this indenture. The terms of the New Broadband Notes include those stated in the New Broadband Indenture and those made part of the New Broadband Indenture by reference to the Trust Indenture Act of 1939.</w:t>
      </w:r>
    </w:p>
    <w:p>
      <w:pPr>
        <w:spacing w:after="0" w:line="18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following is a summary of the material provisions of the New Broadband Indenture, the New Broadband Notes and the cable guarantees. Because this is a summary, it may not contain all the information that is important to you. You should read the New Broadband Indenture, which has been filed as an exhibit to the registration statement of which this prospectus is a part, in its entirety.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TERMS OF THE NEW BROADBAND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Notes:</w:t>
      </w:r>
    </w:p>
    <w:p>
      <w:pPr>
        <w:spacing w:after="0" w:line="185" w:lineRule="exact"/>
        <w:rPr>
          <w:sz w:val="20"/>
          <w:szCs w:val="20"/>
          <w:color w:val="auto"/>
        </w:rPr>
      </w:pPr>
    </w:p>
    <w:p>
      <w:pPr>
        <w:ind w:left="660" w:right="3099" w:hanging="195"/>
        <w:spacing w:after="0" w:line="237" w:lineRule="auto"/>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Broadband's other unsecured and unsubordinated debt and will be entitled to the benefits of the cable guarantees described below;</w:t>
      </w:r>
    </w:p>
    <w:p>
      <w:pPr>
        <w:spacing w:after="0" w:line="36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based on the exchange ratios, comprised as follows:</w:t>
      </w:r>
    </w:p>
    <w:p>
      <w:pPr>
        <w:spacing w:after="0" w:line="200" w:lineRule="exact"/>
        <w:rPr>
          <w:sz w:val="20"/>
          <w:szCs w:val="20"/>
          <w:color w:val="auto"/>
        </w:rPr>
      </w:pPr>
    </w:p>
    <w:p>
      <w:pPr>
        <w:spacing w:after="0" w:line="345"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New Broadband Notes Due 2013, maturing on March 15, 2013, with interest payable semiannually on each March 15 and September 15, beginning the first March 15 or September 15 occurring after the initial issuance of the New Broadband Notes Due 2013, to holders of record on the preceding March 1 and September 1; and</w:t>
      </w:r>
    </w:p>
    <w:p>
      <w:pPr>
        <w:spacing w:after="0" w:line="200" w:lineRule="exact"/>
        <w:rPr>
          <w:sz w:val="20"/>
          <w:szCs w:val="20"/>
          <w:color w:val="auto"/>
        </w:rPr>
      </w:pPr>
    </w:p>
    <w:p>
      <w:pPr>
        <w:spacing w:after="0" w:line="348"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New Broadband Notes Due 2022, maturing on November 15, 2022, with interest payable semiannually on each November 15 and May 15, beginning the first May 15 occurring after the initial issuance of the New Broadband Notes Due 2022, to holders of record on the preceding November 1 and May 1; and</w:t>
      </w:r>
    </w:p>
    <w:p>
      <w:pPr>
        <w:spacing w:after="0" w:line="368" w:lineRule="exact"/>
        <w:rPr>
          <w:sz w:val="20"/>
          <w:szCs w:val="20"/>
          <w:color w:val="auto"/>
        </w:rPr>
      </w:pPr>
    </w:p>
    <w:p>
      <w:pPr>
        <w:ind w:left="660" w:right="3099" w:hanging="195"/>
        <w:spacing w:after="0" w:line="236" w:lineRule="auto"/>
        <w:tabs>
          <w:tab w:leader="none" w:pos="6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issuable in fully registered form, in denominations of $1,000 and multiples thereof.</w:t>
      </w:r>
    </w:p>
    <w:p>
      <w:pPr>
        <w:spacing w:after="0" w:line="36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Broadband has applied to list the New Broadband Notes on the New York Stock Exchange.</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interest rate for each series of New Broadband Notes will be announced by press release two business days prior to the expiration of the exchange offer and each will be based on spreads over the relevant U.S. Treasury rates. The method for determining the interest rate is described in detail under "Description of the Exchange Offer -- Interest Rate for the New Broadband Notes."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Interest for the New Broadband Notes will be computed on the basis of a 360-day year consisting of twelve 30-day months. Interest on the New Broadband Notes will accrue from the date of original issuance, which will be the date of mandatory exchange with respect to the New Broadband Notes, or from the most recent interest payment date to which interest has been paid and will be payable semiannually on interest payment dates described of each year.</w:t>
      </w:r>
    </w:p>
    <w:p>
      <w:pPr>
        <w:spacing w:after="0" w:line="189" w:lineRule="exact"/>
        <w:rPr>
          <w:sz w:val="20"/>
          <w:szCs w:val="20"/>
          <w:color w:val="auto"/>
        </w:rPr>
      </w:pPr>
    </w:p>
    <w:p>
      <w:pPr>
        <w:ind w:right="3479" w:firstLine="469"/>
        <w:spacing w:after="0" w:line="263" w:lineRule="auto"/>
        <w:rPr>
          <w:sz w:val="20"/>
          <w:szCs w:val="20"/>
          <w:color w:val="auto"/>
        </w:rPr>
      </w:pPr>
      <w:r>
        <w:rPr>
          <w:rFonts w:ascii="Courier New" w:cs="Courier New" w:eastAsia="Courier New" w:hAnsi="Courier New"/>
          <w:sz w:val="15"/>
          <w:szCs w:val="15"/>
          <w:color w:val="auto"/>
        </w:rPr>
        <w:t>For more information on payment and transfer procedures for the New Broadband Notes, see "-- Book-Entry System" and "-- Same-Day Payment."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GUARANTEES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obligations of Broadband, including the payment of principal, premium, if any, and interest, will be fully and unconditionally guaranteed by each of Comcast Cable, AT&amp;T Comcast, MediaOne and TCI.</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108</w:t>
      </w:r>
    </w:p>
    <w:p>
      <w:pPr>
        <w:sectPr>
          <w:pgSz w:w="11900" w:h="16838" w:orient="portrait"/>
          <w:cols w:equalWidth="0" w:num="1">
            <w:col w:w="10219"/>
          </w:cols>
          <w:pgMar w:left="240" w:top="654" w:right="1440" w:bottom="1009" w:gutter="0" w:footer="0" w:header="0"/>
        </w:sectPr>
      </w:pPr>
    </w:p>
    <w:bookmarkStart w:id="128" w:name="page129"/>
    <w:bookmarkEnd w:id="128"/>
    <w:p>
      <w:pPr>
        <w:ind w:right="3179"/>
        <w:spacing w:after="0" w:line="236" w:lineRule="auto"/>
        <w:rPr>
          <w:sz w:val="20"/>
          <w:szCs w:val="20"/>
          <w:color w:val="auto"/>
        </w:rPr>
      </w:pPr>
      <w:r>
        <w:rPr>
          <w:rFonts w:ascii="Courier New" w:cs="Courier New" w:eastAsia="Courier New" w:hAnsi="Courier New"/>
          <w:sz w:val="16"/>
          <w:szCs w:val="16"/>
          <w:color w:val="auto"/>
        </w:rPr>
        <w:t>The cable guarantees will rank equally with all other general unsecured and unsubordinated obligations of the cable guarantors.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cable guarantees will not contain any restrictions on the ability of any of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OPTIONAL REDEMPTION</w:t>
      </w:r>
    </w:p>
    <w:p>
      <w:pPr>
        <w:spacing w:after="0" w:line="200" w:lineRule="exact"/>
        <w:rPr>
          <w:sz w:val="20"/>
          <w:szCs w:val="20"/>
          <w:color w:val="auto"/>
        </w:rPr>
      </w:pPr>
    </w:p>
    <w:p>
      <w:pPr>
        <w:spacing w:after="0" w:line="34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The New Broadband Notes will not be subject to optional redemption by Broadband.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MANDATORY REDEMPTION OR SINKING FUND</w:t>
      </w:r>
    </w:p>
    <w:p>
      <w:pPr>
        <w:spacing w:after="0" w:line="36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There will be no mandatory redemption prior to maturity or sinking fund payments for the New Broadband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DEBT</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New Broadband Indenture does not limit the amount of debt Broadband may issue under the New Broadband Indenture or otherwise.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COVENANTS</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Broadband and the cable guarantors will agree to some restrictions on their activities for the benefit of holders of all series of debt securities issued under the New Broadband Indenture. The restrictive covenants summarized below will apply, unless the covenants are waived or amended, so long as any of the debt securities are outstanding.</w:t>
      </w:r>
    </w:p>
    <w:p>
      <w:pPr>
        <w:spacing w:after="0" w:line="368"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New Broadband Indenture will not contain any financial covenants other than those summarized below and will not restrict Broadband or its subsidiaries or AT&amp;T Comcast from paying dividends or incurring additional debt. In addition, the New Broadband Indenture will not protect holders of notes issued under it in the event of a highly leveraged transaction or a change in control.</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LIMITATION ON LIENS SECURING INDEBTEDNESS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Neither Broadband nor any cable guarantor shall create, incur or assume any Lien (other than any Permitted Lien) on such person's assets, including the Capital Stock of its wholly owned subsidiaries to secure the payment of Indebtedness of Broadband or any cable guarantor, unless Broadband secures the outstanding New Broadband Notes equally and ratably with (or prior to) all Indebtedness secured by such Lien, so long as such Indebtedness shall be so secured.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LIMITATION ON SALE AND LEASEBACK TRANSACTIONS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Neither Broadband nor any cable guarantor shall enter into any Sale and Leaseback Transaction involving any of such person's assets, including the Capital Stock of its wholly owned subsidiaries.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restriction in the foregoing paragraph shall not apply to any Sale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Leaseback Transaction if:</w:t>
      </w:r>
    </w:p>
    <w:p>
      <w:pPr>
        <w:spacing w:after="0" w:line="185" w:lineRule="exact"/>
        <w:rPr>
          <w:sz w:val="20"/>
          <w:szCs w:val="20"/>
          <w:color w:val="auto"/>
        </w:rPr>
      </w:pPr>
    </w:p>
    <w:p>
      <w:pPr>
        <w:ind w:left="660" w:right="3179" w:hanging="195"/>
        <w:spacing w:after="0" w:line="236" w:lineRule="auto"/>
        <w:tabs>
          <w:tab w:leader="none" w:pos="6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is for a period of not in excess of three years, including renewal of rights;</w:t>
      </w:r>
    </w:p>
    <w:p>
      <w:pPr>
        <w:spacing w:after="0" w:line="184"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secures or relates to industrial revenue or similar financing;</w:t>
      </w:r>
    </w:p>
    <w:p>
      <w:pPr>
        <w:spacing w:after="0" w:line="190" w:lineRule="exact"/>
        <w:rPr>
          <w:rFonts w:ascii="Courier New" w:cs="Courier New" w:eastAsia="Courier New" w:hAnsi="Courier New"/>
          <w:sz w:val="15"/>
          <w:szCs w:val="15"/>
          <w:color w:val="auto"/>
        </w:rPr>
      </w:pPr>
    </w:p>
    <w:p>
      <w:pPr>
        <w:ind w:left="660" w:right="3179" w:hanging="195"/>
        <w:spacing w:after="0" w:line="236" w:lineRule="auto"/>
        <w:tabs>
          <w:tab w:leader="none" w:pos="6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is solely between Broadband and a cable guarantor or between or among cable guarantors; or</w:t>
      </w:r>
    </w:p>
    <w:p>
      <w:pPr>
        <w:spacing w:after="0" w:line="184" w:lineRule="exact"/>
        <w:rPr>
          <w:rFonts w:ascii="Courier New" w:cs="Courier New" w:eastAsia="Courier New" w:hAnsi="Courier New"/>
          <w:sz w:val="16"/>
          <w:szCs w:val="16"/>
          <w:color w:val="auto"/>
        </w:rPr>
      </w:pPr>
    </w:p>
    <w:p>
      <w:pPr>
        <w:ind w:left="660" w:right="3179" w:hanging="195"/>
        <w:spacing w:after="0" w:line="237" w:lineRule="auto"/>
        <w:tabs>
          <w:tab w:leader="none" w:pos="6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or such cable guarantor, within 270 days after the sale is completed, applies an amount equal to or greater than (a) the net proceeds of the sale of the assets or part thereof leased or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109</w:t>
      </w:r>
    </w:p>
    <w:p>
      <w:pPr>
        <w:sectPr>
          <w:pgSz w:w="11900" w:h="16838" w:orient="portrait"/>
          <w:cols w:equalWidth="0" w:num="1">
            <w:col w:w="10219"/>
          </w:cols>
          <w:pgMar w:left="240" w:top="659" w:right="1440" w:bottom="1440" w:gutter="0" w:footer="0" w:header="0"/>
        </w:sectPr>
      </w:pPr>
    </w:p>
    <w:bookmarkStart w:id="129" w:name="page130"/>
    <w:bookmarkEnd w:id="129"/>
    <w:p>
      <w:pPr>
        <w:ind w:left="1020" w:hanging="367"/>
        <w:spacing w:after="0"/>
        <w:tabs>
          <w:tab w:leader="none" w:pos="10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assets or part thereof leased (as</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good faith by Broadband's Board of Directors) either to:</w:t>
      </w:r>
    </w:p>
    <w:p>
      <w:pPr>
        <w:spacing w:after="0" w:line="184" w:lineRule="exact"/>
        <w:rPr>
          <w:sz w:val="20"/>
          <w:szCs w:val="20"/>
          <w:color w:val="auto"/>
        </w:rPr>
      </w:pPr>
    </w:p>
    <w:p>
      <w:pPr>
        <w:ind w:left="740" w:right="2819" w:hanging="179"/>
        <w:spacing w:after="0" w:line="259" w:lineRule="auto"/>
        <w:tabs>
          <w:tab w:leader="none" w:pos="720" w:val="left"/>
        </w:tabs>
        <w:rPr>
          <w:sz w:val="20"/>
          <w:szCs w:val="20"/>
          <w:color w:val="auto"/>
        </w:rPr>
      </w:pPr>
      <w:r>
        <w:rPr>
          <w:rFonts w:ascii="Courier New" w:cs="Courier New" w:eastAsia="Courier New" w:hAnsi="Courier New"/>
          <w:sz w:val="15"/>
          <w:szCs w:val="15"/>
          <w:color w:val="auto"/>
        </w:rPr>
        <w:t>o</w:t>
        <w:tab/>
        <w:t>the retirement (or open market purchase) of notes, other long-term Indebtedness of Broadband ranking on a parity with or senior to the New Broadband Notes or long-term Indebtedness of a cable guarantor; or</w:t>
      </w:r>
    </w:p>
    <w:p>
      <w:pPr>
        <w:spacing w:after="0" w:line="171" w:lineRule="exact"/>
        <w:rPr>
          <w:sz w:val="20"/>
          <w:szCs w:val="20"/>
          <w:color w:val="auto"/>
        </w:rPr>
      </w:pPr>
    </w:p>
    <w:p>
      <w:pPr>
        <w:ind w:left="740" w:right="29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purchase by Broadband or any cable guarantor of other property, plant or equipment related to the business of Broadband or any cable guarantor having a value at least equal to the value of the assets or part thereof leased.</w:t>
      </w:r>
    </w:p>
    <w:p>
      <w:pPr>
        <w:spacing w:after="0" w:line="186"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This provision and the provision described under "-- Limitation on Liens Securing Indebtedness" do not apply to any subsidiaries of AT&amp;T Comcast other than the cable guarantors and Broadband.</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"CAPITAL STOCK" means, with respect to any person, any and all shares, interests, participations, or other equivalents (however designated, whether voting or non-voting) of such person's capital stock or other ownership interests, whether now outstanding or issued after the date of the New Broadband Indenture, including, without limitation, all common stock and preferred stock.</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"CURRENCY AGREEMENT" means any foreign exchange contract, currency swap agreement, or other similar agreement or arrangement designed to protect against the fluctuation in currency values.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New Broadband indenture shall be computed in conformity with GAAP applied on a consistent basis.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86" w:lineRule="exact"/>
        <w:rPr>
          <w:sz w:val="20"/>
          <w:szCs w:val="20"/>
          <w:color w:val="auto"/>
        </w:rPr>
      </w:pPr>
    </w:p>
    <w:p>
      <w:pPr>
        <w:ind w:left="660" w:right="2719" w:hanging="195"/>
        <w:spacing w:after="0" w:line="237" w:lineRule="auto"/>
        <w:tabs>
          <w:tab w:leader="none" w:pos="66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88"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for purposes of assuring in any other manner the obligee of such Indebtedness or other obligation of the payment thereof or to protect such obligee against loss in respect thereof (in whole or in part);</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Provided that the term "Guarantee" shall not include endorsements for collection or deposit in the ordinary course of business. The term "Guarantee" used as a verb has a corresponding meaning.</w:t>
      </w:r>
    </w:p>
    <w:p>
      <w:pPr>
        <w:spacing w:after="0" w:line="185" w:lineRule="exact"/>
        <w:rPr>
          <w:sz w:val="20"/>
          <w:szCs w:val="20"/>
          <w:color w:val="auto"/>
        </w:rPr>
      </w:pPr>
    </w:p>
    <w:p>
      <w:pPr>
        <w:ind w:right="3839" w:firstLine="469"/>
        <w:spacing w:after="0" w:line="236" w:lineRule="auto"/>
        <w:rPr>
          <w:sz w:val="20"/>
          <w:szCs w:val="20"/>
          <w:color w:val="auto"/>
        </w:rPr>
      </w:pPr>
      <w:r>
        <w:rPr>
          <w:rFonts w:ascii="Courier New" w:cs="Courier New" w:eastAsia="Courier New" w:hAnsi="Courier New"/>
          <w:sz w:val="16"/>
          <w:szCs w:val="16"/>
          <w:color w:val="auto"/>
        </w:rPr>
        <w:t>"INDEBTEDNESS" means, with respect to any person at any date of determination (without duplication):</w:t>
      </w:r>
    </w:p>
    <w:p>
      <w:pPr>
        <w:spacing w:after="0" w:line="180" w:lineRule="exact"/>
        <w:rPr>
          <w:sz w:val="20"/>
          <w:szCs w:val="20"/>
          <w:color w:val="auto"/>
        </w:rPr>
      </w:pPr>
    </w:p>
    <w:p>
      <w:pPr>
        <w:ind w:left="660" w:hanging="195"/>
        <w:spacing w:after="0"/>
        <w:tabs>
          <w:tab w:leader="none" w:pos="6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such person for borrowed money;</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evidenced by bonds, debentures, notes, or other similar instruments;</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in respect of letters of credit or other similar instruments (including reimbursement obligations with respect thereto);</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110</w:t>
      </w:r>
    </w:p>
    <w:p>
      <w:pPr>
        <w:sectPr>
          <w:pgSz w:w="11900" w:h="16838" w:orient="portrait"/>
          <w:cols w:equalWidth="0" w:num="1">
            <w:col w:w="10219"/>
          </w:cols>
          <w:pgMar w:left="240" w:top="654" w:right="1440" w:bottom="1440" w:gutter="0" w:footer="0" w:header="0"/>
        </w:sectPr>
      </w:pPr>
    </w:p>
    <w:bookmarkStart w:id="130" w:name="page131"/>
    <w:bookmarkEnd w:id="130"/>
    <w:p>
      <w:pPr>
        <w:jc w:val="both"/>
        <w:ind w:left="660" w:right="2999" w:hanging="195"/>
        <w:spacing w:after="0" w:line="259" w:lineRule="auto"/>
        <w:tabs>
          <w:tab w:leader="none" w:pos="6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to pay the deferred and unpaid purchase price of property or services (but excluding trade accounts payable or accrued liabilities arising in the ordinary course of business);</w:t>
      </w:r>
    </w:p>
    <w:p>
      <w:pPr>
        <w:spacing w:after="0" w:line="166"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as lessee under Capitalized Leases;</w:t>
      </w:r>
    </w:p>
    <w:p>
      <w:pPr>
        <w:spacing w:after="0" w:line="184" w:lineRule="exact"/>
        <w:rPr>
          <w:rFonts w:ascii="Courier New" w:cs="Courier New" w:eastAsia="Courier New" w:hAnsi="Courier New"/>
          <w:sz w:val="16"/>
          <w:szCs w:val="16"/>
          <w:color w:val="auto"/>
        </w:rPr>
      </w:pPr>
    </w:p>
    <w:p>
      <w:pPr>
        <w:ind w:left="660" w:right="2819" w:hanging="195"/>
        <w:spacing w:after="0" w:line="259" w:lineRule="auto"/>
        <w:tabs>
          <w:tab w:leader="none" w:pos="6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secured by a Lien on any asset of such person, whether or not such Indebtedness is assumed by such person; provided that the amount of such Indebtedness shall be the lesser of:</w:t>
      </w:r>
    </w:p>
    <w:p>
      <w:pPr>
        <w:spacing w:after="0" w:line="16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fair market value of such asset at such date of determination; and</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amount of such Indebtedness;</w:t>
      </w:r>
    </w:p>
    <w:p>
      <w:pPr>
        <w:spacing w:after="0" w:line="185" w:lineRule="exact"/>
        <w:rPr>
          <w:sz w:val="20"/>
          <w:szCs w:val="20"/>
          <w:color w:val="auto"/>
        </w:rPr>
      </w:pPr>
    </w:p>
    <w:p>
      <w:pPr>
        <w:ind w:left="660" w:right="2719" w:hanging="195"/>
        <w:spacing w:after="0" w:line="236" w:lineRule="auto"/>
        <w:tabs>
          <w:tab w:leader="none" w:pos="66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other persons Guaranteed by such person to the extent such Indebtedness is Guaranteed by such person; and</w:t>
      </w:r>
    </w:p>
    <w:p>
      <w:pPr>
        <w:spacing w:after="0" w:line="184" w:lineRule="exact"/>
        <w:rPr>
          <w:rFonts w:ascii="Courier New" w:cs="Courier New" w:eastAsia="Courier New" w:hAnsi="Courier New"/>
          <w:sz w:val="16"/>
          <w:szCs w:val="16"/>
          <w:color w:val="auto"/>
        </w:rPr>
      </w:pPr>
    </w:p>
    <w:p>
      <w:pPr>
        <w:ind w:left="660" w:right="3179" w:hanging="195"/>
        <w:spacing w:after="0" w:line="263" w:lineRule="auto"/>
        <w:tabs>
          <w:tab w:leader="none" w:pos="6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otherwise included in this definition, obligations under Currency Agreements and Interest Rate Agreements.</w:t>
      </w:r>
    </w:p>
    <w:p>
      <w:pPr>
        <w:spacing w:after="0" w:line="169"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74" w:lineRule="exact"/>
        <w:rPr>
          <w:sz w:val="20"/>
          <w:szCs w:val="20"/>
          <w:color w:val="auto"/>
        </w:rPr>
      </w:pPr>
    </w:p>
    <w:p>
      <w:pPr>
        <w:ind w:left="660" w:right="2819" w:hanging="195"/>
        <w:spacing w:after="0" w:line="257" w:lineRule="auto"/>
        <w:tabs>
          <w:tab w:leader="none" w:pos="6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74" w:lineRule="exact"/>
        <w:rPr>
          <w:rFonts w:ascii="Courier New" w:cs="Courier New" w:eastAsia="Courier New" w:hAnsi="Courier New"/>
          <w:sz w:val="15"/>
          <w:szCs w:val="15"/>
          <w:color w:val="auto"/>
        </w:rPr>
      </w:pPr>
    </w:p>
    <w:p>
      <w:pPr>
        <w:ind w:left="660" w:right="3099" w:hanging="195"/>
        <w:spacing w:after="0" w:line="236" w:lineRule="auto"/>
        <w:tabs>
          <w:tab w:leader="none" w:pos="66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Indebtedness shall not include any liability for federal, state, local, or other taxes.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"INTEREST RATE AGREEMENTS"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the New Broadband Indenture, Broadband or any cable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"PERMITTED LIENS" means:</w:t>
      </w:r>
    </w:p>
    <w:p>
      <w:pPr>
        <w:spacing w:after="0" w:line="185" w:lineRule="exact"/>
        <w:rPr>
          <w:sz w:val="20"/>
          <w:szCs w:val="20"/>
          <w:color w:val="auto"/>
        </w:rPr>
      </w:pPr>
    </w:p>
    <w:p>
      <w:pPr>
        <w:ind w:left="660" w:right="3099" w:hanging="195"/>
        <w:spacing w:after="0" w:line="236" w:lineRule="auto"/>
        <w:tabs>
          <w:tab w:leader="none" w:pos="66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any asset incurred prior to the date of the New Broadband Indenture;</w:t>
      </w:r>
    </w:p>
    <w:p>
      <w:pPr>
        <w:spacing w:after="0" w:line="184" w:lineRule="exact"/>
        <w:rPr>
          <w:rFonts w:ascii="Courier New" w:cs="Courier New" w:eastAsia="Courier New" w:hAnsi="Courier New"/>
          <w:sz w:val="16"/>
          <w:szCs w:val="16"/>
          <w:color w:val="auto"/>
        </w:rPr>
      </w:pPr>
    </w:p>
    <w:p>
      <w:pPr>
        <w:ind w:left="660" w:right="2719" w:hanging="195"/>
        <w:spacing w:after="0" w:line="255" w:lineRule="auto"/>
        <w:tabs>
          <w:tab w:leader="none" w:pos="6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on any assets acquired after the date of the New Broadband Indenture (including by way of merger or consolidation) by Broadband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New Broadband Indenture existing at the time of such acquisition (whether or not assumed by Broadband or any cable guarantor), provided that any such Lien shall attach only to the assets so acquired;</w:t>
      </w:r>
    </w:p>
    <w:p>
      <w:pPr>
        <w:spacing w:after="0" w:line="173"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any assets in favor of Broadband or any cable guarantor;</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111</w:t>
      </w:r>
    </w:p>
    <w:p>
      <w:pPr>
        <w:sectPr>
          <w:pgSz w:w="11900" w:h="16838" w:orient="portrait"/>
          <w:cols w:equalWidth="0" w:num="1">
            <w:col w:w="10219"/>
          </w:cols>
          <w:pgMar w:left="240" w:top="659" w:right="1440" w:bottom="1440" w:gutter="0" w:footer="0" w:header="0"/>
        </w:sectPr>
      </w:pPr>
    </w:p>
    <w:bookmarkStart w:id="131" w:name="page132"/>
    <w:bookmarkEnd w:id="131"/>
    <w:p>
      <w:pPr>
        <w:ind w:left="660" w:right="2719" w:hanging="195"/>
        <w:spacing w:after="0" w:line="237" w:lineRule="auto"/>
        <w:tabs>
          <w:tab w:leader="none" w:pos="66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assets incurred in connection with the issuance of tax-exempt governmental obligations (including, without limitation, industrial revenue bonds and similar financing);</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granted by any cable guarantor on assets to the extent limitations on the incurrence of such Liens are prohibited by any agreement to which such cable guarantor is subject as of the date of the New Broadband Indenture; and</w:t>
      </w:r>
    </w:p>
    <w:p>
      <w:pPr>
        <w:spacing w:after="0" w:line="185" w:lineRule="exact"/>
        <w:rPr>
          <w:rFonts w:ascii="Courier New" w:cs="Courier New" w:eastAsia="Courier New" w:hAnsi="Courier New"/>
          <w:sz w:val="16"/>
          <w:szCs w:val="16"/>
          <w:color w:val="auto"/>
        </w:rPr>
      </w:pPr>
    </w:p>
    <w:p>
      <w:pPr>
        <w:ind w:left="660" w:right="2819" w:hanging="195"/>
        <w:spacing w:after="0" w:line="256" w:lineRule="auto"/>
        <w:tabs>
          <w:tab w:leader="none" w:pos="6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7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"SALE AND LEASEBACK TRANSACTION" means any direct or indirect arrangement with any person or to which any such person is a party, providing for the leasing to Broadband or a cable guarantor of any property, whether owned by Broadband or such cable guarantor at the date of the original issuance of the New Broadband Notes or later acquired, which has been or is to be sold or transferred by Broadband or such cable guarantor to such person or to any other person by whom funds have been or are to be advanced on the security of such property.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FINANCIAL INFORMATION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Broadband will file, whether or not required to do so under applicable law, with the trustee, within 15 days after being required to file the same under the Securities Exchange Act of 1934, copies of the annual reports and the information, documents and other reports to be filed pursuant to Section 13 or 15(d) of the Securities Exchange Act of 1934. Broadband intends to file all such reports, information and documents with the SEC, whether or not required by Section 13 or 15(d), and will send copies to the trustee within such 15-day period. Notwithstanding the foregoing, if AT&amp;T Comcast is required to file reports pursuant to Section 13 or 15(d) of the Securities Exchange Act of 1934 that includes combined or consolidating financial information of Broadband pursuant to Rule 3-10 of Regulation S-X, this covenant shall be deemed satisfied by AT&amp;T Comcast filing with the trustee, within 15 days after AT&amp;T Comcast is required to file the same under the Securities Exchange Act of 1934, copies of AT&amp;T Comcast annual reports and the information, documents and other reports to be filed by it pursuant to Section 13 or 15(d) of the Securities Exchange Act of 1934.</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CONSOLIDATION, MERGER AND SALE OF ASSETS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New Broadband Indenture will restrict Broadband's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Broadband and a wholly-owned subsidiary, no consideration other than common stock in the surviving person shall be issued or distributed to Broadband's stockholders) or permit any person to merge with or into such party unless:</w:t>
      </w:r>
    </w:p>
    <w:p>
      <w:pPr>
        <w:spacing w:after="0" w:line="187" w:lineRule="exact"/>
        <w:rPr>
          <w:sz w:val="20"/>
          <w:szCs w:val="20"/>
          <w:color w:val="auto"/>
        </w:rPr>
      </w:pPr>
    </w:p>
    <w:p>
      <w:pPr>
        <w:ind w:left="660" w:right="2719" w:hanging="195"/>
        <w:spacing w:after="0" w:line="238" w:lineRule="auto"/>
        <w:tabs>
          <w:tab w:leader="none" w:pos="6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Broadband's obligations on all of the New Broadband Notes and under the New Broadband Indenture;</w:t>
      </w:r>
    </w:p>
    <w:p>
      <w:pPr>
        <w:spacing w:after="0" w:line="185"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shall have occurred and be continuing; and</w:t>
      </w:r>
    </w:p>
    <w:p>
      <w:pPr>
        <w:spacing w:after="0" w:line="184"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Broadband delivers to the trustee an officers' certificate and opinion of</w:t>
      </w:r>
    </w:p>
    <w:p>
      <w:pPr>
        <w:spacing w:after="0" w:line="10" w:lineRule="exact"/>
        <w:rPr>
          <w:sz w:val="20"/>
          <w:szCs w:val="20"/>
          <w:color w:val="auto"/>
        </w:rPr>
      </w:pPr>
    </w:p>
    <w:p>
      <w:pPr>
        <w:ind w:left="660" w:right="3479"/>
        <w:spacing w:after="0" w:line="236" w:lineRule="auto"/>
        <w:rPr>
          <w:sz w:val="20"/>
          <w:szCs w:val="20"/>
          <w:color w:val="auto"/>
        </w:rPr>
      </w:pPr>
      <w:r>
        <w:rPr>
          <w:rFonts w:ascii="Courier New" w:cs="Courier New" w:eastAsia="Courier New" w:hAnsi="Courier New"/>
          <w:sz w:val="16"/>
          <w:szCs w:val="16"/>
          <w:color w:val="auto"/>
        </w:rPr>
        <w:t>counsel, in each case stating that such consolidation, merger, or transfer and such supplemental indenture complies with this</w:t>
      </w:r>
    </w:p>
    <w:p>
      <w:pPr>
        <w:ind w:left="3660"/>
        <w:spacing w:after="0"/>
        <w:rPr>
          <w:sz w:val="20"/>
          <w:szCs w:val="20"/>
          <w:color w:val="auto"/>
        </w:rPr>
      </w:pPr>
      <w:r>
        <w:rPr>
          <w:rFonts w:ascii="Courier New" w:cs="Courier New" w:eastAsia="Courier New" w:hAnsi="Courier New"/>
          <w:sz w:val="16"/>
          <w:szCs w:val="16"/>
          <w:color w:val="auto"/>
        </w:rPr>
        <w:t>112</w:t>
      </w:r>
    </w:p>
    <w:p>
      <w:pPr>
        <w:sectPr>
          <w:pgSz w:w="11900" w:h="16838" w:orient="portrait"/>
          <w:cols w:equalWidth="0" w:num="1">
            <w:col w:w="10219"/>
          </w:cols>
          <w:pgMar w:left="240" w:top="659" w:right="1440" w:bottom="1440" w:gutter="0" w:footer="0" w:header="0"/>
        </w:sectPr>
      </w:pPr>
    </w:p>
    <w:bookmarkStart w:id="132" w:name="page133"/>
    <w:bookmarkEnd w:id="132"/>
    <w:p>
      <w:pPr>
        <w:ind w:left="660" w:right="3179"/>
        <w:spacing w:after="0" w:line="237" w:lineRule="auto"/>
        <w:rPr>
          <w:sz w:val="20"/>
          <w:szCs w:val="20"/>
          <w:color w:val="auto"/>
        </w:rPr>
      </w:pPr>
      <w:r>
        <w:rPr>
          <w:rFonts w:ascii="Courier New" w:cs="Courier New" w:eastAsia="Courier New" w:hAnsi="Courier New"/>
          <w:sz w:val="16"/>
          <w:szCs w:val="16"/>
          <w:color w:val="auto"/>
        </w:rPr>
        <w:t>provision and that all conditions precedent provided for in the New Broadband Indenture and notes relating to such transaction have been complied with;</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provided, however, that the foregoing limitations will not apply if, in the good faith determination of Broadband's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Upon any express assumption of Broadband's obligations as described above, Broadband shall be released and discharged from all obligations and covenants under the New Broadband Indenture and all the New Broadband Notes.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New Broadband Indenture and the cable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New Broadband Indenture and its guarantee.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AND WAIVER</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Broadband and the trustee may amend or supplement the New Broadband Indenture or the New Broadband Notes without notice to or the consent of any holder:</w:t>
      </w:r>
    </w:p>
    <w:p>
      <w:pPr>
        <w:spacing w:after="0" w:line="185" w:lineRule="exact"/>
        <w:rPr>
          <w:sz w:val="20"/>
          <w:szCs w:val="20"/>
          <w:color w:val="auto"/>
        </w:rPr>
      </w:pPr>
    </w:p>
    <w:p>
      <w:pPr>
        <w:ind w:left="660" w:right="2999" w:hanging="195"/>
        <w:spacing w:after="0" w:line="259" w:lineRule="auto"/>
        <w:tabs>
          <w:tab w:leader="none" w:pos="6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defect, or inconsistency in the New Broadband Indenture; provided that such amendments or supplements shall not adversely affect the interests of the holders in any material respect;</w:t>
      </w:r>
    </w:p>
    <w:p>
      <w:pPr>
        <w:spacing w:after="0" w:line="171" w:lineRule="exact"/>
        <w:rPr>
          <w:rFonts w:ascii="Courier New" w:cs="Courier New" w:eastAsia="Courier New" w:hAnsi="Courier New"/>
          <w:sz w:val="15"/>
          <w:szCs w:val="15"/>
          <w:color w:val="auto"/>
        </w:rPr>
      </w:pPr>
    </w:p>
    <w:p>
      <w:pPr>
        <w:ind w:left="660" w:right="4219" w:hanging="195"/>
        <w:spacing w:after="0" w:line="263" w:lineRule="auto"/>
        <w:tabs>
          <w:tab w:leader="none" w:pos="6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the provisions described under "-- Certain Covenants -- Consolidation, Merger and Sale of Assets;"</w:t>
      </w:r>
    </w:p>
    <w:p>
      <w:pPr>
        <w:spacing w:after="0" w:line="168" w:lineRule="exact"/>
        <w:rPr>
          <w:rFonts w:ascii="Courier New" w:cs="Courier New" w:eastAsia="Courier New" w:hAnsi="Courier New"/>
          <w:sz w:val="15"/>
          <w:szCs w:val="15"/>
          <w:color w:val="auto"/>
        </w:rPr>
      </w:pPr>
    </w:p>
    <w:p>
      <w:pPr>
        <w:ind w:left="660" w:right="2999" w:hanging="195"/>
        <w:spacing w:after="0" w:line="237" w:lineRule="auto"/>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any requirements of the SEC in connection with the qualification of the New Broadband Indenture under the Trust Indenture Act;</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forms or terms of the New Broadband Notes as permitted by the New Broadband Indenture;</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notes and to make all appropriate changes for such purpose;</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does not adversely affect the rights of any holder;</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74" w:lineRule="exact"/>
        <w:rPr>
          <w:rFonts w:ascii="Courier New" w:cs="Courier New" w:eastAsia="Courier New" w:hAnsi="Courier New"/>
          <w:sz w:val="15"/>
          <w:szCs w:val="15"/>
          <w:color w:val="auto"/>
        </w:rPr>
      </w:pPr>
    </w:p>
    <w:p>
      <w:pPr>
        <w:ind w:left="660" w:right="3479" w:hanging="195"/>
        <w:spacing w:after="0" w:line="236" w:lineRule="auto"/>
        <w:tabs>
          <w:tab w:leader="none" w:pos="6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so long as no New Broadband Notes or Broadband Exchange Notes are outstanding.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Subject to certain conditions, without prior notice to any holder of New Broadband Notes, modifications and amendments of the New Broadband Indenture may be made by Broadband and the trustee with respect to any series of New Broadband Notes with the written consent of the holders of a majority in principal amount of the affected series of New Broadband Notes, and compliance by Broadband with any provision of the New Broadband Indenture with respect to any series of New Broadband Notes may be waived by written notice to the trustee by the holders of a majority in principal amount of the affected series of New Broadband Notes outstanding; provided, however, that each affected holder must consent to any modification, amendment or waiver that:</w:t>
      </w:r>
    </w:p>
    <w:p>
      <w:pPr>
        <w:spacing w:after="0" w:line="187" w:lineRule="exact"/>
        <w:rPr>
          <w:sz w:val="20"/>
          <w:szCs w:val="20"/>
          <w:color w:val="auto"/>
        </w:rPr>
      </w:pPr>
    </w:p>
    <w:p>
      <w:pPr>
        <w:ind w:left="660" w:right="2999" w:hanging="195"/>
        <w:spacing w:after="0" w:line="236" w:lineRule="auto"/>
        <w:tabs>
          <w:tab w:leader="none" w:pos="6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stated maturity of the principal of, or any installment of interest on, the New Broadband Notes of the affected series;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113</w:t>
      </w:r>
    </w:p>
    <w:p>
      <w:pPr>
        <w:sectPr>
          <w:pgSz w:w="11900" w:h="16838" w:orient="portrait"/>
          <w:cols w:equalWidth="0" w:num="1">
            <w:col w:w="10219"/>
          </w:cols>
          <w:pgMar w:left="240" w:top="659" w:right="1440" w:bottom="1440" w:gutter="0" w:footer="0" w:header="0"/>
        </w:sectPr>
      </w:pPr>
    </w:p>
    <w:bookmarkStart w:id="133" w:name="page134"/>
    <w:bookmarkEnd w:id="133"/>
    <w:p>
      <w:pPr>
        <w:ind w:left="660" w:right="2819" w:hanging="195"/>
        <w:spacing w:after="0" w:line="236"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reduces the principal amount of, or premium, if any, or interest on, the New Broadband Notes of the affected series;</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the place or currency of payment of principal of, or premium, if any, or interest on, the New Broadband Notes of the affected series;</w:t>
      </w:r>
    </w:p>
    <w:p>
      <w:pPr>
        <w:spacing w:after="0" w:line="168" w:lineRule="exact"/>
        <w:rPr>
          <w:rFonts w:ascii="Courier New" w:cs="Courier New" w:eastAsia="Courier New" w:hAnsi="Courier New"/>
          <w:sz w:val="15"/>
          <w:szCs w:val="15"/>
          <w:color w:val="auto"/>
        </w:rPr>
      </w:pPr>
    </w:p>
    <w:p>
      <w:pPr>
        <w:ind w:left="660" w:right="3099" w:hanging="195"/>
        <w:spacing w:after="0" w:line="236"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provisions for calculating the optional redemption price, including the definitions relating thereto;</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provisions relating to the waiver of past defaults or changes or impairs the right of holders to receive payment or to institute suit for the enforcement of any payment of the New Broadband Notes of the affected series on or after the due date therefor;</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reduces the above-stated percentage of outstanding New Broadband Notes of the affected series the consent of whose holders is necessary to modify or amend or to waive certain provisions of or defaults under the New Broadband Indenture;</w:t>
      </w:r>
    </w:p>
    <w:p>
      <w:pPr>
        <w:spacing w:after="0" w:line="185"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a default in the payment of principal of, premium, if any, or interest on the New Broadband Notes;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modifies any of the provisions of this paragraph, except to increase any required percentage or to provide that certain other provisions cannot be modified or waived without the consent of the holder of each New Broadband Note of the series affected by the modification.</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It is not necessary for the consent of the holders under the New Broadband Indenture to approve the particular form of any note amendment, supplement or waiver, but it shall be sufficient if such consent approves the substance thereof. After an amendment, supplement or waiver under the New Broadband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purposes of this section, the term "Obligor" shall mean each of Broadband, AT&amp;T Comcast, Comcast Cable, MediaOne and TCI, in each case excluding such entities' subsidiaries.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An event of default for a series of New Broadband Notes is defined under the New Broadband Indenture as being:</w:t>
      </w:r>
    </w:p>
    <w:p>
      <w:pPr>
        <w:spacing w:after="0" w:line="185" w:lineRule="exact"/>
        <w:rPr>
          <w:sz w:val="20"/>
          <w:szCs w:val="20"/>
          <w:color w:val="auto"/>
        </w:rPr>
      </w:pPr>
    </w:p>
    <w:p>
      <w:pPr>
        <w:ind w:left="460" w:right="2719" w:firstLine="474"/>
        <w:spacing w:after="0" w:line="237" w:lineRule="auto"/>
        <w:tabs>
          <w:tab w:leader="none" w:pos="130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payment of principal or premium on the New Broadband Notes of such series when the same becomes due and payable whether at maturity, upon acceleration, redemption or otherwise;</w:t>
      </w:r>
    </w:p>
    <w:p>
      <w:pPr>
        <w:spacing w:after="0" w:line="184" w:lineRule="exact"/>
        <w:rPr>
          <w:rFonts w:ascii="Courier New" w:cs="Courier New" w:eastAsia="Courier New" w:hAnsi="Courier New"/>
          <w:sz w:val="16"/>
          <w:szCs w:val="16"/>
          <w:color w:val="auto"/>
        </w:rPr>
      </w:pPr>
    </w:p>
    <w:p>
      <w:pPr>
        <w:ind w:left="460" w:right="2999" w:firstLine="474"/>
        <w:spacing w:after="0" w:line="237" w:lineRule="auto"/>
        <w:tabs>
          <w:tab w:leader="none" w:pos="130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payment of interest on the New Broadband Notes of such series when the same becomes due and payable, if that default continues for a period of 30 days;</w:t>
      </w:r>
    </w:p>
    <w:p>
      <w:pPr>
        <w:spacing w:after="0" w:line="184" w:lineRule="exact"/>
        <w:rPr>
          <w:rFonts w:ascii="Courier New" w:cs="Courier New" w:eastAsia="Courier New" w:hAnsi="Courier New"/>
          <w:sz w:val="16"/>
          <w:szCs w:val="16"/>
          <w:color w:val="auto"/>
        </w:rPr>
      </w:pPr>
    </w:p>
    <w:p>
      <w:pPr>
        <w:ind w:left="460" w:right="2719" w:firstLine="474"/>
        <w:spacing w:after="0" w:line="238" w:lineRule="auto"/>
        <w:tabs>
          <w:tab w:leader="none" w:pos="130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any Obligor in the performance of or breach by any Obligor of any of its other covenants or agreements in the New Broadband Indenture applicable to all the New Broadband Notes or applicable to the New Broadband Notes of any series and that default or breach continues for a period of 30 consecutive days after written notice is received from the trustee or from the holders of 25% or more in aggregate principal amount of the New Broadband Notes of all affected series;</w:t>
      </w:r>
    </w:p>
    <w:p>
      <w:pPr>
        <w:spacing w:after="0" w:line="184" w:lineRule="exact"/>
        <w:rPr>
          <w:rFonts w:ascii="Courier New" w:cs="Courier New" w:eastAsia="Courier New" w:hAnsi="Courier New"/>
          <w:sz w:val="16"/>
          <w:szCs w:val="16"/>
          <w:color w:val="auto"/>
        </w:rPr>
      </w:pPr>
    </w:p>
    <w:p>
      <w:pPr>
        <w:ind w:left="460" w:right="3099" w:firstLine="474"/>
        <w:spacing w:after="0" w:line="263" w:lineRule="auto"/>
        <w:tabs>
          <w:tab w:leader="none" w:pos="130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cable guarantee is not (or claimed by any of AT&amp;T Comcast, Comcast Cable, MediaOne or TCI not to be) in full force and effect;</w:t>
      </w:r>
    </w:p>
    <w:p>
      <w:pPr>
        <w:spacing w:after="0" w:line="163" w:lineRule="exact"/>
        <w:rPr>
          <w:rFonts w:ascii="Courier New" w:cs="Courier New" w:eastAsia="Courier New" w:hAnsi="Courier New"/>
          <w:sz w:val="15"/>
          <w:szCs w:val="15"/>
          <w:color w:val="auto"/>
        </w:rPr>
      </w:pPr>
    </w:p>
    <w:p>
      <w:pPr>
        <w:ind w:left="1300" w:hanging="366"/>
        <w:spacing w:after="0"/>
        <w:tabs>
          <w:tab w:leader="none" w:pos="130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having jurisdiction enters a decree or order for:</w:t>
      </w:r>
    </w:p>
    <w:p>
      <w:pPr>
        <w:spacing w:after="0" w:line="185" w:lineRule="exact"/>
        <w:rPr>
          <w:sz w:val="20"/>
          <w:szCs w:val="20"/>
          <w:color w:val="auto"/>
        </w:rPr>
      </w:pPr>
    </w:p>
    <w:p>
      <w:pPr>
        <w:ind w:left="1220" w:right="2899" w:hanging="192"/>
        <w:spacing w:after="0" w:line="237" w:lineRule="auto"/>
        <w:tabs>
          <w:tab w:leader="none" w:pos="12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relief in respect of any Obligor in an involuntary case under any applicable bankruptcy, insolvency, or other similar law now or hereafter in effect;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114</w:t>
      </w:r>
    </w:p>
    <w:p>
      <w:pPr>
        <w:sectPr>
          <w:pgSz w:w="11900" w:h="16838" w:orient="portrait"/>
          <w:cols w:equalWidth="0" w:num="1">
            <w:col w:w="10219"/>
          </w:cols>
          <w:pgMar w:left="240" w:top="659" w:right="1440" w:bottom="1440" w:gutter="0" w:footer="0" w:header="0"/>
        </w:sectPr>
      </w:pPr>
    </w:p>
    <w:bookmarkStart w:id="134" w:name="page135"/>
    <w:bookmarkEnd w:id="134"/>
    <w:p>
      <w:pPr>
        <w:ind w:left="1224" w:right="2999" w:hanging="192"/>
        <w:spacing w:after="0" w:line="237" w:lineRule="auto"/>
        <w:tabs>
          <w:tab w:leader="none" w:pos="122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 receiver, liquidator, assignee, custodian, trustee, sequestrator or similar official of any Obligor for any substantial part of such party's property and assets; or</w:t>
      </w:r>
    </w:p>
    <w:p>
      <w:pPr>
        <w:spacing w:after="0" w:line="179" w:lineRule="exact"/>
        <w:rPr>
          <w:rFonts w:ascii="Courier New" w:cs="Courier New" w:eastAsia="Courier New" w:hAnsi="Courier New"/>
          <w:sz w:val="16"/>
          <w:szCs w:val="16"/>
          <w:color w:val="auto"/>
        </w:rPr>
      </w:pPr>
    </w:p>
    <w:p>
      <w:pPr>
        <w:ind w:left="1224" w:hanging="192"/>
        <w:spacing w:after="0"/>
        <w:tabs>
          <w:tab w:leader="none" w:pos="122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winding up or liquidation of any Obligor's affairs</w:t>
      </w:r>
    </w:p>
    <w:p>
      <w:pPr>
        <w:spacing w:after="0" w:line="185" w:lineRule="exact"/>
        <w:rPr>
          <w:sz w:val="20"/>
          <w:szCs w:val="20"/>
          <w:color w:val="auto"/>
        </w:rPr>
      </w:pPr>
    </w:p>
    <w:p>
      <w:pPr>
        <w:ind w:left="744" w:right="3279"/>
        <w:spacing w:after="0" w:line="236" w:lineRule="auto"/>
        <w:rPr>
          <w:sz w:val="20"/>
          <w:szCs w:val="20"/>
          <w:color w:val="auto"/>
        </w:rPr>
      </w:pPr>
      <w:r>
        <w:rPr>
          <w:rFonts w:ascii="Courier New" w:cs="Courier New" w:eastAsia="Courier New" w:hAnsi="Courier New"/>
          <w:sz w:val="16"/>
          <w:szCs w:val="16"/>
          <w:color w:val="auto"/>
        </w:rPr>
        <w:t>and such decree or order shall remain unstayed and in effect for a period of 180 consecutive days; or</w:t>
      </w:r>
    </w:p>
    <w:p>
      <w:pPr>
        <w:spacing w:after="0" w:line="180"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(6) any Obligor:</w:t>
      </w:r>
    </w:p>
    <w:p>
      <w:pPr>
        <w:spacing w:after="0" w:line="185" w:lineRule="exact"/>
        <w:rPr>
          <w:sz w:val="20"/>
          <w:szCs w:val="20"/>
          <w:color w:val="auto"/>
        </w:rPr>
      </w:pPr>
    </w:p>
    <w:p>
      <w:pPr>
        <w:ind w:left="1224" w:right="2819" w:hanging="192"/>
        <w:spacing w:after="0" w:line="237" w:lineRule="auto"/>
        <w:tabs>
          <w:tab w:leader="none" w:pos="1224"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commences a voluntary case under any applicable bankruptcy, insolvency, or other similar law now or hereafter in effect, or consent to the entry of an order for relief in an involuntary case under any such law;</w:t>
      </w:r>
    </w:p>
    <w:p>
      <w:pPr>
        <w:spacing w:after="0" w:line="185" w:lineRule="exact"/>
        <w:rPr>
          <w:rFonts w:ascii="Courier New" w:cs="Courier New" w:eastAsia="Courier New" w:hAnsi="Courier New"/>
          <w:sz w:val="16"/>
          <w:szCs w:val="16"/>
          <w:color w:val="auto"/>
        </w:rPr>
      </w:pPr>
    </w:p>
    <w:p>
      <w:pPr>
        <w:jc w:val="both"/>
        <w:ind w:left="1224" w:right="2819" w:hanging="192"/>
        <w:spacing w:after="0" w:line="237" w:lineRule="auto"/>
        <w:tabs>
          <w:tab w:leader="none" w:pos="1224"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appointment of or taking possession by a receiver, liquidator, assignee, custodian, trustee, sequestrator, or similar official of such party or for any substantial part of such party's property; or</w:t>
      </w:r>
    </w:p>
    <w:p>
      <w:pPr>
        <w:spacing w:after="0" w:line="180" w:lineRule="exact"/>
        <w:rPr>
          <w:rFonts w:ascii="Courier New" w:cs="Courier New" w:eastAsia="Courier New" w:hAnsi="Courier New"/>
          <w:sz w:val="16"/>
          <w:szCs w:val="16"/>
          <w:color w:val="auto"/>
        </w:rPr>
      </w:pPr>
    </w:p>
    <w:p>
      <w:pPr>
        <w:ind w:left="1224" w:hanging="192"/>
        <w:spacing w:after="0"/>
        <w:tabs>
          <w:tab w:leader="none" w:pos="1224"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effects any general assignment for the benefit of creditors.</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A default under any Obligor's other indebtedness is not a default under the New Broadband Indenture.</w:t>
      </w:r>
    </w:p>
    <w:p>
      <w:pPr>
        <w:spacing w:after="0" w:line="18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If an event of default other than an event of default specified in clauses</w:t>
      </w:r>
    </w:p>
    <w:p>
      <w:pPr>
        <w:spacing w:after="0" w:line="10" w:lineRule="exact"/>
        <w:rPr>
          <w:sz w:val="20"/>
          <w:szCs w:val="20"/>
          <w:color w:val="auto"/>
        </w:rPr>
      </w:pPr>
    </w:p>
    <w:p>
      <w:pPr>
        <w:ind w:left="4" w:right="2719" w:hanging="4"/>
        <w:spacing w:after="0" w:line="238" w:lineRule="auto"/>
        <w:tabs>
          <w:tab w:leader="none" w:pos="379"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(6) above occurs with respect to an issue of New Broadband Notes and is continuing under the New Broadband Indenture, then, and in each and every such case, either the trustee or the holders of not less than 25% in aggregate principal amount of such New Broadband Notes then outstanding under the New Broadband Indenture by written notice to Broadband and to the trustee, if such notice is given by the holders, may, and the trustee at the request of such holders shall, declare the principal amount of and accrued interest, if any, on such New Broadband Notes to be immediately due and payable. The amount due upon acceleration shall include only the original issue price of the New Broadband Notes and accrued to the date of acceleration and accrued interest, if any. Upon a declaration of acceleration, such principal amount of and accrued interest, if any, on such New Broadband Notes shall be immediately due and payable. If an event of default specified in clauses (5) and (6) above occurs with respect to any Obligor, the principal amount of and accrued interest, if any, on each issue of New Broadband Notes then outstanding shall be and become immediately due and payable without any notice or other action on the part of the trustee or any holder.</w:t>
      </w:r>
    </w:p>
    <w:p>
      <w:pPr>
        <w:spacing w:after="0" w:line="191"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Upon certain conditions such declarations may be rescinded and annulled and past defaults may be waived by the holders of a majority in aggregate principal amount of an issue of New Broadband Notes that has been accelerated. Furthermore, subject to various provisions in the New Broadband Indenture, the holders of at least a majority in aggregate principal amount of an issue of New Broadband Notes by notice to the trustee may waive an existing default or event of default with respect to such New Broadband Notes and its consequences, except a default in the payment of principal of or interest on such New Broadband Notes or in respect of a covenant or provision of the New Broadband Indenture which cannot be modified or amended without the consent of the holders of each such New Broadband Notes. Upon any such waiver, such default shall cease to exist, and any event of default with respect to such New Broadband Notes shall be deemed to have been cured, for every purpose of the New Broadband Indenture; but no such waiver shall extend to any subsequent or other default or event of default or impair any right consequent thereto. For information as to the waiver of defaults, see "-- Modification and Waiver."</w:t>
      </w:r>
    </w:p>
    <w:p>
      <w:pPr>
        <w:spacing w:after="0" w:line="178"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holders of at least a majority in aggregate principal amount of an issue of New Broadband Notes may direct the time, method, and place of conducting any proceeding for any remedy available to the trustee or exercising any trust or power conferred on the trustee with respect to such New Broadband Notes. However, the trustee may refuse to follow any direction that conflicts with law or the New Broadband Indenture, that may involve the trustee in personal liability, or that the trustee determines in good faith may be unduly prejudicial to the rights of holders of such issue of New Broadband Notes not joining in the giving of such direction and may take any other action it deems proper that is not inconsistent with any such direction received from holders of such issue of New Broadband Notes. A</w:t>
      </w:r>
    </w:p>
    <w:p>
      <w:pPr>
        <w:spacing w:after="0" w:line="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115</w:t>
      </w:r>
    </w:p>
    <w:p>
      <w:pPr>
        <w:sectPr>
          <w:pgSz w:w="11900" w:h="16838" w:orient="portrait"/>
          <w:cols w:equalWidth="0" w:num="1">
            <w:col w:w="10223"/>
          </w:cols>
          <w:pgMar w:left="236" w:top="659" w:right="1440" w:bottom="1440" w:gutter="0" w:footer="0" w:header="0"/>
        </w:sectPr>
      </w:pPr>
    </w:p>
    <w:bookmarkStart w:id="135" w:name="page136"/>
    <w:bookmarkEnd w:id="135"/>
    <w:p>
      <w:pPr>
        <w:ind w:right="2819"/>
        <w:spacing w:after="0" w:line="236" w:lineRule="auto"/>
        <w:rPr>
          <w:sz w:val="20"/>
          <w:szCs w:val="20"/>
          <w:color w:val="auto"/>
        </w:rPr>
      </w:pPr>
      <w:r>
        <w:rPr>
          <w:rFonts w:ascii="Courier New" w:cs="Courier New" w:eastAsia="Courier New" w:hAnsi="Courier New"/>
          <w:sz w:val="16"/>
          <w:szCs w:val="16"/>
          <w:color w:val="auto"/>
        </w:rPr>
        <w:t>holder may not pursue any remedy with respect to the New Broadband Indenture or any series of New Broadband Notes unless:</w:t>
      </w:r>
    </w:p>
    <w:p>
      <w:pPr>
        <w:spacing w:after="0" w:line="185" w:lineRule="exact"/>
        <w:rPr>
          <w:sz w:val="20"/>
          <w:szCs w:val="20"/>
          <w:color w:val="auto"/>
        </w:rPr>
      </w:pPr>
    </w:p>
    <w:p>
      <w:pPr>
        <w:ind w:left="660" w:right="3179" w:hanging="195"/>
        <w:spacing w:after="0" w:line="236" w:lineRule="auto"/>
        <w:tabs>
          <w:tab w:leader="none" w:pos="66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gives the trustee written notice of a continuing event of default;</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at least 25% in aggregate principal amount of such series of New Broadband Notes make a written request to the trustee to pursue the remedy in respect of such event of default;</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requesting holder or holders offer the trustee indemnity satisfactory to the trustee against any costs, liability, or expense;</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does not comply with the request within 60 days after receipt of the request and the offer of indemnity; and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60-day period, the holders of a majority in aggregate principal amount of such series of New Broadband Notes do not give the trustee a direction that is inconsistent with the request.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These limitations, however, do not apply to the right of any holder of a New Broadband Note to receive payment of the principal of, premium, if any, or interest on such New Broadband Note, or to bring suit for the enforcement of any such payment, on or after the due date for the New Broadband Notes, which right shall not be impaired or affected without the consent of the holder.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Indenture will require certain of officers of Broadband to certify, on or before a date not more than 120 days after the end of each fiscal year, as to their knowledge of Broadband's compliance with all conditions and covenants under the New Broadband Indenture, such compliance to be determined without regard to any period of grace or requirement of notice provided under the New Broadband Indenture.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AND DEFEASANCE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Indenture provides that, except as otherwise provided in this paragraph, Broadband may discharge its obligations with respect to an issue of New Broadband Notes and the New Broadband Indenture with respect to that series of New Broadband Notes if:</w:t>
      </w:r>
    </w:p>
    <w:p>
      <w:pPr>
        <w:spacing w:after="0" w:line="186" w:lineRule="exact"/>
        <w:rPr>
          <w:sz w:val="20"/>
          <w:szCs w:val="20"/>
          <w:color w:val="auto"/>
        </w:rPr>
      </w:pPr>
    </w:p>
    <w:p>
      <w:pPr>
        <w:ind w:left="660" w:right="2719" w:hanging="195"/>
        <w:spacing w:after="0" w:line="237" w:lineRule="auto"/>
        <w:tabs>
          <w:tab w:leader="none" w:pos="66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Broadband Notes of the affected series previously authenticated and delivered with certain exceptions, have been delivered to the trustee for cancellation and Broadband has paid all sums payable under the New Broadband Indenture; or</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Broadband Notes of the affected series mature within one year or all of them are to be called for redemption within one year under arrangements satisfactory to the trustee for giving the notice of redemption and:</w:t>
      </w:r>
    </w:p>
    <w:p>
      <w:pPr>
        <w:spacing w:after="0" w:line="186" w:lineRule="exact"/>
        <w:rPr>
          <w:sz w:val="20"/>
          <w:szCs w:val="20"/>
          <w:color w:val="auto"/>
        </w:rPr>
      </w:pPr>
    </w:p>
    <w:p>
      <w:pPr>
        <w:ind w:left="740" w:right="2719" w:hanging="179"/>
        <w:spacing w:after="0" w:line="255" w:lineRule="auto"/>
        <w:tabs>
          <w:tab w:leader="none" w:pos="720" w:val="left"/>
        </w:tabs>
        <w:rPr>
          <w:sz w:val="20"/>
          <w:szCs w:val="20"/>
          <w:color w:val="auto"/>
        </w:rPr>
      </w:pPr>
      <w:r>
        <w:rPr>
          <w:rFonts w:ascii="Courier New" w:cs="Courier New" w:eastAsia="Courier New" w:hAnsi="Courier New"/>
          <w:sz w:val="15"/>
          <w:szCs w:val="15"/>
          <w:color w:val="auto"/>
        </w:rPr>
        <w:t>o</w:t>
        <w:tab/>
        <w:t>Broadband irrevocably deposits in trust with the trustee, as trust funds solely for the benefit of the holders of the New Broadband Notes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New Broadband Notes of the affected series to maturity or redemption, as the case may be, and to pay all other sums payable by it under the New Broadband Indenture; and</w:t>
      </w:r>
    </w:p>
    <w:p>
      <w:pPr>
        <w:spacing w:after="0" w:line="178" w:lineRule="exact"/>
        <w:rPr>
          <w:sz w:val="20"/>
          <w:szCs w:val="20"/>
          <w:color w:val="auto"/>
        </w:rPr>
      </w:pPr>
    </w:p>
    <w:p>
      <w:pPr>
        <w:ind w:left="740" w:right="2719" w:hanging="179"/>
        <w:spacing w:after="0" w:line="256" w:lineRule="auto"/>
        <w:tabs>
          <w:tab w:leader="none" w:pos="720" w:val="left"/>
        </w:tabs>
        <w:rPr>
          <w:sz w:val="20"/>
          <w:szCs w:val="20"/>
          <w:color w:val="auto"/>
        </w:rPr>
      </w:pPr>
      <w:r>
        <w:rPr>
          <w:rFonts w:ascii="Courier New" w:cs="Courier New" w:eastAsia="Courier New" w:hAnsi="Courier New"/>
          <w:sz w:val="15"/>
          <w:szCs w:val="15"/>
          <w:color w:val="auto"/>
        </w:rPr>
        <w:t>o</w:t>
        <w:tab/>
        <w:t>Broadband delivers to the trustee an officers' certificate and an opinion of counsel, in each case stating that all conditions precedent provided for in the New Broadband Indenture relating to the satisfaction and discharge of the New Broadband Indenture with respect to the New Broadband Notes of the affected series have been complied with.</w:t>
      </w:r>
    </w:p>
    <w:p>
      <w:pPr>
        <w:spacing w:after="0" w:line="176"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With respect to all New Broadband Notes which have been delivered to the trustee for cancellation and for which have been paid all sums payable by Broadband under the New Broadband Indenture, only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116</w:t>
      </w:r>
    </w:p>
    <w:p>
      <w:pPr>
        <w:sectPr>
          <w:pgSz w:w="11900" w:h="16838" w:orient="portrait"/>
          <w:cols w:equalWidth="0" w:num="1">
            <w:col w:w="10219"/>
          </w:cols>
          <w:pgMar w:left="240" w:top="659" w:right="1440" w:bottom="1440" w:gutter="0" w:footer="0" w:header="0"/>
        </w:sectPr>
      </w:pPr>
    </w:p>
    <w:bookmarkStart w:id="136" w:name="page137"/>
    <w:bookmarkEnd w:id="136"/>
    <w:p>
      <w:pPr>
        <w:ind w:right="2719"/>
        <w:spacing w:after="0" w:line="238" w:lineRule="auto"/>
        <w:rPr>
          <w:sz w:val="20"/>
          <w:szCs w:val="20"/>
          <w:color w:val="auto"/>
        </w:rPr>
      </w:pPr>
      <w:r>
        <w:rPr>
          <w:rFonts w:ascii="Courier New" w:cs="Courier New" w:eastAsia="Courier New" w:hAnsi="Courier New"/>
          <w:sz w:val="16"/>
          <w:szCs w:val="16"/>
          <w:color w:val="auto"/>
        </w:rPr>
        <w:t>Broadband's obligations to compensate and indemnify the trustee and Broadband's right to recover excess money held by the trustee under the New Broadband Indenture shall survive. With respect to New Broadband Notes which mature within one year or are to be called for redemption within one year under redemption arrangements deemed appropriate by the trustee, only Broadband's obligations with respect to the issue of defeased New Broadband Notes to execute and deliver such New Broadband Notes for authentication, to set the terms of such New Broadband Notes, to maintain an office or agency in respect of such New Broadband Notes, to have moneys held for payment in trust, to register the transfer or exchange of such New Broadband Notes, to deliver such New Broadband Notes for replacement or cancellation, to compensate and indemnify the trustee and to appoint a successor trustee, and Broadband's right to recover excess money held by the trustee shall survive until such New Broadband Notes are no longer outstanding. Thereafter, only Broadband's obligations to compensate and indemnify the trustee, and Broadband's right to recover excess money held by the trustee shall survive.</w:t>
      </w:r>
    </w:p>
    <w:p>
      <w:pPr>
        <w:spacing w:after="0" w:line="190" w:lineRule="exact"/>
        <w:rPr>
          <w:sz w:val="20"/>
          <w:szCs w:val="20"/>
          <w:color w:val="auto"/>
        </w:rPr>
      </w:pPr>
    </w:p>
    <w:p>
      <w:pPr>
        <w:ind w:right="3479" w:firstLine="469"/>
        <w:spacing w:after="0" w:line="236" w:lineRule="auto"/>
        <w:rPr>
          <w:sz w:val="20"/>
          <w:szCs w:val="20"/>
          <w:color w:val="auto"/>
        </w:rPr>
      </w:pPr>
      <w:r>
        <w:rPr>
          <w:rFonts w:ascii="Courier New" w:cs="Courier New" w:eastAsia="Courier New" w:hAnsi="Courier New"/>
          <w:sz w:val="16"/>
          <w:szCs w:val="16"/>
          <w:color w:val="auto"/>
        </w:rPr>
        <w:t>The New Broadband Indenture also provides that, except as otherwise provided in this paragraph, Broadband:</w:t>
      </w:r>
    </w:p>
    <w:p>
      <w:pPr>
        <w:spacing w:after="0" w:line="185" w:lineRule="exact"/>
        <w:rPr>
          <w:sz w:val="20"/>
          <w:szCs w:val="20"/>
          <w:color w:val="auto"/>
        </w:rPr>
      </w:pPr>
    </w:p>
    <w:p>
      <w:pPr>
        <w:ind w:left="660" w:right="2819" w:hanging="195"/>
        <w:spacing w:after="0" w:line="237" w:lineRule="auto"/>
        <w:tabs>
          <w:tab w:leader="none" w:pos="66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deemed to have paid and will be discharged from any and all obligations in respect of a series of New Broadband Notes, and the provisions of the New Broadband Indenture and the cable guarantees will no longer be in effect with respect to those New Broadband Notes ("legal defeasance"); and</w:t>
      </w:r>
    </w:p>
    <w:p>
      <w:pPr>
        <w:spacing w:after="0" w:line="187"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omit to comply with any term, provision or condition of the New Broadband Indenture described above under "-- Certain Covenants" and such omission shall be deemed not to be an event of default under the third clause of the first paragraph of "-- Events of Default" with respect to that series of New Broadband Notes ("covenant defeasance");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that the following conditions shall have been satisfied:</w:t>
      </w:r>
    </w:p>
    <w:p>
      <w:pPr>
        <w:spacing w:after="0" w:line="185" w:lineRule="exact"/>
        <w:rPr>
          <w:sz w:val="20"/>
          <w:szCs w:val="20"/>
          <w:color w:val="auto"/>
        </w:rPr>
      </w:pPr>
    </w:p>
    <w:p>
      <w:pPr>
        <w:ind w:left="660" w:right="2719" w:hanging="195"/>
        <w:spacing w:after="0" w:line="238" w:lineRule="auto"/>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has irrevocably deposited in trust with the trustee as trust funds solely for the benefit of the holders of the New Broadband Notes of such series, for payment of the principal of and interest on the New Broadband Notes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New Broadband Notes of such series to maturity or earlier redemption (irrevocably provided for under arrangements satisfactory to the trustee), as the case may be;</w:t>
      </w:r>
    </w:p>
    <w:p>
      <w:pPr>
        <w:spacing w:after="0" w:line="189"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deposit will not result in a breach or violation of, or constitute a default under, the New Broadband Indenture, the cable guarantees or any other material agreement or instrument to which Broadband is a party or by which Broadband is bound;</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with respect to the New Broadband Notes of such series shall have occurred and be continuing on the date of such deposit;</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shall have delivered to the trustee:</w:t>
      </w:r>
    </w:p>
    <w:p>
      <w:pPr>
        <w:spacing w:after="0" w:line="179" w:lineRule="exact"/>
        <w:rPr>
          <w:rFonts w:ascii="Courier New" w:cs="Courier New" w:eastAsia="Courier New" w:hAnsi="Courier New"/>
          <w:sz w:val="16"/>
          <w:szCs w:val="16"/>
          <w:color w:val="auto"/>
        </w:rPr>
      </w:pP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either an opinion of counsel that the holders of the New Broadband</w:t>
      </w:r>
    </w:p>
    <w:p>
      <w:pPr>
        <w:spacing w:after="0" w:line="4" w:lineRule="exact"/>
        <w:rPr>
          <w:rFonts w:ascii="Courier New" w:cs="Courier New" w:eastAsia="Courier New" w:hAnsi="Courier New"/>
          <w:sz w:val="16"/>
          <w:szCs w:val="16"/>
          <w:color w:val="auto"/>
        </w:rPr>
      </w:pPr>
    </w:p>
    <w:p>
      <w:pPr>
        <w:ind w:left="840"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of such series will not recognize income, gain or loss for federal income tax purposes as a result of Broadband exercising its option under this provision of the New Broadband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117</w:t>
      </w:r>
    </w:p>
    <w:p>
      <w:pPr>
        <w:sectPr>
          <w:pgSz w:w="11900" w:h="16838" w:orient="portrait"/>
          <w:cols w:equalWidth="0" w:num="1">
            <w:col w:w="10219"/>
          </w:cols>
          <w:pgMar w:left="240" w:top="659" w:right="1440" w:bottom="1440" w:gutter="0" w:footer="0" w:header="0"/>
        </w:sectPr>
      </w:pPr>
    </w:p>
    <w:bookmarkStart w:id="137" w:name="page138"/>
    <w:bookmarkEnd w:id="137"/>
    <w:p>
      <w:pPr>
        <w:jc w:val="both"/>
        <w:ind w:left="840" w:right="2899" w:hanging="179"/>
        <w:spacing w:after="0" w:line="237" w:lineRule="auto"/>
        <w:tabs>
          <w:tab w:leader="none" w:pos="820" w:val="left"/>
        </w:tabs>
        <w:rPr>
          <w:sz w:val="20"/>
          <w:szCs w:val="20"/>
          <w:color w:val="auto"/>
        </w:rPr>
      </w:pPr>
      <w:r>
        <w:rPr>
          <w:rFonts w:ascii="Courier New" w:cs="Courier New" w:eastAsia="Courier New" w:hAnsi="Courier New"/>
          <w:sz w:val="16"/>
          <w:szCs w:val="16"/>
          <w:color w:val="auto"/>
        </w:rPr>
        <w:t>o</w:t>
        <w:tab/>
        <w:t>an opinion of counsel that the holders of the New Broadband Notes of such series have a valid security interest in the trust funds subject to no prior liens under the Uniform Commercial Code; and</w:t>
      </w:r>
    </w:p>
    <w:p>
      <w:pPr>
        <w:spacing w:after="0" w:line="185" w:lineRule="exact"/>
        <w:rPr>
          <w:sz w:val="20"/>
          <w:szCs w:val="20"/>
          <w:color w:val="auto"/>
        </w:rPr>
      </w:pPr>
    </w:p>
    <w:p>
      <w:pPr>
        <w:ind w:left="660" w:right="2719" w:hanging="195"/>
        <w:spacing w:after="0" w:line="237" w:lineRule="auto"/>
        <w:tabs>
          <w:tab w:leader="none" w:pos="66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has delivered to the trustee an officers' certificate and an opinion of counsel, in each case stating that all conditions precedent provided for in the New Broadband Indenture relating to the defeasance contemplated of the New Broadband Notes of such series have been complied with.</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Subsequent to legal defeasance under the first bullet point above, the obligations of Broadband with respect to the issue of defeased New Broadband Notes to execute and deliver such New Broadband Notes for authentication, to set the terms of such New Broadband Notes, to maintain an office or agency in respect of such New Broadband Notes, to have moneys held for payment in trust, to register the transfer or exchange of such New Broadband Notes, to deliver such New Broadband Notes for replacement or cancellation, to compensate and indemnify the trustee and to appoint a successor trustee, and right of Broadband to recover excess money held by the trustee shall survive until such New Broadband Notes are no longer outstanding. After such New Broadband Notes are no longer outstanding, in the case of legal defeasance under the first bullet point above, only Broadband's obligations to compensate and indemnify the trustee and Broadband's right to recover excess money held by the trustee shall survive.</w:t>
      </w:r>
    </w:p>
    <w:p>
      <w:pPr>
        <w:spacing w:after="0" w:line="178"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NO PERSONAL LIABILITY OF INCORPORATORS, STOCKHOLDERS, OFFICERS, DIRECTORS OR EMPLOYEES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Broadband Indenture and the cable guarantees provide that no recourse shall be had under or upon any obligation, covenant, or agreement of Broadband or the cable guarantors in the New Broadband Indenture or any supplemental indenture, or in any of the New Broadband Notes or in any of the cable guarantees or because of the creation of any indebtedness represented thereby, against any incorporator, stockholder, officer, director, employee of Broadband or any cable guarantor or of any successor person thereof under any law, statute or constitutional provision or by the enforcement of any assessment or by any legal or equitable proceeding or otherwise. Each holder, by accepting the New Broadband Notes, waives and releases all such liability.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CONCERNING THE TRUSTEE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Broadband Indenture provides that, except during the continuance of a default, the trustee will not be liable, except for the performance of such duties as are specifically set forth in the New Broadband Indenture. If an event of default has occurred and is continuing, the trustee will exercise such rights and powers vested in it under the New Broadband Indenture and will use the same degree of care and skill in its exercise as a prudent person would exercise under the circumstances in the conduct of such person's own affairs. Broadband may have normal banking relationships with the trustee under the New Broadband Indenture in the ordinary course of business.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New Broadband Indenture, the New Broadband Notes and the cable guarantees will be governed by, and construed in accordance with, the internal laws of the State of New York.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SYSTEM</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Broadband will initially issue the New Broadband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6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118</w:t>
      </w:r>
    </w:p>
    <w:p>
      <w:pPr>
        <w:sectPr>
          <w:pgSz w:w="11900" w:h="16838" w:orient="portrait"/>
          <w:cols w:equalWidth="0" w:num="1">
            <w:col w:w="10219"/>
          </w:cols>
          <w:pgMar w:left="240" w:top="659" w:right="1440" w:bottom="1440" w:gutter="0" w:footer="0" w:header="0"/>
        </w:sectPr>
      </w:pPr>
    </w:p>
    <w:bookmarkStart w:id="138" w:name="page139"/>
    <w:bookmarkEnd w:id="138"/>
    <w:p>
      <w:pPr>
        <w:ind w:left="180"/>
        <w:spacing w:after="0"/>
        <w:rPr>
          <w:sz w:val="20"/>
          <w:szCs w:val="20"/>
          <w:color w:val="auto"/>
        </w:rPr>
      </w:pPr>
      <w:r>
        <w:rPr>
          <w:rFonts w:ascii="Courier New" w:cs="Courier New" w:eastAsia="Courier New" w:hAnsi="Courier New"/>
          <w:sz w:val="16"/>
          <w:szCs w:val="16"/>
          <w:color w:val="auto"/>
        </w:rPr>
        <w:t>DTC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DTC has advised Broadband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Broadband expects that pursuant to procedures established by DTC, upon the deposit of the Global Notes with DTC, DTC will credit on its book entry registration and transfer system the principal amount of New Broadband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88"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7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Broadband will make payments of principal of, premium, if any, and interest on the New Broadband Notes represented by the Global Notes registered in the name of and held by DTC or its nominee to DTC or its nominee, as the case may be, as the registered owner and holder of the Global Notes.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Broadband expects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Broadband also expects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Broadband will not have any responsibility or liability for any aspect of the records relating to, or payments made on account of, beneficial ownership interests in the Global Notes for any New Broadband Notes or for maintaining, supervising or reviewing any records relating to such beneficial ownership interests or for any other aspect of the relationship between DTC and its participants or indirect participants, or the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119</w:t>
      </w:r>
    </w:p>
    <w:p>
      <w:pPr>
        <w:sectPr>
          <w:pgSz w:w="11900" w:h="16838" w:orient="portrait"/>
          <w:cols w:equalWidth="0" w:num="1">
            <w:col w:w="10219"/>
          </w:cols>
          <w:pgMar w:left="240" w:top="654" w:right="1440" w:bottom="1440" w:gutter="0" w:footer="0" w:header="0"/>
        </w:sectPr>
      </w:pPr>
    </w:p>
    <w:bookmarkStart w:id="139" w:name="page140"/>
    <w:bookmarkEnd w:id="139"/>
    <w:p>
      <w:pPr>
        <w:ind w:right="2819"/>
        <w:spacing w:after="0" w:line="263" w:lineRule="auto"/>
        <w:rPr>
          <w:sz w:val="20"/>
          <w:szCs w:val="20"/>
          <w:color w:val="auto"/>
        </w:rPr>
      </w:pPr>
      <w:r>
        <w:rPr>
          <w:rFonts w:ascii="Courier New" w:cs="Courier New" w:eastAsia="Courier New" w:hAnsi="Courier New"/>
          <w:sz w:val="15"/>
          <w:szCs w:val="15"/>
          <w:color w:val="auto"/>
        </w:rPr>
        <w:t>relationship between such participants or indirect participants, and the owners of beneficial interests in the Global Notes owning through such participants.</w:t>
      </w:r>
    </w:p>
    <w:p>
      <w:pPr>
        <w:spacing w:after="0" w:line="16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All amounts payable under the New Broadband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Broadband, the cable guarantors or any of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CERTIFICATED NOTES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Subject to certain conditions, the New Broadband Notes represented by the Global Notes are exchangeable for certificated notes in definitive form of like tenor in denominations of $1,000 principal amount and multiples thereof if:</w:t>
      </w:r>
    </w:p>
    <w:p>
      <w:pPr>
        <w:spacing w:after="0" w:line="171" w:lineRule="exact"/>
        <w:rPr>
          <w:sz w:val="20"/>
          <w:szCs w:val="20"/>
          <w:color w:val="auto"/>
        </w:rPr>
      </w:pPr>
    </w:p>
    <w:p>
      <w:pPr>
        <w:ind w:left="460" w:right="2819" w:firstLine="474"/>
        <w:spacing w:after="0" w:line="237" w:lineRule="auto"/>
        <w:tabs>
          <w:tab w:leader="none" w:pos="130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85" w:lineRule="exact"/>
        <w:rPr>
          <w:rFonts w:ascii="Courier New" w:cs="Courier New" w:eastAsia="Courier New" w:hAnsi="Courier New"/>
          <w:sz w:val="16"/>
          <w:szCs w:val="16"/>
          <w:color w:val="auto"/>
        </w:rPr>
      </w:pPr>
    </w:p>
    <w:p>
      <w:pPr>
        <w:ind w:left="460" w:right="2719" w:firstLine="474"/>
        <w:spacing w:after="0" w:line="236" w:lineRule="auto"/>
        <w:tabs>
          <w:tab w:leader="none" w:pos="130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in its discretion at any time determines not to have all the New Broadband Notes represented by the Global Notes; or</w:t>
      </w:r>
    </w:p>
    <w:p>
      <w:pPr>
        <w:spacing w:after="0" w:line="184" w:lineRule="exact"/>
        <w:rPr>
          <w:rFonts w:ascii="Courier New" w:cs="Courier New" w:eastAsia="Courier New" w:hAnsi="Courier New"/>
          <w:sz w:val="16"/>
          <w:szCs w:val="16"/>
          <w:color w:val="auto"/>
        </w:rPr>
      </w:pPr>
    </w:p>
    <w:p>
      <w:pPr>
        <w:jc w:val="both"/>
        <w:ind w:left="460" w:right="2999" w:firstLine="474"/>
        <w:spacing w:after="0" w:line="263" w:lineRule="auto"/>
        <w:tabs>
          <w:tab w:leader="none" w:pos="130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entitling the holders of the applicable New Broadband Notes to accelerate the maturity thereof has occurred and is continuing.</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Any New Broadband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SAME-DAY PAYMENT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Indenture requires payments to be made in respect of the applicable New Broadband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Payments (including principal, premium and interest) and transfers with respect to New Broadband Notes in certificated form may be executed at the office or agency maintained for such purpose within the City and State of New York (initially the office of the paying agent maintained for such purpose) or, at Broadband's option, by check mailed to the holders thereof at the respective addresses set forth in the register of holders of the applicable New Broadband Notes, provided that all payments (including principal, premium and interest) on New Broadband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120</w:t>
      </w:r>
    </w:p>
    <w:p>
      <w:pPr>
        <w:sectPr>
          <w:pgSz w:w="11900" w:h="16838" w:orient="portrait"/>
          <w:cols w:equalWidth="0" w:num="1">
            <w:col w:w="10219"/>
          </w:cols>
          <w:pgMar w:left="240" w:top="659" w:right="1440" w:bottom="1440" w:gutter="0" w:footer="0" w:header="0"/>
        </w:sectPr>
      </w:pPr>
    </w:p>
    <w:bookmarkStart w:id="140" w:name="page141"/>
    <w:bookmarkEnd w:id="140"/>
    <w:p>
      <w:pPr>
        <w:ind w:left="1960"/>
        <w:spacing w:after="0"/>
        <w:rPr>
          <w:sz w:val="20"/>
          <w:szCs w:val="20"/>
          <w:color w:val="auto"/>
        </w:rPr>
      </w:pPr>
      <w:r>
        <w:rPr>
          <w:rFonts w:ascii="Courier New" w:cs="Courier New" w:eastAsia="Courier New" w:hAnsi="Courier New"/>
          <w:sz w:val="16"/>
          <w:szCs w:val="16"/>
          <w:color w:val="auto"/>
        </w:rPr>
        <w:t>COMPARISON OF THE NEW BROADBAND NOTES</w:t>
      </w:r>
    </w:p>
    <w:p>
      <w:pPr>
        <w:ind w:left="2240"/>
        <w:spacing w:after="0"/>
        <w:rPr>
          <w:sz w:val="20"/>
          <w:szCs w:val="20"/>
          <w:color w:val="auto"/>
        </w:rPr>
      </w:pPr>
      <w:r>
        <w:rPr>
          <w:rFonts w:ascii="Courier New" w:cs="Courier New" w:eastAsia="Courier New" w:hAnsi="Courier New"/>
          <w:sz w:val="16"/>
          <w:szCs w:val="16"/>
          <w:color w:val="auto"/>
        </w:rPr>
        <w:t>AND THE BROADBAND EXCHANGE NOTES</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comparison of the New Broadband Notes and the Broadband Exchange Notes summarizes the material differences between the New Broadband Notes and the Broadband Exchange Notes. See "Description of the Broadband Exchange Notes" for a more complete discussion of the material terms of the AT&amp;T Indenture, the Broadband Exchange Supplemental Indenture and the Broadband Exchange Notes, and "Description of the New Broadband Notes and the Cable Guarantees" for a more complete discussion of the material terms of the New Broadband Indenture, the New Broadband Notes and the cable guarantees. Because this is a summary, it may not contain all the information that is important to you. You should read the AT&amp;T Indenture, the Broadband Exchange Supplemental Indenture and the New Broadband Indenture, which have been filed as exhibits to the registration statement of which this prospectus is a part, in their entirety.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BASIC TERMS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CHANGES IN OBLIGORS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The Broadband Exchange Notes will be the co-obligations of AT&amp;T and Broadband. The New Broadband Notes will be the primary obligations of Broadband only, fully and unconditionally guaranteed by the cable guarantors. The Broadband Exchange Notes will not have the benefit of the cable guarantees.</w:t>
      </w:r>
    </w:p>
    <w:p>
      <w:pPr>
        <w:spacing w:after="0" w:line="174" w:lineRule="exact"/>
        <w:rPr>
          <w:sz w:val="20"/>
          <w:szCs w:val="20"/>
          <w:color w:val="auto"/>
        </w:rPr>
      </w:pPr>
    </w:p>
    <w:p>
      <w:pPr>
        <w:ind w:right="2999" w:firstLine="188"/>
        <w:spacing w:after="0" w:line="236" w:lineRule="auto"/>
        <w:rPr>
          <w:sz w:val="20"/>
          <w:szCs w:val="20"/>
          <w:color w:val="auto"/>
        </w:rPr>
      </w:pPr>
      <w:r>
        <w:rPr>
          <w:rFonts w:ascii="Courier New" w:cs="Courier New" w:eastAsia="Courier New" w:hAnsi="Courier New"/>
          <w:sz w:val="16"/>
          <w:szCs w:val="16"/>
          <w:color w:val="auto"/>
        </w:rPr>
        <w:t>CERTAIN CHANGES TO INTEREST RATE, MATURITY DATE, INTEREST PAYMENT DATES AND RECORD DATES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interest rate on the Broadband Exchange Notes will not be the same as the interest rate on the applicable series of New Broadband Notes into which they are expected to be exchanged. The interest rate for each series of New Broadband Notes will be announced by press release two business days prior to the expiration of the exchange offer and will be based on spreads over the relevant U.S. Treasury rates set forth on the cover of this prospectus. For a more complete discussion of the method of calculating interest on the New Broadband Notes, see "Description of the Exchange Offer -- Interest Rate for the New Broadband Notes."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Interest on the New Broadband Notes accrues from the date of original issuance, which will be the date of mandatory exchange with respect to the New Broadband Notes, or from the most recent interest payment date to which interest has been paid.</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Interest accrued and unpaid on any Broadband Eligible Notes accepted in an exchange offer (a) will be paid along with the first payment of interest on the relevant series of Broadband Exchange Notes or (b) if the mandatory exchange of the Broadband Exchange Notes occurs prior to that first payment of interest, will be paid at the time of mandatory exchange.</w:t>
      </w:r>
    </w:p>
    <w:p>
      <w:pPr>
        <w:spacing w:after="0" w:line="187"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Interest accrued and unpaid on any series of Broadband Exchange Notes will be paid at the time of mandatory exchange.</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Broadband Notes Due 2013 mature on March 15, 2013, with interest payable semiannually on each March 15 and September 15, beginning on the first March 15 or September 15 occurring after the initial issuance of the New Broadband Notes Due 2013, to holders of record on the preceding March 1 and September 1, which are changes from the respective current maturity dates, interest payment dates and record dates for the 7.00% Broadband Exchange Notes Due May 15, 2005, the 7.50% Broadband Exchange Notes Due June 1, 2006, the 7.75% Broadband Exchange Notes Due March 1, 2007 and the 6.00% Broadband Exchange Notes Due March 15, 2009 for which the New Broadband Notes Due 2013 are expected to be exchanged.</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New Broadband Notes Due 2022 mature on November 15, 2022, with interest payable semiannually on each November 15 and May 15, beginning on the first May 15 occurring after the initial issuance of the New Broadband Notes Due 2022, to holders of record on the preceding November 1 and May 1, which are changes from the respective maturity dates, interest payment dates and record dates</w:t>
      </w:r>
    </w:p>
    <w:p>
      <w:pPr>
        <w:spacing w:after="0" w:line="35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121</w:t>
      </w:r>
    </w:p>
    <w:p>
      <w:pPr>
        <w:sectPr>
          <w:pgSz w:w="11900" w:h="16838" w:orient="portrait"/>
          <w:cols w:equalWidth="0" w:num="1">
            <w:col w:w="10219"/>
          </w:cols>
          <w:pgMar w:left="240" w:top="654" w:right="1440" w:bottom="1440" w:gutter="0" w:footer="0" w:header="0"/>
        </w:sectPr>
      </w:pPr>
    </w:p>
    <w:bookmarkStart w:id="141" w:name="page142"/>
    <w:bookmarkEnd w:id="141"/>
    <w:p>
      <w:pPr>
        <w:ind w:right="2719"/>
        <w:spacing w:after="0" w:line="237" w:lineRule="auto"/>
        <w:rPr>
          <w:sz w:val="20"/>
          <w:szCs w:val="20"/>
          <w:color w:val="auto"/>
        </w:rPr>
      </w:pPr>
      <w:r>
        <w:rPr>
          <w:rFonts w:ascii="Courier New" w:cs="Courier New" w:eastAsia="Courier New" w:hAnsi="Courier New"/>
          <w:sz w:val="16"/>
          <w:szCs w:val="16"/>
          <w:color w:val="auto"/>
        </w:rPr>
        <w:t>for the 8.125% Broadband Exchange Notes Due July 15, 2022, the 8.125% Broadband Exchange Notes Due July 15, 2024, the 8.35% Broadband Exchange Notes Due January 15, 2025 and the 8.625% Broadband Exchange Notes Due December 1, 2031 for which the New Broadband Notes Due 2022 are expected to be exchanged.</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ELIMINATION OF LUXEMBOURG EXCHANGE LISTING</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Broadband Notes will not be listed on the Luxembourg Exchange. If the AT&amp;T Comcast transaction is terminated, AT&amp;T will use its commercially reasonable efforts to list the 6.00% Broadband Exchange Notes Due March 15, 2009 on the Luxembourg Stock Exchange. The 6.00% Broadband Eligible Notes Due March 15, 2009 are currently listed on the Luxembourg Stock Exchange.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ELIMINATION OF PAYMENT OF ADDITIONAL AMOUNTS; REDEMPTION UPON A TAX EVENT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6.00% Broadband Exchange Notes Due March 15, 2009 provide for the payment of additional amounts and redemption upon a tax event as described under "Description of the Broadband Exchange Notes -- Additional Terms Pertaining Only to the 6.00% Broadband Exchange Notes Due March 15, 2009." No series of New Broadband Notes, including the New Broadband Notes Due 2013 issued in exchange for the 6.00% Broadband Exchange Notes Due March 15, 2009, will contain similar provisions.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36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The New Broadband Notes will not be subject to optional redemption by Broadband.</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Certain series of Broadband Exchange Notes for which the New Broadband Notes will be exchanged upon completion of the AT&amp;T Comcast transaction are subject to optional redemption. The 6.00% Broadband Exchange Notes Due March 15, 2009, the 8.125% Broadband Exchange Notes Due January 15, 2022, the 8.125% Broadband Exchange Notes Due July 15, 2024 and the 8.625% Broadband Exchange Notes Due December 1, 2031 will be subject to optional redemption by AT&amp;T upon issuance. The 8.35% Broadband Exchange Notes Due January 15, 2025 will be subject to optional redemption on and after January 15, 2005.</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Indenture:</w:t>
      </w:r>
    </w:p>
    <w:p>
      <w:pPr>
        <w:spacing w:after="0" w:line="185" w:lineRule="exact"/>
        <w:rPr>
          <w:sz w:val="20"/>
          <w:szCs w:val="20"/>
          <w:color w:val="auto"/>
        </w:rPr>
      </w:pPr>
    </w:p>
    <w:p>
      <w:pPr>
        <w:ind w:left="660" w:right="2719" w:hanging="195"/>
        <w:spacing w:after="0" w:line="256" w:lineRule="auto"/>
        <w:tabs>
          <w:tab w:leader="none" w:pos="6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covenants that restrict Broadband's ability and the cable guarantors' ability to create secured indebtedness and engage in sale and leaseback transactions that are different from those covenants that are in the AT&amp;T Indenture described under "Description of the Broadband Exchange Notes -- Certain Covenants -- Limitation on Secured Indebtedness" and "-- Limitation on Sale and Leaseback Transactions" and</w:t>
      </w:r>
    </w:p>
    <w:p>
      <w:pPr>
        <w:spacing w:after="0" w:line="175" w:lineRule="exact"/>
        <w:rPr>
          <w:rFonts w:ascii="Courier New" w:cs="Courier New" w:eastAsia="Courier New" w:hAnsi="Courier New"/>
          <w:sz w:val="15"/>
          <w:szCs w:val="15"/>
          <w:color w:val="auto"/>
        </w:rPr>
      </w:pPr>
    </w:p>
    <w:p>
      <w:pPr>
        <w:ind w:left="660" w:right="3099" w:hanging="195"/>
        <w:spacing w:after="0" w:line="236" w:lineRule="auto"/>
        <w:tabs>
          <w:tab w:leader="none" w:pos="66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modifies the "-- Consolidation, Merger or Sale" covenant as described below.</w:t>
      </w:r>
    </w:p>
    <w:p>
      <w:pPr>
        <w:spacing w:after="0" w:line="185" w:lineRule="exact"/>
        <w:rPr>
          <w:sz w:val="20"/>
          <w:szCs w:val="20"/>
          <w:color w:val="auto"/>
        </w:rPr>
      </w:pPr>
    </w:p>
    <w:p>
      <w:pPr>
        <w:ind w:left="100" w:right="3759"/>
        <w:spacing w:after="0" w:line="236" w:lineRule="auto"/>
        <w:rPr>
          <w:sz w:val="20"/>
          <w:szCs w:val="20"/>
          <w:color w:val="auto"/>
        </w:rPr>
      </w:pPr>
      <w:r>
        <w:rPr>
          <w:rFonts w:ascii="Courier New" w:cs="Courier New" w:eastAsia="Courier New" w:hAnsi="Courier New"/>
          <w:sz w:val="16"/>
          <w:szCs w:val="16"/>
          <w:color w:val="auto"/>
        </w:rPr>
        <w:t>LIMITATIONS ON LIENS SECURING INDEBTEDNESS AND ON SALE AND LEASEBACK TRANSACTIONS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Under the New Broadband Indenture, neither Broadband nor any cable guarantor will be permitted to create any lien, other than certain permitted liens, on such person's assets, including the capital stock of its wholly owned subsidiaries, to secure the payment of indebtedness of Broadband or any cable guarantor, unless Broadband secures the outstanding New Broadband Notes equally and ratably with (or prior to) all indebtedness secured by such lien, so long as such indebtedness shall be so secured. See "Description of the New Broadband Notes and the Cable Guarantees -- Certain Covenants -- Limitation on Liens</w:t>
      </w:r>
    </w:p>
    <w:p>
      <w:pPr>
        <w:spacing w:after="0" w:line="16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122</w:t>
      </w:r>
    </w:p>
    <w:p>
      <w:pPr>
        <w:sectPr>
          <w:pgSz w:w="11900" w:h="16838" w:orient="portrait"/>
          <w:cols w:equalWidth="0" w:num="1">
            <w:col w:w="10219"/>
          </w:cols>
          <w:pgMar w:left="240" w:top="659" w:right="1440" w:bottom="1440" w:gutter="0" w:footer="0" w:header="0"/>
        </w:sectPr>
      </w:pPr>
    </w:p>
    <w:bookmarkStart w:id="142" w:name="page143"/>
    <w:bookmarkEnd w:id="142"/>
    <w:p>
      <w:pPr>
        <w:ind w:right="2719"/>
        <w:spacing w:after="0" w:line="238" w:lineRule="auto"/>
        <w:rPr>
          <w:sz w:val="20"/>
          <w:szCs w:val="20"/>
          <w:color w:val="auto"/>
        </w:rPr>
      </w:pPr>
      <w:r>
        <w:rPr>
          <w:rFonts w:ascii="Courier New" w:cs="Courier New" w:eastAsia="Courier New" w:hAnsi="Courier New"/>
          <w:sz w:val="16"/>
          <w:szCs w:val="16"/>
          <w:color w:val="auto"/>
        </w:rPr>
        <w:t>Securing Indebtedness" for a more complete discussion of the provisions of the new Broadband Indenture relating to restrictions on the ability of Broadband and the cable guarantors to create secured indebtedness. The New Broadband Indenture also restricts Broadband's ability and the cable guarantors' ability to engage in sale and leaseback transactions. A more complete discussion of these provisions is set forth in "Description of the New Broadband Notes and the Cable Guarantees -- Certain Covenants -- Limitation on Sale and Leaseback Transactions." These provisions do not apply to any subsidiaries of AT&amp;T Comcast other than the cable guarantors and Broadband.</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AT&amp;T Indenture, AT&amp;T cannot, and AT&amp;T cannot permit certain subsidiaries to, create any secured indebtedness unless AT&amp;T secures the debt securities issued under the AT&amp;T Indenture to the same extent as such secured indebtedness or enter into any leases longer than three years. However, AT&amp;T and its subsidiaries may incur secured indebtedness without securing those debt securities or enter into leases longer than three years if immediately after incurring the secured indebtedness or entering into the lease, the aggregate amount of all secured indebtedness and the discounted present value of all net rentals payable under leases entered into in connection with sale and leaseback transactions would not exceed 10% of consolidated net tangible assets. See "Description of the Broadband Exchange Notes -- Certain Covenants -- Limitation on Secured Indebtedness" and "-- Limitation on Sale and Leaseback Transactions" for a more complete discussion of the provisions of the AT&amp;T Indenture relating to restrictions on the ability of AT&amp;T and its subsidiaries to create secured indebtedness.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MODIFICATION OF CONSOLIDATION, MERGER OR SALE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Pursuant to the AT&amp;T Indenture, AT&amp;T may not consolidate with or merge into any other corporation or convey or transfer substantially all of its properties and assets to any person, unless</w:t>
      </w:r>
    </w:p>
    <w:p>
      <w:pPr>
        <w:spacing w:after="0" w:line="180" w:lineRule="exact"/>
        <w:rPr>
          <w:sz w:val="20"/>
          <w:szCs w:val="20"/>
          <w:color w:val="auto"/>
        </w:rPr>
      </w:pPr>
    </w:p>
    <w:p>
      <w:pPr>
        <w:ind w:left="660" w:hanging="195"/>
        <w:spacing w:after="0"/>
        <w:tabs>
          <w:tab w:leader="none" w:pos="66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person is authorized to acquire and operate its property and</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corporation expressly assumes by a supplemental indenture the due and punctual payment of the principal of and any premium or any interest on all the debt securities and the performance of every covenant in the AT&amp;T Indenture that AT&amp;T would otherwise have to perform.</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Pursuant to the New Broadband Indenture, these provisions would not:</w:t>
      </w:r>
    </w:p>
    <w:p>
      <w:pPr>
        <w:spacing w:after="0" w:line="185" w:lineRule="exact"/>
        <w:rPr>
          <w:sz w:val="20"/>
          <w:szCs w:val="20"/>
          <w:color w:val="auto"/>
        </w:rPr>
      </w:pPr>
    </w:p>
    <w:p>
      <w:pPr>
        <w:ind w:left="660" w:right="2819" w:hanging="195"/>
        <w:spacing w:after="0" w:line="238" w:lineRule="auto"/>
        <w:tabs>
          <w:tab w:leader="none" w:pos="66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apply to a consolidation with or merger with or into or a sale, conveyance, transfer, lease or other disposition to a wholly owned subsidiary with a positive net worth; provided that, in connection with any merger of either party and a wholly-owned subsidiary, no consideration other than common stock in the surviving person or Broadband's shall be issued or distributed to such party's stockholders; or</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expressly require such person to be authorized to acquire and operate its property.</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the New Broadband Indenture will expressly provide that upon express assumption of any party's obligations as described above, that party shall be discharged from all obligations and covenants under the New Broadband Indenture and on all of the New Broadband Notes.</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"Description of the New Broadband Notes and the Cable</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Guarantees -- Certain Covenants -- Consolidation, Merger and Sale of Assets" for a more complete discussion of the provisions of the New Broadband Indenture relating to restrictions on the ability of the Broadband to consolidate, merge or sell property and assets.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AND WAIVER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to the kinds of amendments, modifications or waivers that may be made under the AT&amp;T Indenture without notice to or the consent of any holder, the New Broadband Indenture further provides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123</w:t>
      </w:r>
    </w:p>
    <w:p>
      <w:pPr>
        <w:sectPr>
          <w:pgSz w:w="11900" w:h="16838" w:orient="portrait"/>
          <w:cols w:equalWidth="0" w:num="1">
            <w:col w:w="10219"/>
          </w:cols>
          <w:pgMar w:left="240" w:top="659" w:right="1440" w:bottom="1440" w:gutter="0" w:footer="0" w:header="0"/>
        </w:sectPr>
      </w:pPr>
    </w:p>
    <w:bookmarkStart w:id="143" w:name="page144"/>
    <w:bookmarkEnd w:id="143"/>
    <w:p>
      <w:pPr>
        <w:ind w:right="3099"/>
        <w:spacing w:after="0" w:line="237" w:lineRule="auto"/>
        <w:rPr>
          <w:sz w:val="20"/>
          <w:szCs w:val="20"/>
          <w:color w:val="auto"/>
        </w:rPr>
      </w:pPr>
      <w:r>
        <w:rPr>
          <w:rFonts w:ascii="Courier New" w:cs="Courier New" w:eastAsia="Courier New" w:hAnsi="Courier New"/>
          <w:sz w:val="16"/>
          <w:szCs w:val="16"/>
          <w:color w:val="auto"/>
        </w:rPr>
        <w:t>that Broadband and the trustee may amend or supplement the New Broadband Indenture or the New Broadband Notes without notice to or the consent of any holder:</w:t>
      </w:r>
    </w:p>
    <w:p>
      <w:pPr>
        <w:spacing w:after="0" w:line="185" w:lineRule="exact"/>
        <w:rPr>
          <w:sz w:val="20"/>
          <w:szCs w:val="20"/>
          <w:color w:val="auto"/>
        </w:rPr>
      </w:pPr>
    </w:p>
    <w:p>
      <w:pPr>
        <w:ind w:left="660" w:right="2999" w:hanging="195"/>
        <w:spacing w:after="0" w:line="237" w:lineRule="auto"/>
        <w:tabs>
          <w:tab w:leader="none" w:pos="6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any requirements of the SEC in connection with the qualification of the New Broadband Indenture under the Trust Indenture Act of 1939;</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under the New Broadband Indenture by a successor trustee; and</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so long as no New Broadband Notes or Broadband Exchange Notes are outstanding.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whereas the AT&amp;T Indenture permits AT&amp;T and the trustee to amend or supplement the AT&amp;T Indenture or the Broadband Exchange Notes without notice to or the consent of any holder to cure any ambiguity, defect, or inconsistency in the AT&amp;T Indenture provided that such amendments or supplements shall not adversely affect the interests of the holders, the New Broadband Indenture permits these amendments or supplements provided that the amendment or supplement shall not adversely affect the interests of the holders in any material respect (added text in italics).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addition, the New Broadband Indenture includes the requirement in instances where modifications and amendments of the Broadband Indenture and the New Broadband Notes may be made by Broadband and the trustee with the written consent of the holders of a majority in principal amount of an issue of New Broadband Notes that each affected holder must consent to any modification, amendment or waiver that changes the provisions for calculating the optional redemption price, including the definitions thereto, which requirement is not contained in the AT&amp;T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"Description of the New Broadband Notes and the Cable</w:t>
      </w:r>
    </w:p>
    <w:p>
      <w:pPr>
        <w:spacing w:after="0" w:line="4"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6"/>
          <w:szCs w:val="16"/>
          <w:color w:val="auto"/>
        </w:rPr>
        <w:t>Guarantees -- Modification and Waiver" for a more complete discussion of the rights of Broadband and the trustee to amend or supplement the New Broadband Indenture or the New Broadband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purposes of this section, the term "Obligor" shall mean each of Broadband, AT&amp;T Comcast, Comcast Cable, MediaOne and TCI, in each case excluding such entities' subsidiaries.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Pursuant to the AT&amp;T Indenture governing the Broadband Exchange Notes, an</w:t>
      </w:r>
    </w:p>
    <w:p>
      <w:pPr>
        <w:spacing w:after="0"/>
        <w:rPr>
          <w:sz w:val="20"/>
          <w:szCs w:val="20"/>
          <w:color w:val="auto"/>
        </w:rPr>
      </w:pPr>
      <w:r>
        <w:rPr>
          <w:rFonts w:ascii="Courier New" w:cs="Courier New" w:eastAsia="Courier New" w:hAnsi="Courier New"/>
          <w:sz w:val="16"/>
          <w:szCs w:val="16"/>
          <w:color w:val="auto"/>
        </w:rPr>
        <w:t>Event of Default would occur if:</w:t>
      </w:r>
    </w:p>
    <w:p>
      <w:pPr>
        <w:spacing w:after="0" w:line="179" w:lineRule="exact"/>
        <w:rPr>
          <w:sz w:val="20"/>
          <w:szCs w:val="20"/>
          <w:color w:val="auto"/>
        </w:rPr>
      </w:pPr>
    </w:p>
    <w:p>
      <w:pPr>
        <w:ind w:left="1120" w:hanging="373"/>
        <w:spacing w:after="0"/>
        <w:tabs>
          <w:tab w:leader="none" w:pos="11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having jurisdiction enters a decree or order for:</w:t>
      </w:r>
    </w:p>
    <w:p>
      <w:pPr>
        <w:spacing w:after="0" w:line="184" w:lineRule="exact"/>
        <w:rPr>
          <w:rFonts w:ascii="Courier New" w:cs="Courier New" w:eastAsia="Courier New" w:hAnsi="Courier New"/>
          <w:sz w:val="16"/>
          <w:szCs w:val="16"/>
          <w:color w:val="auto"/>
        </w:rPr>
      </w:pPr>
    </w:p>
    <w:p>
      <w:pPr>
        <w:ind w:left="1220" w:right="3179" w:hanging="192"/>
        <w:spacing w:after="0" w:line="237" w:lineRule="auto"/>
        <w:tabs>
          <w:tab w:leader="none" w:pos="1220"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relief in respect of AT&amp;T in an involuntary case under any applicable bankruptcy, insolvency, or other similar law now or hereafter in effect;</w:t>
      </w:r>
    </w:p>
    <w:p>
      <w:pPr>
        <w:spacing w:after="0" w:line="184" w:lineRule="exact"/>
        <w:rPr>
          <w:rFonts w:ascii="Courier New" w:cs="Courier New" w:eastAsia="Courier New" w:hAnsi="Courier New"/>
          <w:sz w:val="16"/>
          <w:szCs w:val="16"/>
          <w:color w:val="auto"/>
        </w:rPr>
      </w:pPr>
    </w:p>
    <w:p>
      <w:pPr>
        <w:ind w:left="1220" w:right="3279" w:hanging="192"/>
        <w:spacing w:after="0" w:line="237" w:lineRule="auto"/>
        <w:tabs>
          <w:tab w:leader="none" w:pos="1220"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 receiver, liquidator, assignee, custodian, trustee, sequestrator, or similar official of AT&amp;T for all or substantially all of AT&amp;T's property and assets; or</w:t>
      </w:r>
    </w:p>
    <w:p>
      <w:pPr>
        <w:spacing w:after="0" w:line="184" w:lineRule="exact"/>
        <w:rPr>
          <w:rFonts w:ascii="Courier New" w:cs="Courier New" w:eastAsia="Courier New" w:hAnsi="Courier New"/>
          <w:sz w:val="16"/>
          <w:szCs w:val="16"/>
          <w:color w:val="auto"/>
        </w:rPr>
      </w:pPr>
    </w:p>
    <w:p>
      <w:pPr>
        <w:ind w:left="1220" w:right="2819" w:hanging="192"/>
        <w:spacing w:after="0" w:line="237" w:lineRule="auto"/>
        <w:tabs>
          <w:tab w:leader="none" w:pos="1220"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winding up or liquidation of AT&amp;T's affairs and such decree or order shall remain unstayed and in effect for a period of 60 consecutive days; or</w:t>
      </w:r>
    </w:p>
    <w:p>
      <w:pPr>
        <w:spacing w:after="0" w:line="179" w:lineRule="exact"/>
        <w:rPr>
          <w:rFonts w:ascii="Courier New" w:cs="Courier New" w:eastAsia="Courier New" w:hAnsi="Courier New"/>
          <w:sz w:val="16"/>
          <w:szCs w:val="16"/>
          <w:color w:val="auto"/>
        </w:rPr>
      </w:pPr>
    </w:p>
    <w:p>
      <w:pPr>
        <w:ind w:left="1120" w:hanging="373"/>
        <w:spacing w:after="0"/>
        <w:tabs>
          <w:tab w:leader="none" w:pos="11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184" w:lineRule="exact"/>
        <w:rPr>
          <w:rFonts w:ascii="Courier New" w:cs="Courier New" w:eastAsia="Courier New" w:hAnsi="Courier New"/>
          <w:sz w:val="16"/>
          <w:szCs w:val="16"/>
          <w:color w:val="auto"/>
        </w:rPr>
      </w:pPr>
    </w:p>
    <w:p>
      <w:pPr>
        <w:ind w:left="1220" w:right="2719" w:hanging="192"/>
        <w:spacing w:after="0" w:line="237" w:lineRule="auto"/>
        <w:tabs>
          <w:tab w:leader="none" w:pos="1220"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commences a voluntary case under any applicable bankruptcy, insolvency, or other similar law now or hereafter in effect, or consents to the entry of an order for relief in an involuntary case under any such law;</w:t>
      </w:r>
    </w:p>
    <w:p>
      <w:pPr>
        <w:spacing w:after="0" w:line="185" w:lineRule="exact"/>
        <w:rPr>
          <w:rFonts w:ascii="Courier New" w:cs="Courier New" w:eastAsia="Courier New" w:hAnsi="Courier New"/>
          <w:sz w:val="16"/>
          <w:szCs w:val="16"/>
          <w:color w:val="auto"/>
        </w:rPr>
      </w:pPr>
    </w:p>
    <w:p>
      <w:pPr>
        <w:ind w:left="1220" w:right="2719" w:hanging="192"/>
        <w:spacing w:after="0" w:line="259" w:lineRule="auto"/>
        <w:tabs>
          <w:tab w:leader="none" w:pos="122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appointment of or taking possession by a receiver, liquidator, assignee, custodian, trustee, sequestrator, or similar official of such party or for any substantial part of its property;</w:t>
      </w:r>
    </w:p>
    <w:p>
      <w:pPr>
        <w:spacing w:after="0" w:line="166" w:lineRule="exact"/>
        <w:rPr>
          <w:rFonts w:ascii="Courier New" w:cs="Courier New" w:eastAsia="Courier New" w:hAnsi="Courier New"/>
          <w:sz w:val="15"/>
          <w:szCs w:val="15"/>
          <w:color w:val="auto"/>
        </w:rPr>
      </w:pPr>
    </w:p>
    <w:p>
      <w:pPr>
        <w:ind w:left="1220" w:hanging="192"/>
        <w:spacing w:after="0"/>
        <w:tabs>
          <w:tab w:leader="none" w:pos="1220"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effects any general assignment for the benefit of creditors;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124</w:t>
      </w:r>
    </w:p>
    <w:p>
      <w:pPr>
        <w:sectPr>
          <w:pgSz w:w="11900" w:h="16838" w:orient="portrait"/>
          <w:cols w:equalWidth="0" w:num="1">
            <w:col w:w="10219"/>
          </w:cols>
          <w:pgMar w:left="240" w:top="658" w:right="1440" w:bottom="1440" w:gutter="0" w:footer="0" w:header="0"/>
        </w:sectPr>
      </w:pPr>
    </w:p>
    <w:bookmarkStart w:id="144" w:name="page145"/>
    <w:bookmarkEnd w:id="144"/>
    <w:p>
      <w:pPr>
        <w:ind w:left="1220" w:right="2819" w:hanging="192"/>
        <w:spacing w:after="0" w:line="236" w:lineRule="auto"/>
        <w:tabs>
          <w:tab w:leader="none" w:pos="1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admits in writing its inability to pay its debts generally as they become due; or</w:t>
      </w:r>
    </w:p>
    <w:p>
      <w:pPr>
        <w:spacing w:after="0" w:line="179" w:lineRule="exact"/>
        <w:rPr>
          <w:rFonts w:ascii="Courier New" w:cs="Courier New" w:eastAsia="Courier New" w:hAnsi="Courier New"/>
          <w:sz w:val="16"/>
          <w:szCs w:val="16"/>
          <w:color w:val="auto"/>
        </w:rPr>
      </w:pPr>
    </w:p>
    <w:p>
      <w:pPr>
        <w:ind w:left="1220" w:hanging="192"/>
        <w:spacing w:after="0"/>
        <w:tabs>
          <w:tab w:leader="none" w:pos="1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takes corporate action in furtherance of any of the foregoing.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Broadband Indenture's provisions relating to Events of Defaults apply to Broadband and each cable guarantor. However, the New Broadband Indenture would extend the period for which the court's decree or order for the winding up or liquidation of the Obligors' affairs would be required to remain unstayed and in effect to trigger an event of default to 180 consecutive days from the 60 consecutive days currently required by the AT&amp;T Indenture and would eliminate as Events of Default (i) the admission in writing by an Obligor of its inability to pay its debts generally as they become due and (ii) the taking of an Obligor of corporate action in furtherance of any action specified in clause (b).</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addition, the New Broadband Indenture shortens to 30 days from the 90 days currently required by the AT&amp;T Indenture the consecutive day period for which:</w:t>
      </w:r>
    </w:p>
    <w:p>
      <w:pPr>
        <w:spacing w:after="0" w:line="185" w:lineRule="exact"/>
        <w:rPr>
          <w:sz w:val="20"/>
          <w:szCs w:val="20"/>
          <w:color w:val="auto"/>
        </w:rPr>
      </w:pPr>
    </w:p>
    <w:p>
      <w:pPr>
        <w:ind w:left="740" w:right="2719" w:hanging="181"/>
        <w:spacing w:after="0" w:line="237" w:lineRule="auto"/>
        <w:tabs>
          <w:tab w:leader="none" w:pos="7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payment of interest on the New Broadband Notes of a series when the same becomes due and payable must continue before triggering an Event of Default and</w:t>
      </w:r>
    </w:p>
    <w:p>
      <w:pPr>
        <w:spacing w:after="0" w:line="184" w:lineRule="exact"/>
        <w:rPr>
          <w:rFonts w:ascii="Courier New" w:cs="Courier New" w:eastAsia="Courier New" w:hAnsi="Courier New"/>
          <w:sz w:val="16"/>
          <w:szCs w:val="16"/>
          <w:color w:val="auto"/>
        </w:rPr>
      </w:pPr>
    </w:p>
    <w:p>
      <w:pPr>
        <w:ind w:left="740" w:right="2719" w:hanging="181"/>
        <w:spacing w:after="0" w:line="238" w:lineRule="auto"/>
        <w:tabs>
          <w:tab w:leader="none" w:pos="7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performance of or breach by an Obligor of any of its other covenants or agreements in the New Broadband Indenture applicable to all the New Broadband Notes or applicable to the New Broadband Notes of any series must continue after written notice is received from the trustee or from holders of 25% or more in aggregate principal amount of the New Broadband Notes of all affected series before triggering an Event of Default.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addition, the AT&amp;T Indenture requires that the trustee or holders of not less than 25% in aggregate principal amount of the affected series of Broadband Exchange Notes then outstanding give notice of any event of default set forth in clauses (a) and (b) above to declare the principal amount of and accrued interest, if any, on such Broadband Exchange Notes to be immediately due and payable. The New Broadband Indenture eliminates this requirement and if an event of default specified in clauses (a) and (b) above occurs with respect to any Obligor, the principal amount of and accrued interest, if any, on each issue of New Broadband Notes then outstanding shall be and become immediately payable without any notice or other action on the part of the trustee or any holder.</w:t>
      </w:r>
    </w:p>
    <w:p>
      <w:pPr>
        <w:spacing w:after="0" w:line="17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An additional Event of Default not included in the AT&amp;T Indenture that occur under the New Broadband Indenture if, at any time, any cable guarantee is not (or claimed by any of AT&amp;T Comcast, Comcast Cable, MediaOne or TCI not to be) in full force and effect.</w:t>
      </w:r>
    </w:p>
    <w:p>
      <w:pPr>
        <w:spacing w:after="0" w:line="186"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Another change in the New Broadband Indenture as compared to the AT&amp;T Indenture is that the New Broadband Indenture will require certain officers of Broadband to certify no later than 120 days after the end of each fiscal year, as to their knowledge, as to Broadband's compliance with all conditions and covenants under the New Broadband Indenture, such compliance to be determined without regard to any period of grace or requirement of notice provided under the New Broadband Indenture.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125</w:t>
      </w:r>
    </w:p>
    <w:p>
      <w:pPr>
        <w:sectPr>
          <w:pgSz w:w="11900" w:h="16838" w:orient="portrait"/>
          <w:cols w:equalWidth="0" w:num="1">
            <w:col w:w="10219"/>
          </w:cols>
          <w:pgMar w:left="240" w:top="659" w:right="1440" w:bottom="1440" w:gutter="0" w:footer="0" w:header="0"/>
        </w:sectPr>
      </w:pPr>
    </w:p>
    <w:bookmarkStart w:id="145" w:name="page146"/>
    <w:bookmarkEnd w:id="145"/>
    <w:p>
      <w:pPr>
        <w:ind w:left="2160"/>
        <w:spacing w:after="0"/>
        <w:rPr>
          <w:sz w:val="20"/>
          <w:szCs w:val="20"/>
          <w:color w:val="auto"/>
        </w:rPr>
      </w:pPr>
      <w:r>
        <w:rPr>
          <w:rFonts w:ascii="Courier New" w:cs="Courier New" w:eastAsia="Courier New" w:hAnsi="Courier New"/>
          <w:sz w:val="16"/>
          <w:szCs w:val="16"/>
          <w:color w:val="auto"/>
        </w:rPr>
        <w:t>DESCRIPTION OF THE NEW AT&amp;T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New AT&amp;T Notes will be direct unsecured and unsubordinated obligations of AT&amp;T. The AT&amp;T Eligible Notes were issued under the AT&amp;T Indenture. The New AT&amp;T Notes will be issued under the AT&amp;T Indenture, as amended by a supplemental indenture that will have the purpose of, among other things, effecting the note amendment with respect to each series of New AT&amp;T Notes and each other series of AT&amp;T Notes that have consented to the note amendment, each as described in this section and under "Description of the Note Amendment." We refer to this supplemental indenture as the "New AT&amp;T Supplemental Indenture." The terms of the New AT&amp;T Notes include those stated in the AT&amp;T Indenture, those stated in the New AT&amp;T Supplemental Indenture and those made a part of the AT&amp;T Indenture by reference to the Trust Indenture Act of 1939.</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summary of the material provisions of the New AT&amp;T Notes provided in this section should be read in conjunction with provisions of the AT&amp;T Indenture summarized under the subheadings "-- Additional Debt," "-- Certain Covenants," "-- Modification of the AT&amp;T Indenture," "-- Events of Default," "-- Discharge and Defeasance," "-- No Personal Liability of Stockholders, Officers, Directors or Employees," "-- Concerning the Trustee," "-- Governing Law," "-- Certain Definitions," "-- Book-Entry System," "-- Certificated Notes" and "-- Same-Day Payment" under "Description of the Broadband Exchange Notes." Because this is a summary, it may not contain all the information that is important to you. You should read both the AT&amp;T Indenture and the New AT&amp;T Supplemental Indenture, which have been filed as exhibits to the registration statement of which this prospectus is a part, in their entirety.</w:t>
      </w:r>
    </w:p>
    <w:p>
      <w:pPr>
        <w:spacing w:after="0" w:line="188"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terms of the New AT&amp;T Notes are substantially identical to the terms of the AT&amp;T Eligible Notes, except that:</w:t>
      </w:r>
    </w:p>
    <w:p>
      <w:pPr>
        <w:spacing w:after="0" w:line="185" w:lineRule="exact"/>
        <w:rPr>
          <w:sz w:val="20"/>
          <w:szCs w:val="20"/>
          <w:color w:val="auto"/>
        </w:rPr>
      </w:pPr>
    </w:p>
    <w:p>
      <w:pPr>
        <w:ind w:left="660" w:right="3279" w:hanging="195"/>
        <w:spacing w:after="0" w:line="259" w:lineRule="auto"/>
        <w:tabs>
          <w:tab w:leader="none" w:pos="6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 on the applicable New AT&amp;T Notes will be adjusted automatically upon completion of the AT&amp;T Comcast transaction, as described in further detail under "-- Interest Payments" below;</w:t>
      </w:r>
    </w:p>
    <w:p>
      <w:pPr>
        <w:spacing w:after="0" w:line="351" w:lineRule="exact"/>
        <w:rPr>
          <w:rFonts w:ascii="Courier New" w:cs="Courier New" w:eastAsia="Courier New" w:hAnsi="Courier New"/>
          <w:sz w:val="15"/>
          <w:szCs w:val="15"/>
          <w:color w:val="auto"/>
        </w:rPr>
      </w:pPr>
    </w:p>
    <w:p>
      <w:pPr>
        <w:ind w:left="660" w:right="2819" w:hanging="195"/>
        <w:spacing w:after="0" w:line="259" w:lineRule="auto"/>
        <w:tabs>
          <w:tab w:leader="none" w:pos="6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date of the New AT&amp;T Notes issued in exchange for the 6.50% AT&amp;T Eligible Notes Due March 15, 2029 will be changed automatically to March 15, 2013 upon completion of the AT&amp;T Comcast transaction; and</w:t>
      </w:r>
    </w:p>
    <w:p>
      <w:pPr>
        <w:spacing w:after="0" w:line="351"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covenant applicable to the New AT&amp;T Notes will be the AT&amp;T Indenture merger covenant as amended by the note amendment, which is described in greater detail under "Description of the Broadband Exchange Notes -- Certain Covenants -- Consolidation, Merger or Sale."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TERMS OF THE NEW AT&amp;T NOTES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AT&amp;T Notes:</w:t>
      </w:r>
    </w:p>
    <w:p>
      <w:pPr>
        <w:spacing w:after="0" w:line="185" w:lineRule="exact"/>
        <w:rPr>
          <w:sz w:val="20"/>
          <w:szCs w:val="20"/>
          <w:color w:val="auto"/>
        </w:rPr>
      </w:pPr>
    </w:p>
    <w:p>
      <w:pPr>
        <w:ind w:left="660" w:right="2899" w:hanging="195"/>
        <w:spacing w:after="0" w:line="236" w:lineRule="auto"/>
        <w:tabs>
          <w:tab w:leader="none" w:pos="6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AT&amp;T's other unsecured and unsubordinated debt;</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obligations only of AT&amp;T;</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up to $5,485,563,000 in aggregate principal amount of notes comprised as follows:</w:t>
      </w:r>
    </w:p>
    <w:p>
      <w:pPr>
        <w:spacing w:after="0" w:line="185" w:lineRule="exact"/>
        <w:rPr>
          <w:sz w:val="20"/>
          <w:szCs w:val="20"/>
          <w:color w:val="auto"/>
        </w:rPr>
      </w:pPr>
    </w:p>
    <w:p>
      <w:pPr>
        <w:ind w:left="740" w:right="289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$2,000,000,000 in principal amount of New AT&amp;T Notes Due 2004 (Series 1), maturing on March 15, 2004, with interest payable semiannually on each March 15 and September 15, beginning the first March 1 or September 1 occurring after the initial issuance of the New AT&amp;T Notes Due 2004 (Series 1), to holders of record on the preceding March 1 and September 1;</w:t>
      </w:r>
    </w:p>
    <w:p>
      <w:pPr>
        <w:spacing w:after="0" w:line="189"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$400,000,000 in principal amount of New AT&amp;T Notes Due 2004 (Series 2), maturing on April 1, 2004, with interest payable semiannually on each April 1 and October 1, beginning the first April 1 or October 1 occurring after the initial issuance of the New AT&amp;T Notes Due 2004 (Series 2), to holders of record on the preceding March 15 and September 15;</w:t>
      </w:r>
    </w:p>
    <w:p>
      <w:pPr>
        <w:spacing w:after="0" w:line="189" w:lineRule="exact"/>
        <w:rPr>
          <w:sz w:val="20"/>
          <w:szCs w:val="20"/>
          <w:color w:val="auto"/>
        </w:rPr>
      </w:pPr>
    </w:p>
    <w:p>
      <w:pPr>
        <w:ind w:left="740" w:right="27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$25,000,000 in principal amount of New Medium-Term Notes, Series A (subseries 1) Due May 15, 2025, maturing on May 15, 2025, with interest payable semiannually on each May 15</w:t>
      </w:r>
    </w:p>
    <w:p>
      <w:pPr>
        <w:ind w:left="3660"/>
        <w:spacing w:after="0"/>
        <w:rPr>
          <w:sz w:val="20"/>
          <w:szCs w:val="20"/>
          <w:color w:val="auto"/>
        </w:rPr>
      </w:pPr>
      <w:r>
        <w:rPr>
          <w:rFonts w:ascii="Courier New" w:cs="Courier New" w:eastAsia="Courier New" w:hAnsi="Courier New"/>
          <w:sz w:val="16"/>
          <w:szCs w:val="16"/>
          <w:color w:val="auto"/>
        </w:rPr>
        <w:t>126</w:t>
      </w:r>
    </w:p>
    <w:p>
      <w:pPr>
        <w:sectPr>
          <w:pgSz w:w="11900" w:h="16838" w:orient="portrait"/>
          <w:cols w:equalWidth="0" w:num="1">
            <w:col w:w="10219"/>
          </w:cols>
          <w:pgMar w:left="240" w:top="654" w:right="1440" w:bottom="1440" w:gutter="0" w:footer="0" w:header="0"/>
        </w:sectPr>
      </w:pPr>
    </w:p>
    <w:bookmarkStart w:id="146" w:name="page147"/>
    <w:bookmarkEnd w:id="146"/>
    <w:p>
      <w:pPr>
        <w:ind w:right="2899"/>
        <w:spacing w:after="0" w:line="259" w:lineRule="auto"/>
        <w:rPr>
          <w:sz w:val="20"/>
          <w:szCs w:val="20"/>
          <w:color w:val="auto"/>
        </w:rPr>
      </w:pPr>
      <w:r>
        <w:rPr>
          <w:rFonts w:ascii="Courier New" w:cs="Courier New" w:eastAsia="Courier New" w:hAnsi="Courier New"/>
          <w:sz w:val="15"/>
          <w:szCs w:val="15"/>
          <w:color w:val="auto"/>
        </w:rPr>
        <w:t>and November 15, beginning the first May 15 or November 15 occurring after the initial issuance of the New Medium-Term Notes Due 2025 Series A (subseries 1) Due May 15, 2025, to holders of record on the preceding May 1 and November 1;</w:t>
      </w:r>
    </w:p>
    <w:p>
      <w:pPr>
        <w:spacing w:after="0" w:line="171" w:lineRule="exact"/>
        <w:rPr>
          <w:sz w:val="20"/>
          <w:szCs w:val="20"/>
          <w:color w:val="auto"/>
        </w:rPr>
      </w:pPr>
    </w:p>
    <w:p>
      <w:pPr>
        <w:ind w:left="740" w:right="2719" w:hanging="179"/>
        <w:spacing w:after="0" w:line="256" w:lineRule="auto"/>
        <w:tabs>
          <w:tab w:leader="none" w:pos="720" w:val="left"/>
        </w:tabs>
        <w:rPr>
          <w:sz w:val="20"/>
          <w:szCs w:val="20"/>
          <w:color w:val="auto"/>
        </w:rPr>
      </w:pPr>
      <w:r>
        <w:rPr>
          <w:rFonts w:ascii="Courier New" w:cs="Courier New" w:eastAsia="Courier New" w:hAnsi="Courier New"/>
          <w:sz w:val="15"/>
          <w:szCs w:val="15"/>
          <w:color w:val="auto"/>
        </w:rPr>
        <w:t>o</w:t>
        <w:tab/>
        <w:t>up to $50,000,000 in principal amount of New Medium-Term Notes, Series A (subseries 2) Due May 15, 2025, maturing on May 15, 2025, with interest payable semiannually on each May 15 and November 15, beginning the first May 15 or November 15 occurring after the initial issuance of the New Medium-Term Notes Due 2025 Series A (subseries 2) Due May 15, 2025, to holders of record on the preceding May 1 and November 1;</w:t>
      </w:r>
    </w:p>
    <w:p>
      <w:pPr>
        <w:spacing w:after="0" w:line="356" w:lineRule="exact"/>
        <w:rPr>
          <w:sz w:val="20"/>
          <w:szCs w:val="20"/>
          <w:color w:val="auto"/>
        </w:rPr>
      </w:pPr>
    </w:p>
    <w:p>
      <w:pPr>
        <w:ind w:left="740" w:right="2719" w:hanging="179"/>
        <w:spacing w:after="0" w:line="238" w:lineRule="auto"/>
        <w:tabs>
          <w:tab w:leader="none" w:pos="720" w:val="left"/>
        </w:tabs>
        <w:rPr>
          <w:sz w:val="20"/>
          <w:szCs w:val="20"/>
          <w:color w:val="auto"/>
        </w:rPr>
      </w:pPr>
      <w:r>
        <w:rPr>
          <w:rFonts w:ascii="Courier New" w:cs="Courier New" w:eastAsia="Courier New" w:hAnsi="Courier New"/>
          <w:sz w:val="16"/>
          <w:szCs w:val="16"/>
          <w:color w:val="auto"/>
        </w:rPr>
        <w:t>o</w:t>
        <w:tab/>
        <w:t>up to $3,000,000,000 in principal amount of New AT&amp;T Notes Due 2013, maturing on March 15, 2029, however upon the completion of the AT&amp;T Comcast transaction, the maturity will be changed automatically to March 15, 2013, with interest payable semiannually on each March 15 and September 15, beginning the first March 15 or September 15 occurring after the initial issuance of the New AT&amp;T Notes Due 2013, to holders of record on the preceding March 1 and September 1; and</w:t>
      </w:r>
    </w:p>
    <w:p>
      <w:pPr>
        <w:spacing w:after="0" w:line="365"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up to $10,563,000 in principal amount of New FRN Medium-Term Notes, Series A Due 2054, maturing on December 28, 2054, with interest payable semiannually on each June 28 and December 28, beginning the first June 28 or December 28 occurring after the initial issuance of the New FRN Medium-Term Notes, Series A Due 2054, to holders of record on the preceding June 13 and December 13;</w:t>
      </w:r>
    </w:p>
    <w:p>
      <w:pPr>
        <w:spacing w:after="0" w:line="189" w:lineRule="exact"/>
        <w:rPr>
          <w:sz w:val="20"/>
          <w:szCs w:val="20"/>
          <w:color w:val="auto"/>
        </w:rPr>
      </w:pPr>
    </w:p>
    <w:p>
      <w:pPr>
        <w:ind w:left="660" w:right="2899" w:hanging="195"/>
        <w:spacing w:after="0" w:line="237" w:lineRule="auto"/>
        <w:tabs>
          <w:tab w:leader="none" w:pos="66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issuable in fully registered form, in denominations of $1,000 and multiples thereof, other than the New FRN Medium-Term Notes, Series A Due 2054, which will be issued in denominations of $25,000 and multiples of $1,000 thereof.</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has applied to have each series of the New AT&amp;T Notes, other than those issued in exchange for Series A Medium-Term Notes, listed on the New York Stock Exchange. Application has been made to have the New AT&amp;T Notes Due 2004 (Series 1) and the New AT&amp;T Notes Due 2013 additionally listed on the Luxembourg Stock Exchange. See "-- Luxembourg Listing" for more information with respect to the proposed listing of the New AT&amp;T Notes Due 2004 (Series 1) and the New AT&amp;T Notes Due 2013.</w:t>
      </w:r>
    </w:p>
    <w:p>
      <w:pPr>
        <w:spacing w:after="0" w:line="36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AT&amp;T does not intend to apply for listing of the New AT&amp;T Notes issued in exchange for the Series A Medium-Term Notes on any national exchange.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Initially, each series of New AT&amp;T Notes will have the same interest rate as the series of AT&amp;T Eligible Notes for which it is exchangeable. Interest accrued and unpaid on any AT&amp;T Eligible Notes accepted in an exchange offer will be paid along with the first payment of interest on the relevant series of New AT&amp;T Notes.</w:t>
      </w:r>
    </w:p>
    <w:p>
      <w:pPr>
        <w:spacing w:after="0" w:line="187"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Upon completion of the AT&amp;T Comcast transaction, the interest rate on each applicable series of New AT&amp;T Notes will be adjusted automatically as set forth on the cover of this prospectus.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Except with respect to the New FRN Medium-Term Notes, Series A Due 2054 described below, interest for the New AT&amp;T Notes will be computed on the basis of a 360-day year consisting of twelve 30-day months. Interest on the notes will accrue from the date of original issuance, which will be the date the exchange offer is completed with respect to each series of New AT&amp;T Notes, or from the most recent interest payment date to which interest has been paid and is payable semiannually on interest payment dates described of each year.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FRN MEDIUM-TERM NOTES, SERIES A DUE 2054</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Initially the New FRN Medium-Term Notes, Series A Due 2054 will have the same interest rate as the series of AT&amp;T Eligible Notes for which they are exchangeable. Upon completion of the AT&amp;T Comcast transaction, the New FRN Medium-Term Notes, Series A Due 2054 will bear interest at the</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127</w:t>
      </w:r>
    </w:p>
    <w:p>
      <w:pPr>
        <w:sectPr>
          <w:pgSz w:w="11900" w:h="16838" w:orient="portrait"/>
          <w:cols w:equalWidth="0" w:num="1">
            <w:col w:w="10219"/>
          </w:cols>
          <w:pgMar w:left="240" w:top="658" w:right="1440" w:bottom="1440" w:gutter="0" w:footer="0" w:header="0"/>
        </w:sectPr>
      </w:pPr>
    </w:p>
    <w:bookmarkStart w:id="147" w:name="page148"/>
    <w:bookmarkEnd w:id="147"/>
    <w:p>
      <w:pPr>
        <w:ind w:right="2719"/>
        <w:spacing w:after="0" w:line="236" w:lineRule="auto"/>
        <w:rPr>
          <w:sz w:val="20"/>
          <w:szCs w:val="20"/>
          <w:color w:val="auto"/>
        </w:rPr>
      </w:pPr>
      <w:r>
        <w:rPr>
          <w:rFonts w:ascii="Courier New" w:cs="Courier New" w:eastAsia="Courier New" w:hAnsi="Courier New"/>
          <w:sz w:val="16"/>
          <w:szCs w:val="16"/>
          <w:color w:val="auto"/>
        </w:rPr>
        <w:t>interest rate calculated with reference to the Commercial Paper Rate and the New Spread described below.</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rate of interest on each New FRN Medium-Term Note, Series A Due 2054 will be reset monthly commencing the 28th calendar day of the first month occurring after the initial issuance of the New FRN Medium-Term Notes, Series A Due 2054 and on completion of the AT&amp;T Comcast Transaction (such period being the "Interest Reset Period" for such New FRN Medium-Term Note, Series A Due 2054 and the first date of each Interest Reset Period being an "Interest Reset Date"); provided, however, that the interest rate in effect from the date of issue to the first Interest Reset Date (the "Initial Interest Reset Date") with respect to a New FRN Medium-Term Note, Series A Due 2054 will be the same interest rate as the series of AT&amp;T Eligible Notes for which it is exchangeable.</w:t>
      </w:r>
    </w:p>
    <w:p>
      <w:pPr>
        <w:spacing w:after="0" w:line="17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If any Interest Reset Date for any New FRN Medium-Term Note, Series A Due 2054 would otherwise be a day that is not a business day, such Interest Reset Date will be postponed to the next succeeding business day.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purposes of this section "Spread" refers to the Old Spread until the completion of the AT&amp;T Comcast Transaction and to the New Spread thereafter. The interest rate on each New FRN Medium-Term Note, Series A Due 2054 will be calculated by reference to the Commercial Paper Rate plus or minus the Spread. Interest payments on New FRN Medium-Term Note, Series A Due 2054 will be the amount of interest accrued from, and including, the date of issue or the last date to which interest has been paid to, but excluding, the Interest Payment Date or date of maturity, as the case may be; provided that if the maturity date that would otherwise fall on a day that is not a business day is postponed or changed as described above, the interest payable on such date shall accrue to, but exclude, the date that would have been the or maturity date had it been a business day.</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With respect to a New FRN Medium-Term Note, Series A Due 2054, accrued interest shall be calculated by multiplying the principal amount of such New FRN Medium-Term Note, Series A Due 2054 by an accrued interest factor. Such accrued interest factor will be computed by adding the interest factors calculated for each day in the Interest Reset Period or from the last date from which accrued interest is being calculated. The interest factor for each such day is computed by dividing the interest rate applicable to such day by 360. The interest rate applicable to any day that is an Interest Reset Date is the applicable rate as reset on such date. The interest rate applicable to any other day is the interest rate for the immediately preceding Interest Reset Date (or, if none, the Initial Interest Rate, as described below).</w:t>
      </w:r>
    </w:p>
    <w:p>
      <w:pPr>
        <w:spacing w:after="0" w:line="368"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Upon the request of the holder of any New FRN Medium-Term Note, Series A Due 2054, the calculation agent with respect to the New FRN Medium-Term Notes, Series A Due 2054 will provide the interest rate then in effect and, if determined, the interest rate which will become effective on the next Interest Reset Date with respect to such New FRN Medium-Term Note, Series A Due 2054.</w:t>
      </w:r>
    </w:p>
    <w:p>
      <w:pPr>
        <w:spacing w:after="0" w:line="35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All percentages resulting from any calculation of the rate of interest on a New FRN Medium-Term Note, Series A Due 2054 will be rounded, if necessary, to the nearest one-hundred-thousandth of a percentage point (.0000001), with five one-millionths of a percentage point rounded upward, and all dollar amounts used in or resulting from such calculation on New FRN Medium-Term Notes, Series A Due 2054 will be rounded to the nearest cent (with one-half cent rounded upward).</w:t>
      </w:r>
    </w:p>
    <w:p>
      <w:pPr>
        <w:spacing w:after="0" w:line="17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interest rate for each Interest Reset Date subsequent to the Initial Interest Reset Date will be determined by the calculation agent as follows. The "Calculation Date" pertaining to any Commercial Paper Interest Determination Date will be the earlier of, either (i) the tenth calendar day after such date, or, if such tenth day is not a business day, the next succeeding business day, or (ii) the business day preceding the applicable Interest Payment Date or date of maturity, as the case may be.</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"Commercial Paper Rate" for each Interest Reset Date will be determined on the Calculation Date by the calculation agent as of the second business day prior to such Interest Reset Date (a "Commercial Paper Interest Determination Date") and shall be the Money Market Yield (as defined below) on such Commercial Paper Interest Determination Date of the rate for commercial paper having a</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128</w:t>
      </w:r>
    </w:p>
    <w:p>
      <w:pPr>
        <w:sectPr>
          <w:pgSz w:w="11900" w:h="16838" w:orient="portrait"/>
          <w:cols w:equalWidth="0" w:num="1">
            <w:col w:w="10219"/>
          </w:cols>
          <w:pgMar w:left="240" w:top="659" w:right="1440" w:bottom="1440" w:gutter="0" w:footer="0" w:header="0"/>
        </w:sectPr>
      </w:pPr>
    </w:p>
    <w:bookmarkStart w:id="148" w:name="page149"/>
    <w:bookmarkEnd w:id="148"/>
    <w:p>
      <w:pPr>
        <w:ind w:right="2719"/>
        <w:spacing w:after="0" w:line="255" w:lineRule="auto"/>
        <w:rPr>
          <w:sz w:val="20"/>
          <w:szCs w:val="20"/>
          <w:color w:val="auto"/>
        </w:rPr>
      </w:pPr>
      <w:r>
        <w:rPr>
          <w:rFonts w:ascii="Courier New" w:cs="Courier New" w:eastAsia="Courier New" w:hAnsi="Courier New"/>
          <w:sz w:val="15"/>
          <w:szCs w:val="15"/>
          <w:color w:val="auto"/>
        </w:rPr>
        <w:t>30-day maturity, as such rate shall be published by the Board of Governors of the Federal Reserve System in "Statistical Release H.15(519), Selected Interest Rates" ("H.15(519)"), or any successor publication, under the heading "Commercial Paper." In the event that such rate is not published prior to 9:00 A.M., New York City time, on the Calculation Date, then the Commercial Paper Rate shall be the Money Market Yield on such Commercial Paper Interest Determination Date of the rate for commercial paper having a 30-day maturity as published by the Federal Reserve Bank of New York in its daily statistical release "Composite 3:30 P.M. Quotations for U.S. Government Securities" ("Composite Quotations") under the heading "Commercial Paper." If by 3:00 P.M., New York City time, on such Calculation Date such rate is not yet published in either H.15(519) (or any successor publication) or Composite Quotations, then the Commercial Paper Rate shall be the Money Market Yield of the arithmetic mean of the offered rates as of 11:00 A.M., New York City time, on such Commercial Paper Interest Determination Date of three leading dealers of commercial paper in The City of New York selected by the calculation agent for commercial paper having a 30-day maturity, placed for an industrial issuer whose bond rating is AA, or the equivalent, from a nationally recognized rating agency; provided, however, that if the dealers selected as aforesaid by the calculation agent are not quoting offered rates as mentioned in this sentence, the rate of interest in effect for the applicable period will be the rate of interest in effect on such Commercial Paper Interest Determination Date.</w:t>
      </w:r>
    </w:p>
    <w:p>
      <w:pPr>
        <w:spacing w:after="0" w:line="357"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"Money Market Yield" shall be a yield calculated in accordance with the following formula:</w:t>
      </w:r>
    </w:p>
    <w:p>
      <w:pPr>
        <w:spacing w:after="0" w:line="200" w:lineRule="exact"/>
        <w:rPr>
          <w:sz w:val="20"/>
          <w:szCs w:val="20"/>
          <w:color w:val="auto"/>
        </w:rPr>
      </w:pPr>
    </w:p>
    <w:p>
      <w:pPr>
        <w:spacing w:after="0" w:line="34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D x 360</w:t>
      </w:r>
    </w:p>
    <w:p>
      <w:pPr>
        <w:sectPr>
          <w:pgSz w:w="11900" w:h="16838" w:orient="portrait"/>
          <w:cols w:equalWidth="0" w:num="1">
            <w:col w:w="10219"/>
          </w:cols>
          <w:pgMar w:left="240" w:top="659" w:right="1440" w:bottom="106" w:gutter="0" w:footer="0" w:header="0"/>
        </w:sectPr>
      </w:pP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Money Market Yield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 100</w:t>
      </w:r>
    </w:p>
    <w:p>
      <w:pPr>
        <w:spacing w:after="0" w:line="10" w:lineRule="exact"/>
        <w:rPr>
          <w:sz w:val="20"/>
          <w:szCs w:val="20"/>
          <w:color w:val="auto"/>
        </w:rPr>
      </w:pPr>
    </w:p>
    <w:p>
      <w:pPr>
        <w:sectPr>
          <w:pgSz w:w="11900" w:h="16838" w:orient="portrait"/>
          <w:cols w:equalWidth="0" w:num="2">
            <w:col w:w="4900" w:space="720"/>
            <w:col w:w="4599"/>
          </w:cols>
          <w:pgMar w:left="240" w:top="659" w:right="1440" w:bottom="106" w:gutter="0" w:footer="0" w:header="0"/>
          <w:type w:val="continuous"/>
        </w:sect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360 -(D x M)</w:t>
      </w:r>
    </w:p>
    <w:p>
      <w:pPr>
        <w:sectPr>
          <w:pgSz w:w="11900" w:h="16838" w:orient="portrait"/>
          <w:cols w:equalWidth="0" w:num="1">
            <w:col w:w="10219"/>
          </w:cols>
          <w:pgMar w:left="240" w:top="659" w:right="1440" w:bottom="106" w:gutter="0" w:footer="0" w:header="0"/>
          <w:type w:val="continuous"/>
        </w:sectPr>
      </w:pPr>
    </w:p>
    <w:p>
      <w:pPr>
        <w:spacing w:after="0" w:line="37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where "D" refers to the applicable per annum rate for commercial paper quoted on a bank discount basis and expressed as a decimal, and "M" refers to the actual number of days in the period for which interest is being calculated.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"Old Spread" and "New Spread" to the Commercial Paper Rate are adjusted each Interest Period based upon the Standard and Poor's (S&amp;P) long-term senior debt rating of AT&amp;T as follows:</w:t>
      </w:r>
    </w:p>
    <w:p>
      <w:pPr>
        <w:spacing w:after="0" w:line="36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AT&amp;T RATING OLD SPREAD NEW SPREAD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AAA...............................................</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-30 basis points +30 basis points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AA+...............................................</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-27 basis points +33 basis points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AA................................................</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-25 basis points +35 basis points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AA-...............................................</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-23 basis points +37 basis points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-21 basis points +39 basis points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-19 basis points +41 basis points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-17 basis points +43 basis points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BBB+..............................................</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-15 basis points +45 basis points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BBB...............................................</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-13 basis points +47 basis points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BBB-..............................................</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-11 basis points +49 basis points Below</w:t>
      </w:r>
    </w:p>
    <w:p>
      <w:pPr>
        <w:jc w:val="center"/>
        <w:ind w:right="5539"/>
        <w:spacing w:after="0"/>
        <w:rPr>
          <w:sz w:val="20"/>
          <w:szCs w:val="20"/>
          <w:color w:val="auto"/>
        </w:rPr>
      </w:pPr>
      <w:r>
        <w:rPr>
          <w:rFonts w:ascii="Courier New" w:cs="Courier New" w:eastAsia="Courier New" w:hAnsi="Courier New"/>
          <w:sz w:val="16"/>
          <w:szCs w:val="16"/>
          <w:color w:val="auto"/>
        </w:rPr>
        <w:t>BBB......................................... +35</w:t>
      </w:r>
    </w:p>
    <w:p>
      <w:pPr>
        <w:ind w:left="980"/>
        <w:spacing w:after="0" w:line="237" w:lineRule="auto"/>
        <w:rPr>
          <w:sz w:val="20"/>
          <w:szCs w:val="20"/>
          <w:color w:val="auto"/>
        </w:rPr>
      </w:pPr>
      <w:r>
        <w:rPr>
          <w:rFonts w:ascii="Courier New" w:cs="Courier New" w:eastAsia="Courier New" w:hAnsi="Courier New"/>
          <w:sz w:val="16"/>
          <w:szCs w:val="16"/>
          <w:color w:val="auto"/>
        </w:rPr>
        <w:t>basis points +95 basis points</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S&amp;P ceases to exist, then the calculation agent and AT&amp;T shall mutually select a nationally recognized securities ratings agency, with preference, if possible, given to one contemporaneously assigning the same rating to AT&amp;T as that of S&amp;P at the time of S&amp;P's cessation, to act as a substitute rating agency, and mutually make any necessary adjustments to provide for an equivalent ratings scale.</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Interest payments will include the amount of interest accrued from and including the most recent Interest Payment Date to which interest has been paid (or from and including the original issue date if no interest has been paid on the notes) to, but excluding the applicable Interest Payment Date.</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Aggregate Interest Amount shall be the sum of (i) the Interest Amount calculated for such Interest Period, (ii) the Aggregate Carry-over Interest Amount in respect of such Interest Period and</w:t>
      </w:r>
    </w:p>
    <w:p>
      <w:pPr>
        <w:ind w:left="3660"/>
        <w:spacing w:after="0"/>
        <w:rPr>
          <w:sz w:val="20"/>
          <w:szCs w:val="20"/>
          <w:color w:val="auto"/>
        </w:rPr>
      </w:pPr>
      <w:r>
        <w:rPr>
          <w:rFonts w:ascii="Courier New" w:cs="Courier New" w:eastAsia="Courier New" w:hAnsi="Courier New"/>
          <w:sz w:val="16"/>
          <w:szCs w:val="16"/>
          <w:color w:val="auto"/>
        </w:rPr>
        <w:t>129</w:t>
      </w:r>
    </w:p>
    <w:p>
      <w:pPr>
        <w:sectPr>
          <w:pgSz w:w="11900" w:h="16838" w:orient="portrait"/>
          <w:cols w:equalWidth="0" w:num="1">
            <w:col w:w="10219"/>
          </w:cols>
          <w:pgMar w:left="240" w:top="659" w:right="1440" w:bottom="106" w:gutter="0" w:footer="0" w:header="0"/>
          <w:type w:val="continuous"/>
        </w:sectPr>
      </w:pPr>
    </w:p>
    <w:bookmarkStart w:id="149" w:name="page150"/>
    <w:bookmarkEnd w:id="149"/>
    <w:p>
      <w:pPr>
        <w:ind w:left="4" w:right="2819" w:hanging="4"/>
        <w:spacing w:after="0" w:line="238" w:lineRule="auto"/>
        <w:tabs>
          <w:tab w:leader="none" w:pos="567"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Compounding Amount. If the Interest Reset Date is an Interest Payment Date, then the Aggregate Interest Amount will be the Interest Payment Amount payable on such Interest Payment Date. If the Interest Reset Date is not an Interest Payment Date, then such amount shall be deemed to be the Aggregate Carry-over Interest Amount for the next succeeding Interest Period and no payment shall be made on that date. Interest Amount means with respect to each Interest Period, the product of the Principal Amount and an accrued Interest Factor. This accrued Interest Factor will be computed by adding the Interest Factors calculated for each day in the Interest Period. The Interest Factor for the notes for each such day will be computed by dividing the Interest Rate applicable to such day by 360.</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Interest Period means each of the following periods: (i) from and including the original issue date to but excluding the Initial Reset Date and (ii) from and including each Interest Reset Date (other than the maturity date) to but excluding the next Interest Reset Date. Aggregate Carry-over Interest Amount shall be zero with respect to each interest period immediately succeeding an Interest Payment Date and with respect to each of the succeeding Interest Periods, means the amount calculated as provided above. Aggregate Interest Amount means the amount calculated as provided above. Compounding Amount means the amount which is the product of (i) the accrued Interest Factor for any relevant Interest Period and (ii) the Aggregate Carry-over Interest Amount for such Interest Period.</w:t>
      </w:r>
    </w:p>
    <w:p>
      <w:pPr>
        <w:spacing w:after="0" w:line="368" w:lineRule="exact"/>
        <w:rPr>
          <w:sz w:val="20"/>
          <w:szCs w:val="20"/>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ADDITIONAL TERMS PERTAINING ONLY TO THE NEW AT&amp;T NOTES DUE 2004 (SERIES 1) AND NEW AT&amp;T NOTES DUE 2013</w:t>
      </w:r>
    </w:p>
    <w:p>
      <w:pPr>
        <w:spacing w:after="0" w:line="36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PAYMENT OF ADDITIONAL AMOUNTS</w:t>
      </w:r>
    </w:p>
    <w:p>
      <w:pPr>
        <w:spacing w:after="0" w:line="36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AT&amp;T will, subject to the exceptions and limitations set forth below, pay as additional interest on the New AT&amp;T Notes Due 2004 (Series 1) and the New AT&amp;T Notes due 2013 such additional amounts as are necessary so that the net payment by AT&amp;T or a paying agent of the principal of and interest on the New AT&amp;T Notes Due 2004 (Series 1) and the New AT&amp;T Notes Due 2013 to a person that is not a United States Holder (as defined above under "Description of the Broadband Exchange Notes -- Additional Terms Pertaining Only to the 6.00% Broadband Exchange Notes Due March 15, 2009"),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such New AT&amp;T Notes had no such withholding or deduction been required.</w:t>
      </w:r>
    </w:p>
    <w:p>
      <w:pPr>
        <w:spacing w:after="0" w:line="364"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AT&amp;T's obligation to pay additional amounts shall not apply:</w:t>
      </w:r>
    </w:p>
    <w:p>
      <w:pPr>
        <w:spacing w:after="0" w:line="185" w:lineRule="exact"/>
        <w:rPr>
          <w:sz w:val="20"/>
          <w:szCs w:val="20"/>
          <w:color w:val="auto"/>
        </w:rPr>
      </w:pPr>
    </w:p>
    <w:p>
      <w:pPr>
        <w:ind w:left="464" w:right="2899" w:firstLine="474"/>
        <w:spacing w:after="0" w:line="237" w:lineRule="auto"/>
        <w:tabs>
          <w:tab w:leader="none" w:pos="1308"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 fiduciary, settlor, beneficiary, member or shareholder of the holder if the holder is an estate, trust, partnership or corporation, or a person holding a power over an estate or trust administered by a fiduciary holder:</w:t>
      </w:r>
    </w:p>
    <w:p>
      <w:pPr>
        <w:spacing w:after="0" w:line="187" w:lineRule="exact"/>
        <w:rPr>
          <w:rFonts w:ascii="Courier New" w:cs="Courier New" w:eastAsia="Courier New" w:hAnsi="Courier New"/>
          <w:sz w:val="16"/>
          <w:szCs w:val="16"/>
          <w:color w:val="auto"/>
        </w:rPr>
      </w:pPr>
    </w:p>
    <w:p>
      <w:pPr>
        <w:ind w:left="744" w:right="2719" w:firstLine="476"/>
        <w:spacing w:after="0" w:line="263" w:lineRule="auto"/>
        <w:tabs>
          <w:tab w:leader="none" w:pos="1588"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was present or engaged in trade or business in the United States or has or had a permanent establishment in the United States;</w:t>
      </w:r>
    </w:p>
    <w:p>
      <w:pPr>
        <w:spacing w:after="0" w:line="168" w:lineRule="exact"/>
        <w:rPr>
          <w:rFonts w:ascii="Courier New" w:cs="Courier New" w:eastAsia="Courier New" w:hAnsi="Courier New"/>
          <w:sz w:val="15"/>
          <w:szCs w:val="15"/>
          <w:color w:val="auto"/>
        </w:rPr>
      </w:pPr>
    </w:p>
    <w:p>
      <w:pPr>
        <w:ind w:left="744" w:right="2999" w:firstLine="476"/>
        <w:spacing w:after="0" w:line="236" w:lineRule="auto"/>
        <w:tabs>
          <w:tab w:leader="none" w:pos="1588"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current or former relationship with the United States, including a relationship as a citizen or resident thereof;</w:t>
      </w:r>
    </w:p>
    <w:p>
      <w:pPr>
        <w:spacing w:after="0" w:line="184" w:lineRule="exact"/>
        <w:rPr>
          <w:rFonts w:ascii="Courier New" w:cs="Courier New" w:eastAsia="Courier New" w:hAnsi="Courier New"/>
          <w:sz w:val="16"/>
          <w:szCs w:val="16"/>
          <w:color w:val="auto"/>
        </w:rPr>
      </w:pPr>
    </w:p>
    <w:p>
      <w:pPr>
        <w:ind w:left="744" w:right="2719" w:firstLine="476"/>
        <w:spacing w:after="0" w:line="237" w:lineRule="auto"/>
        <w:tabs>
          <w:tab w:leader="none" w:pos="1588"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has been a foreign or domestic personal holding company, a passive foreign investment company or a controlled foreign corporation with respect to the United States or a corporation that has accumulated earnings to avoid United States federal income tax; or</w:t>
      </w:r>
    </w:p>
    <w:p>
      <w:pPr>
        <w:spacing w:after="0" w:line="185" w:lineRule="exact"/>
        <w:rPr>
          <w:rFonts w:ascii="Courier New" w:cs="Courier New" w:eastAsia="Courier New" w:hAnsi="Courier New"/>
          <w:sz w:val="16"/>
          <w:szCs w:val="16"/>
          <w:color w:val="auto"/>
        </w:rPr>
      </w:pPr>
    </w:p>
    <w:p>
      <w:pPr>
        <w:jc w:val="both"/>
        <w:ind w:left="744" w:right="3179" w:firstLine="476"/>
        <w:spacing w:after="0" w:line="237" w:lineRule="auto"/>
        <w:tabs>
          <w:tab w:leader="none" w:pos="1588"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a "10-percent shareholder" of AT&amp;T as defined in section 871(h)(3) of the United States Internal Revenue Code or any successor provision;</w:t>
      </w:r>
    </w:p>
    <w:p>
      <w:pPr>
        <w:spacing w:after="0" w:line="184" w:lineRule="exact"/>
        <w:rPr>
          <w:rFonts w:ascii="Courier New" w:cs="Courier New" w:eastAsia="Courier New" w:hAnsi="Courier New"/>
          <w:sz w:val="16"/>
          <w:szCs w:val="16"/>
          <w:color w:val="auto"/>
        </w:rPr>
      </w:pPr>
    </w:p>
    <w:p>
      <w:pPr>
        <w:ind w:left="464" w:right="2819" w:firstLine="474"/>
        <w:spacing w:after="0" w:line="237" w:lineRule="auto"/>
        <w:tabs>
          <w:tab w:leader="none" w:pos="1308"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holder that is not the sole beneficial owner of such New AT&amp;T Notes, or a portion thereof, or that is a fiduciary or partnership, but only to the extent that the beneficial owner, a beneficiary or settlor with respect to the fiduciary, or a member of the partnership would not have</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130</w:t>
      </w:r>
    </w:p>
    <w:p>
      <w:pPr>
        <w:sectPr>
          <w:pgSz w:w="11900" w:h="16838" w:orient="portrait"/>
          <w:cols w:equalWidth="0" w:num="1">
            <w:col w:w="10223"/>
          </w:cols>
          <w:pgMar w:left="236" w:top="659" w:right="1440" w:bottom="1440" w:gutter="0" w:footer="0" w:header="0"/>
        </w:sectPr>
      </w:pPr>
    </w:p>
    <w:bookmarkStart w:id="150" w:name="page151"/>
    <w:bookmarkEnd w:id="150"/>
    <w:p>
      <w:pPr>
        <w:jc w:val="both"/>
        <w:ind w:left="460" w:right="2899"/>
        <w:spacing w:after="0" w:line="237" w:lineRule="auto"/>
        <w:rPr>
          <w:sz w:val="20"/>
          <w:szCs w:val="20"/>
          <w:color w:val="auto"/>
        </w:rPr>
      </w:pPr>
      <w:r>
        <w:rPr>
          <w:rFonts w:ascii="Courier New" w:cs="Courier New" w:eastAsia="Courier New" w:hAnsi="Courier New"/>
          <w:sz w:val="16"/>
          <w:szCs w:val="16"/>
          <w:color w:val="auto"/>
        </w:rPr>
        <w:t>been entitled to the payment of an additional amount had such beneficial owner, beneficiary, settlor or member received directly its beneficial or distributive share of the payment;</w:t>
      </w:r>
    </w:p>
    <w:p>
      <w:pPr>
        <w:spacing w:after="0" w:line="185" w:lineRule="exact"/>
        <w:rPr>
          <w:sz w:val="20"/>
          <w:szCs w:val="20"/>
          <w:color w:val="auto"/>
        </w:rPr>
      </w:pPr>
    </w:p>
    <w:p>
      <w:pPr>
        <w:ind w:left="460" w:right="2999" w:firstLine="474"/>
        <w:spacing w:after="0" w:line="238" w:lineRule="auto"/>
        <w:tabs>
          <w:tab w:leader="none" w:pos="1304"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any other person failed to comply with certification, identification or information reporting requirements concerning the nationality, residence, identity or connection with the United States of the holder or beneficial owner of such notes,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186" w:lineRule="exact"/>
        <w:rPr>
          <w:rFonts w:ascii="Courier New" w:cs="Courier New" w:eastAsia="Courier New" w:hAnsi="Courier New"/>
          <w:sz w:val="16"/>
          <w:szCs w:val="16"/>
          <w:color w:val="auto"/>
        </w:rPr>
      </w:pPr>
    </w:p>
    <w:p>
      <w:pPr>
        <w:ind w:left="460" w:right="2819" w:firstLine="474"/>
        <w:spacing w:after="0" w:line="236" w:lineRule="auto"/>
        <w:tabs>
          <w:tab w:leader="none" w:pos="1304"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other than by withholding by AT&amp;T or an exchange agent from the payment;</w:t>
      </w:r>
    </w:p>
    <w:p>
      <w:pPr>
        <w:spacing w:after="0" w:line="184" w:lineRule="exact"/>
        <w:rPr>
          <w:rFonts w:ascii="Courier New" w:cs="Courier New" w:eastAsia="Courier New" w:hAnsi="Courier New"/>
          <w:sz w:val="16"/>
          <w:szCs w:val="16"/>
          <w:color w:val="auto"/>
        </w:rPr>
      </w:pPr>
    </w:p>
    <w:p>
      <w:pPr>
        <w:ind w:left="460" w:right="2899" w:firstLine="474"/>
        <w:spacing w:after="0" w:line="257" w:lineRule="auto"/>
        <w:tabs>
          <w:tab w:leader="none" w:pos="130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tax, assessment or governmental charge that is imposed or withheld solely because of a change in law, regulation, or administrative or judicial interpretation that becomes effective more than 15 days after the payment becomes due or is duly provided for, whichever occurs later;</w:t>
      </w:r>
    </w:p>
    <w:p>
      <w:pPr>
        <w:spacing w:after="0" w:line="174" w:lineRule="exact"/>
        <w:rPr>
          <w:rFonts w:ascii="Courier New" w:cs="Courier New" w:eastAsia="Courier New" w:hAnsi="Courier New"/>
          <w:sz w:val="15"/>
          <w:szCs w:val="15"/>
          <w:color w:val="auto"/>
        </w:rPr>
      </w:pPr>
    </w:p>
    <w:p>
      <w:pPr>
        <w:ind w:left="460" w:right="2899" w:firstLine="474"/>
        <w:spacing w:after="0" w:line="237" w:lineRule="auto"/>
        <w:tabs>
          <w:tab w:leader="none" w:pos="1304"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 estate, inheritance, gift, sales, excise, transfer, wealth or personal property tax or a similar tax, assessment or governmental charge;</w:t>
      </w:r>
    </w:p>
    <w:p>
      <w:pPr>
        <w:spacing w:after="0" w:line="184" w:lineRule="exact"/>
        <w:rPr>
          <w:rFonts w:ascii="Courier New" w:cs="Courier New" w:eastAsia="Courier New" w:hAnsi="Courier New"/>
          <w:sz w:val="16"/>
          <w:szCs w:val="16"/>
          <w:color w:val="auto"/>
        </w:rPr>
      </w:pPr>
    </w:p>
    <w:p>
      <w:pPr>
        <w:ind w:left="460" w:right="2999" w:firstLine="474"/>
        <w:spacing w:after="0" w:line="237" w:lineRule="auto"/>
        <w:tabs>
          <w:tab w:leader="none" w:pos="1304"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tax, assessment or other governmental charge any paying agent must withhold from any payment of principal of or interest on such note, if such payment can be made without such withholding by any other paying agent; or</w:t>
      </w:r>
    </w:p>
    <w:p>
      <w:pPr>
        <w:spacing w:after="0" w:line="180"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combination of the above items.</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New AT&amp;T Notes Due 2004 (Series 1) and the New AT&amp;T Notes Due 2013 are subject in all cases to any tax, fiscal or other law or regulation or administrative or judicial interpretation applicable. Except as specifically provided under this heading "-- Payment of Additional Amounts" and under the heading "-- Redemption Upon a Tax Event," we do not have to make any payment with respect to any tax, assessment or governmental charge imposed by any government or a political subdivision or taxing authority.</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REDEMPTION UPON A TAX EVENT</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If (a) AT&amp;T becomes or will become obligated to pay additional amounts as described above under the heading "-- Payment of Additional Amounts" as a result of any change in, or amendment to, the laws (or any regulations or rulings promulgated thereunder) of the United States (or any political subdivision or taxing authority thereof or therein), or any change in, or amendments to, any official position regarding the application or interpretation of such laws, regulations or rulings, which change or amendment is announced or becomes effective on or after March 23, 1999, or (b) a taxing authority of the United States takes an action on or after March 23, 1999, whether or not with respect to AT&amp;T or any of its affiliates, that results in a substantial probability that AT&amp;T will or may be required to pay such additional amounts, then AT&amp;T may, at its option, redeem, as a whole, but not in part, the New AT&amp;T Notes Due 2004 (Series 1) and/or the New AT&amp;T Notes Due 2013 on any interest payment date on not less than 30 nor more than 60 calendar days' prior notice, at a redemption price equal to 100% of their principal amount, together with interest accrued thereon to the date fixed for redemption; provided that AT&amp;T determines, in its business judgment, that the obligation to pay such additional amounts cannot be avoided by the use of reasonable measures available to it, not including substitution of the obligor under such notes. No redemption pursuant to (b) above may be made unless AT&amp;T shall have received an opinion of independent counsel to the effect that an act taken by a taxing authority of the United States results in a substantial probability that AT&amp;T will or may be required to pay the additional amounts described above under the heading "-- Payment of Additional Amounts" and AT&amp;T shall have delivered to the trustee a certificate, signed by a duly authorized officer stating, that based on such opinion AT&amp;T is entitled to redeem the notes pursuant to their terms.</w:t>
      </w: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131</w:t>
      </w:r>
    </w:p>
    <w:p>
      <w:pPr>
        <w:sectPr>
          <w:pgSz w:w="11900" w:h="16838" w:orient="portrait"/>
          <w:cols w:equalWidth="0" w:num="1">
            <w:col w:w="10219"/>
          </w:cols>
          <w:pgMar w:left="240" w:top="658"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6"/>
          <w:szCs w:val="16"/>
          <w:color w:val="auto"/>
        </w:rPr>
        <w:t>OPTIONAL REDEMPTION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shall have the right, at its option, to redeem certain of the New AT&amp;T Notes, other than the New AT&amp;T Notes Due 2004 (Series 2), at any time or from time to time during specified periods, with at least 30 days, but not more than 60 days, prior notice mailed to the registered address of each holder of such series of notes.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and after the redemption date, interest will cease to accrue on the New AT&amp;T Notes or any portion of the New AT&amp;T Notes called for redemption (unless AT&amp;T defaults in the payment of the redemption price and accrued interest). On or before the redemption date, AT&amp;T will deposit with a paying agent (or the trustee) money sufficient to pay the redemption price of and accrued interest on the New AT&amp;T Notes. If less than all of the New AT&amp;T Notes are to be redeemed, the New AT&amp;T Notes to be redeemed shall be selected by the trustee by such method as the trustee shall deem fair and appropriate.</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optional redemption terms for each series of notes are described below.</w:t>
      </w:r>
    </w:p>
    <w:p>
      <w:pPr>
        <w:spacing w:after="0" w:line="36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AT&amp;T NOTES DUE 2004 (SERIES 1) AND NEW AT&amp;T NOTES DUE 2013</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AT&amp;T Notes Due 2004 (Series 1) and the New AT&amp;T Notes Due 2013 will be redeemable by AT&amp;T at any time or from time to time, as a whole or in part. If you hold any of these notes and AT&amp;T decides to redeem them then AT&amp;T will pay you the greater of:</w:t>
      </w:r>
    </w:p>
    <w:p>
      <w:pPr>
        <w:spacing w:after="0" w:line="366" w:lineRule="exact"/>
        <w:rPr>
          <w:sz w:val="20"/>
          <w:szCs w:val="20"/>
          <w:color w:val="auto"/>
        </w:rPr>
      </w:pPr>
    </w:p>
    <w:p>
      <w:pPr>
        <w:ind w:left="460" w:right="2719" w:firstLine="474"/>
        <w:spacing w:after="0" w:line="236" w:lineRule="auto"/>
        <w:tabs>
          <w:tab w:leader="none" w:pos="1304"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principal amount of the series of New AT&amp;T Notes to be redeemed and</w:t>
      </w:r>
    </w:p>
    <w:p>
      <w:pPr>
        <w:spacing w:after="0" w:line="184" w:lineRule="exact"/>
        <w:rPr>
          <w:rFonts w:ascii="Courier New" w:cs="Courier New" w:eastAsia="Courier New" w:hAnsi="Courier New"/>
          <w:sz w:val="16"/>
          <w:szCs w:val="16"/>
          <w:color w:val="auto"/>
        </w:rPr>
      </w:pPr>
    </w:p>
    <w:p>
      <w:pPr>
        <w:ind w:left="460" w:right="2819" w:firstLine="474"/>
        <w:spacing w:after="0" w:line="237" w:lineRule="auto"/>
        <w:tabs>
          <w:tab w:leader="none" w:pos="1304"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present values of the Remaining Scheduled Payments (as defined under "Description of the Broadband Exchange Notes -- Certain Definitions") discounted, on a semiannual basis (assuming a 360-day year consisting of twelve 30-day months), at a rate equal to the sum of the Treasury Rate (as defined under "Description of the Broadband Exchange Notes -- Certain Definitions") and:</w:t>
      </w:r>
    </w:p>
    <w:p>
      <w:pPr>
        <w:spacing w:after="0" w:line="183"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basis points for the New AT&amp;T Notes Due 2004 (Series 1)</w:t>
      </w:r>
    </w:p>
    <w:p>
      <w:pPr>
        <w:spacing w:after="0" w:line="35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basis points for the New AT&amp;T Notes Due 2013.</w:t>
      </w:r>
    </w:p>
    <w:p>
      <w:pPr>
        <w:spacing w:after="0" w:line="36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In the case of each of clause (1) and (2), accrued interest will be payable to the redemption date.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AT&amp;T NOTES DUE 2004 (SERIES 2)</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The New AT&amp;T Notes Due 2004 (Series 2) will not be subject to optional redemption by AT&amp;T.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132</w:t>
      </w:r>
    </w:p>
    <w:p>
      <w:pPr>
        <w:sectPr>
          <w:pgSz w:w="11900" w:h="16838" w:orient="portrait"/>
          <w:cols w:equalWidth="0" w:num="1">
            <w:col w:w="10219"/>
          </w:cols>
          <w:pgMar w:left="240" w:top="654" w:right="1440" w:bottom="1440" w:gutter="0" w:footer="0" w:header="0"/>
        </w:sectPr>
      </w:pPr>
    </w:p>
    <w:bookmarkStart w:id="152" w:name="page153"/>
    <w:bookmarkEnd w:id="152"/>
    <w:p>
      <w:pPr>
        <w:ind w:left="180"/>
        <w:spacing w:after="0"/>
        <w:rPr>
          <w:sz w:val="20"/>
          <w:szCs w:val="20"/>
          <w:color w:val="auto"/>
        </w:rPr>
      </w:pPr>
      <w:r>
        <w:rPr>
          <w:rFonts w:ascii="Courier New" w:cs="Courier New" w:eastAsia="Courier New" w:hAnsi="Courier New"/>
          <w:sz w:val="16"/>
          <w:szCs w:val="16"/>
          <w:color w:val="auto"/>
        </w:rPr>
        <w:t>NEW MEDIUM-TERM NOTES, SERIES A DUE MAY 15, 2025 (SUBSERIES 1)</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Medium-Term Notes, Series A Due May 15, 2025 (subseries 1) will not be redeemable prior to May 15, 2005. On or after such date, the New Medium-Term Notes, Series A Due May 15, 2025 (subseries 1) will be redeemable by AT&amp;T at any time or from time to time, as a whole or in part, at the following prices (expressed as percentages of the principal amount), together with accrued interest to the date fixed for redemption:</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May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103.7130%</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103.3417</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102.9704</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102.5991</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102.2278</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101.8565</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101.4852</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101.1139</w:t>
      </w:r>
    </w:p>
    <w:p>
      <w:pPr>
        <w:spacing w:after="0"/>
        <w:rPr>
          <w:sz w:val="20"/>
          <w:szCs w:val="20"/>
          <w:color w:val="auto"/>
        </w:rPr>
      </w:pPr>
      <w:r>
        <w:rPr>
          <w:rFonts w:ascii="Courier New" w:cs="Courier New" w:eastAsia="Courier New" w:hAnsi="Courier New"/>
          <w:sz w:val="16"/>
          <w:szCs w:val="16"/>
          <w:color w:val="auto"/>
        </w:rPr>
        <w:t>2013........................................................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100.7426</w:t>
      </w:r>
    </w:p>
    <w:p>
      <w:pPr>
        <w:spacing w:after="0"/>
        <w:rPr>
          <w:sz w:val="20"/>
          <w:szCs w:val="20"/>
          <w:color w:val="auto"/>
        </w:rPr>
      </w:pPr>
      <w:r>
        <w:rPr>
          <w:rFonts w:ascii="Courier New" w:cs="Courier New" w:eastAsia="Courier New" w:hAnsi="Courier New"/>
          <w:sz w:val="16"/>
          <w:szCs w:val="16"/>
          <w:color w:val="auto"/>
        </w:rPr>
        <w:t>2014........................................................</w:t>
      </w:r>
    </w:p>
    <w:p>
      <w:pPr>
        <w:ind w:left="2440"/>
        <w:spacing w:after="0" w:line="237" w:lineRule="auto"/>
        <w:rPr>
          <w:sz w:val="20"/>
          <w:szCs w:val="20"/>
          <w:color w:val="auto"/>
        </w:rPr>
      </w:pPr>
      <w:r>
        <w:rPr>
          <w:rFonts w:ascii="Courier New" w:cs="Courier New" w:eastAsia="Courier New" w:hAnsi="Courier New"/>
          <w:sz w:val="16"/>
          <w:szCs w:val="16"/>
          <w:color w:val="auto"/>
        </w:rPr>
        <w:t>100.3713</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MEDIUM-TERM NOTES, SERIES A DUE MAY 15, 2025 (SUBSERIES 2)</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Medium-Term Notes, Series A Due May 15, 2025 (subseries 2) will not be redeemable prior to May 15, 2005. On or after such date, the New Medium-Term Notes, Series A Due May 15, 2025 (subseries 2) will be redeemable by AT&amp;T at any time or from time to time, as a whole or in part, at the following prices (expressed as percentages of the principal amount), together with accrued interest to the date fixed for redemption:</w:t>
      </w:r>
    </w:p>
    <w:p>
      <w:pPr>
        <w:spacing w:after="0" w:line="3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May 15:</w:t>
      </w:r>
    </w:p>
    <w:p>
      <w:pPr>
        <w:spacing w:after="0" w:line="179"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104.062%</w:t>
      </w:r>
    </w:p>
    <w:p>
      <w:pPr>
        <w:spacing w:after="0"/>
        <w:rPr>
          <w:sz w:val="20"/>
          <w:szCs w:val="20"/>
          <w:color w:val="auto"/>
        </w:rPr>
      </w:pPr>
      <w:r>
        <w:rPr>
          <w:rFonts w:ascii="Courier New" w:cs="Courier New" w:eastAsia="Courier New" w:hAnsi="Courier New"/>
          <w:sz w:val="16"/>
          <w:szCs w:val="16"/>
          <w:color w:val="auto"/>
        </w:rPr>
        <w:t>2006........................................................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103.656</w:t>
      </w:r>
    </w:p>
    <w:p>
      <w:pPr>
        <w:spacing w:after="0"/>
        <w:rPr>
          <w:sz w:val="20"/>
          <w:szCs w:val="20"/>
          <w:color w:val="auto"/>
        </w:rPr>
      </w:pPr>
      <w:r>
        <w:rPr>
          <w:rFonts w:ascii="Courier New" w:cs="Courier New" w:eastAsia="Courier New" w:hAnsi="Courier New"/>
          <w:sz w:val="16"/>
          <w:szCs w:val="16"/>
          <w:color w:val="auto"/>
        </w:rPr>
        <w:t>2007........................................................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103.250</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102.843</w:t>
      </w:r>
    </w:p>
    <w:p>
      <w:pPr>
        <w:spacing w:after="0"/>
        <w:rPr>
          <w:sz w:val="20"/>
          <w:szCs w:val="20"/>
          <w:color w:val="auto"/>
        </w:rPr>
      </w:pPr>
      <w:r>
        <w:rPr>
          <w:rFonts w:ascii="Courier New" w:cs="Courier New" w:eastAsia="Courier New" w:hAnsi="Courier New"/>
          <w:sz w:val="16"/>
          <w:szCs w:val="16"/>
          <w:color w:val="auto"/>
        </w:rPr>
        <w:t>2009........................................................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102.437</w:t>
      </w:r>
    </w:p>
    <w:p>
      <w:pPr>
        <w:spacing w:after="0"/>
        <w:rPr>
          <w:sz w:val="20"/>
          <w:szCs w:val="20"/>
          <w:color w:val="auto"/>
        </w:rPr>
      </w:pPr>
      <w:r>
        <w:rPr>
          <w:rFonts w:ascii="Courier New" w:cs="Courier New" w:eastAsia="Courier New" w:hAnsi="Courier New"/>
          <w:sz w:val="16"/>
          <w:szCs w:val="16"/>
          <w:color w:val="auto"/>
        </w:rPr>
        <w:t>2010........................................................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102.031</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101.625</w:t>
      </w:r>
    </w:p>
    <w:p>
      <w:pPr>
        <w:spacing w:after="0"/>
        <w:rPr>
          <w:sz w:val="20"/>
          <w:szCs w:val="20"/>
          <w:color w:val="auto"/>
        </w:rPr>
      </w:pPr>
      <w:r>
        <w:rPr>
          <w:rFonts w:ascii="Courier New" w:cs="Courier New" w:eastAsia="Courier New" w:hAnsi="Courier New"/>
          <w:sz w:val="16"/>
          <w:szCs w:val="16"/>
          <w:color w:val="auto"/>
        </w:rPr>
        <w:t>2012........................................................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101.219</w:t>
      </w:r>
    </w:p>
    <w:p>
      <w:pPr>
        <w:spacing w:after="0"/>
        <w:rPr>
          <w:sz w:val="20"/>
          <w:szCs w:val="20"/>
          <w:color w:val="auto"/>
        </w:rPr>
      </w:pPr>
      <w:r>
        <w:rPr>
          <w:rFonts w:ascii="Courier New" w:cs="Courier New" w:eastAsia="Courier New" w:hAnsi="Courier New"/>
          <w:sz w:val="16"/>
          <w:szCs w:val="16"/>
          <w:color w:val="auto"/>
        </w:rPr>
        <w:t>2013........................................................</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100.812</w:t>
      </w:r>
    </w:p>
    <w:p>
      <w:pPr>
        <w:spacing w:after="0"/>
        <w:rPr>
          <w:sz w:val="20"/>
          <w:szCs w:val="20"/>
          <w:color w:val="auto"/>
        </w:rPr>
      </w:pPr>
      <w:r>
        <w:rPr>
          <w:rFonts w:ascii="Courier New" w:cs="Courier New" w:eastAsia="Courier New" w:hAnsi="Courier New"/>
          <w:sz w:val="16"/>
          <w:szCs w:val="16"/>
          <w:color w:val="auto"/>
        </w:rPr>
        <w:t>2014........................................................</w:t>
      </w:r>
    </w:p>
    <w:p>
      <w:pPr>
        <w:ind w:left="2480"/>
        <w:spacing w:after="0" w:line="237" w:lineRule="auto"/>
        <w:rPr>
          <w:sz w:val="20"/>
          <w:szCs w:val="20"/>
          <w:color w:val="auto"/>
        </w:rPr>
      </w:pPr>
      <w:r>
        <w:rPr>
          <w:rFonts w:ascii="Courier New" w:cs="Courier New" w:eastAsia="Courier New" w:hAnsi="Courier New"/>
          <w:sz w:val="16"/>
          <w:szCs w:val="16"/>
          <w:color w:val="auto"/>
        </w:rPr>
        <w:t>100.406</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133</w:t>
      </w:r>
    </w:p>
    <w:p>
      <w:pPr>
        <w:sectPr>
          <w:pgSz w:w="11900" w:h="16838" w:orient="portrait"/>
          <w:cols w:equalWidth="0" w:num="1">
            <w:col w:w="10219"/>
          </w:cols>
          <w:pgMar w:left="240" w:top="654" w:right="1440" w:bottom="1440" w:gutter="0" w:footer="0" w:header="0"/>
        </w:sectPr>
      </w:pPr>
    </w:p>
    <w:bookmarkStart w:id="153" w:name="page154"/>
    <w:bookmarkEnd w:id="153"/>
    <w:p>
      <w:pPr>
        <w:ind w:left="180"/>
        <w:spacing w:after="0"/>
        <w:rPr>
          <w:sz w:val="20"/>
          <w:szCs w:val="20"/>
          <w:color w:val="auto"/>
        </w:rPr>
      </w:pPr>
      <w:r>
        <w:rPr>
          <w:rFonts w:ascii="Courier New" w:cs="Courier New" w:eastAsia="Courier New" w:hAnsi="Courier New"/>
          <w:sz w:val="16"/>
          <w:szCs w:val="16"/>
          <w:color w:val="auto"/>
        </w:rPr>
        <w:t>NEW FRN MEDIUM-TERM NOTES, SERIES A DUE 2054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New FRN Medium-Term Notes, Series A Due 2054 will not be redeemable prior to December 28, 2009. On or after such date the New FRN Medium-Term Notes, Series A Due 2054 will be redeemable prior to maturity at the option of AT&amp;T on December 28, 2009 and on December 28th every year thereafter with not less than 30 calendar days notice, at the following prices (expressed as a percentage of the principal amount):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on December 28th:</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YEAR PERCENTAGE -</w:t>
            </w:r>
          </w:p>
        </w:tc>
        <w:tc>
          <w:tcPr>
            <w:tcW w:w="32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---------- 2009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2013...........................................</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110.000%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2014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2018...........................................</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108.000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2019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2023...........................................</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107.000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2024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2028...........................................</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106.000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2029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2035...........................................</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105.500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2036........................................................</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105.000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2037........................................................</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104.375</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2038........................................................</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103.750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2039........................................................</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103.125</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2040........................................................</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102.500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2041........................................................</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101.875</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2042........................................................</w:t>
            </w:r>
          </w:p>
        </w:tc>
      </w:tr>
      <w:tr>
        <w:trPr>
          <w:trHeight w:val="180"/>
        </w:trPr>
        <w:tc>
          <w:tcPr>
            <w:tcW w:w="2240" w:type="dxa"/>
            <w:vAlign w:val="bottom"/>
          </w:tcPr>
          <w:p>
            <w:pPr>
              <w:spacing w:after="0"/>
              <w:rPr>
                <w:sz w:val="15"/>
                <w:szCs w:val="15"/>
                <w:color w:val="auto"/>
              </w:rPr>
            </w:pPr>
          </w:p>
        </w:tc>
        <w:tc>
          <w:tcPr>
            <w:tcW w:w="320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8"/>
              </w:rPr>
              <w:t>101.250</w:t>
            </w:r>
          </w:p>
        </w:tc>
      </w:tr>
      <w:tr>
        <w:trPr>
          <w:trHeight w:val="180"/>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2043........................................................</w:t>
            </w:r>
          </w:p>
        </w:tc>
      </w:tr>
      <w:tr>
        <w:trPr>
          <w:trHeight w:val="180"/>
        </w:trPr>
        <w:tc>
          <w:tcPr>
            <w:tcW w:w="5440" w:type="dxa"/>
            <w:vAlign w:val="bottom"/>
            <w:gridSpan w:val="2"/>
          </w:tcPr>
          <w:p>
            <w:pPr>
              <w:jc w:val="center"/>
              <w:ind w:left="110"/>
              <w:spacing w:after="0"/>
              <w:rPr>
                <w:sz w:val="20"/>
                <w:szCs w:val="20"/>
                <w:color w:val="auto"/>
              </w:rPr>
            </w:pPr>
            <w:r>
              <w:rPr>
                <w:rFonts w:ascii="Courier New" w:cs="Courier New" w:eastAsia="Courier New" w:hAnsi="Courier New"/>
                <w:sz w:val="16"/>
                <w:szCs w:val="16"/>
                <w:color w:val="auto"/>
                <w:w w:val="96"/>
              </w:rPr>
              <w:t>100.625 2044 through</w:t>
            </w:r>
          </w:p>
        </w:tc>
      </w:tr>
      <w:tr>
        <w:trPr>
          <w:trHeight w:val="180"/>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1"/>
              </w:rPr>
              <w:t>2054...........................................</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721"/>
        </w:trPr>
        <w:tc>
          <w:tcPr>
            <w:tcW w:w="2240" w:type="dxa"/>
            <w:vAlign w:val="bottom"/>
          </w:tcPr>
          <w:p>
            <w:pPr>
              <w:spacing w:after="0"/>
              <w:rPr>
                <w:sz w:val="24"/>
                <w:szCs w:val="24"/>
                <w:color w:val="auto"/>
              </w:rPr>
            </w:pPr>
          </w:p>
        </w:tc>
        <w:tc>
          <w:tcPr>
            <w:tcW w:w="320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134</w:t>
            </w:r>
          </w:p>
        </w:tc>
      </w:tr>
    </w:tbl>
    <w:p>
      <w:pPr>
        <w:sectPr>
          <w:pgSz w:w="11900" w:h="16838" w:orient="portrait"/>
          <w:cols w:equalWidth="0" w:num="1">
            <w:col w:w="10219"/>
          </w:cols>
          <w:pgMar w:left="240" w:top="654" w:right="1440" w:bottom="1440" w:gutter="0" w:footer="0" w:header="0"/>
        </w:sectPr>
      </w:pPr>
    </w:p>
    <w:bookmarkStart w:id="154" w:name="page155"/>
    <w:bookmarkEnd w:id="154"/>
    <w:p>
      <w:pPr>
        <w:ind w:right="3279"/>
        <w:spacing w:after="0" w:line="236" w:lineRule="auto"/>
        <w:rPr>
          <w:sz w:val="20"/>
          <w:szCs w:val="20"/>
          <w:color w:val="auto"/>
        </w:rPr>
      </w:pPr>
      <w:r>
        <w:rPr>
          <w:rFonts w:ascii="Courier New" w:cs="Courier New" w:eastAsia="Courier New" w:hAnsi="Courier New"/>
          <w:sz w:val="16"/>
          <w:szCs w:val="16"/>
          <w:color w:val="auto"/>
        </w:rPr>
        <w:t>OPTIONAL REPAYMENT TERMS PERTAINING ONLY TO THE NEW FRN MEDIUM-TERM NOTES, SERIES A DUE 2054</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New FRN Medium-Term Notes, Series A Due 2054 are repayable at the option of the holders on December 28, 2005 and on each December 28th every third year thereafter with not less than 30 calendar days notice, at the following redemption prices (expressed as a percentage of the principal amount) plus interest accrued from, and including, the last date to which interest has been paid to but excluding the applicable optional repayment date:</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repaid on December 28th:</w:t>
      </w:r>
    </w:p>
    <w:p>
      <w:pPr>
        <w:spacing w:after="0" w:line="360"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rPr>
          <w:sz w:val="20"/>
          <w:szCs w:val="20"/>
          <w:color w:val="auto"/>
        </w:rPr>
      </w:pPr>
      <w:r>
        <w:rPr>
          <w:rFonts w:ascii="Courier New" w:cs="Courier New" w:eastAsia="Courier New" w:hAnsi="Courier New"/>
          <w:sz w:val="16"/>
          <w:szCs w:val="16"/>
          <w:color w:val="auto"/>
        </w:rPr>
        <w:t>2005........................................................</w:t>
      </w:r>
    </w:p>
    <w:p>
      <w:pPr>
        <w:jc w:val="center"/>
        <w:ind w:right="4599"/>
        <w:spacing w:after="0" w:line="237" w:lineRule="auto"/>
        <w:rPr>
          <w:sz w:val="20"/>
          <w:szCs w:val="20"/>
          <w:color w:val="auto"/>
        </w:rPr>
      </w:pPr>
      <w:r>
        <w:rPr>
          <w:rFonts w:ascii="Courier New" w:cs="Courier New" w:eastAsia="Courier New" w:hAnsi="Courier New"/>
          <w:sz w:val="16"/>
          <w:szCs w:val="16"/>
          <w:color w:val="auto"/>
        </w:rPr>
        <w:t>99.40%</w:t>
      </w:r>
    </w:p>
    <w:p>
      <w:pPr>
        <w:spacing w:after="0"/>
        <w:rPr>
          <w:sz w:val="20"/>
          <w:szCs w:val="20"/>
          <w:color w:val="auto"/>
        </w:rPr>
      </w:pPr>
      <w:r>
        <w:rPr>
          <w:rFonts w:ascii="Courier New" w:cs="Courier New" w:eastAsia="Courier New" w:hAnsi="Courier New"/>
          <w:sz w:val="16"/>
          <w:szCs w:val="16"/>
          <w:color w:val="auto"/>
        </w:rPr>
        <w:t>2008........................................................</w:t>
      </w:r>
    </w:p>
    <w:p>
      <w:pPr>
        <w:jc w:val="center"/>
        <w:ind w:right="4599"/>
        <w:spacing w:after="0" w:line="238" w:lineRule="auto"/>
        <w:rPr>
          <w:sz w:val="20"/>
          <w:szCs w:val="20"/>
          <w:color w:val="auto"/>
        </w:rPr>
      </w:pPr>
      <w:r>
        <w:rPr>
          <w:rFonts w:ascii="Courier New" w:cs="Courier New" w:eastAsia="Courier New" w:hAnsi="Courier New"/>
          <w:sz w:val="16"/>
          <w:szCs w:val="16"/>
          <w:color w:val="auto"/>
        </w:rPr>
        <w:t>99.52</w:t>
      </w:r>
    </w:p>
    <w:p>
      <w:pPr>
        <w:spacing w:after="0"/>
        <w:rPr>
          <w:sz w:val="20"/>
          <w:szCs w:val="20"/>
          <w:color w:val="auto"/>
        </w:rPr>
      </w:pPr>
      <w:r>
        <w:rPr>
          <w:rFonts w:ascii="Courier New" w:cs="Courier New" w:eastAsia="Courier New" w:hAnsi="Courier New"/>
          <w:sz w:val="16"/>
          <w:szCs w:val="16"/>
          <w:color w:val="auto"/>
        </w:rPr>
        <w:t>2011........................................................</w:t>
      </w:r>
    </w:p>
    <w:p>
      <w:pPr>
        <w:jc w:val="center"/>
        <w:ind w:right="4599"/>
        <w:spacing w:after="0" w:line="238" w:lineRule="auto"/>
        <w:rPr>
          <w:sz w:val="20"/>
          <w:szCs w:val="20"/>
          <w:color w:val="auto"/>
        </w:rPr>
      </w:pPr>
      <w:r>
        <w:rPr>
          <w:rFonts w:ascii="Courier New" w:cs="Courier New" w:eastAsia="Courier New" w:hAnsi="Courier New"/>
          <w:sz w:val="16"/>
          <w:szCs w:val="16"/>
          <w:color w:val="auto"/>
        </w:rPr>
        <w:t>99.64</w:t>
      </w:r>
    </w:p>
    <w:p>
      <w:pPr>
        <w:spacing w:after="0"/>
        <w:rPr>
          <w:sz w:val="20"/>
          <w:szCs w:val="20"/>
          <w:color w:val="auto"/>
        </w:rPr>
      </w:pPr>
      <w:r>
        <w:rPr>
          <w:rFonts w:ascii="Courier New" w:cs="Courier New" w:eastAsia="Courier New" w:hAnsi="Courier New"/>
          <w:sz w:val="16"/>
          <w:szCs w:val="16"/>
          <w:color w:val="auto"/>
        </w:rPr>
        <w:t>2014........................................................</w:t>
      </w:r>
    </w:p>
    <w:p>
      <w:pPr>
        <w:jc w:val="center"/>
        <w:ind w:right="4599"/>
        <w:spacing w:after="0" w:line="237" w:lineRule="auto"/>
        <w:rPr>
          <w:sz w:val="20"/>
          <w:szCs w:val="20"/>
          <w:color w:val="auto"/>
        </w:rPr>
      </w:pPr>
      <w:r>
        <w:rPr>
          <w:rFonts w:ascii="Courier New" w:cs="Courier New" w:eastAsia="Courier New" w:hAnsi="Courier New"/>
          <w:sz w:val="16"/>
          <w:szCs w:val="16"/>
          <w:color w:val="auto"/>
        </w:rPr>
        <w:t>99.78</w:t>
      </w:r>
    </w:p>
    <w:p>
      <w:pPr>
        <w:spacing w:after="0"/>
        <w:rPr>
          <w:sz w:val="20"/>
          <w:szCs w:val="20"/>
          <w:color w:val="auto"/>
        </w:rPr>
      </w:pPr>
      <w:r>
        <w:rPr>
          <w:rFonts w:ascii="Courier New" w:cs="Courier New" w:eastAsia="Courier New" w:hAnsi="Courier New"/>
          <w:sz w:val="16"/>
          <w:szCs w:val="16"/>
          <w:color w:val="auto"/>
        </w:rPr>
        <w:t>2017........................................................</w:t>
      </w:r>
    </w:p>
    <w:p>
      <w:pPr>
        <w:jc w:val="center"/>
        <w:ind w:right="4599"/>
        <w:spacing w:after="0" w:line="238" w:lineRule="auto"/>
        <w:rPr>
          <w:sz w:val="20"/>
          <w:szCs w:val="20"/>
          <w:color w:val="auto"/>
        </w:rPr>
      </w:pPr>
      <w:r>
        <w:rPr>
          <w:rFonts w:ascii="Courier New" w:cs="Courier New" w:eastAsia="Courier New" w:hAnsi="Courier New"/>
          <w:sz w:val="16"/>
          <w:szCs w:val="16"/>
          <w:color w:val="auto"/>
        </w:rPr>
        <w:t>99.92</w:t>
      </w:r>
    </w:p>
    <w:p>
      <w:pPr>
        <w:spacing w:after="0"/>
        <w:rPr>
          <w:sz w:val="20"/>
          <w:szCs w:val="20"/>
          <w:color w:val="auto"/>
        </w:rPr>
      </w:pPr>
      <w:r>
        <w:rPr>
          <w:rFonts w:ascii="Courier New" w:cs="Courier New" w:eastAsia="Courier New" w:hAnsi="Courier New"/>
          <w:sz w:val="16"/>
          <w:szCs w:val="16"/>
          <w:color w:val="auto"/>
        </w:rPr>
        <w:t>2020........................................................</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2023........................................................</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2026........................................................</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2029........................................................</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2032........................................................</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2035........................................................</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2038........................................................</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2041........................................................</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2044........................................................</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2047........................................................</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2050........................................................</w:t>
      </w:r>
    </w:p>
    <w:p>
      <w:pPr>
        <w:jc w:val="center"/>
        <w:ind w:right="4599"/>
        <w:spacing w:after="0" w:line="237" w:lineRule="auto"/>
        <w:rPr>
          <w:sz w:val="20"/>
          <w:szCs w:val="20"/>
          <w:color w:val="auto"/>
        </w:rPr>
      </w:pPr>
      <w:r>
        <w:rPr>
          <w:rFonts w:ascii="Courier New" w:cs="Courier New" w:eastAsia="Courier New" w:hAnsi="Courier New"/>
          <w:sz w:val="16"/>
          <w:szCs w:val="16"/>
          <w:color w:val="auto"/>
        </w:rPr>
        <w:t>100.00</w:t>
      </w:r>
    </w:p>
    <w:p>
      <w:pPr>
        <w:spacing w:after="0"/>
        <w:rPr>
          <w:sz w:val="20"/>
          <w:szCs w:val="20"/>
          <w:color w:val="auto"/>
        </w:rPr>
      </w:pPr>
      <w:r>
        <w:rPr>
          <w:rFonts w:ascii="Courier New" w:cs="Courier New" w:eastAsia="Courier New" w:hAnsi="Courier New"/>
          <w:sz w:val="16"/>
          <w:szCs w:val="16"/>
          <w:color w:val="auto"/>
        </w:rPr>
        <w:t>2053........................................................</w:t>
      </w:r>
    </w:p>
    <w:p>
      <w:pPr>
        <w:ind w:left="2520"/>
        <w:spacing w:after="0" w:line="238" w:lineRule="auto"/>
        <w:rPr>
          <w:sz w:val="20"/>
          <w:szCs w:val="20"/>
          <w:color w:val="auto"/>
        </w:rPr>
      </w:pPr>
      <w:r>
        <w:rPr>
          <w:rFonts w:ascii="Courier New" w:cs="Courier New" w:eastAsia="Courier New" w:hAnsi="Courier New"/>
          <w:sz w:val="16"/>
          <w:szCs w:val="16"/>
          <w:color w:val="auto"/>
        </w:rPr>
        <w:t>100.00</w:t>
      </w:r>
    </w:p>
    <w:p>
      <w:pPr>
        <w:spacing w:after="0" w:line="200" w:lineRule="exact"/>
        <w:rPr>
          <w:sz w:val="20"/>
          <w:szCs w:val="20"/>
          <w:color w:val="auto"/>
        </w:rPr>
      </w:pPr>
    </w:p>
    <w:p>
      <w:pPr>
        <w:spacing w:after="0" w:line="34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New FRN Medium-Term Notes, Series A Due 2054 are repayable at the option of the holders upon the occurrence and continuance of any Event of Default specified in the AT&amp;T Indenture at the next Interest Payment Date at 100.00% of principal amount plus interest accrued from, and including, the last date to which interest has been paid to, but excluding, the Interest Payment Date for repayment.</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order for the repayment option applicable to a New FRN Medium-Term Note, Series A Due 2054 to be exercised, the trustee must receive at least 30 days but no more than 45 days prior to the repayment date (i) the New FRN Medium-Term Note, Series A Due 2054 with the form entitled "Option to Elect Repayment" on the reverse of the note duly completed or (ii) a telegram, telex, facsimile transmission or a letter from a member of a national securities exchange or the National Association of Securities Dealers, Inc. or a commercial bank or trust company in the United States setting forth the name of the holder of the note, the principal amount of the note, the principal amount of the note to be repaid, the certificate number or a description of the tenor and terms of the note, and containing a statement that the option to elect repayment is being exercised thereby and a guarantee that the note to be repaid with the form entitled "Option to Elect Repayment" on the reverse of the note duly completed will be received by the trustee not later than five business days after the date of such telegram, telex, facsimile transmission or letter and such note and form duly completed are received by the trustee by such fifth business day. The repayment option may be exercised by the holder of a New FRN Medium-Term Note, Series A Due 2054 for less than the entire principal amount of the note, provided that the principal amount of the New FRN Medium-Term Note, Series A Due 2054 remaining outstanding after repayment is an authorized denomination.</w:t>
      </w:r>
    </w:p>
    <w:p>
      <w:pPr>
        <w:spacing w:after="0" w:line="17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135</w:t>
      </w:r>
    </w:p>
    <w:p>
      <w:pPr>
        <w:sectPr>
          <w:pgSz w:w="11900" w:h="16838" w:orient="portrait"/>
          <w:cols w:equalWidth="0" w:num="1">
            <w:col w:w="10219"/>
          </w:cols>
          <w:pgMar w:left="240" w:top="659"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6"/>
          <w:szCs w:val="16"/>
          <w:color w:val="auto"/>
        </w:rPr>
        <w:t>NO MANDATORY REDEMPTION OR SINKING FUND</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There will be no mandatory redemption prior to maturity or sinking fund payments for the New AT&amp;T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Notices to holders of the New AT&amp;T Notes will be published in authorized newspapers in The City of New York, in London, and, with respect to any New AT&amp;T Notes listed on the Luxembourg Stock Exchange, in Luxembourg. It is expected that publication will be made in The City of New York in The Wall Street Journal, in London in the Financial Times and in Luxembourg in the Luxemburger Wort. AT&amp;T will be deemed to have given such notice on the date of each publication or, if published more than once, on the date of the first such publication.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LUXEMBOURG LISTING</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Application has been made to list the New AT&amp;T Notes Due 2004 (Series 1) and the New AT&amp;T Notes Due 2013 on the Luxembourg Stock Exchange. In connection with our listing application, the Amended and Restated Certificate of Incorporation and the By-laws of AT&amp;T and a legal notice relating to the issuance of the New AT&amp;T Notes Due 2004 (Series 1) and the New AT&amp;T Notes Due 2013 will be deposited prior to listing with the Chief Registrar of the District Court of Luxembourg, where copies may be inspected or obtained upon request. Copies of the above documents, together with this prospectus, any supplements or amendments hereto, the AT&amp;T Indenture, the New AT&amp;T Supplemental Indenture, and AT&amp;T's current and future quarterly and annual reports, so long as any of the New AT&amp;T Notes Due 2004 (Series 1) and the New AT&amp;T Notes Due 2013 are listed on the Luxembourg stock exchange, may be obtained free of charge from the Luxembourg exchange agent. We have engaged the Bank of New York (Luxembourg) S.A. as the Luxembourg exchange agent to act as intermediary between AT&amp;T and the holders of the New AT&amp;T Notes Due 2004 (Series 1) and the New AT&amp;T Notes Due 2013.</w:t>
      </w:r>
    </w:p>
    <w:p>
      <w:pPr>
        <w:spacing w:after="0" w:line="3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136</w:t>
      </w:r>
    </w:p>
    <w:p>
      <w:pPr>
        <w:sectPr>
          <w:pgSz w:w="11900" w:h="16838" w:orient="portrait"/>
          <w:cols w:equalWidth="0" w:num="1">
            <w:col w:w="10219"/>
          </w:cols>
          <w:pgMar w:left="240" w:top="654" w:right="1440" w:bottom="1440" w:gutter="0" w:footer="0" w:header="0"/>
        </w:sectPr>
      </w:pPr>
    </w:p>
    <w:bookmarkStart w:id="156" w:name="page157"/>
    <w:bookmarkEnd w:id="156"/>
    <w:p>
      <w:pPr>
        <w:ind w:left="1880"/>
        <w:spacing w:after="0"/>
        <w:rPr>
          <w:sz w:val="20"/>
          <w:szCs w:val="20"/>
          <w:color w:val="auto"/>
        </w:rPr>
      </w:pPr>
      <w:r>
        <w:rPr>
          <w:rFonts w:ascii="Courier New" w:cs="Courier New" w:eastAsia="Courier New" w:hAnsi="Courier New"/>
          <w:sz w:val="16"/>
          <w:szCs w:val="16"/>
          <w:color w:val="auto"/>
        </w:rPr>
        <w:t>DESCRIPTION OF AT&amp;T COMCAST TRANSACTION</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Comcast and AT&amp;T are planning to combine Comcast with the AT&amp;T broadband business. Comcast and AT&amp;T believe that the combined strengths of Comcast and AT&amp;T's broadband business will enable them to create the world's premier broadband communications company.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STRUCTURE OF THE TRANSACTION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Comcast transaction will occur in several steps. First, AT&amp;T will transfer the assets and liabilities of AT&amp;T's broadband business to Broadband, a company newly formed for the purpose of effectuating the AT&amp;T Comcast transaction. Second, AT&amp;T will spin off Broadband to its shareholders. Third, Comcast and Broadband will each merge with a different, wholly owned subsidiary of AT&amp;T Comcast. The Comcast and AT&amp;T shareholders will receive the shares of AT&amp;T Comcast. The merger agreement provides for all of the steps described above to occur on the closing date for the mergers. The AT&amp;T Comcast transaction remains subject to regulatory and other approvals and other conditions, including the receipt of the specified note consents as described in this prospectus, and is expected to close by the end of 2002.</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Immediately after the completion of the spin off of Broadband, Broadband Acquisition Corp., a wholly owned subsidiary of AT&amp;T Comcast, will merge with and into Broadband, with Broadband continuing as the surviving corporation and a wholly owned subsidiary of AT&amp;T Comcast. This merger is referred to in this prospectus as the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prospectus as the "Comcast merger." After completion of the mergers, the shareholders of Comcast and Broadband will be shareholders of AT&amp;T Comcast.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TIMING OF CLOSING</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closing date for the AT&amp;T Comcast transaction will occur as soon as practicable, and, in any event, within five business days, after satisfaction or waiver of all conditions to the mergers set forth in the merger agreement. The mergers will become effective after the separation and the Broadband spin-off on the closing date for the transaction at a time that is mutually agreeable to Comcast and AT&amp;T.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AGREEMENT</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following summary of the terms of the merger agreement for the AT&amp;T Comcast transaction, and of the agreements related to that transaction, is qualified in its entirety by reference to the complete text of the merger agreement, as amended, which is included as an exhibit to the registration statement of which this prospectus is a part.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2719" w:firstLine="657"/>
        <w:spacing w:after="0" w:line="255" w:lineRule="auto"/>
        <w:rPr>
          <w:sz w:val="20"/>
          <w:szCs w:val="20"/>
          <w:color w:val="auto"/>
        </w:rPr>
      </w:pPr>
      <w:r>
        <w:rPr>
          <w:rFonts w:ascii="Courier New" w:cs="Courier New" w:eastAsia="Courier New" w:hAnsi="Courier New"/>
          <w:sz w:val="15"/>
          <w:szCs w:val="15"/>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AT&amp;T Comcast transaction, without the prior written consent of the other party, which consent will not be unreasonably withheld. AT&amp;T has also agreed not to enter into any material agreement or arrangement relating to its interest in or amend or modify in any 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137</w:t>
      </w:r>
    </w:p>
    <w:p>
      <w:pPr>
        <w:sectPr>
          <w:pgSz w:w="11900" w:h="16838" w:orient="portrait"/>
          <w:cols w:equalWidth="0" w:num="1">
            <w:col w:w="10219"/>
          </w:cols>
          <w:pgMar w:left="240" w:top="654" w:right="1440" w:bottom="1440" w:gutter="0" w:footer="0" w:header="0"/>
        </w:sectPr>
      </w:pPr>
    </w:p>
    <w:bookmarkStart w:id="157" w:name="page158"/>
    <w:bookmarkEnd w:id="157"/>
    <w:p>
      <w:pPr>
        <w:ind w:right="2719"/>
        <w:spacing w:after="0" w:line="238" w:lineRule="auto"/>
        <w:rPr>
          <w:sz w:val="20"/>
          <w:szCs w:val="20"/>
          <w:color w:val="auto"/>
        </w:rPr>
      </w:pPr>
      <w:r>
        <w:rPr>
          <w:rFonts w:ascii="Courier New" w:cs="Courier New" w:eastAsia="Courier New" w:hAnsi="Courier New"/>
          <w:sz w:val="16"/>
          <w:szCs w:val="16"/>
          <w:color w:val="auto"/>
        </w:rPr>
        <w:t>transaction, without the prior written consent of Comcast, which consent will not be unreasonably withheld. AT&amp;T has further agreed to run its broadband business for the benefit of the broadband business prior to the completion of the AT&amp;T Comcast transaction. Each party has also agreed to restrictions on its ability to issue equity securities with some exceptions, including in the case of AT&amp;T the issuance of up to 275 million shares of AT&amp;T common stock in connection with the acquisition of shares of AT&amp;T Canada and to satisfy obligations relating to deferred compensation plans and in the case of Comcast the issuance of shares of Comcast common stock having a value of up to $3 billion. In May 2002, AT&amp;T issued approximately 14 million shares of AT&amp;T common stock to satisfy obligations relating to deferred compensation plans and in June 2002, AT&amp;T completed an offering of 230 million shares of AT&amp;T common stock in connection with the acquisition of shares of AT&amp;T Canada.</w:t>
      </w:r>
    </w:p>
    <w:p>
      <w:pPr>
        <w:spacing w:after="0" w:line="189" w:lineRule="exact"/>
        <w:rPr>
          <w:sz w:val="20"/>
          <w:szCs w:val="20"/>
          <w:color w:val="auto"/>
        </w:rPr>
      </w:pPr>
    </w:p>
    <w:p>
      <w:pPr>
        <w:ind w:right="2719" w:firstLine="657"/>
        <w:spacing w:after="0" w:line="238" w:lineRule="auto"/>
        <w:rPr>
          <w:sz w:val="20"/>
          <w:szCs w:val="20"/>
          <w:color w:val="auto"/>
        </w:rPr>
      </w:pPr>
      <w:r>
        <w:rPr>
          <w:rFonts w:ascii="Courier New" w:cs="Courier New" w:eastAsia="Courier New" w:hAnsi="Courier New"/>
          <w:sz w:val="16"/>
          <w:szCs w:val="16"/>
          <w:color w:val="auto"/>
        </w:rPr>
        <w:t>Covenant to Obtain Regulatory Approvals. Under U.S. antitrust laws, Comcast and AT&amp;T may not complete the AT&amp;T Comcast transaction until Comcast and AT&amp;T have notified the Antitrust Division of the United States Department of Justice and the Federal Trade Commission of the AT&amp;T Comcast transaction by filing the necessary report forms and until a required waiting period has ended. Comcast and AT&amp;T have filed the required information and materials to notify the U.S. Department of Justice and the Federal Trade Commission of the AT&amp;T Comcast transaction. On February 21, 2002, Comcast and AT&amp;T received a request from the United States Department of Justice, the reviewing agency, for additional information regarding the AT&amp;T Comcast transaction. Comcast and AT&amp;T complied with this request, and the waiting period under the Hart-Scott-Rodino Antitrust Improvements Act of 1976, referred to as the HSR Act, applicable to the AT&amp;T Comcast transaction has expired. At this time, the HSR Act no longer prohibits the parties from closing the AT&amp;T Comcast transaction. To the extent that the Antitrust Division of the U.S. Department of Justice requests any additional information from AT&amp;T and Comcast concerning the AT&amp;T Comcast transaction, AT&amp;T and Comcast expect to continue to cooperate.</w:t>
      </w:r>
    </w:p>
    <w:p>
      <w:pPr>
        <w:spacing w:after="0" w:line="19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Under federal communications law and local franchise requirements, Comcast and AT&amp;T must also obtain the approval of the FCC and a number of state and local authorities in connection with the AT&amp;T Comcast transaction. Comcast and AT&amp;T have filed the required applications with the FCC and these state and local authorities. The FCC and a number of these state and local authorities have not completed their reviews of the AT&amp;T Comcast transaction.</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all consents of the FCC required to complete the AT&amp;T Comcast transaction.</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187" w:lineRule="exact"/>
        <w:rPr>
          <w:sz w:val="20"/>
          <w:szCs w:val="20"/>
          <w:color w:val="auto"/>
        </w:rPr>
      </w:pPr>
    </w:p>
    <w:p>
      <w:pPr>
        <w:ind w:right="2899" w:firstLine="657"/>
        <w:spacing w:after="0" w:line="237" w:lineRule="auto"/>
        <w:rPr>
          <w:sz w:val="20"/>
          <w:szCs w:val="20"/>
          <w:color w:val="auto"/>
        </w:rPr>
      </w:pPr>
      <w:r>
        <w:rPr>
          <w:rFonts w:ascii="Courier New" w:cs="Courier New" w:eastAsia="Courier New" w:hAnsi="Courier New"/>
          <w:sz w:val="16"/>
          <w:szCs w:val="16"/>
          <w:color w:val="auto"/>
        </w:rPr>
        <w:t>TOPrS Covenant. AT&amp;T Comcast has agreed, on the earliest date on which the Broadband debt known by the acronym TOPrS as to which AT&amp;T has guaranteed certain obligations may be redeemed, to either redeem that series of TOPrS, cause AT&amp;T to be released from any guarantee or post a letter of credit in respect of that debt. As of the date of this filing, $500 million in principal amount of outstanding TOPrS remains subject to this obligation.</w:t>
      </w:r>
    </w:p>
    <w:p>
      <w:pPr>
        <w:spacing w:after="0" w:line="189" w:lineRule="exact"/>
        <w:rPr>
          <w:sz w:val="20"/>
          <w:szCs w:val="20"/>
          <w:color w:val="auto"/>
        </w:rPr>
      </w:pPr>
    </w:p>
    <w:p>
      <w:pPr>
        <w:ind w:right="2819" w:firstLine="657"/>
        <w:spacing w:after="0" w:line="238" w:lineRule="auto"/>
        <w:rPr>
          <w:sz w:val="20"/>
          <w:szCs w:val="20"/>
          <w:color w:val="auto"/>
        </w:rPr>
      </w:pPr>
      <w:r>
        <w:rPr>
          <w:rFonts w:ascii="Courier New" w:cs="Courier New" w:eastAsia="Courier New" w:hAnsi="Courier New"/>
          <w:sz w:val="16"/>
          <w:szCs w:val="16"/>
          <w:color w:val="auto"/>
        </w:rPr>
        <w:t>QUIPS Failure. Comcast and AT&amp;T have agreed that if on the date that would otherwise be the closing date for the AT&amp;T Comcast transaction the Microsoft transaction described below under "-- The Exchange Agreement and Instrument of Admission -- QUIPS Exchange" does not occur (the "QUIPS Failure Date"), the closing date for the AT&amp;T Comcast transaction may be delayed for up to 180 days after the QUIPS Failure Date. During this period, AT&amp;T and Comcast will use commercially reasonable efforts to complete the Microsoft transaction or, if it appears reasonably likely that the Microsoft transaction will not occur, the transfer of the obligations under the QUIPS (the "QUIPS Transfer") from</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138</w:t>
      </w:r>
    </w:p>
    <w:p>
      <w:pPr>
        <w:sectPr>
          <w:pgSz w:w="11900" w:h="16838" w:orient="portrait"/>
          <w:cols w:equalWidth="0" w:num="1">
            <w:col w:w="10219"/>
          </w:cols>
          <w:pgMar w:left="240" w:top="659" w:right="1440" w:bottom="1440" w:gutter="0" w:footer="0" w:header="0"/>
        </w:sectPr>
      </w:pPr>
    </w:p>
    <w:bookmarkStart w:id="158" w:name="page159"/>
    <w:bookmarkEnd w:id="158"/>
    <w:p>
      <w:pPr>
        <w:ind w:right="2719"/>
        <w:spacing w:after="0" w:line="255" w:lineRule="auto"/>
        <w:rPr>
          <w:sz w:val="20"/>
          <w:szCs w:val="20"/>
          <w:color w:val="auto"/>
        </w:rPr>
      </w:pPr>
      <w:r>
        <w:rPr>
          <w:rFonts w:ascii="Courier New" w:cs="Courier New" w:eastAsia="Courier New" w:hAnsi="Courier New"/>
          <w:sz w:val="15"/>
          <w:szCs w:val="15"/>
          <w:color w:val="auto"/>
        </w:rPr>
        <w:t>AT&amp;T to Broadband, in either case on the closing date for the AT&amp;T Comcast transaction. If neither the Microsoft transaction nor the QUIPS Transfer occurs on the closing date for the AT&amp;T Comcast transaction during this period, Broadband will pay AT&amp;T an additional amount at closing equal to the fair market value of the QUIPS, as determined pursuant to an appraisal process specified in the merger agreement, and will indemnify AT&amp;T for certain possible related liabilities. In such event, Comcast will be permitted to sell assets and take any other actions that are necessary or reasonably designed to enable it to provide Broadband with sufficient funds to pay AT&amp;T the QUIPS fair market value.</w:t>
      </w:r>
    </w:p>
    <w:p>
      <w:pPr>
        <w:spacing w:after="0" w:line="179" w:lineRule="exact"/>
        <w:rPr>
          <w:sz w:val="20"/>
          <w:szCs w:val="20"/>
          <w:color w:val="auto"/>
        </w:rPr>
      </w:pPr>
    </w:p>
    <w:p>
      <w:pPr>
        <w:ind w:right="2719" w:firstLine="657"/>
        <w:spacing w:after="0" w:line="255" w:lineRule="auto"/>
        <w:rPr>
          <w:sz w:val="20"/>
          <w:szCs w:val="20"/>
          <w:color w:val="auto"/>
        </w:rPr>
      </w:pPr>
      <w:r>
        <w:rPr>
          <w:rFonts w:ascii="Courier New" w:cs="Courier New" w:eastAsia="Courier New" w:hAnsi="Courier New"/>
          <w:sz w:val="15"/>
          <w:szCs w:val="15"/>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 that, in such event, at the request of Comcast, the End Date will be extended by the reasonably expected period of delay in the completion of the mergers caused by such Significant Excepted Transaction up to sixty days.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Microsoft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Microsoft transaction and (3) AT&amp;T, and not Broadband, agrees to pay any costs, expenses or fees payable in connection with obtaining Microsoft's consent to the extension of the "end" date for the Microsoft transaction.</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186" w:lineRule="exact"/>
        <w:rPr>
          <w:sz w:val="20"/>
          <w:szCs w:val="20"/>
          <w:color w:val="auto"/>
        </w:rPr>
      </w:pPr>
    </w:p>
    <w:p>
      <w:pPr>
        <w:ind w:right="2719" w:firstLine="657"/>
        <w:spacing w:after="0" w:line="237" w:lineRule="auto"/>
        <w:rPr>
          <w:sz w:val="20"/>
          <w:szCs w:val="20"/>
          <w:color w:val="auto"/>
        </w:rPr>
      </w:pPr>
      <w:r>
        <w:rPr>
          <w:rFonts w:ascii="Courier New" w:cs="Courier New" w:eastAsia="Courier New" w:hAnsi="Courier New"/>
          <w:sz w:val="16"/>
          <w:szCs w:val="16"/>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prospectus and is not adverse to the other party.</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POST-TRANSACTION GOVERNANCE ARRANGEMENTS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Pursuant to the terms of the merger agreement, upon completion of the AT&amp;T Comcast transaction:</w:t>
      </w:r>
    </w:p>
    <w:p>
      <w:pPr>
        <w:spacing w:after="0" w:line="185" w:lineRule="exact"/>
        <w:rPr>
          <w:sz w:val="20"/>
          <w:szCs w:val="20"/>
          <w:color w:val="auto"/>
        </w:rPr>
      </w:pPr>
    </w:p>
    <w:p>
      <w:pPr>
        <w:ind w:left="660" w:right="2719" w:hanging="195"/>
        <w:spacing w:after="0" w:line="255" w:lineRule="auto"/>
        <w:tabs>
          <w:tab w:leader="none" w:pos="6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AT&amp;T Comcast Board will initially be comprised of twelve individuals, five of whom will be then existing Comcast directors designated by Comcast, five of whom will be then existing AT&amp;T directors designated by AT&amp;T, and two of whom will be independent persons jointly designated by Comcast and AT&amp;T. Except for pre-approved designees, the director designees will be mutually agreed upon by Comcast and AT&amp;T. Ralph J. Roberts, Brian L. Roberts, Sheldon M. Bonovitz, Julian A. Brodsky and Decker Anstrom are preapproved Comcast director designees and C. Michael Armstrong is a pre-approved AT&amp;T director designee;</w:t>
      </w:r>
    </w:p>
    <w:p>
      <w:pPr>
        <w:spacing w:after="0" w:line="178" w:lineRule="exact"/>
        <w:rPr>
          <w:rFonts w:ascii="Courier New" w:cs="Courier New" w:eastAsia="Courier New" w:hAnsi="Courier New"/>
          <w:sz w:val="15"/>
          <w:szCs w:val="15"/>
          <w:color w:val="auto"/>
        </w:rPr>
      </w:pPr>
    </w:p>
    <w:p>
      <w:pPr>
        <w:ind w:left="660" w:right="2819" w:hanging="195"/>
        <w:spacing w:after="0" w:line="254" w:lineRule="auto"/>
        <w:tabs>
          <w:tab w:leader="none" w:pos="6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the AT&amp;T Comcast Board will not expire until the 2004 annual meeting of AT&amp;T Comcast shareholders. Since AT&amp;T Comcast shareholders</w:t>
      </w:r>
    </w:p>
    <w:p>
      <w:pPr>
        <w:spacing w:after="0" w:line="1" w:lineRule="exact"/>
        <w:rPr>
          <w:sz w:val="20"/>
          <w:szCs w:val="20"/>
          <w:color w:val="auto"/>
        </w:rPr>
      </w:pPr>
    </w:p>
    <w:p>
      <w:pPr>
        <w:ind w:left="660" w:right="2719"/>
        <w:spacing w:after="0" w:line="237" w:lineRule="auto"/>
        <w:rPr>
          <w:sz w:val="20"/>
          <w:szCs w:val="20"/>
          <w:color w:val="auto"/>
        </w:rPr>
      </w:pPr>
      <w:r>
        <w:rPr>
          <w:rFonts w:ascii="Courier New" w:cs="Courier New" w:eastAsia="Courier New" w:hAnsi="Courier New"/>
          <w:sz w:val="16"/>
          <w:szCs w:val="16"/>
          <w:color w:val="auto"/>
        </w:rPr>
        <w:t>will not have the right to call special meetings of shareholders or act by written consent and AT&amp;T Comcast directors will be able to be removed only for cause, AT&amp;T Comcast shareholders will not be able to replace the initial AT&amp;T</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139</w:t>
      </w:r>
    </w:p>
    <w:p>
      <w:pPr>
        <w:sectPr>
          <w:pgSz w:w="11900" w:h="16838" w:orient="portrait"/>
          <w:cols w:equalWidth="0" w:num="1">
            <w:col w:w="10219"/>
          </w:cols>
          <w:pgMar w:left="240" w:top="659" w:right="1440" w:bottom="1440" w:gutter="0" w:footer="0" w:header="0"/>
        </w:sectPr>
      </w:pPr>
    </w:p>
    <w:bookmarkStart w:id="159" w:name="page160"/>
    <w:bookmarkEnd w:id="159"/>
    <w:p>
      <w:pPr>
        <w:ind w:left="660" w:right="2719"/>
        <w:spacing w:after="0" w:line="238" w:lineRule="auto"/>
        <w:rPr>
          <w:sz w:val="20"/>
          <w:szCs w:val="20"/>
          <w:color w:val="auto"/>
        </w:rPr>
      </w:pPr>
      <w:r>
        <w:rPr>
          <w:rFonts w:ascii="Courier New" w:cs="Courier New" w:eastAsia="Courier New" w:hAnsi="Courier New"/>
          <w:sz w:val="16"/>
          <w:szCs w:val="16"/>
          <w:color w:val="auto"/>
        </w:rPr>
        <w:t>Comcast Board members prior to that meeting. 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w:t>
      </w:r>
    </w:p>
    <w:p>
      <w:pPr>
        <w:spacing w:after="0" w:line="185" w:lineRule="exact"/>
        <w:rPr>
          <w:sz w:val="20"/>
          <w:szCs w:val="20"/>
          <w:color w:val="auto"/>
        </w:rPr>
      </w:pPr>
    </w:p>
    <w:p>
      <w:pPr>
        <w:ind w:left="660" w:right="2719" w:hanging="195"/>
        <w:spacing w:after="0" w:line="238" w:lineRule="auto"/>
        <w:tabs>
          <w:tab w:leader="none" w:pos="6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meeting of AT&amp;T Comcast shareholders, or if C. Michael Armstrong ceases to serve as Chairman of the Board prior to that date, Brian L. Roberts will be the Chairman of the Board. Removal of the Chairman of the Board will require the approval of at least 75% of the entire AT&amp;T Comcast Board until the earlier of the date that neither C. Michael Armstrong nor Brian L. Roberts is Chairman of the Board and the sixth anniversary of the 2004 annual meeting of shareholders;</w:t>
      </w:r>
    </w:p>
    <w:p>
      <w:pPr>
        <w:spacing w:after="0" w:line="188"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 President of Comcast, will serve as CEO and President of AT&amp;T Comcast. Removal of the CEO requires the vote of at least 75% of the entire AT&amp;T Comcast Board until the earlier of the date when Brian L. Roberts is not the CEO and the sixth anniversary of the 2004 annual meeting of shareholders;</w:t>
      </w:r>
    </w:p>
    <w:p>
      <w:pPr>
        <w:spacing w:after="0" w:line="187"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senior officers of AT&amp;T Comcast will be designated by Brian L. Roberts in consultation with C. Michael Armstrong;</w:t>
      </w:r>
    </w:p>
    <w:p>
      <w:pPr>
        <w:spacing w:after="0" w:line="184" w:lineRule="exact"/>
        <w:rPr>
          <w:rFonts w:ascii="Courier New" w:cs="Courier New" w:eastAsia="Courier New" w:hAnsi="Courier New"/>
          <w:sz w:val="16"/>
          <w:szCs w:val="16"/>
          <w:color w:val="auto"/>
        </w:rPr>
      </w:pPr>
    </w:p>
    <w:p>
      <w:pPr>
        <w:ind w:left="660" w:right="2819" w:hanging="195"/>
        <w:spacing w:after="0" w:line="257" w:lineRule="auto"/>
        <w:tabs>
          <w:tab w:leader="none" w:pos="66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Sural LLC will hold shares of AT&amp;T Comcast Class B common stock constituting 33 1/3% of the combined voting power of AT&amp;T Comcast common stock. Brian L. Roberts has sole voting power over membership interests representing a majority of the voting power of all Sural LLC equity; and</w:t>
      </w:r>
    </w:p>
    <w:p>
      <w:pPr>
        <w:spacing w:after="0" w:line="174"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will adopt a shareholder rights plan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EMPLOYEE BENEFITS MATTERS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merger agreement, AT&amp;T Comcast has agreed to honor the terms of all Broadband employee benefit plans and arrangements and to pay and provide the benefits required thereunder, recognizing that the AT&amp;T Comcast transaction is a change in control under the plans, and to provide until December 31, 2003 to employees of Broadband and its subsidiaries (other than those subject to collective bargaining obligations or agreements) aggregate employee benefits and compensation that are substantially comparable in the aggregate to those provided by Broadband and its subsidiaries as of the completion of the AT&amp;T Comcast transaction, other than benefits provided under severance or separation plans of Broadband or its subsidiaries. Until December 31, 2003, AT&amp;T Comcast has agreed to continue certain severance plans of Broadband and its subsidiaries without adverse change.</w:t>
      </w:r>
    </w:p>
    <w:p>
      <w:pPr>
        <w:spacing w:after="0" w:line="188"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AT&amp;T Comcast has also agreed to special severance arrangements for AT&amp;T executive officers expected to become employees of Broadband prior to consummation of the AT&amp;T Comcast merger transaction. Based on currently available information, if all such executive officers were terminated without cause immediately following completion of the AT&amp;T Comcast transaction, they would receive severance payments approximately equal in the aggregate to $44,700,000.</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COVENANT REGARDING COMCAST'S AT&amp;T STOCK. Comcast and AT&amp;T have agreed that, prior to the Broadband spin-off, Comcast will exchange all of its shares of AT&amp;T common stock for shares of a newly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140</w:t>
      </w:r>
    </w:p>
    <w:p>
      <w:pPr>
        <w:sectPr>
          <w:pgSz w:w="11900" w:h="16838" w:orient="portrait"/>
          <w:cols w:equalWidth="0" w:num="1">
            <w:col w:w="10219"/>
          </w:cols>
          <w:pgMar w:left="240" w:top="659" w:right="1440" w:bottom="1440" w:gutter="0" w:footer="0" w:header="0"/>
        </w:sectPr>
      </w:pPr>
    </w:p>
    <w:bookmarkStart w:id="160" w:name="page161"/>
    <w:bookmarkEnd w:id="160"/>
    <w:p>
      <w:pPr>
        <w:ind w:right="2719"/>
        <w:spacing w:after="0" w:line="255" w:lineRule="auto"/>
        <w:rPr>
          <w:sz w:val="20"/>
          <w:szCs w:val="20"/>
          <w:color w:val="auto"/>
        </w:rPr>
      </w:pPr>
      <w:r>
        <w:rPr>
          <w:rFonts w:ascii="Courier New" w:cs="Courier New" w:eastAsia="Courier New" w:hAnsi="Courier New"/>
          <w:sz w:val="15"/>
          <w:szCs w:val="15"/>
          <w:color w:val="auto"/>
        </w:rPr>
        <w:t>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cap described below, is equal in value to the interest Comcast held in the combined communications and broadband business of AT&amp;T prior to the AT&amp;T Comcast transaction. Based on the closing price of AT&amp;T common stock of $12.06 per share on October 2, 2002, the most recent practicable date prior to the printing and mailing of this prospectus, Comcast's AT&amp;T interest had a value of approximately $500.7 million.</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REPRESENTATIONS AND WARRANTIES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CONDITIONS TO THE COMPLETION OF THE MERGERS</w:t>
      </w:r>
    </w:p>
    <w:p>
      <w:pPr>
        <w:spacing w:after="0" w:line="185" w:lineRule="exact"/>
        <w:rPr>
          <w:sz w:val="20"/>
          <w:szCs w:val="20"/>
          <w:color w:val="auto"/>
        </w:rPr>
      </w:pPr>
    </w:p>
    <w:p>
      <w:pPr>
        <w:ind w:right="2819" w:firstLine="657"/>
        <w:spacing w:after="0" w:line="259" w:lineRule="auto"/>
        <w:rPr>
          <w:sz w:val="20"/>
          <w:szCs w:val="20"/>
          <w:color w:val="auto"/>
        </w:rPr>
      </w:pPr>
      <w:r>
        <w:rPr>
          <w:rFonts w:ascii="Courier New" w:cs="Courier New" w:eastAsia="Courier New" w:hAnsi="Courier New"/>
          <w:sz w:val="15"/>
          <w:szCs w:val="15"/>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171" w:lineRule="exact"/>
        <w:rPr>
          <w:sz w:val="20"/>
          <w:szCs w:val="20"/>
          <w:color w:val="auto"/>
        </w:rPr>
      </w:pPr>
    </w:p>
    <w:p>
      <w:pPr>
        <w:ind w:left="660" w:right="3179" w:hanging="195"/>
        <w:spacing w:after="0" w:line="236" w:lineRule="auto"/>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any applicable waiting period under the Hart-Scott-Rodino Antitrust Improvements Act of 1976;</w:t>
      </w:r>
    </w:p>
    <w:p>
      <w:pPr>
        <w:spacing w:after="0" w:line="184"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 material legal prohibition on the AT&amp;T Comcast transaction;</w:t>
      </w:r>
    </w:p>
    <w:p>
      <w:pPr>
        <w:spacing w:after="0" w:line="190"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185"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any order or statute, rule or regulation restraining or prohibiting the effective operation of the business of AT&amp;T Comcast, Broadband or Comcast after the completion of the mergers that would reasonably be expected to have a Material Adverse Effect on Comcast or AT&amp;T's broadband business;</w:t>
      </w:r>
    </w:p>
    <w:p>
      <w:pPr>
        <w:spacing w:after="0" w:line="182"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completion of the separation and the Broadband spin-off;</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all of the transaction agreements described or referred to in the merger agreement;</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and continuing effectiveness of an Internal Revenue Service ruling or rulings (or, if Comcast and AT&amp;T mutually agree, an opinion from tax counsel acceptable to AT&amp;T and Comcast) to the effect that, for U.S. federal income tax purposes, the separation and the Broadband spin-off will be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141</w:t>
      </w:r>
    </w:p>
    <w:p>
      <w:pPr>
        <w:sectPr>
          <w:pgSz w:w="11900" w:h="16838" w:orient="portrait"/>
          <w:cols w:equalWidth="0" w:num="1">
            <w:col w:w="10219"/>
          </w:cols>
          <w:pgMar w:left="240" w:top="839" w:right="1440" w:bottom="1440" w:gutter="0" w:footer="0" w:header="0"/>
        </w:sectPr>
      </w:pPr>
    </w:p>
    <w:bookmarkStart w:id="161" w:name="page162"/>
    <w:bookmarkEnd w:id="161"/>
    <w:p>
      <w:pPr>
        <w:ind w:left="660" w:right="2819"/>
        <w:spacing w:after="0" w:line="237" w:lineRule="auto"/>
        <w:rPr>
          <w:sz w:val="20"/>
          <w:szCs w:val="20"/>
          <w:color w:val="auto"/>
        </w:rPr>
      </w:pPr>
      <w:r>
        <w:rPr>
          <w:rFonts w:ascii="Courier New" w:cs="Courier New" w:eastAsia="Courier New" w:hAnsi="Courier New"/>
          <w:sz w:val="16"/>
          <w:szCs w:val="16"/>
          <w:color w:val="auto"/>
        </w:rPr>
        <w:t>tax-free, the mergers will not cause the separation and the Broadband spin-off to fail to qualify as tax-free, and the separation and the Broadband spin-off will not cause the distribution by AT&amp;T of all of the common stock of AT&amp;T Wireless or of Liberty Media to fail to qualify as tax-free transactions; and</w:t>
      </w:r>
    </w:p>
    <w:p>
      <w:pPr>
        <w:spacing w:after="0" w:line="187" w:lineRule="exact"/>
        <w:rPr>
          <w:sz w:val="20"/>
          <w:szCs w:val="20"/>
          <w:color w:val="auto"/>
        </w:rPr>
      </w:pPr>
    </w:p>
    <w:p>
      <w:pPr>
        <w:ind w:left="660" w:right="2719" w:hanging="195"/>
        <w:spacing w:after="0" w:line="237" w:lineRule="auto"/>
        <w:tabs>
          <w:tab w:leader="none" w:pos="66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the consent of, or having defeased, purchased or acquired debt, in respect of series representing at least 90% in aggregate principal amount of the securities issued under the AT&amp;T Indenture outstanding as of December 19, 2001, which was approximately $12.7 billion.</w:t>
      </w:r>
    </w:p>
    <w:p>
      <w:pPr>
        <w:spacing w:after="0" w:line="187" w:lineRule="exact"/>
        <w:rPr>
          <w:sz w:val="20"/>
          <w:szCs w:val="20"/>
          <w:color w:val="auto"/>
        </w:rPr>
      </w:pPr>
    </w:p>
    <w:p>
      <w:pPr>
        <w:ind w:right="2819" w:firstLine="657"/>
        <w:spacing w:after="0" w:line="237" w:lineRule="auto"/>
        <w:rPr>
          <w:sz w:val="20"/>
          <w:szCs w:val="20"/>
          <w:color w:val="auto"/>
        </w:rPr>
      </w:pPr>
      <w:r>
        <w:rPr>
          <w:rFonts w:ascii="Courier New" w:cs="Courier New" w:eastAsia="Courier New" w:hAnsi="Courier New"/>
          <w:sz w:val="16"/>
          <w:szCs w:val="16"/>
          <w:color w:val="auto"/>
        </w:rPr>
        <w:t>Additional Conditions to the Obligations of AT&amp;T. The obligations of AT&amp;T to consummate the Broadband merger are also subject to the satisfaction or waiver, to the extent permissible, of the following conditions:</w:t>
      </w:r>
    </w:p>
    <w:p>
      <w:pPr>
        <w:spacing w:after="0" w:line="185" w:lineRule="exact"/>
        <w:rPr>
          <w:sz w:val="20"/>
          <w:szCs w:val="20"/>
          <w:color w:val="auto"/>
        </w:rPr>
      </w:pPr>
    </w:p>
    <w:p>
      <w:pPr>
        <w:ind w:left="660" w:right="3099" w:hanging="195"/>
        <w:spacing w:after="0" w:line="237" w:lineRule="auto"/>
        <w:tabs>
          <w:tab w:leader="none" w:pos="6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including with respect to the absence of a Material Adverse Effect on Comcast;</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in all material respects of its obligations under the merger agreement;</w:t>
      </w:r>
    </w:p>
    <w:p>
      <w:pPr>
        <w:spacing w:after="0" w:line="184" w:lineRule="exact"/>
        <w:rPr>
          <w:rFonts w:ascii="Courier New" w:cs="Courier New" w:eastAsia="Courier New" w:hAnsi="Courier New"/>
          <w:sz w:val="16"/>
          <w:szCs w:val="16"/>
          <w:color w:val="auto"/>
        </w:rPr>
      </w:pPr>
    </w:p>
    <w:p>
      <w:pPr>
        <w:jc w:val="both"/>
        <w:ind w:left="660" w:right="2999" w:hanging="195"/>
        <w:spacing w:after="0" w:line="237" w:lineRule="auto"/>
        <w:tabs>
          <w:tab w:leader="none" w:pos="6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AT&amp;T of an opinion of Wachtell, Lipton, Rosen &amp; Katz to the effect that the combination of Broadband and Comcast will qualify as a tax-free transaction; and</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Sural in all material respects of its obligations under the support agreement.</w:t>
      </w:r>
    </w:p>
    <w:p>
      <w:pPr>
        <w:spacing w:after="0" w:line="185" w:lineRule="exact"/>
        <w:rPr>
          <w:sz w:val="20"/>
          <w:szCs w:val="20"/>
          <w:color w:val="auto"/>
        </w:rPr>
      </w:pPr>
    </w:p>
    <w:p>
      <w:pPr>
        <w:ind w:right="2719" w:firstLine="657"/>
        <w:spacing w:after="0" w:line="237" w:lineRule="auto"/>
        <w:rPr>
          <w:sz w:val="20"/>
          <w:szCs w:val="20"/>
          <w:color w:val="auto"/>
        </w:rPr>
      </w:pPr>
      <w:r>
        <w:rPr>
          <w:rFonts w:ascii="Courier New" w:cs="Courier New" w:eastAsia="Courier New" w:hAnsi="Courier New"/>
          <w:sz w:val="16"/>
          <w:szCs w:val="16"/>
          <w:color w:val="auto"/>
        </w:rPr>
        <w:t>Additional Conditions to the Obligations of Comcast. The obligations of Comcast to consummate the Comcast merger are also subject to the satisfaction or waiver, to the extent permissible, of the following conditions:</w:t>
      </w:r>
    </w:p>
    <w:p>
      <w:pPr>
        <w:spacing w:after="0" w:line="185" w:lineRule="exact"/>
        <w:rPr>
          <w:sz w:val="20"/>
          <w:szCs w:val="20"/>
          <w:color w:val="auto"/>
        </w:rPr>
      </w:pPr>
    </w:p>
    <w:p>
      <w:pPr>
        <w:ind w:left="660" w:right="3099" w:hanging="195"/>
        <w:spacing w:after="0" w:line="237" w:lineRule="auto"/>
        <w:tabs>
          <w:tab w:leader="none" w:pos="6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AT&amp;T, including with respect to the absence of a Material Adverse Effect on Broadband,</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AT&amp;T in all material respects of its obligations under the merger agreement,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Comcast of an opinion of Davis Polk &amp; Wardwell to the effect that the combination of Broadband and Comcast will qualify as a tax-free transaction.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TERMINATION OF THE MERGER AGREEMENT</w:t>
      </w:r>
    </w:p>
    <w:p>
      <w:pPr>
        <w:spacing w:after="0" w:line="185" w:lineRule="exact"/>
        <w:rPr>
          <w:sz w:val="20"/>
          <w:szCs w:val="20"/>
          <w:color w:val="auto"/>
        </w:rPr>
      </w:pPr>
    </w:p>
    <w:p>
      <w:pPr>
        <w:ind w:right="3939" w:firstLine="469"/>
        <w:spacing w:after="0" w:line="236" w:lineRule="auto"/>
        <w:rPr>
          <w:sz w:val="20"/>
          <w:szCs w:val="20"/>
          <w:color w:val="auto"/>
        </w:rPr>
      </w:pPr>
      <w:r>
        <w:rPr>
          <w:rFonts w:ascii="Courier New" w:cs="Courier New" w:eastAsia="Courier New" w:hAnsi="Courier New"/>
          <w:sz w:val="16"/>
          <w:szCs w:val="16"/>
          <w:color w:val="auto"/>
        </w:rPr>
        <w:t>The merger agreement may be terminated in any of the following circumstances:</w:t>
      </w:r>
    </w:p>
    <w:p>
      <w:pPr>
        <w:spacing w:after="0" w:line="185" w:lineRule="exact"/>
        <w:rPr>
          <w:sz w:val="20"/>
          <w:szCs w:val="20"/>
          <w:color w:val="auto"/>
        </w:rPr>
      </w:pPr>
    </w:p>
    <w:p>
      <w:pPr>
        <w:ind w:left="660" w:right="3099" w:hanging="195"/>
        <w:spacing w:after="0" w:line="236" w:lineRule="auto"/>
        <w:tabs>
          <w:tab w:leader="none" w:pos="66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mutual written agreement of Comcast and AT&amp;T.</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either Comcast or AT&amp;T if:</w:t>
      </w:r>
    </w:p>
    <w:p>
      <w:pPr>
        <w:spacing w:after="0" w:line="185" w:lineRule="exact"/>
        <w:rPr>
          <w:sz w:val="20"/>
          <w:szCs w:val="20"/>
          <w:color w:val="auto"/>
        </w:rPr>
      </w:pPr>
    </w:p>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186" w:lineRule="exact"/>
        <w:rPr>
          <w:sz w:val="20"/>
          <w:szCs w:val="20"/>
          <w:color w:val="auto"/>
        </w:rPr>
      </w:pPr>
    </w:p>
    <w:p>
      <w:pPr>
        <w:ind w:left="740" w:right="3179" w:hanging="179"/>
        <w:spacing w:after="0" w:line="254" w:lineRule="auto"/>
        <w:tabs>
          <w:tab w:leader="none" w:pos="720" w:val="left"/>
        </w:tabs>
        <w:rPr>
          <w:sz w:val="20"/>
          <w:szCs w:val="20"/>
          <w:color w:val="auto"/>
        </w:rPr>
      </w:pPr>
      <w:r>
        <w:rPr>
          <w:rFonts w:ascii="Courier New" w:cs="Courier New" w:eastAsia="Courier New" w:hAnsi="Courier New"/>
          <w:sz w:val="15"/>
          <w:szCs w:val="15"/>
          <w:color w:val="auto"/>
        </w:rPr>
        <w:t>o</w:t>
        <w:tab/>
        <w:t>the other party breaches the merger agreement such that the related closing conditions cannot be satisfied by March 1, 2003; or</w:t>
      </w:r>
    </w:p>
    <w:p>
      <w:pPr>
        <w:ind w:left="3660"/>
        <w:spacing w:after="0" w:line="234" w:lineRule="auto"/>
        <w:rPr>
          <w:sz w:val="20"/>
          <w:szCs w:val="20"/>
          <w:color w:val="auto"/>
        </w:rPr>
      </w:pPr>
      <w:r>
        <w:rPr>
          <w:rFonts w:ascii="Courier New" w:cs="Courier New" w:eastAsia="Courier New" w:hAnsi="Courier New"/>
          <w:sz w:val="16"/>
          <w:szCs w:val="16"/>
          <w:color w:val="auto"/>
        </w:rPr>
        <w:t>142</w:t>
      </w:r>
    </w:p>
    <w:p>
      <w:pPr>
        <w:sectPr>
          <w:pgSz w:w="11900" w:h="16838" w:orient="portrait"/>
          <w:cols w:equalWidth="0" w:num="1">
            <w:col w:w="10219"/>
          </w:cols>
          <w:pgMar w:left="240" w:top="659" w:right="1440" w:bottom="1440" w:gutter="0" w:footer="0" w:header="0"/>
        </w:sectPr>
      </w:pPr>
    </w:p>
    <w:bookmarkStart w:id="162" w:name="page163"/>
    <w:bookmarkEnd w:id="162"/>
    <w:p>
      <w:pPr>
        <w:ind w:left="740" w:right="2819" w:hanging="179"/>
        <w:spacing w:after="0" w:line="237" w:lineRule="auto"/>
        <w:tabs>
          <w:tab w:leader="none" w:pos="720" w:val="left"/>
        </w:tabs>
        <w:rPr>
          <w:sz w:val="20"/>
          <w:szCs w:val="20"/>
          <w:color w:val="auto"/>
        </w:rPr>
      </w:pPr>
      <w:r>
        <w:rPr>
          <w:rFonts w:ascii="Courier New" w:cs="Courier New" w:eastAsia="Courier New" w:hAnsi="Courier New"/>
          <w:sz w:val="16"/>
          <w:szCs w:val="16"/>
          <w:color w:val="auto"/>
        </w:rPr>
        <w:t>o</w:t>
        <w:tab/>
        <w:t>any material law or regulation makes completion of the AT&amp;T Comcast transaction illegal or a permanent injunction prohibiting completion of the AT&amp;T Comcast transaction is entered.</w:t>
      </w:r>
    </w:p>
    <w:p>
      <w:pPr>
        <w:spacing w:after="0" w:line="185" w:lineRule="exact"/>
        <w:rPr>
          <w:sz w:val="20"/>
          <w:szCs w:val="20"/>
          <w:color w:val="auto"/>
        </w:rPr>
      </w:pPr>
    </w:p>
    <w:p>
      <w:pPr>
        <w:ind w:left="660" w:right="2719" w:hanging="195"/>
        <w:spacing w:after="0" w:line="256" w:lineRule="auto"/>
        <w:tabs>
          <w:tab w:leader="none" w:pos="66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may terminate the merger agreement if the closing date for the AT&amp;T Comcast transaction has not occurred within 30 days of the QUIPS Failure Date, provided that AT&amp;T may terminate the merger agreement pursuant to this provision only (1) on two business days' notice delivered to Comcast prior to the 45th day after the QUIPS Failure Date and (2) if prior to the effectiveness of the termination Comcast does not agree to close the AT&amp;T Comcast transaction by the 60th day after the QUIPS Failure Date.</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EXPENSES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merger agreement provides that all costs and expenses incurred in connection with the AT&amp;T Comcast transaction will be paid by the party incurring the cost or expense, provided that (1) AT&amp;T will pay any costs and expenses incurred by Broadband that are in excess of $120 million (exclusive of any costs and expenses incurred by Broadband as described in clauses (2), (3), (4) and (5) of this sentence), (2) Broadband will pay any costs and expenses incurred in connection with any financing arrangement entered into by Broadband, except that Comcast will pay any costs and expenses incurred in connection with the credit facilities referred to in the first sentence of the second paragraph under "Risk Factors -- Risk Relating to the AT&amp;T Comcast Transaction -- AT&amp;T Comcast and its subsidiaries may not be able to obtain the necessary financing at all or on terms acceptable to it," (3)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 under "-- Covenants -- TOPrS Covenant," (4)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Comcast each will pay 50% of any fees and expenses, other than attorneys' and accounting fees and expenses, incurred in relation to the printing, filing and mailing of the prospectus and the registration statement used in connection with the AT&amp;T Comcast transaction.</w:t>
      </w:r>
    </w:p>
    <w:p>
      <w:pPr>
        <w:spacing w:after="0" w:line="35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However, the merger agreement does not expressly contemplate the exchange offer described in this prospectus. AT&amp;T and Comcast have agreed on a framework to allocate the effective costs of note consents obtained by means of this exchange offer.</w:t>
      </w:r>
    </w:p>
    <w:p>
      <w:pPr>
        <w:spacing w:after="0" w:line="36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AMENDMENTS AND WAIVERS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shareholders of Comcast or AT&amp;T, no amendment or waiver of any provision of the merger agreement may be made or given that requires the approval of shareholders of Comcast or AT&amp;T, respectively, unless such required approval is obtained.</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143</w:t>
      </w:r>
    </w:p>
    <w:p>
      <w:pPr>
        <w:sectPr>
          <w:pgSz w:w="11900" w:h="16838" w:orient="portrait"/>
          <w:cols w:equalWidth="0" w:num="1">
            <w:col w:w="10219"/>
          </w:cols>
          <w:pgMar w:left="240" w:top="659"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6"/>
          <w:szCs w:val="16"/>
          <w:color w:val="auto"/>
        </w:rPr>
        <w:t>THE SEPARATION AND DISTRIBUTION AGREEMENT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following summary of the separation and distribution agreement, as amended, is qualified in its entirety by reference to the complete text of the separation and distribution agreement, as amended, which is an exhibit to the registration statement of which this prospectus is a part.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SEPARATION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Assignment. AT&amp;T will assign and transfer to Broadband all of AT&amp;T's and its subsidiaries' right, title and interest in all of the assets of AT&amp;T's broadband business which are not already held by Broadband or Broadband subsidiary. The assets comprising AT&amp;T's broadband business are generally determined in the following manner:</w:t>
      </w:r>
    </w:p>
    <w:p>
      <w:pPr>
        <w:spacing w:after="0" w:line="187" w:lineRule="exact"/>
        <w:rPr>
          <w:sz w:val="20"/>
          <w:szCs w:val="20"/>
          <w:color w:val="auto"/>
        </w:rPr>
      </w:pPr>
    </w:p>
    <w:p>
      <w:pPr>
        <w:ind w:left="660" w:right="2999" w:hanging="195"/>
        <w:spacing w:after="0" w:line="237" w:lineRule="auto"/>
        <w:tabs>
          <w:tab w:leader="none" w:pos="66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Broadband Group balance sheet dated as of December 31, 2000 are assets of AT&amp;T's broadband business, except as described below;</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Communications Group balance sheet dated as of December 31, 2000 are assets of AT&amp;T's communications business, except as described below;</w:t>
      </w:r>
    </w:p>
    <w:p>
      <w:pPr>
        <w:spacing w:after="0" w:line="184" w:lineRule="exact"/>
        <w:rPr>
          <w:rFonts w:ascii="Courier New" w:cs="Courier New" w:eastAsia="Courier New" w:hAnsi="Courier New"/>
          <w:sz w:val="16"/>
          <w:szCs w:val="16"/>
          <w:color w:val="auto"/>
        </w:rPr>
      </w:pPr>
    </w:p>
    <w:p>
      <w:pPr>
        <w:jc w:val="both"/>
        <w:ind w:left="660" w:right="3099" w:hanging="195"/>
        <w:spacing w:after="0" w:line="237" w:lineRule="auto"/>
        <w:tabs>
          <w:tab w:leader="none" w:pos="66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broadband business regardless of whether or not they are reflected in the AT&amp;T Broadband Group balance sheet dated as of December 31, 2000;</w:t>
      </w:r>
    </w:p>
    <w:p>
      <w:pPr>
        <w:spacing w:after="0" w:line="184" w:lineRule="exact"/>
        <w:rPr>
          <w:rFonts w:ascii="Courier New" w:cs="Courier New" w:eastAsia="Courier New" w:hAnsi="Courier New"/>
          <w:sz w:val="16"/>
          <w:szCs w:val="16"/>
          <w:color w:val="auto"/>
        </w:rPr>
      </w:pPr>
    </w:p>
    <w:p>
      <w:pPr>
        <w:ind w:left="660" w:right="3099" w:hanging="195"/>
        <w:spacing w:after="0" w:line="259" w:lineRule="auto"/>
        <w:tabs>
          <w:tab w:leader="none" w:pos="66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are specifically assigned to AT&amp;T's communications business regardless of whether or not they are reflected in the AT&amp;T Communications Group balance sheet dated as of December 31, 2000; and</w:t>
      </w:r>
    </w:p>
    <w:p>
      <w:pPr>
        <w:spacing w:after="0" w:line="171"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that are not reflected in the AT&amp;T Broadband Group balance sheet or the AT&amp;T Communications Group balance sheet, in each case dated as of December 31, 2000, or specifically assigned to AT&amp;T's broadband business or AT&amp;T's communications business are assigned to the business to which they primarily relate.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Assumption. At the same time as the assignment, Broadband will assume all of the liabilities of AT&amp;T's broadband business that are not already liabilities of Broadband or a Broadband subsidiary. The liabilities of AT&amp;T's broadband business are generally determined in the following manner:</w:t>
      </w:r>
    </w:p>
    <w:p>
      <w:pPr>
        <w:spacing w:after="0" w:line="186" w:lineRule="exact"/>
        <w:rPr>
          <w:sz w:val="20"/>
          <w:szCs w:val="20"/>
          <w:color w:val="auto"/>
        </w:rPr>
      </w:pPr>
    </w:p>
    <w:p>
      <w:pPr>
        <w:ind w:left="660" w:right="2719" w:hanging="195"/>
        <w:spacing w:after="0" w:line="237" w:lineRule="auto"/>
        <w:tabs>
          <w:tab w:leader="none" w:pos="66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Broadband Group balance sheet dated as of December 31, 2000 are liabilities of AT&amp;T's broadband business, except as described below;</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Communications Group balance sheet dated as of December 31, 2000 are liabilities of AT&amp;T's communications business, except as described below;</w:t>
      </w:r>
    </w:p>
    <w:p>
      <w:pPr>
        <w:spacing w:after="0" w:line="184" w:lineRule="exact"/>
        <w:rPr>
          <w:rFonts w:ascii="Courier New" w:cs="Courier New" w:eastAsia="Courier New" w:hAnsi="Courier New"/>
          <w:sz w:val="16"/>
          <w:szCs w:val="16"/>
          <w:color w:val="auto"/>
        </w:rPr>
      </w:pPr>
    </w:p>
    <w:p>
      <w:pPr>
        <w:ind w:left="660" w:right="3179" w:hanging="195"/>
        <w:spacing w:after="0" w:line="237" w:lineRule="auto"/>
        <w:tabs>
          <w:tab w:leader="none" w:pos="66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broadband business regardless of whether or not they are reflected in the AT&amp;T Broadband Group balance sheet dated as of December 31, 2000;</w:t>
      </w:r>
    </w:p>
    <w:p>
      <w:pPr>
        <w:spacing w:after="0" w:line="184" w:lineRule="exact"/>
        <w:rPr>
          <w:rFonts w:ascii="Courier New" w:cs="Courier New" w:eastAsia="Courier New" w:hAnsi="Courier New"/>
          <w:sz w:val="16"/>
          <w:szCs w:val="16"/>
          <w:color w:val="auto"/>
        </w:rPr>
      </w:pPr>
    </w:p>
    <w:p>
      <w:pPr>
        <w:ind w:left="660" w:right="2999" w:hanging="195"/>
        <w:spacing w:after="0" w:line="259" w:lineRule="auto"/>
        <w:tabs>
          <w:tab w:leader="none" w:pos="66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are specifically assigned to AT&amp;T's communications business regardless of whether or not they are reflected in the AT&amp;T Communications Group balance sheet dated as of December 31, 2000;</w:t>
      </w:r>
    </w:p>
    <w:p>
      <w:pPr>
        <w:spacing w:after="0" w:line="171" w:lineRule="exact"/>
        <w:rPr>
          <w:rFonts w:ascii="Courier New" w:cs="Courier New" w:eastAsia="Courier New" w:hAnsi="Courier New"/>
          <w:sz w:val="15"/>
          <w:szCs w:val="15"/>
          <w:color w:val="auto"/>
        </w:rPr>
      </w:pPr>
    </w:p>
    <w:p>
      <w:pPr>
        <w:ind w:left="660" w:right="2719" w:hanging="195"/>
        <w:spacing w:after="0" w:line="238" w:lineRule="auto"/>
        <w:tabs>
          <w:tab w:leader="none" w:pos="66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Group balance sheet, in each case dated as of December 31, 2000; and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144</w:t>
      </w:r>
    </w:p>
    <w:p>
      <w:pPr>
        <w:sectPr>
          <w:pgSz w:w="11900" w:h="16838" w:orient="portrait"/>
          <w:cols w:equalWidth="0" w:num="1">
            <w:col w:w="10219"/>
          </w:cols>
          <w:pgMar w:left="240" w:top="654" w:right="1440" w:bottom="1440" w:gutter="0" w:footer="0" w:header="0"/>
        </w:sectPr>
      </w:pPr>
    </w:p>
    <w:bookmarkStart w:id="164" w:name="page165"/>
    <w:bookmarkEnd w:id="164"/>
    <w:p>
      <w:pPr>
        <w:ind w:left="660" w:right="2819" w:hanging="195"/>
        <w:spacing w:after="0" w:line="237" w:lineRule="auto"/>
        <w:tabs>
          <w:tab w:leader="none" w:pos="66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that are not reflected in the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TIMING OF THE SEPARATION AND THE BROADBAND SPIN-OFF</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separation and the Broadband spin-off are scheduled to occur on the closing date for the mergers. See "-- Timing of Closing." On the closing date, the separation will occur prior to the Broadband spin-off which will occur prior to the mergers.</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REPAYMENT OF INTRACOMPANY DEBT</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Broadband has agreed to pay to AT&amp;T at the completion of the AT&amp;T Comcast transaction an amount equal to the amount of debt that it or any Broadband subsidiary owes to AT&amp;T or any AT&amp;T subsidiary, other than Broadband or any Broadband subsidiary, in exchange for a contribution of such debt to Broadband's capital and for the contribution of the Broadband business. As described under "Other Indebtedness and the Cross-Guarantees -- Description of New Credit Facilities" Comcast has agreed to arrange for the financing necessary to permit Broadband to repay debt owed by Broadband and its subsidiaries to AT&amp;T and its subsidiaries, other than Broadband and its subsidiaries. As described under "Other Indebtedness and the Cross-Guarantees -- Description of New Credit Facilities" on May 3, 2002, Broadband and AT&amp;T Comcast entered into definitive credit agreements arranged by Comcast with a syndicate of lenders providing for the financing that is anticipated to be necessary to repay this intracompany debt, which as of June 30, 2002, was $6.49 billion. The amount that Broadband would otherwise be required to pay to AT&amp;T upon completion of the AT&amp;T Comcast transaction to satisfy intercompany indebtedness then outstanding will be reduced based upon the aggregate principal amount of New Broadband Notes issued in the exchange. Absent additional deleveraging activities, it is expected that this figure will grow to fund capital expenditures, operations and third party debt maturities and redemptions through the completion of the AT&amp;T Comcast transaction. See "Risk Factors -- Risks Relating to the AT&amp;T Comcast Transaction -- AT&amp;T Comcast and its subsidiaries may not be able to obtain the necessary financing at all or on terms acceptable to it."</w:t>
      </w:r>
    </w:p>
    <w:p>
      <w:pPr>
        <w:spacing w:after="0" w:line="200" w:lineRule="exact"/>
        <w:rPr>
          <w:sz w:val="20"/>
          <w:szCs w:val="20"/>
          <w:color w:val="auto"/>
        </w:rPr>
      </w:pPr>
    </w:p>
    <w:p>
      <w:pPr>
        <w:spacing w:after="0" w:line="338"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has agreed to repay at the completion of the AT&amp;T Comcast transaction any debt that it or any of its subsidiaries, other than Broadband or any Broadband subsidiary, owes to Broadband or any Broadband subsidiary.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POST-SPIN-OFF TRANSACTIONS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ability of AT&amp;T and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Broadband or otherwise jeopardize the non-recognition of taxable gain or loss for U.S. federal income tax purposes to AT&amp;T, AT&amp;T affiliates and AT&amp;T shareholders in connection with the separation and the Broadband spin-off may be limited for a period of 25 months following the Broadband spin-off.</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CONDITIONS TO THE COMPLETION OF THE BROADBAND SPIN-OFF</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obligations of AT&amp;T to complete the separation and the Broadband spin-off are subject to the satisfaction or waiver, to the extent permissible, of certain conditions, including:</w:t>
      </w:r>
    </w:p>
    <w:p>
      <w:pPr>
        <w:spacing w:after="0" w:line="185" w:lineRule="exact"/>
        <w:rPr>
          <w:sz w:val="20"/>
          <w:szCs w:val="20"/>
          <w:color w:val="auto"/>
        </w:rPr>
      </w:pPr>
    </w:p>
    <w:p>
      <w:pPr>
        <w:ind w:left="660" w:right="2719" w:hanging="195"/>
        <w:spacing w:after="0" w:line="237" w:lineRule="auto"/>
        <w:tabs>
          <w:tab w:leader="none" w:pos="66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with respect to AT&amp;T's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145</w:t>
      </w:r>
    </w:p>
    <w:p>
      <w:pPr>
        <w:sectPr>
          <w:pgSz w:w="11900" w:h="16838" w:orient="portrait"/>
          <w:cols w:equalWidth="0" w:num="1">
            <w:col w:w="10219"/>
          </w:cols>
          <w:pgMar w:left="240" w:top="659" w:right="1440" w:bottom="1440" w:gutter="0" w:footer="0" w:header="0"/>
        </w:sectPr>
      </w:pPr>
    </w:p>
    <w:bookmarkStart w:id="165" w:name="page166"/>
    <w:bookmarkEnd w:id="165"/>
    <w:p>
      <w:pPr>
        <w:ind w:left="660" w:right="2819"/>
        <w:spacing w:after="0" w:line="237" w:lineRule="auto"/>
        <w:rPr>
          <w:sz w:val="20"/>
          <w:szCs w:val="20"/>
          <w:color w:val="auto"/>
        </w:rPr>
      </w:pPr>
      <w:r>
        <w:rPr>
          <w:rFonts w:ascii="Courier New" w:cs="Courier New" w:eastAsia="Courier New" w:hAnsi="Courier New"/>
          <w:sz w:val="16"/>
          <w:szCs w:val="16"/>
          <w:color w:val="auto"/>
        </w:rPr>
        <w:t>broadband business or AT&amp;T's communications business (as defined under "-- The Merger Agreement -- Conditions to the Completion of the Mergers" but with respect to AT&amp;T's communications business);</w:t>
      </w:r>
    </w:p>
    <w:p>
      <w:pPr>
        <w:spacing w:after="0" w:line="185" w:lineRule="exact"/>
        <w:rPr>
          <w:sz w:val="20"/>
          <w:szCs w:val="20"/>
          <w:color w:val="auto"/>
        </w:rPr>
      </w:pPr>
    </w:p>
    <w:p>
      <w:pPr>
        <w:ind w:left="660" w:right="2719" w:hanging="195"/>
        <w:spacing w:after="0" w:line="237" w:lineRule="auto"/>
        <w:tabs>
          <w:tab w:leader="none" w:pos="6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conditions necessary to permit the Broadband spin-off to qualify as a tax-free distribution to AT&amp;T, Broadband and the AT&amp;T shareholders and absence of any condition likely to prevent the Broadband spin-off from qualifying as a tax-free distribution to AT&amp;T, Broadband and the AT&amp;T shareholders;</w:t>
      </w:r>
    </w:p>
    <w:p>
      <w:pPr>
        <w:spacing w:after="0" w:line="187"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legal prohibition on the separation or the Broadband spin-off;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of the other conditions to the mergers specified under "-- The Merger Agreement -- Conditions to the Completion of the Mergers" other than the condition that the separation and the Broadband spin-off have been completed and other than the additional conditions to Comcast's obligations to effect the mergers.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MUTUAL RELEASE; INDEMNIFICATION</w:t>
      </w:r>
    </w:p>
    <w:p>
      <w:pPr>
        <w:spacing w:after="0" w:line="185"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Mutual Release of Pre-Closing Claims. AT&amp;T and Broadband have each agreed to release the other from any and all claims that it may have against the other party arising from any acts or events occurring or failing to occur prior to the completion of the Broadband spin-off, subject to certain exceptions specified in the separation and distribution agreement.</w:t>
      </w:r>
    </w:p>
    <w:p>
      <w:pPr>
        <w:spacing w:after="0" w:line="187" w:lineRule="exact"/>
        <w:rPr>
          <w:sz w:val="20"/>
          <w:szCs w:val="20"/>
          <w:color w:val="auto"/>
        </w:rPr>
      </w:pPr>
    </w:p>
    <w:p>
      <w:pPr>
        <w:ind w:right="2819" w:firstLine="750"/>
        <w:spacing w:after="0" w:line="237" w:lineRule="auto"/>
        <w:rPr>
          <w:sz w:val="20"/>
          <w:szCs w:val="20"/>
          <w:color w:val="auto"/>
        </w:rPr>
      </w:pPr>
      <w:r>
        <w:rPr>
          <w:rFonts w:ascii="Courier New" w:cs="Courier New" w:eastAsia="Courier New" w:hAnsi="Courier New"/>
          <w:sz w:val="16"/>
          <w:szCs w:val="16"/>
          <w:color w:val="auto"/>
        </w:rPr>
        <w:t>Indemnification by AT&amp;T. After completion of the Broadband spin-off, AT&amp;T will indemnify Broadband from any and all liabilities relating to, arising out of or resulting from any of the following:</w:t>
      </w:r>
    </w:p>
    <w:p>
      <w:pPr>
        <w:spacing w:after="0" w:line="185" w:lineRule="exact"/>
        <w:rPr>
          <w:sz w:val="20"/>
          <w:szCs w:val="20"/>
          <w:color w:val="auto"/>
        </w:rPr>
      </w:pPr>
    </w:p>
    <w:p>
      <w:pPr>
        <w:jc w:val="both"/>
        <w:ind w:left="660" w:right="2719" w:hanging="195"/>
        <w:spacing w:after="0" w:line="237" w:lineRule="auto"/>
        <w:tabs>
          <w:tab w:leader="none" w:pos="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or any of its subsidiaries or any other person to pay any liabilities, or perform under any contracts, of AT&amp;T's communications business;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communications business; and</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AT&amp;T.</w:t>
      </w:r>
    </w:p>
    <w:p>
      <w:pPr>
        <w:spacing w:after="0" w:line="185" w:lineRule="exact"/>
        <w:rPr>
          <w:sz w:val="20"/>
          <w:szCs w:val="20"/>
          <w:color w:val="auto"/>
        </w:rPr>
      </w:pPr>
    </w:p>
    <w:p>
      <w:pPr>
        <w:ind w:right="2999" w:firstLine="750"/>
        <w:spacing w:after="0" w:line="237" w:lineRule="auto"/>
        <w:rPr>
          <w:sz w:val="20"/>
          <w:szCs w:val="20"/>
          <w:color w:val="auto"/>
        </w:rPr>
      </w:pPr>
      <w:r>
        <w:rPr>
          <w:rFonts w:ascii="Courier New" w:cs="Courier New" w:eastAsia="Courier New" w:hAnsi="Courier New"/>
          <w:sz w:val="16"/>
          <w:szCs w:val="16"/>
          <w:color w:val="auto"/>
        </w:rPr>
        <w:t>Indemnification by Broadband. After completion of the Broadband spin-off, Broadband will indemnify AT&amp;T from any and all liabilities relating to, arising out of or resulting from any of the following:</w:t>
      </w:r>
    </w:p>
    <w:p>
      <w:pPr>
        <w:spacing w:after="0" w:line="185" w:lineRule="exact"/>
        <w:rPr>
          <w:sz w:val="20"/>
          <w:szCs w:val="20"/>
          <w:color w:val="auto"/>
        </w:rPr>
      </w:pPr>
    </w:p>
    <w:p>
      <w:pPr>
        <w:ind w:left="660" w:right="2899" w:hanging="195"/>
        <w:spacing w:after="0" w:line="237" w:lineRule="auto"/>
        <w:tabs>
          <w:tab w:leader="none" w:pos="66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Broadband or any of its subsidiaries or any other person to pay any liabilities, or perform under any contracts, of AT&amp;T's broadband business,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broadband business,</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Broadband, and</w:t>
      </w:r>
    </w:p>
    <w:p>
      <w:pPr>
        <w:spacing w:after="0" w:line="184" w:lineRule="exact"/>
        <w:rPr>
          <w:rFonts w:ascii="Courier New" w:cs="Courier New" w:eastAsia="Courier New" w:hAnsi="Courier New"/>
          <w:sz w:val="16"/>
          <w:szCs w:val="16"/>
          <w:color w:val="auto"/>
        </w:rPr>
      </w:pPr>
    </w:p>
    <w:p>
      <w:pPr>
        <w:ind w:left="660" w:right="2719" w:hanging="195"/>
        <w:spacing w:after="0" w:line="238" w:lineRule="auto"/>
        <w:tabs>
          <w:tab w:leader="none" w:pos="66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neither the Microsoft transaction nor the QUIPS Transfer occurs, any liabilities relating to, arising out of or resulting from any action commenced by Microsoft claiming that the transaction violates the terms of the QUIPS; however, if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186" w:lineRule="exact"/>
        <w:rPr>
          <w:sz w:val="20"/>
          <w:szCs w:val="20"/>
          <w:color w:val="auto"/>
        </w:rPr>
      </w:pPr>
    </w:p>
    <w:p>
      <w:pPr>
        <w:jc w:val="both"/>
        <w:ind w:right="3479" w:firstLine="750"/>
        <w:spacing w:after="0" w:line="237" w:lineRule="auto"/>
        <w:rPr>
          <w:sz w:val="20"/>
          <w:szCs w:val="20"/>
          <w:color w:val="auto"/>
        </w:rPr>
      </w:pPr>
      <w:r>
        <w:rPr>
          <w:rFonts w:ascii="Courier New" w:cs="Courier New" w:eastAsia="Courier New" w:hAnsi="Courier New"/>
          <w:sz w:val="16"/>
          <w:szCs w:val="16"/>
          <w:color w:val="auto"/>
        </w:rPr>
        <w:t>Tax Indemnification. Subject to the exceptions described below, Broadband will indemnify AT&amp;T against 50% of the taxes and related costs assessed against AT&amp;T resulting from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146</w:t>
      </w:r>
    </w:p>
    <w:p>
      <w:pPr>
        <w:sectPr>
          <w:pgSz w:w="11900" w:h="16838" w:orient="portrait"/>
          <w:cols w:equalWidth="0" w:num="1">
            <w:col w:w="10219"/>
          </w:cols>
          <w:pgMar w:left="240" w:top="659" w:right="1440" w:bottom="1440" w:gutter="0" w:footer="0" w:header="0"/>
        </w:sectPr>
      </w:pPr>
    </w:p>
    <w:bookmarkStart w:id="166" w:name="page167"/>
    <w:bookmarkEnd w:id="166"/>
    <w:p>
      <w:pPr>
        <w:ind w:right="3379"/>
        <w:spacing w:after="0" w:line="236" w:lineRule="auto"/>
        <w:rPr>
          <w:sz w:val="20"/>
          <w:szCs w:val="20"/>
          <w:color w:val="auto"/>
        </w:rPr>
      </w:pPr>
      <w:r>
        <w:rPr>
          <w:rFonts w:ascii="Courier New" w:cs="Courier New" w:eastAsia="Courier New" w:hAnsi="Courier New"/>
          <w:sz w:val="16"/>
          <w:szCs w:val="16"/>
          <w:color w:val="auto"/>
        </w:rPr>
        <w:t>disqualification of the separation and the Broadband spin-off as tax-free transactions under Section 355 of the Code.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Broadband occurring after the Broadband spin-off, from Broadband's failure to remain actively engaged in a trade or business or from the failure of any representation made with respect to Broadband in connection with certain tax opinions and Internal Revenue Service rulings, then Broadband will be required to indemnify AT&amp;T against all such taxes and related costs.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AT&amp;T occurring after the Broadband spin-off, from AT&amp;T's failure to remain actively engaged in a trade or business or from the failure of any representation made with respect to AT&amp;T in connection with certain tax opinions and Internal Revenue Service rulings, then Broadband is not required to indemnify AT&amp;T against any such taxes or related costs.</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Broadband will also indemnify AT&amp;T against 50% of the taxes and related costs resulting from the Liberty Media or AT&amp;T Wireless spin-offs failing to be tax-free, unless either spin-off becomes taxable as a result of an action taken by AT&amp;T or Broadband, in which case the acting party bears full responsibility for any resulting AT&amp;T liabilities. Broadband's obligation described in the preceding sentence is reduced by Broadband's share of any indemnification that AT&amp;T receives from Liberty Media or AT&amp;T Wireless as a result of the relevant spin-off failing to qualify as tax-free.</w:t>
      </w:r>
    </w:p>
    <w:p>
      <w:pPr>
        <w:spacing w:after="0" w:line="185" w:lineRule="exact"/>
        <w:rPr>
          <w:sz w:val="20"/>
          <w:szCs w:val="20"/>
          <w:color w:val="auto"/>
        </w:rPr>
      </w:pPr>
    </w:p>
    <w:p>
      <w:pPr>
        <w:ind w:right="2719" w:firstLine="750"/>
        <w:spacing w:after="0" w:line="255" w:lineRule="auto"/>
        <w:rPr>
          <w:sz w:val="20"/>
          <w:szCs w:val="20"/>
          <w:color w:val="auto"/>
        </w:rPr>
      </w:pPr>
      <w:r>
        <w:rPr>
          <w:rFonts w:ascii="Courier New" w:cs="Courier New" w:eastAsia="Courier New" w:hAnsi="Courier New"/>
          <w:sz w:val="15"/>
          <w:szCs w:val="15"/>
          <w:color w:val="auto"/>
        </w:rPr>
        <w:t>Other Indemnification. Subject to the next sentence, AT&amp;T and Broadband will indemnify each other for 50% of any liability resulting from any untrue statement or omission of a material fact in any registration statement relating to the Broadband spin-off or in any other filing made by AT&amp;T or Broadband with the Securities and Exchange Commission in connection with the separation, the Broadband spin-off, the Broadband merger or any related agreements. AT&amp;T will indemnify Broadband and AT&amp;T Comcast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other than the AT&amp;T transaction proposal or the AT&amp;T Comcast charter proposal.</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TERMINATION</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separation and distribution agreement may be terminated by AT&amp;T if the merger agreement has terminated.</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AMENDMENTS AND WAIVERS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provision of the separation and distribution agreement may be amended or waived prior to the completion of the AT&amp;T Comcast transaction if, but only if, such amendment or waiver is in writing and is signed, in the case of an amendment, by AT&amp;T, Broadband and Comcast or, in the case of a waiver, by the party to the separation and distribution agreement against whom the waiver is to be effective and Comcast.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EXCHANGE AGREEMENT AND INSTRUMENT OF ADMISSION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by executing the instrument of admission. On March 11, 2002, Comcast, AT&amp;T, AT&amp;T Comcast and Microsoft amended the exchange agreement and instrument of admission. The following summary of the exchange agreement and the instrument of admission, in each case as amended, is qualified in its entirety by reference to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147</w:t>
      </w:r>
    </w:p>
    <w:p>
      <w:pPr>
        <w:sectPr>
          <w:pgSz w:w="11900" w:h="16838" w:orient="portrait"/>
          <w:cols w:equalWidth="0" w:num="1">
            <w:col w:w="10219"/>
          </w:cols>
          <w:pgMar w:left="240" w:top="659" w:right="1440" w:bottom="1440" w:gutter="0" w:footer="0" w:header="0"/>
        </w:sectPr>
      </w:pPr>
    </w:p>
    <w:bookmarkStart w:id="167" w:name="page168"/>
    <w:bookmarkEnd w:id="167"/>
    <w:p>
      <w:pPr>
        <w:ind w:right="3099"/>
        <w:spacing w:after="0" w:line="259" w:lineRule="auto"/>
        <w:rPr>
          <w:sz w:val="20"/>
          <w:szCs w:val="20"/>
          <w:color w:val="auto"/>
        </w:rPr>
      </w:pPr>
      <w:r>
        <w:rPr>
          <w:rFonts w:ascii="Courier New" w:cs="Courier New" w:eastAsia="Courier New" w:hAnsi="Courier New"/>
          <w:sz w:val="15"/>
          <w:szCs w:val="15"/>
          <w:color w:val="auto"/>
        </w:rPr>
        <w:t>complete texts of the exchange agreement and the instrument of admission, in each case as amended, which are incorporated by reference and attached as exhibits to the registration statement of which this prospectus is a part.</w:t>
      </w:r>
    </w:p>
    <w:p>
      <w:pPr>
        <w:spacing w:after="0" w:line="1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QUIPS EXCHANGE</w:t>
      </w:r>
    </w:p>
    <w:p>
      <w:pPr>
        <w:spacing w:after="0" w:line="185" w:lineRule="exact"/>
        <w:rPr>
          <w:sz w:val="20"/>
          <w:szCs w:val="20"/>
          <w:color w:val="auto"/>
        </w:rPr>
      </w:pPr>
    </w:p>
    <w:p>
      <w:pPr>
        <w:ind w:right="2899" w:firstLine="750"/>
        <w:spacing w:after="0" w:line="238" w:lineRule="auto"/>
        <w:rPr>
          <w:sz w:val="20"/>
          <w:szCs w:val="20"/>
          <w:color w:val="auto"/>
        </w:rPr>
      </w:pPr>
      <w:r>
        <w:rPr>
          <w:rFonts w:ascii="Courier New" w:cs="Courier New" w:eastAsia="Courier New" w:hAnsi="Courier New"/>
          <w:sz w:val="16"/>
          <w:szCs w:val="16"/>
          <w:color w:val="auto"/>
        </w:rPr>
        <w:t>QUIPS. Microsoft (through a wholly owned subsidiary) holds $5 billion of aggregate liquidation preference amount of 5% Convertible Quarterly Income Preferred Securities (referred to in this prospectus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185" w:lineRule="exact"/>
        <w:rPr>
          <w:sz w:val="20"/>
          <w:szCs w:val="20"/>
          <w:color w:val="auto"/>
        </w:rPr>
      </w:pPr>
    </w:p>
    <w:p>
      <w:pPr>
        <w:ind w:right="2819" w:firstLine="750"/>
        <w:spacing w:after="0" w:line="255" w:lineRule="auto"/>
        <w:rPr>
          <w:sz w:val="20"/>
          <w:szCs w:val="20"/>
          <w:color w:val="auto"/>
        </w:rPr>
      </w:pPr>
      <w:r>
        <w:rPr>
          <w:rFonts w:ascii="Courier New" w:cs="Courier New" w:eastAsia="Courier New" w:hAnsi="Courier New"/>
          <w:sz w:val="15"/>
          <w:szCs w:val="15"/>
          <w:color w:val="auto"/>
        </w:rPr>
        <w:t>The Exchange. In connection with the Broadband spin-off, Microsoft has agreed to exchange the QUIPS for a number of shares of Broadband common stock that, subject to the limitation described in the next sentence, will be converted in the Broadband merger into 115 million shares of AT&amp;T Comcast Class A common stock. To the extent necessary so that Microsoft and its affiliates will not hold more than 4.95% of AT&amp;T Comcast's voting power as a result of the AT&amp;T Comcast transaction, Microsoft has agreed to accept shares of the non-voting AT&amp;T Comcast Class A Special common stock in the Broadband merger instead of an equivalent number of shares of voting AT&amp;T Comcast common stock. If Microsoft transfers shares of voting AT&amp;T Comcast common stock or its voting interest in AT&amp;T Comcast is diluted below 4.95%, subject to certain conditions, Microsoft will have the right to cause AT&amp;T Comcast to exchange the shares of non-voting AT&amp;T Comcast Class A Special common stock received in the Broadband merger for shares of voting AT&amp;T Comcast common stock provided that its voting interest in AT&amp;T Comcast does not exceed 4.95% after the exchange.</w:t>
      </w:r>
    </w:p>
    <w:p>
      <w:pPr>
        <w:spacing w:after="0" w:line="178" w:lineRule="exact"/>
        <w:rPr>
          <w:sz w:val="20"/>
          <w:szCs w:val="20"/>
          <w:color w:val="auto"/>
        </w:rPr>
      </w:pPr>
    </w:p>
    <w:p>
      <w:pPr>
        <w:ind w:right="2719" w:firstLine="750"/>
        <w:spacing w:after="0" w:line="255" w:lineRule="auto"/>
        <w:rPr>
          <w:sz w:val="20"/>
          <w:szCs w:val="20"/>
          <w:color w:val="auto"/>
        </w:rPr>
      </w:pPr>
      <w:r>
        <w:rPr>
          <w:rFonts w:ascii="Courier New" w:cs="Courier New" w:eastAsia="Courier New" w:hAnsi="Courier New"/>
          <w:sz w:val="15"/>
          <w:szCs w:val="15"/>
          <w:color w:val="auto"/>
        </w:rPr>
        <w:t>Internet Access. Until the fifth anniversary of the Microsoft transaction, subject to the completion of the Microsoft transaction and the AT&amp;T Comcast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 Because Comcast has entered into an access agreement with United Online and Broadband has entered into an access agreement with each of EarthLink, Internet Central, Connected Data Systems, Galaxy Internet Services and Connect Plus International, upon completion of the Microsoft transaction and the AT&amp;T Comcast transaction AT&amp;T Comcast will be required, with respect to each such agreement with another ISP, to offer an access agreement to Microsoft on terms no less favorable than those provided to the other ISP with respect to the specific cable systems covered under the agreement with the other ISP.</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Each of Comcast, Microsoft, AT&amp;T and AT&amp;T Comcast has undertaken certain covenants in the exchange agreement. The following summarizes the more significant of these covenants.</w:t>
      </w:r>
    </w:p>
    <w:p>
      <w:pPr>
        <w:spacing w:after="0" w:line="185" w:lineRule="exact"/>
        <w:rPr>
          <w:sz w:val="20"/>
          <w:szCs w:val="20"/>
          <w:color w:val="auto"/>
        </w:rPr>
      </w:pPr>
    </w:p>
    <w:p>
      <w:pPr>
        <w:ind w:right="2719" w:firstLine="750"/>
        <w:spacing w:after="0" w:line="238" w:lineRule="auto"/>
        <w:rPr>
          <w:sz w:val="20"/>
          <w:szCs w:val="20"/>
          <w:color w:val="auto"/>
        </w:rPr>
      </w:pPr>
      <w:r>
        <w:rPr>
          <w:rFonts w:ascii="Courier New" w:cs="Courier New" w:eastAsia="Courier New" w:hAnsi="Courier New"/>
          <w:sz w:val="16"/>
          <w:szCs w:val="16"/>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 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 would have an effect on Microsoft that is materially disproportionate to the effect it would have on other Broadband or AT&amp;T Comcast shareholders.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148</w:t>
      </w:r>
    </w:p>
    <w:p>
      <w:pPr>
        <w:sectPr>
          <w:pgSz w:w="11900" w:h="16838" w:orient="portrait"/>
          <w:cols w:equalWidth="0" w:num="1">
            <w:col w:w="10219"/>
          </w:cols>
          <w:pgMar w:left="240" w:top="659" w:right="1440" w:bottom="1440" w:gutter="0" w:footer="0" w:header="0"/>
        </w:sectPr>
      </w:pPr>
    </w:p>
    <w:bookmarkStart w:id="168" w:name="page169"/>
    <w:bookmarkEnd w:id="168"/>
    <w:p>
      <w:pPr>
        <w:ind w:right="2819" w:firstLine="750"/>
        <w:spacing w:after="0" w:line="237" w:lineRule="auto"/>
        <w:rPr>
          <w:sz w:val="20"/>
          <w:szCs w:val="20"/>
          <w:color w:val="auto"/>
        </w:rPr>
      </w:pPr>
      <w:r>
        <w:rPr>
          <w:rFonts w:ascii="Courier New" w:cs="Courier New" w:eastAsia="Courier New" w:hAnsi="Courier New"/>
          <w:sz w:val="16"/>
          <w:szCs w:val="16"/>
          <w:color w:val="auto"/>
        </w:rPr>
        <w:t>Lockup. Prior to six months after completion of the Microsoft transaction, subject to certain exceptions, Microsoft has agreed that neither Microsoft nor any of its wholly owned subsidiaries will sell, or enter into any agreement, arrangement or negotiations relating to the sale of, any of the shares of AT&amp;T Comcast common stock that it receives in connection with the Microsoft transaction.</w:t>
      </w:r>
    </w:p>
    <w:p>
      <w:pPr>
        <w:spacing w:after="0" w:line="189" w:lineRule="exact"/>
        <w:rPr>
          <w:sz w:val="20"/>
          <w:szCs w:val="20"/>
          <w:color w:val="auto"/>
        </w:rPr>
      </w:pPr>
    </w:p>
    <w:p>
      <w:pPr>
        <w:ind w:right="2719" w:firstLine="750"/>
        <w:spacing w:after="0" w:line="256" w:lineRule="auto"/>
        <w:rPr>
          <w:sz w:val="20"/>
          <w:szCs w:val="20"/>
          <w:color w:val="auto"/>
        </w:rPr>
      </w:pPr>
      <w:r>
        <w:rPr>
          <w:rFonts w:ascii="Courier New" w:cs="Courier New" w:eastAsia="Courier New" w:hAnsi="Courier New"/>
          <w:sz w:val="15"/>
          <w:szCs w:val="15"/>
          <w:color w:val="auto"/>
        </w:rPr>
        <w:t>Indemnity. Comcast has agreed to indemnify Microsoft against any claim by Comcast, AT&amp;T or any shareholder of Comcast, AT&amp;T or AT&amp;T Comcast for any loss arising as a result of the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CONDITIONS TO THE COMPLETION OF THE MICROSOFT TRANSACTION</w:t>
      </w:r>
    </w:p>
    <w:p>
      <w:pPr>
        <w:spacing w:after="0" w:line="185" w:lineRule="exact"/>
        <w:rPr>
          <w:sz w:val="20"/>
          <w:szCs w:val="20"/>
          <w:color w:val="auto"/>
        </w:rPr>
      </w:pPr>
    </w:p>
    <w:p>
      <w:pPr>
        <w:ind w:right="2819" w:firstLine="750"/>
        <w:spacing w:after="0" w:line="259" w:lineRule="auto"/>
        <w:rPr>
          <w:sz w:val="20"/>
          <w:szCs w:val="20"/>
          <w:color w:val="auto"/>
        </w:rPr>
      </w:pPr>
      <w:r>
        <w:rPr>
          <w:rFonts w:ascii="Courier New" w:cs="Courier New" w:eastAsia="Courier New" w:hAnsi="Courier New"/>
          <w:sz w:val="15"/>
          <w:szCs w:val="15"/>
          <w:color w:val="auto"/>
        </w:rPr>
        <w:t>Conditions to the Obligations of Microsoft. The obligations of Microsoft to complete the Microsoft transaction are subject to the satisfaction or waiver, to the extent permissible, of the following conditions:</w:t>
      </w:r>
    </w:p>
    <w:p>
      <w:pPr>
        <w:spacing w:after="0" w:line="171" w:lineRule="exact"/>
        <w:rPr>
          <w:sz w:val="20"/>
          <w:szCs w:val="20"/>
          <w:color w:val="auto"/>
        </w:rPr>
      </w:pPr>
    </w:p>
    <w:p>
      <w:pPr>
        <w:ind w:left="660" w:right="2899" w:hanging="195"/>
        <w:spacing w:after="0" w:line="236"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material legal prohibition on the Microsoft transaction or the mergers;</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next bullet point, satisfaction or waiver of all conditions to the mergers and the reasonable satisfaction of Microsoft that the mergers will occur immediately following the Microsoft transaction;</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but not waiver, of the condition to the mergers that there has been no Material Adverse Effect with respect to AT&amp;T's broadband business;</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AT&amp;T and AT&amp;T Comcast contained in the exchange agreement or made pursuant to the exchange agreement;</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AT&amp;T and AT&amp;T Comcast of all of their respective obligations under the exchange agreement;</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AT&amp;T and Comcast of opinions of counsel relating to various corporate matters; and</w:t>
      </w:r>
    </w:p>
    <w:p>
      <w:pPr>
        <w:spacing w:after="0" w:line="184" w:lineRule="exact"/>
        <w:rPr>
          <w:rFonts w:ascii="Courier New" w:cs="Courier New" w:eastAsia="Courier New" w:hAnsi="Courier New"/>
          <w:sz w:val="16"/>
          <w:szCs w:val="16"/>
          <w:color w:val="auto"/>
        </w:rPr>
      </w:pPr>
    </w:p>
    <w:p>
      <w:pPr>
        <w:ind w:left="660" w:right="2719" w:hanging="195"/>
        <w:spacing w:after="0" w:line="263" w:lineRule="auto"/>
        <w:tabs>
          <w:tab w:leader="none" w:pos="66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completion of the Broadband spin-off, Broadband holds substantially all of the assets and liabilities of AT&amp;T's broadband business.</w:t>
      </w:r>
    </w:p>
    <w:p>
      <w:pPr>
        <w:spacing w:after="0" w:line="169" w:lineRule="exact"/>
        <w:rPr>
          <w:sz w:val="20"/>
          <w:szCs w:val="20"/>
          <w:color w:val="auto"/>
        </w:rPr>
      </w:pPr>
    </w:p>
    <w:p>
      <w:pPr>
        <w:ind w:right="2819" w:firstLine="750"/>
        <w:spacing w:after="0" w:line="259" w:lineRule="auto"/>
        <w:rPr>
          <w:sz w:val="20"/>
          <w:szCs w:val="20"/>
          <w:color w:val="auto"/>
        </w:rPr>
      </w:pPr>
      <w:r>
        <w:rPr>
          <w:rFonts w:ascii="Courier New" w:cs="Courier New" w:eastAsia="Courier New" w:hAnsi="Courier New"/>
          <w:sz w:val="15"/>
          <w:szCs w:val="15"/>
          <w:color w:val="auto"/>
        </w:rPr>
        <w:t>Conditions to the Obligations of Comcast and AT&amp;T. The obligations of Comcast and AT&amp;T to complete the Microsoft transaction are subject to the satisfaction or waiver, to the extent permissible, of the following conditions:</w:t>
      </w:r>
    </w:p>
    <w:p>
      <w:pPr>
        <w:spacing w:after="0" w:line="171" w:lineRule="exact"/>
        <w:rPr>
          <w:sz w:val="20"/>
          <w:szCs w:val="20"/>
          <w:color w:val="auto"/>
        </w:rPr>
      </w:pPr>
    </w:p>
    <w:p>
      <w:pPr>
        <w:jc w:val="both"/>
        <w:ind w:left="660" w:right="3659" w:hanging="195"/>
        <w:spacing w:after="0" w:line="263" w:lineRule="auto"/>
        <w:tabs>
          <w:tab w:leader="none" w:pos="66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or waiver of all conditions to the mergers and the reasonable satisfaction of Comcast that the mergers will occur;</w:t>
      </w:r>
    </w:p>
    <w:p>
      <w:pPr>
        <w:spacing w:after="0" w:line="168" w:lineRule="exact"/>
        <w:rPr>
          <w:rFonts w:ascii="Courier New" w:cs="Courier New" w:eastAsia="Courier New" w:hAnsi="Courier New"/>
          <w:sz w:val="15"/>
          <w:szCs w:val="15"/>
          <w:color w:val="auto"/>
        </w:rPr>
      </w:pPr>
    </w:p>
    <w:p>
      <w:pPr>
        <w:ind w:left="660" w:right="3179" w:hanging="195"/>
        <w:spacing w:after="0" w:line="236" w:lineRule="auto"/>
        <w:tabs>
          <w:tab w:leader="none" w:pos="66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Microsoft contained in the exchange agreement;</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Microsoft of all of its obligations under the exchange agreement; and</w:t>
      </w:r>
    </w:p>
    <w:p>
      <w:pPr>
        <w:spacing w:after="0" w:line="184"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Microsoft of an opinion of counsel relating to various corporate matters.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149</w:t>
      </w:r>
    </w:p>
    <w:p>
      <w:pPr>
        <w:sectPr>
          <w:pgSz w:w="11900" w:h="16838" w:orient="portrait"/>
          <w:cols w:equalWidth="0" w:num="1">
            <w:col w:w="10219"/>
          </w:cols>
          <w:pgMar w:left="240" w:top="659" w:right="1440" w:bottom="1440" w:gutter="0" w:footer="0" w:header="0"/>
        </w:sectPr>
      </w:pPr>
    </w:p>
    <w:bookmarkStart w:id="169" w:name="page170"/>
    <w:bookmarkEnd w:id="169"/>
    <w:p>
      <w:pPr>
        <w:ind w:right="2719" w:firstLine="750"/>
        <w:spacing w:after="0" w:line="236" w:lineRule="auto"/>
        <w:rPr>
          <w:sz w:val="20"/>
          <w:szCs w:val="20"/>
          <w:color w:val="auto"/>
        </w:rPr>
      </w:pPr>
      <w:r>
        <w:rPr>
          <w:rFonts w:ascii="Courier New" w:cs="Courier New" w:eastAsia="Courier New" w:hAnsi="Courier New"/>
          <w:sz w:val="16"/>
          <w:szCs w:val="16"/>
          <w:color w:val="auto"/>
        </w:rPr>
        <w:t>Termination. The exchange agreement may be terminated by either Comcast or Microsoft in any of the following circumstances:</w:t>
      </w:r>
    </w:p>
    <w:p>
      <w:pPr>
        <w:spacing w:after="0" w:line="180" w:lineRule="exact"/>
        <w:rPr>
          <w:sz w:val="20"/>
          <w:szCs w:val="20"/>
          <w:color w:val="auto"/>
        </w:rPr>
      </w:pPr>
    </w:p>
    <w:p>
      <w:pPr>
        <w:ind w:left="660" w:hanging="195"/>
        <w:spacing w:after="0"/>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has been terminated,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law or regulation makes completion of the Microsoft transaction illegal or a permanent injunction prohibiting completion of the Microsoft transaction is entered,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have not been completed by March 1, 2003.</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INTERACTIVE TECHNOLOGY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exchange agreement, Microsoft and Comcast Cable have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TAX SHARING AGREEMENT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summary of the tax sharing agreement is qualified in its entirety by reference to the complete text of the tax sharing agreement, which is incorporated by reference into this prospectus and attached as an exhibit to the registration statement in which this prospectus is included.</w:t>
      </w:r>
    </w:p>
    <w:p>
      <w:pPr>
        <w:spacing w:after="0" w:line="186" w:lineRule="exact"/>
        <w:rPr>
          <w:sz w:val="20"/>
          <w:szCs w:val="20"/>
          <w:color w:val="auto"/>
        </w:rPr>
      </w:pPr>
    </w:p>
    <w:p>
      <w:pPr>
        <w:ind w:right="2719" w:firstLine="750"/>
        <w:spacing w:after="0" w:line="238" w:lineRule="auto"/>
        <w:rPr>
          <w:sz w:val="20"/>
          <w:szCs w:val="20"/>
          <w:color w:val="auto"/>
        </w:rPr>
      </w:pPr>
      <w:r>
        <w:rPr>
          <w:rFonts w:ascii="Courier New" w:cs="Courier New" w:eastAsia="Courier New" w:hAnsi="Courier New"/>
          <w:sz w:val="16"/>
          <w:szCs w:val="16"/>
          <w:color w:val="auto"/>
        </w:rPr>
        <w:t>In General. Broadband is currently included in AT&amp;T's federal consolidated income tax group and Broadband's tax liability will be included in the consolidated federal income tax liability of AT&amp;T for 2002 until the time of the Broadband spin-off. The tax sharing agreement provides for tax sharing payments between Broadband and AT&amp;T for periods prior to the Broadband spin-off, based on the taxes or tax benefits of hypothetical affiliated groups consisting of the businesses, assets and liabilities that make up Broadband, on the one hand, and all other businesses, assets and liabilities of AT&amp;T, on the other hand. Each group is generally responsible for the taxes attributable to its lines of business and entities comprising its group.</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and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Broadband consistent with the allocations under the tax sharing agreement. As between AT&amp;T and Broadband, certain tax items are specially allocated to the AT&amp;T group and Broadband group under the tax sharing agreement.</w:t>
      </w:r>
    </w:p>
    <w:p>
      <w:pPr>
        <w:spacing w:after="0" w:line="187" w:lineRule="exact"/>
        <w:rPr>
          <w:sz w:val="20"/>
          <w:szCs w:val="20"/>
          <w:color w:val="auto"/>
        </w:rPr>
      </w:pPr>
    </w:p>
    <w:p>
      <w:pPr>
        <w:jc w:val="both"/>
        <w:ind w:right="2899" w:firstLine="750"/>
        <w:spacing w:after="0" w:line="237" w:lineRule="auto"/>
        <w:rPr>
          <w:sz w:val="20"/>
          <w:szCs w:val="20"/>
          <w:color w:val="auto"/>
        </w:rPr>
      </w:pPr>
      <w:r>
        <w:rPr>
          <w:rFonts w:ascii="Courier New" w:cs="Courier New" w:eastAsia="Courier New" w:hAnsi="Courier New"/>
          <w:sz w:val="16"/>
          <w:szCs w:val="16"/>
          <w:color w:val="auto"/>
        </w:rPr>
        <w:t>Broadband Spin-off. AT&amp;T and Broadband have agreed that taxes related to intercompany transactions that are triggered by the Broadband spin-off will be generally allocated to Broadband.</w:t>
      </w:r>
    </w:p>
    <w:p>
      <w:pPr>
        <w:spacing w:after="0" w:line="185"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Non-Income Tax Liabilities. AT&amp;T and Broadband have agreed that joint non-income tax liabilities will generally be allocated between AT&amp;T and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89"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Audit Adjustments. AT&amp;T and Broadband have agreed that taxes resulting from audit adjustments will generally be allocated between the two groups based on line of business. In general, AT&amp;T controls audits and administrative matters related to pre-spin-off periods.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150</w:t>
      </w:r>
    </w:p>
    <w:p>
      <w:pPr>
        <w:sectPr>
          <w:pgSz w:w="11900" w:h="16838" w:orient="portrait"/>
          <w:cols w:equalWidth="0" w:num="1">
            <w:col w:w="10219"/>
          </w:cols>
          <w:pgMar w:left="240" w:top="659" w:right="1440" w:bottom="1440" w:gutter="0" w:footer="0" w:header="0"/>
        </w:sectPr>
      </w:pPr>
    </w:p>
    <w:bookmarkStart w:id="170" w:name="page171"/>
    <w:bookmarkEnd w:id="170"/>
    <w:p>
      <w:pPr>
        <w:ind w:right="2719" w:firstLine="750"/>
        <w:spacing w:after="0" w:line="256" w:lineRule="auto"/>
        <w:rPr>
          <w:sz w:val="20"/>
          <w:szCs w:val="20"/>
          <w:color w:val="auto"/>
        </w:rPr>
      </w:pPr>
      <w:r>
        <w:rPr>
          <w:rFonts w:ascii="Courier New" w:cs="Courier New" w:eastAsia="Courier New" w:hAnsi="Courier New"/>
          <w:sz w:val="15"/>
          <w:szCs w:val="15"/>
          <w:color w:val="auto"/>
        </w:rPr>
        <w:t>Post-Spin-off Tax Attributes. Generally, Broadband may not carry back a loss, credit or other tax attribute from a post-spin-off period to a pre-spin-off period, unless Broadband obtains AT&amp;T's consent (which, in the case of significant net operating or capital loss carrybacks, may not be unreasonably withheld) and then only to the extent permitted by applicable law.</w:t>
      </w:r>
    </w:p>
    <w:p>
      <w:pPr>
        <w:spacing w:after="0" w:line="176"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Amendments and Waivers. Any provision of the tax sharing agreement may be amended or waived prior to the completion of the transaction if, but only if, such amendment or waiver is in writing and is signed, in the case of an amendment, by AT&amp;T, Broadband and Comcast or, in the case of a waiver, by the party to the tax sharing agreement against whom the waiver is to be effective and Comcast.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ANCILLARY AGREEMENTS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In addition to the other agreements described in this section, AT&amp;T and Broadband have entered into various other commercial agreements in connection with the AT&amp;T Comcast transaction. A brief summary of these agreements follows:</w:t>
      </w:r>
    </w:p>
    <w:p>
      <w:pPr>
        <w:spacing w:after="0" w:line="171"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NETWORK SERVICE AGREEMENTS. AT&amp;T and Broadband have entered into principal network service agreements as follows.</w:t>
      </w:r>
    </w:p>
    <w:p>
      <w:pPr>
        <w:spacing w:after="0" w:line="185" w:lineRule="exact"/>
        <w:rPr>
          <w:sz w:val="20"/>
          <w:szCs w:val="20"/>
          <w:color w:val="auto"/>
        </w:rPr>
      </w:pPr>
    </w:p>
    <w:p>
      <w:pPr>
        <w:ind w:left="940" w:right="2719" w:hanging="193"/>
        <w:spacing w:after="0" w:line="256" w:lineRule="auto"/>
        <w:tabs>
          <w:tab w:leader="none" w:pos="9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Carrier Agreement. This agreement reflects the rates, terms and conditions on which AT&amp;T Business Services Group will provide voice, data and Internet services to Broadband, including both wholesale services (those used as a component in Broadband's services to its customers) and "administrative" services (for internal Broadband usage). Pricing is market based, with provisions defining an ongoing process to ensure that the prices remain competitive.</w:t>
      </w:r>
    </w:p>
    <w:p>
      <w:pPr>
        <w:spacing w:after="0" w:line="174" w:lineRule="exact"/>
        <w:rPr>
          <w:rFonts w:ascii="Courier New" w:cs="Courier New" w:eastAsia="Courier New" w:hAnsi="Courier New"/>
          <w:sz w:val="15"/>
          <w:szCs w:val="15"/>
          <w:color w:val="auto"/>
        </w:rPr>
      </w:pPr>
    </w:p>
    <w:p>
      <w:pPr>
        <w:ind w:left="940" w:right="2719" w:hanging="193"/>
        <w:spacing w:after="0" w:line="237" w:lineRule="auto"/>
        <w:tabs>
          <w:tab w:leader="none" w:pos="9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Amended and Restated Local Network Connectivity Services Agreement. This agreement reflects the rates, terms and conditions on which AT&amp;T Business Services Group will provide certain local network connectivity services to Broadband for use in providing local telephone services to Broadband's subscribers. This agreement consists of two parts:</w:t>
      </w:r>
    </w:p>
    <w:p>
      <w:pPr>
        <w:spacing w:after="0" w:line="189" w:lineRule="exact"/>
        <w:rPr>
          <w:sz w:val="20"/>
          <w:szCs w:val="20"/>
          <w:color w:val="auto"/>
        </w:rPr>
      </w:pPr>
    </w:p>
    <w:p>
      <w:pPr>
        <w:ind w:left="1020" w:right="2719" w:hanging="179"/>
        <w:spacing w:after="0" w:line="237" w:lineRule="auto"/>
        <w:tabs>
          <w:tab w:leader="none" w:pos="1000" w:val="left"/>
        </w:tabs>
        <w:rPr>
          <w:sz w:val="20"/>
          <w:szCs w:val="20"/>
          <w:color w:val="auto"/>
        </w:rPr>
      </w:pPr>
      <w:r>
        <w:rPr>
          <w:rFonts w:ascii="Courier New" w:cs="Courier New" w:eastAsia="Courier New" w:hAnsi="Courier New"/>
          <w:sz w:val="16"/>
          <w:szCs w:val="16"/>
          <w:color w:val="auto"/>
        </w:rPr>
        <w:t>o</w:t>
        <w:tab/>
        <w:t>a capital lease from AT&amp;T Business Services Group to Broadband of certain network switching and transport assets to be used exclusively by Broadband for a term of up to ten years, commencing January 1, 2001 for initial assets leased under the agreement, and</w:t>
      </w:r>
    </w:p>
    <w:p>
      <w:pPr>
        <w:spacing w:after="0" w:line="186" w:lineRule="exact"/>
        <w:rPr>
          <w:sz w:val="20"/>
          <w:szCs w:val="20"/>
          <w:color w:val="auto"/>
        </w:rPr>
      </w:pPr>
    </w:p>
    <w:p>
      <w:pPr>
        <w:ind w:left="1020" w:right="2999" w:hanging="179"/>
        <w:spacing w:after="0" w:line="237" w:lineRule="auto"/>
        <w:tabs>
          <w:tab w:leader="none" w:pos="1000" w:val="left"/>
        </w:tabs>
        <w:rPr>
          <w:sz w:val="20"/>
          <w:szCs w:val="20"/>
          <w:color w:val="auto"/>
        </w:rPr>
      </w:pPr>
      <w:r>
        <w:rPr>
          <w:rFonts w:ascii="Courier New" w:cs="Courier New" w:eastAsia="Courier New" w:hAnsi="Courier New"/>
          <w:sz w:val="16"/>
          <w:szCs w:val="16"/>
          <w:color w:val="auto"/>
        </w:rPr>
        <w:t>o</w:t>
        <w:tab/>
        <w:t>an operating agreement for the provision of local network connectivity, management and operational services in support of Broadband's local cable telephone services, with a minimum term of five years commencing January 1, 2001.</w:t>
      </w:r>
    </w:p>
    <w:p>
      <w:pPr>
        <w:spacing w:after="0" w:line="186" w:lineRule="exact"/>
        <w:rPr>
          <w:sz w:val="20"/>
          <w:szCs w:val="20"/>
          <w:color w:val="auto"/>
        </w:rPr>
      </w:pPr>
    </w:p>
    <w:p>
      <w:pPr>
        <w:ind w:left="940" w:right="2819" w:hanging="193"/>
        <w:spacing w:after="0" w:line="238" w:lineRule="auto"/>
        <w:tabs>
          <w:tab w:leader="none" w:pos="9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Broadband or its controlled affiliates, together with related services. In addition, Broadband will construct and lease to AT&amp;T new fiber facilities in the areas served by Broadband's cable systems for use in providing telecommunications services. The term of the build-out period will expire on January 8, 2013. Subject to certain termination rights specified in this agreement, the term of AT&amp;T's right to use facilities leased under this agreement will expire on January 8, 2028, renewable at AT&amp;T's option for successive 20-year terms in perpetuity.</w:t>
      </w:r>
    </w:p>
    <w:p>
      <w:pPr>
        <w:spacing w:after="0" w:line="187"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Interconnection and Intercarrier Compensation Term Sheet. This agreement, which has a five-year initial term commencing January 1, 2001, specifies the terms of interconnection of the parties' networks, and compensation for:</w:t>
      </w:r>
    </w:p>
    <w:p>
      <w:pPr>
        <w:spacing w:after="0" w:line="186" w:lineRule="exact"/>
        <w:rPr>
          <w:sz w:val="20"/>
          <w:szCs w:val="20"/>
          <w:color w:val="auto"/>
        </w:rPr>
      </w:pPr>
    </w:p>
    <w:p>
      <w:pPr>
        <w:ind w:left="1020" w:right="2719" w:hanging="179"/>
        <w:spacing w:after="0" w:line="236" w:lineRule="auto"/>
        <w:tabs>
          <w:tab w:leader="none" w:pos="1000" w:val="left"/>
        </w:tabs>
        <w:rPr>
          <w:sz w:val="20"/>
          <w:szCs w:val="20"/>
          <w:color w:val="auto"/>
        </w:rPr>
      </w:pPr>
      <w:r>
        <w:rPr>
          <w:rFonts w:ascii="Courier New" w:cs="Courier New" w:eastAsia="Courier New" w:hAnsi="Courier New"/>
          <w:sz w:val="16"/>
          <w:szCs w:val="16"/>
          <w:color w:val="auto"/>
        </w:rPr>
        <w:t>o</w:t>
        <w:tab/>
        <w:t>the origination or termination of interexchange traffic for the other party, and</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 the exchange of local traffic between the parties' local customers.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151</w:t>
      </w:r>
    </w:p>
    <w:p>
      <w:pPr>
        <w:sectPr>
          <w:pgSz w:w="11900" w:h="16838" w:orient="portrait"/>
          <w:cols w:equalWidth="0" w:num="1">
            <w:col w:w="10219"/>
          </w:cols>
          <w:pgMar w:left="240" w:top="659" w:right="1440" w:bottom="1440" w:gutter="0" w:footer="0" w:header="0"/>
        </w:sectPr>
      </w:pPr>
    </w:p>
    <w:bookmarkStart w:id="171" w:name="page172"/>
    <w:bookmarkEnd w:id="171"/>
    <w:p>
      <w:pPr>
        <w:ind w:left="940" w:right="2719" w:hanging="193"/>
        <w:spacing w:after="0" w:line="237" w:lineRule="auto"/>
        <w:tabs>
          <w:tab w:leader="none" w:pos="9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Speed Internet Services Binding Term Sheet. This agreement reflects the rates, terms and conditions on which AT&amp;T will provide specified processes, procedures and services to support Broadband in its provision of broadband Internet services to Broadband subscribers. This agreement has a four-year initial term commencing December 4, 2001.</w:t>
      </w:r>
    </w:p>
    <w:p>
      <w:pPr>
        <w:spacing w:after="0" w:line="188" w:lineRule="exact"/>
        <w:rPr>
          <w:rFonts w:ascii="Courier New" w:cs="Courier New" w:eastAsia="Courier New" w:hAnsi="Courier New"/>
          <w:sz w:val="16"/>
          <w:szCs w:val="16"/>
          <w:color w:val="auto"/>
        </w:rPr>
      </w:pPr>
    </w:p>
    <w:p>
      <w:pPr>
        <w:ind w:left="940" w:right="2719" w:hanging="193"/>
        <w:spacing w:after="0" w:line="238" w:lineRule="auto"/>
        <w:tabs>
          <w:tab w:leader="none" w:pos="9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Agreement. This agreement specifies the ownership and license rights granted by each party to the other in specified patents, software, copyrights and trade secrets. Among other rights granted, the effect of this agreement is to allow Broadband and AT&amp;T to continue to have the same rights to use the intellectual property that they had at the time of the separation and Broadband spin-off.</w:t>
      </w:r>
    </w:p>
    <w:p>
      <w:pPr>
        <w:spacing w:after="0" w:line="184" w:lineRule="exact"/>
        <w:rPr>
          <w:rFonts w:ascii="Courier New" w:cs="Courier New" w:eastAsia="Courier New" w:hAnsi="Courier New"/>
          <w:sz w:val="16"/>
          <w:szCs w:val="16"/>
          <w:color w:val="auto"/>
        </w:rPr>
      </w:pPr>
    </w:p>
    <w:p>
      <w:pPr>
        <w:ind w:left="940" w:right="2719" w:hanging="193"/>
        <w:spacing w:after="0" w:line="255" w:lineRule="auto"/>
        <w:tabs>
          <w:tab w:leader="none" w:pos="9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to be Executed. AT&amp;T and AT&amp;T Comcast will enter into a corporate name agreement immediately prior to the completion of the AT&amp;T Comcast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Subject to the terms of the separation and distribution agreement, prior to the completion of the AT&amp;T Comcast transaction, AT&amp;T and Broadband may also enter into other agreements in connection with the AT&amp;T Comcast transaction.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FEDERAL INCOME TAX CONSEQUENCES OF THE AT&amp;T COMCAST TRANSACTION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Subject to the limitations and qualifications described herein, the following is a summary of the material U.S. federal income tax consequences of the Broadband spin-off to AT&amp;T and Broadband and the material U.S. federal income tax consequences of the mergers to Comcast, Broadband, the Broadband merger subsidiary and the Comcast merger subsidiary. This summary is based on the Code, the Treasury Regulations promulgated thereunder, judicial opinions, published positions of the Internal Revenue Service, and all other applicable authorities as of the date of this document, all of which are subject to change (possibly with retroactive effect). This summary assumes that all conditions to the AT&amp;T Comcast transaction have been satisfied.</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 gain or loss will be recognized by, and no amount will be included in the income of, AT&amp;T or Broadband upon the separation and the Broadband spin-off other than gains related to certain intercompany transactions that will be triggered by the Broadband spin-off.</w:t>
      </w:r>
    </w:p>
    <w:p>
      <w:pPr>
        <w:spacing w:after="0" w:line="186" w:lineRule="exact"/>
        <w:rPr>
          <w:sz w:val="20"/>
          <w:szCs w:val="20"/>
          <w:color w:val="auto"/>
        </w:rPr>
      </w:pPr>
    </w:p>
    <w:p>
      <w:pPr>
        <w:ind w:right="2819" w:firstLine="469"/>
        <w:spacing w:after="0" w:line="263" w:lineRule="auto"/>
        <w:rPr>
          <w:sz w:val="20"/>
          <w:szCs w:val="20"/>
          <w:color w:val="auto"/>
        </w:rPr>
      </w:pPr>
      <w:r>
        <w:rPr>
          <w:rFonts w:ascii="Courier New" w:cs="Courier New" w:eastAsia="Courier New" w:hAnsi="Courier New"/>
          <w:sz w:val="15"/>
          <w:szCs w:val="15"/>
          <w:color w:val="auto"/>
        </w:rPr>
        <w:t>No gain or loss will be recognized by Comcast, Broadband, the Broadband merger subsidiary, or the Comcast merger subsidiary as a result of the mergers.</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152</w:t>
      </w:r>
    </w:p>
    <w:p>
      <w:pPr>
        <w:sectPr>
          <w:pgSz w:w="11900" w:h="16838" w:orient="portrait"/>
          <w:cols w:equalWidth="0" w:num="1">
            <w:col w:w="10219"/>
          </w:cols>
          <w:pgMar w:left="240" w:top="659" w:right="1440" w:bottom="1440" w:gutter="0" w:footer="0" w:header="0"/>
        </w:sectPr>
      </w:pPr>
    </w:p>
    <w:bookmarkStart w:id="172" w:name="page173"/>
    <w:bookmarkEnd w:id="172"/>
    <w:p>
      <w:pPr>
        <w:ind w:left="1680"/>
        <w:spacing w:after="0"/>
        <w:rPr>
          <w:sz w:val="20"/>
          <w:szCs w:val="20"/>
          <w:color w:val="auto"/>
        </w:rPr>
      </w:pPr>
      <w:r>
        <w:rPr>
          <w:rFonts w:ascii="Courier New" w:cs="Courier New" w:eastAsia="Courier New" w:hAnsi="Courier New"/>
          <w:sz w:val="16"/>
          <w:szCs w:val="16"/>
          <w:color w:val="auto"/>
        </w:rPr>
        <w:t>OTHER INDEBTEDNESS AND THE CROSS-GUARANTEES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NEW CREDIT FACILITIES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Broadband and AT&amp;T Comcast, as co-borrowers, entered into definitive credit agreements with a syndicate of lenders led by JPMorgan Chase Bank, as administrative agent, for an aggregate of approximately $12.8 billion in order to obtain the financing necessary to complete the AT&amp;T Comcast transaction. The following summary of the new credit facilities is qualified in its entirety by reference to the complete texts of the new credit facilities, which are incorporated by reference and attached as exhibits to the registration statement in which this prospectus is included.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new credit facilities include (1) a term loan facility of approximately $3.18 billion, (2) a revolving loan facility of approximately $2.645 billion which provides for revolving credit loans and swing line loans and under which letters of credit may be issued and (3) a bridge loan facility of $7.0 billion. Availability of borrowings and letters of credit under the new credit facilities will be subject to satisfaction of conditions precedent on or before March 31, 2003, including, among other customary conditions, (1) the AT&amp;T Comcast transaction shall occur substantially simultaneously and (2) AT&amp;T Comcast holds investment-grade credit ratings from both the Standard &amp; Poor's and Moody's credit reporting agencies at the time of the closing. The term loan will mature two years after the effective date of the new credit facilities, the revolving loan will mature five years after the effective date of the new credit facilities and the bridge loan will mature one year after the effective date of the new credit facilities.</w:t>
      </w:r>
    </w:p>
    <w:p>
      <w:pPr>
        <w:spacing w:after="0" w:line="189"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Loans under the new credit facilities will bear interest per year, at the option of AT&amp;T Comcast, at:</w:t>
      </w:r>
    </w:p>
    <w:p>
      <w:pPr>
        <w:spacing w:after="0" w:line="185" w:lineRule="exact"/>
        <w:rPr>
          <w:sz w:val="20"/>
          <w:szCs w:val="20"/>
          <w:color w:val="auto"/>
        </w:rPr>
      </w:pPr>
    </w:p>
    <w:p>
      <w:pPr>
        <w:ind w:left="660" w:right="2719" w:hanging="195"/>
        <w:spacing w:after="0" w:line="237" w:lineRule="auto"/>
        <w:tabs>
          <w:tab w:leader="none" w:pos="66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0.875% based upon AT&amp;T Comcast's credit rating or the alternate eurodollar rate plus a margin ranging from 0.475% to 1.875% based upon AT&amp;T Comcast's credit rating, in either case for borrowings under the term loan;</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0.625% based upon AT&amp;T Comcast's credit rating or the alternate eurodollar rate plus a margin ranging from 0.225% to 1.625% based upon AT&amp;T Comcast's credit rating, in either case for borrowings under the revolving loan; and</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0.875% based upon AT&amp;T Comcast's credit rating or the alternate eurodollar rate plus a margin ranging from 0.475% to 1.875% based upon AT&amp;T Comcast's credit rating, in either case for borrowings under the bridge loan.</w:t>
      </w:r>
    </w:p>
    <w:p>
      <w:pPr>
        <w:spacing w:after="0" w:line="18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Prior to the effective date of the new credit facilities (or the date of termination of the commitments under the facilities, if earlier), AT&amp;T Comcast will pay commitment fees at a rate equal to 0.125% per year on each lender's commitments under each facility. The fees will accrue from April 26, 2002 and will be payable on the effective date of the new credit facilities (or the date of termination of the commitments under the facilities, if earlier).</w:t>
      </w:r>
    </w:p>
    <w:p>
      <w:pPr>
        <w:spacing w:after="0" w:line="17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After the effective date of the new credit facilities, AT&amp;T Comcast will pay commitment fees at a rate per year ranging from 0.085% to 0.25% based upon AT&amp;T Comcast's credit rating on the daily average unused portion of the revolving credit facility. These fees are payable quarterly in arrears.</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Comcast will pay utilization fees at a rate equal to (1) for each day that the outstanding revolving loans exceed 33% of the combined revolving commitments on such day, 0.125% or (2) for each day that the outstanding revolving loans exceed 66% of the combined revolving commitments on such day, 0.25%. These fees are payable quarterly in arrears.</w:t>
      </w:r>
    </w:p>
    <w:p>
      <w:pPr>
        <w:spacing w:after="0" w:line="187"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term loan is repayable during the second year after the effective date of the new credit facilities in four consecutive quarterly installments of $500 million, $750 million, $750 million and approximately $1.18 billion.</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Each of Comcast Cable, MediaOne, TCI, AT&amp;T Comcast, Broadband and each restricted subsidiary that becomes a party to the guarantee agreement will be a guarantor of the new credit facilities.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153</w:t>
      </w:r>
    </w:p>
    <w:p>
      <w:pPr>
        <w:sectPr>
          <w:pgSz w:w="11900" w:h="16838" w:orient="portrait"/>
          <w:cols w:equalWidth="0" w:num="1">
            <w:col w:w="10219"/>
          </w:cols>
          <w:pgMar w:left="240" w:top="654" w:right="1440" w:bottom="1440" w:gutter="0" w:footer="0" w:header="0"/>
        </w:sectPr>
      </w:pPr>
    </w:p>
    <w:bookmarkStart w:id="173" w:name="page174"/>
    <w:bookmarkEnd w:id="173"/>
    <w:p>
      <w:pPr>
        <w:ind w:left="4" w:right="2819" w:firstLine="469"/>
        <w:spacing w:after="0" w:line="254" w:lineRule="auto"/>
        <w:rPr>
          <w:sz w:val="20"/>
          <w:szCs w:val="20"/>
          <w:color w:val="auto"/>
        </w:rPr>
      </w:pPr>
      <w:r>
        <w:rPr>
          <w:rFonts w:ascii="Courier New" w:cs="Courier New" w:eastAsia="Courier New" w:hAnsi="Courier New"/>
          <w:sz w:val="15"/>
          <w:szCs w:val="15"/>
          <w:color w:val="auto"/>
        </w:rPr>
        <w:t>The new credit facilities contain customary covenants and restrictions on AT&amp;T Comcast and its restricted subsidiaries' ability to engage in specified activities, including, but not limited to (1) limitations on subsidiary indebtedness, (2) limitations on liens, (3) limitations on fundamental changes,</w:t>
      </w:r>
    </w:p>
    <w:p>
      <w:pPr>
        <w:spacing w:after="0" w:line="2" w:lineRule="exact"/>
        <w:rPr>
          <w:sz w:val="20"/>
          <w:szCs w:val="20"/>
          <w:color w:val="auto"/>
        </w:rPr>
      </w:pPr>
    </w:p>
    <w:p>
      <w:pPr>
        <w:ind w:left="4" w:right="2719" w:hanging="4"/>
        <w:spacing w:after="0" w:line="237" w:lineRule="auto"/>
        <w:tabs>
          <w:tab w:leader="none" w:pos="379"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upstreaming and (5) so long as the bridge facility remains in effect, limitations on prepayments of other material long-term indebtedness. After the effective date of the new credit facilities, availability of borrowings and letters of credit under the revolving loan facility will be subject to satisfaction of customary conditions.</w:t>
      </w:r>
    </w:p>
    <w:p>
      <w:pPr>
        <w:spacing w:after="0" w:line="187"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new credit facilities also contain financial covenants requiring AT&amp;T Comcast to maintain (1) a minimum coverage of interest expense and (2) a maximum leverage ratio.</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As noted above, under the terms of the new credit facilities, the obligations of the lenders to provide the financing upon completion of the AT&amp;T Comcast transaction are subject to a number of conditions, including the condition that AT&amp;T Comcast holds investment-grade credit ratings from both the Standard &amp; Poor's and Moody's credit reporting agencies at the time of the closing. Accordingly, there can be no assurance that Broadband and AT&amp;T Comcast will be able to obtain the financing necessary to complete the AT&amp;T Comcast transaction. See "Risk Factors -- Risks Relating to the AT&amp;T Comcast Transaction -- AT&amp;T Comcast and its subsidiaries may not be able to obtain the necessary financing at all or on terms acceptable to it."</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OTHER INDEBTEDNESS AND THE PROPOSED CROSS-GUARANTEES</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Although Comcast continues to analyze the appropriate capital structure AT&amp;T Comcast and its subsidiaries should have after completion of the AT&amp;T Comcast transaction, it currently believes that existing and future investors will be confused by the multiplicity of present debt obligors and the potential for different creditworthiness among these obligors. To simplify AT&amp;T Comcast's capital structure and to insure that the traded debt securities of AT&amp;T Comcast, Comcast Cable, Broadband, MediaOne and TCI are treated equally, Comcast currently expects that immediately after completion of the AT&amp;T Comcast transaction, AT&amp;T Comcast, Comcast Cable, Broadband, MediaOne and TCI will each fully and unconditionally guarantee each other's traded debt securities.</w:t>
      </w:r>
    </w:p>
    <w:p>
      <w:pPr>
        <w:spacing w:after="0" w:line="17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Comcast does not currently expect that Comcast itself would be a guarantor, nor would its debt securities be guaranteed, because it believes future investors will be interested in "pure play" debt securities of AT&amp;T Comcast's cable communications operations and not Comcast's content assets, such as QVC, E! Entertainment and Comcast Spectacor.</w:t>
      </w:r>
    </w:p>
    <w:p>
      <w:pPr>
        <w:spacing w:after="0" w:line="187"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Comcast also does not currently expect that MediaOne of Delaware, Inc., formerly known as Continental Cablevision, Inc. and one of AT&amp;T's cable subsidiaries to be transferred to Broadband, and which we refer to as Continental in this prospectus, would be a guarantor, nor would its debt securities be guaranteed. Continental's indentures contain covenants that effectively prohibit Continental from guaranteeing its affiliates' debt obligations. If these indentures were amended to permit guarantees of affiliate debt obligations, Continental might become a guarantor and its debt securities might be cross-guaranteed as well.</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following table presents as of June 30, 2002 for each of Comcast Cable, Broadband, MediaOne, TCI and Continental, their payment obligations for principal, excluding obligations of their subsidiaries and excluding interest but including principal accreted under discount obligations, under (a) debt securities that will be subject, or in the case of Continental, might be subject, to the cross-guarantees, (b) other contractual liabilities, including capital leases, none of which will be subject to the cross-guarantees, and (c) operating leases, none of which will be subject to the cross-guarantees.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AT&amp;T Comcast the pro forma effect of the New Credit</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154</w:t>
      </w:r>
    </w:p>
    <w:p>
      <w:pPr>
        <w:sectPr>
          <w:pgSz w:w="11900" w:h="16838" w:orient="portrait"/>
          <w:cols w:equalWidth="0" w:num="1">
            <w:col w:w="10223"/>
          </w:cols>
          <w:pgMar w:left="236" w:top="659" w:right="1440" w:bottom="1440" w:gutter="0" w:footer="0" w:header="0"/>
        </w:sectPr>
      </w:pPr>
    </w:p>
    <w:bookmarkStart w:id="174" w:name="page175"/>
    <w:bookmarkEnd w:id="174"/>
    <w:p>
      <w:pPr>
        <w:ind w:left="4" w:right="2819"/>
        <w:spacing w:after="0" w:line="236" w:lineRule="auto"/>
        <w:rPr>
          <w:sz w:val="20"/>
          <w:szCs w:val="20"/>
          <w:color w:val="auto"/>
        </w:rPr>
      </w:pPr>
      <w:r>
        <w:rPr>
          <w:rFonts w:ascii="Courier New" w:cs="Courier New" w:eastAsia="Courier New" w:hAnsi="Courier New"/>
          <w:sz w:val="16"/>
          <w:szCs w:val="16"/>
          <w:color w:val="auto"/>
        </w:rPr>
        <w:t>Facilities, for which all amounts are shown for AT&amp;T Comcast although Broadband is a co-obligor on those amounts.</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PAYMENTS DUE BY PERIOD --------------</w:t>
      </w:r>
    </w:p>
    <w:p>
      <w:pPr>
        <w:ind w:left="144"/>
        <w:spacing w:after="0"/>
        <w:rPr>
          <w:sz w:val="20"/>
          <w:szCs w:val="20"/>
          <w:color w:val="auto"/>
        </w:rPr>
      </w:pPr>
      <w:r>
        <w:rPr>
          <w:rFonts w:ascii="Courier New" w:cs="Courier New" w:eastAsia="Courier New" w:hAnsi="Courier New"/>
          <w:sz w:val="16"/>
          <w:szCs w:val="16"/>
          <w:color w:val="auto"/>
        </w:rPr>
        <w:t>-----------------------------------</w:t>
      </w:r>
    </w:p>
    <w:p>
      <w:pPr>
        <w:jc w:val="center"/>
        <w:ind w:right="6655"/>
        <w:spacing w:after="0" w:line="237" w:lineRule="auto"/>
        <w:rPr>
          <w:sz w:val="20"/>
          <w:szCs w:val="20"/>
          <w:color w:val="auto"/>
        </w:rPr>
      </w:pPr>
      <w:r>
        <w:rPr>
          <w:rFonts w:ascii="Courier New" w:cs="Courier New" w:eastAsia="Courier New" w:hAnsi="Courier New"/>
          <w:sz w:val="16"/>
          <w:szCs w:val="16"/>
          <w:color w:val="auto"/>
        </w:rPr>
        <w:t>PAYMENT REMAINDER CONTRACTUAL</w:t>
      </w:r>
    </w:p>
    <w:p>
      <w:pPr>
        <w:ind w:left="44"/>
        <w:spacing w:after="0"/>
        <w:rPr>
          <w:sz w:val="20"/>
          <w:szCs w:val="20"/>
          <w:color w:val="auto"/>
        </w:rPr>
      </w:pPr>
      <w:r>
        <w:rPr>
          <w:rFonts w:ascii="Courier New" w:cs="Courier New" w:eastAsia="Courier New" w:hAnsi="Courier New"/>
          <w:sz w:val="16"/>
          <w:szCs w:val="16"/>
          <w:color w:val="auto"/>
        </w:rPr>
        <w:t>OBLIGATION TOTAL OF 2002 1-2 YEARS 3-</w:t>
      </w:r>
    </w:p>
    <w:p>
      <w:pPr>
        <w:ind w:left="44"/>
        <w:spacing w:after="0" w:line="238" w:lineRule="auto"/>
        <w:rPr>
          <w:sz w:val="20"/>
          <w:szCs w:val="20"/>
          <w:color w:val="auto"/>
        </w:rPr>
      </w:pPr>
      <w:r>
        <w:rPr>
          <w:rFonts w:ascii="Courier New" w:cs="Courier New" w:eastAsia="Courier New" w:hAnsi="Courier New"/>
          <w:sz w:val="16"/>
          <w:szCs w:val="16"/>
          <w:color w:val="auto"/>
        </w:rPr>
        <w:t>5 YEARS AFTER 5 YEARS - -------------</w:t>
      </w:r>
    </w:p>
    <w:p>
      <w:pPr>
        <w:ind w:left="44"/>
        <w:spacing w:after="0"/>
        <w:rPr>
          <w:sz w:val="20"/>
          <w:szCs w:val="20"/>
          <w:color w:val="auto"/>
        </w:rPr>
      </w:pPr>
      <w:r>
        <w:rPr>
          <w:rFonts w:ascii="Courier New" w:cs="Courier New" w:eastAsia="Courier New" w:hAnsi="Courier New"/>
          <w:sz w:val="16"/>
          <w:szCs w:val="16"/>
          <w:color w:val="auto"/>
        </w:rPr>
        <w:t>--------- --------- --------- -------</w:t>
      </w:r>
    </w:p>
    <w:p>
      <w:pPr>
        <w:ind w:left="364"/>
        <w:spacing w:after="0" w:line="238" w:lineRule="auto"/>
        <w:rPr>
          <w:sz w:val="20"/>
          <w:szCs w:val="20"/>
          <w:color w:val="auto"/>
        </w:rPr>
      </w:pPr>
      <w:r>
        <w:rPr>
          <w:rFonts w:ascii="Courier New" w:cs="Courier New" w:eastAsia="Courier New" w:hAnsi="Courier New"/>
          <w:sz w:val="16"/>
          <w:szCs w:val="16"/>
          <w:color w:val="auto"/>
        </w:rPr>
        <w:t>-- --------- ------------- (IN</w:t>
      </w:r>
    </w:p>
    <w:p>
      <w:pPr>
        <w:jc w:val="center"/>
        <w:ind w:right="6655"/>
        <w:spacing w:after="0"/>
        <w:rPr>
          <w:sz w:val="20"/>
          <w:szCs w:val="20"/>
          <w:color w:val="auto"/>
        </w:rPr>
      </w:pPr>
      <w:r>
        <w:rPr>
          <w:rFonts w:ascii="Courier New" w:cs="Courier New" w:eastAsia="Courier New" w:hAnsi="Courier New"/>
          <w:sz w:val="16"/>
          <w:szCs w:val="16"/>
          <w:color w:val="auto"/>
        </w:rPr>
        <w:t>MILLIONS, UNAUDITED) AT&amp;T Comcast:</w:t>
      </w:r>
    </w:p>
    <w:p>
      <w:pPr>
        <w:jc w:val="center"/>
        <w:ind w:right="6655"/>
        <w:spacing w:after="0" w:line="237" w:lineRule="auto"/>
        <w:rPr>
          <w:sz w:val="20"/>
          <w:szCs w:val="20"/>
          <w:color w:val="auto"/>
        </w:rPr>
      </w:pPr>
      <w:r>
        <w:rPr>
          <w:rFonts w:ascii="Courier New" w:cs="Courier New" w:eastAsia="Courier New" w:hAnsi="Courier New"/>
          <w:sz w:val="16"/>
          <w:szCs w:val="16"/>
          <w:color w:val="auto"/>
        </w:rPr>
        <w:t>New Credit Facility.................</w:t>
      </w:r>
    </w:p>
    <w:p>
      <w:pPr>
        <w:ind w:left="44"/>
        <w:spacing w:after="0"/>
        <w:rPr>
          <w:sz w:val="20"/>
          <w:szCs w:val="20"/>
          <w:color w:val="auto"/>
        </w:rPr>
      </w:pPr>
      <w:r>
        <w:rPr>
          <w:rFonts w:ascii="Courier New" w:cs="Courier New" w:eastAsia="Courier New" w:hAnsi="Courier New"/>
          <w:sz w:val="16"/>
          <w:szCs w:val="16"/>
          <w:color w:val="auto"/>
        </w:rPr>
        <w:t>$12,825.0 $ -- $10,180.0 $2,645.0 $ -</w:t>
      </w:r>
    </w:p>
    <w:p>
      <w:pPr>
        <w:spacing w:after="0" w:line="4" w:lineRule="exact"/>
        <w:rPr>
          <w:sz w:val="20"/>
          <w:szCs w:val="20"/>
          <w:color w:val="auto"/>
        </w:rPr>
      </w:pPr>
    </w:p>
    <w:p>
      <w:pPr>
        <w:ind w:left="1444" w:right="7039" w:hanging="1071"/>
        <w:spacing w:after="0" w:line="236" w:lineRule="auto"/>
        <w:tabs>
          <w:tab w:leader="none" w:pos="552"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liabilities, including capital</w:t>
      </w:r>
    </w:p>
    <w:p>
      <w:pPr>
        <w:ind w:left="84"/>
        <w:spacing w:after="0"/>
        <w:rPr>
          <w:sz w:val="20"/>
          <w:szCs w:val="20"/>
          <w:color w:val="auto"/>
        </w:rPr>
      </w:pPr>
      <w:r>
        <w:rPr>
          <w:rFonts w:ascii="Courier New" w:cs="Courier New" w:eastAsia="Courier New" w:hAnsi="Courier New"/>
          <w:sz w:val="16"/>
          <w:szCs w:val="16"/>
          <w:color w:val="auto"/>
        </w:rPr>
        <w:t>leases........................... --</w:t>
      </w:r>
    </w:p>
    <w:p>
      <w:pPr>
        <w:ind w:left="804"/>
        <w:spacing w:after="0" w:line="237" w:lineRule="auto"/>
        <w:rPr>
          <w:sz w:val="20"/>
          <w:szCs w:val="20"/>
          <w:color w:val="auto"/>
        </w:rPr>
      </w:pPr>
      <w:r>
        <w:rPr>
          <w:rFonts w:ascii="Courier New" w:cs="Courier New" w:eastAsia="Courier New" w:hAnsi="Courier New"/>
          <w:sz w:val="16"/>
          <w:szCs w:val="16"/>
          <w:color w:val="auto"/>
        </w:rPr>
        <w:t>-- -- -- -- Operating</w:t>
      </w:r>
    </w:p>
    <w:p>
      <w:pPr>
        <w:ind w:left="44"/>
        <w:spacing w:after="0"/>
        <w:rPr>
          <w:sz w:val="20"/>
          <w:szCs w:val="20"/>
          <w:color w:val="auto"/>
        </w:rPr>
      </w:pPr>
      <w:r>
        <w:rPr>
          <w:rFonts w:ascii="Courier New" w:cs="Courier New" w:eastAsia="Courier New" w:hAnsi="Courier New"/>
          <w:sz w:val="16"/>
          <w:szCs w:val="16"/>
          <w:color w:val="auto"/>
        </w:rPr>
        <w:t>leases.................... -- -- -- -</w:t>
      </w:r>
    </w:p>
    <w:p>
      <w:pPr>
        <w:ind w:left="224" w:hanging="179"/>
        <w:spacing w:after="0" w:line="238" w:lineRule="auto"/>
        <w:tabs>
          <w:tab w:leader="none" w:pos="224"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084" w:hanging="383"/>
        <w:spacing w:after="0"/>
        <w:tabs>
          <w:tab w:leader="none" w:pos="1084"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AT&amp;T</w:t>
      </w:r>
    </w:p>
    <w:tbl>
      <w:tblPr>
        <w:tblLayout w:type="fixed"/>
        <w:tblInd w:w="84" w:type="dxa"/>
        <w:tblCellMar>
          <w:top w:w="0" w:type="dxa"/>
          <w:left w:w="0" w:type="dxa"/>
          <w:bottom w:w="0" w:type="dxa"/>
          <w:right w:w="0" w:type="dxa"/>
        </w:tblCellMar>
      </w:tblPr>
      <w:tr>
        <w:trPr>
          <w:trHeight w:val="179"/>
        </w:trPr>
        <w:tc>
          <w:tcPr>
            <w:tcW w:w="18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81"/>
              </w:rPr>
              <w:t>Comcast...............</w:t>
            </w:r>
          </w:p>
        </w:tc>
        <w:tc>
          <w:tcPr>
            <w:tcW w:w="1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12,825.0 --</w:t>
            </w:r>
          </w:p>
        </w:tc>
      </w:tr>
      <w:tr>
        <w:trPr>
          <w:trHeight w:val="180"/>
        </w:trPr>
        <w:tc>
          <w:tcPr>
            <w:tcW w:w="18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4"/>
              </w:rPr>
              <w:t>10,180.0 2,645.0 --</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Comcast Cable:</w:t>
            </w:r>
          </w:p>
        </w:tc>
      </w:tr>
      <w:tr>
        <w:trPr>
          <w:trHeight w:val="180"/>
        </w:trPr>
        <w:tc>
          <w:tcPr>
            <w:tcW w:w="3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4"/>
              </w:rPr>
              <w:t>Guaranteed debt securities..........</w:t>
            </w:r>
          </w:p>
        </w:tc>
      </w:tr>
      <w:tr>
        <w:trPr>
          <w:trHeight w:val="180"/>
        </w:trPr>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8,165.6 1.5</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321.3</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3,221.1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4,621.7</w:t>
            </w:r>
          </w:p>
        </w:tc>
      </w:tr>
    </w:tbl>
    <w:p>
      <w:pPr>
        <w:spacing w:after="0" w:line="179"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leases........................... --</w:t>
      </w:r>
    </w:p>
    <w:p>
      <w:pPr>
        <w:ind w:left="804"/>
        <w:spacing w:after="0"/>
        <w:rPr>
          <w:sz w:val="20"/>
          <w:szCs w:val="20"/>
          <w:color w:val="auto"/>
        </w:rPr>
      </w:pPr>
      <w:r>
        <w:rPr>
          <w:rFonts w:ascii="Courier New" w:cs="Courier New" w:eastAsia="Courier New" w:hAnsi="Courier New"/>
          <w:sz w:val="16"/>
          <w:szCs w:val="16"/>
          <w:color w:val="auto"/>
        </w:rPr>
        <w:t>-- -- -- -- Operating</w:t>
      </w:r>
    </w:p>
    <w:p>
      <w:pPr>
        <w:ind w:left="44"/>
        <w:spacing w:after="0" w:line="237" w:lineRule="auto"/>
        <w:rPr>
          <w:sz w:val="20"/>
          <w:szCs w:val="20"/>
          <w:color w:val="auto"/>
        </w:rPr>
      </w:pPr>
      <w:r>
        <w:rPr>
          <w:rFonts w:ascii="Courier New" w:cs="Courier New" w:eastAsia="Courier New" w:hAnsi="Courier New"/>
          <w:sz w:val="16"/>
          <w:szCs w:val="16"/>
          <w:color w:val="auto"/>
        </w:rPr>
        <w:t>leases.................... -- -- -- -</w:t>
      </w:r>
    </w:p>
    <w:p>
      <w:pPr>
        <w:ind w:left="224" w:hanging="179"/>
        <w:spacing w:after="0"/>
        <w:tabs>
          <w:tab w:leader="none" w:pos="224"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944" w:hanging="384"/>
        <w:spacing w:after="0"/>
        <w:tabs>
          <w:tab w:leader="none" w:pos="944" w:val="left"/>
        </w:tabs>
        <w:numPr>
          <w:ilvl w:val="1"/>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Comcast</w:t>
      </w:r>
    </w:p>
    <w:p>
      <w:pPr>
        <w:ind w:left="44"/>
        <w:spacing w:after="0" w:line="237" w:lineRule="auto"/>
        <w:rPr>
          <w:sz w:val="20"/>
          <w:szCs w:val="20"/>
          <w:color w:val="auto"/>
        </w:rPr>
      </w:pPr>
      <w:r>
        <w:rPr>
          <w:rFonts w:ascii="Courier New" w:cs="Courier New" w:eastAsia="Courier New" w:hAnsi="Courier New"/>
          <w:sz w:val="16"/>
          <w:szCs w:val="16"/>
          <w:color w:val="auto"/>
        </w:rPr>
        <w:t>Cable.............. 8,165.6 1.5 321.3</w:t>
      </w:r>
    </w:p>
    <w:p>
      <w:pPr>
        <w:ind w:left="364"/>
        <w:spacing w:after="0"/>
        <w:rPr>
          <w:sz w:val="20"/>
          <w:szCs w:val="20"/>
          <w:color w:val="auto"/>
        </w:rPr>
      </w:pPr>
      <w:r>
        <w:rPr>
          <w:rFonts w:ascii="Courier New" w:cs="Courier New" w:eastAsia="Courier New" w:hAnsi="Courier New"/>
          <w:sz w:val="16"/>
          <w:szCs w:val="16"/>
          <w:color w:val="auto"/>
        </w:rPr>
        <w:t>3,221.1 4,621.7 Broadband: New</w:t>
      </w:r>
    </w:p>
    <w:p>
      <w:pPr>
        <w:ind w:left="84"/>
        <w:spacing w:after="0" w:line="238" w:lineRule="auto"/>
        <w:rPr>
          <w:sz w:val="20"/>
          <w:szCs w:val="20"/>
          <w:color w:val="auto"/>
        </w:rPr>
      </w:pPr>
      <w:r>
        <w:rPr>
          <w:rFonts w:ascii="Courier New" w:cs="Courier New" w:eastAsia="Courier New" w:hAnsi="Courier New"/>
          <w:sz w:val="16"/>
          <w:szCs w:val="16"/>
          <w:color w:val="auto"/>
        </w:rPr>
        <w:t>Broadband Notes(a).............. (a)</w:t>
      </w:r>
    </w:p>
    <w:p>
      <w:pPr>
        <w:ind w:left="324"/>
        <w:spacing w:after="0"/>
        <w:rPr>
          <w:sz w:val="20"/>
          <w:szCs w:val="20"/>
          <w:color w:val="auto"/>
        </w:rPr>
      </w:pPr>
      <w:r>
        <w:rPr>
          <w:rFonts w:ascii="Courier New" w:cs="Courier New" w:eastAsia="Courier New" w:hAnsi="Courier New"/>
          <w:sz w:val="16"/>
          <w:szCs w:val="16"/>
          <w:color w:val="auto"/>
        </w:rPr>
        <w:t>-- -- -- (a) Other liabilities,</w:t>
      </w:r>
    </w:p>
    <w:p>
      <w:pPr>
        <w:ind w:left="984"/>
        <w:spacing w:after="0" w:line="238" w:lineRule="auto"/>
        <w:rPr>
          <w:sz w:val="20"/>
          <w:szCs w:val="20"/>
          <w:color w:val="auto"/>
        </w:rPr>
      </w:pPr>
      <w:r>
        <w:rPr>
          <w:rFonts w:ascii="Courier New" w:cs="Courier New" w:eastAsia="Courier New" w:hAnsi="Courier New"/>
          <w:sz w:val="16"/>
          <w:szCs w:val="16"/>
          <w:color w:val="auto"/>
        </w:rPr>
        <w:t>including capital</w:t>
      </w:r>
    </w:p>
    <w:p>
      <w:pPr>
        <w:ind w:left="84"/>
        <w:spacing w:after="0"/>
        <w:rPr>
          <w:sz w:val="20"/>
          <w:szCs w:val="20"/>
          <w:color w:val="auto"/>
        </w:rPr>
      </w:pPr>
      <w:r>
        <w:rPr>
          <w:rFonts w:ascii="Courier New" w:cs="Courier New" w:eastAsia="Courier New" w:hAnsi="Courier New"/>
          <w:sz w:val="16"/>
          <w:szCs w:val="16"/>
          <w:color w:val="auto"/>
        </w:rPr>
        <w:t>leases........................... --</w:t>
      </w:r>
    </w:p>
    <w:p>
      <w:pPr>
        <w:ind w:left="804"/>
        <w:spacing w:after="0" w:line="237" w:lineRule="auto"/>
        <w:rPr>
          <w:sz w:val="20"/>
          <w:szCs w:val="20"/>
          <w:color w:val="auto"/>
        </w:rPr>
      </w:pPr>
      <w:r>
        <w:rPr>
          <w:rFonts w:ascii="Courier New" w:cs="Courier New" w:eastAsia="Courier New" w:hAnsi="Courier New"/>
          <w:sz w:val="16"/>
          <w:szCs w:val="16"/>
          <w:color w:val="auto"/>
        </w:rPr>
        <w:t>-- -- -- -- Operating</w:t>
      </w:r>
    </w:p>
    <w:p>
      <w:pPr>
        <w:ind w:left="44"/>
        <w:spacing w:after="0"/>
        <w:rPr>
          <w:sz w:val="20"/>
          <w:szCs w:val="20"/>
          <w:color w:val="auto"/>
        </w:rPr>
      </w:pPr>
      <w:r>
        <w:rPr>
          <w:rFonts w:ascii="Courier New" w:cs="Courier New" w:eastAsia="Courier New" w:hAnsi="Courier New"/>
          <w:sz w:val="16"/>
          <w:szCs w:val="16"/>
          <w:color w:val="auto"/>
        </w:rPr>
        <w:t>leases.................... -- -- -- -</w:t>
      </w:r>
    </w:p>
    <w:p>
      <w:pPr>
        <w:ind w:left="224" w:hanging="179"/>
        <w:spacing w:after="0" w:line="238" w:lineRule="auto"/>
        <w:tabs>
          <w:tab w:leader="none" w:pos="224"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304" w:hanging="368"/>
        <w:spacing w:after="0"/>
        <w:tabs>
          <w:tab w:leader="none" w:pos="1304"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w:t>
      </w:r>
    </w:p>
    <w:p>
      <w:pPr>
        <w:ind w:left="44"/>
        <w:spacing w:after="0" w:line="237" w:lineRule="auto"/>
        <w:rPr>
          <w:sz w:val="20"/>
          <w:szCs w:val="20"/>
          <w:color w:val="auto"/>
        </w:rPr>
      </w:pPr>
      <w:r>
        <w:rPr>
          <w:rFonts w:ascii="Courier New" w:cs="Courier New" w:eastAsia="Courier New" w:hAnsi="Courier New"/>
          <w:sz w:val="16"/>
          <w:szCs w:val="16"/>
          <w:color w:val="auto"/>
        </w:rPr>
        <w:t>Broadband.................. (a) -- --</w:t>
      </w:r>
    </w:p>
    <w:p>
      <w:pPr>
        <w:ind w:left="284"/>
        <w:spacing w:after="0"/>
        <w:rPr>
          <w:sz w:val="20"/>
          <w:szCs w:val="20"/>
          <w:color w:val="auto"/>
        </w:rPr>
      </w:pPr>
      <w:r>
        <w:rPr>
          <w:rFonts w:ascii="Courier New" w:cs="Courier New" w:eastAsia="Courier New" w:hAnsi="Courier New"/>
          <w:sz w:val="16"/>
          <w:szCs w:val="16"/>
          <w:color w:val="auto"/>
        </w:rPr>
        <w:t>-- (a) MediaOne: Guaranteed debt</w:t>
      </w:r>
    </w:p>
    <w:p>
      <w:pPr>
        <w:ind w:left="144"/>
        <w:spacing w:after="0" w:line="238" w:lineRule="auto"/>
        <w:rPr>
          <w:sz w:val="20"/>
          <w:szCs w:val="20"/>
          <w:color w:val="auto"/>
        </w:rPr>
      </w:pPr>
      <w:r>
        <w:rPr>
          <w:rFonts w:ascii="Courier New" w:cs="Courier New" w:eastAsia="Courier New" w:hAnsi="Courier New"/>
          <w:sz w:val="16"/>
          <w:szCs w:val="16"/>
          <w:color w:val="auto"/>
        </w:rPr>
        <w:t>securities.......... 302.8 10.4 7.2</w:t>
      </w:r>
    </w:p>
    <w:p>
      <w:pPr>
        <w:ind w:left="424"/>
        <w:spacing w:after="0"/>
        <w:rPr>
          <w:sz w:val="20"/>
          <w:szCs w:val="20"/>
          <w:color w:val="auto"/>
        </w:rPr>
      </w:pPr>
      <w:r>
        <w:rPr>
          <w:rFonts w:ascii="Courier New" w:cs="Courier New" w:eastAsia="Courier New" w:hAnsi="Courier New"/>
          <w:sz w:val="16"/>
          <w:szCs w:val="16"/>
          <w:color w:val="auto"/>
        </w:rPr>
        <w:t>82.3 202.9 Other liabilities,</w:t>
      </w:r>
    </w:p>
    <w:p>
      <w:pPr>
        <w:ind w:left="984"/>
        <w:spacing w:after="0" w:line="238" w:lineRule="auto"/>
        <w:rPr>
          <w:sz w:val="20"/>
          <w:szCs w:val="20"/>
          <w:color w:val="auto"/>
        </w:rPr>
      </w:pPr>
      <w:r>
        <w:rPr>
          <w:rFonts w:ascii="Courier New" w:cs="Courier New" w:eastAsia="Courier New" w:hAnsi="Courier New"/>
          <w:sz w:val="16"/>
          <w:szCs w:val="16"/>
          <w:color w:val="auto"/>
        </w:rPr>
        <w:t>including capital</w:t>
      </w:r>
    </w:p>
    <w:p>
      <w:pPr>
        <w:ind w:left="84"/>
        <w:spacing w:after="0"/>
        <w:rPr>
          <w:sz w:val="20"/>
          <w:szCs w:val="20"/>
          <w:color w:val="auto"/>
        </w:rPr>
      </w:pPr>
      <w:r>
        <w:rPr>
          <w:rFonts w:ascii="Courier New" w:cs="Courier New" w:eastAsia="Courier New" w:hAnsi="Courier New"/>
          <w:sz w:val="16"/>
          <w:szCs w:val="16"/>
          <w:color w:val="auto"/>
        </w:rPr>
        <w:t>leases........................... --</w:t>
      </w:r>
    </w:p>
    <w:p>
      <w:pPr>
        <w:ind w:left="804"/>
        <w:spacing w:after="0" w:line="237" w:lineRule="auto"/>
        <w:rPr>
          <w:sz w:val="20"/>
          <w:szCs w:val="20"/>
          <w:color w:val="auto"/>
        </w:rPr>
      </w:pPr>
      <w:r>
        <w:rPr>
          <w:rFonts w:ascii="Courier New" w:cs="Courier New" w:eastAsia="Courier New" w:hAnsi="Courier New"/>
          <w:sz w:val="16"/>
          <w:szCs w:val="16"/>
          <w:color w:val="auto"/>
        </w:rPr>
        <w:t>-- -- -- -- Operating</w:t>
      </w:r>
    </w:p>
    <w:p>
      <w:pPr>
        <w:ind w:left="184"/>
        <w:spacing w:after="0"/>
        <w:rPr>
          <w:sz w:val="20"/>
          <w:szCs w:val="20"/>
          <w:color w:val="auto"/>
        </w:rPr>
      </w:pPr>
      <w:r>
        <w:rPr>
          <w:rFonts w:ascii="Courier New" w:cs="Courier New" w:eastAsia="Courier New" w:hAnsi="Courier New"/>
          <w:sz w:val="16"/>
          <w:szCs w:val="16"/>
          <w:color w:val="auto"/>
        </w:rPr>
        <w:t>leases.................... 4.8 1.0</w:t>
      </w:r>
    </w:p>
    <w:p>
      <w:pPr>
        <w:ind w:left="84"/>
        <w:spacing w:after="0" w:line="238" w:lineRule="auto"/>
        <w:rPr>
          <w:sz w:val="20"/>
          <w:szCs w:val="20"/>
          <w:color w:val="auto"/>
        </w:rPr>
      </w:pPr>
      <w:r>
        <w:rPr>
          <w:rFonts w:ascii="Courier New" w:cs="Courier New" w:eastAsia="Courier New" w:hAnsi="Courier New"/>
          <w:sz w:val="16"/>
          <w:szCs w:val="16"/>
          <w:color w:val="auto"/>
        </w:rPr>
        <w:t>3.8 -- -- --------- ------ ---------</w:t>
      </w:r>
    </w:p>
    <w:p>
      <w:pPr>
        <w:ind w:left="704"/>
        <w:spacing w:after="0"/>
        <w:rPr>
          <w:sz w:val="20"/>
          <w:szCs w:val="20"/>
          <w:color w:val="auto"/>
        </w:rPr>
      </w:pPr>
      <w:r>
        <w:rPr>
          <w:rFonts w:ascii="Courier New" w:cs="Courier New" w:eastAsia="Courier New" w:hAnsi="Courier New"/>
          <w:sz w:val="16"/>
          <w:szCs w:val="16"/>
          <w:color w:val="auto"/>
        </w:rPr>
        <w:t>-------- -------- Total</w:t>
      </w:r>
    </w:p>
    <w:p>
      <w:pPr>
        <w:ind w:left="224"/>
        <w:spacing w:after="0" w:line="238" w:lineRule="auto"/>
        <w:rPr>
          <w:sz w:val="20"/>
          <w:szCs w:val="20"/>
          <w:color w:val="auto"/>
        </w:rPr>
      </w:pPr>
      <w:r>
        <w:rPr>
          <w:rFonts w:ascii="Courier New" w:cs="Courier New" w:eastAsia="Courier New" w:hAnsi="Courier New"/>
          <w:sz w:val="16"/>
          <w:szCs w:val="16"/>
          <w:color w:val="auto"/>
        </w:rPr>
        <w:t>MediaOne................... 307.6</w:t>
      </w:r>
    </w:p>
    <w:p>
      <w:pPr>
        <w:ind w:left="84"/>
        <w:spacing w:after="0"/>
        <w:rPr>
          <w:sz w:val="20"/>
          <w:szCs w:val="20"/>
          <w:color w:val="auto"/>
        </w:rPr>
      </w:pPr>
      <w:r>
        <w:rPr>
          <w:rFonts w:ascii="Courier New" w:cs="Courier New" w:eastAsia="Courier New" w:hAnsi="Courier New"/>
          <w:sz w:val="16"/>
          <w:szCs w:val="16"/>
          <w:color w:val="auto"/>
        </w:rPr>
        <w:t>11.4 11.0 82.3 202.9 TCI: Guaranteed</w:t>
      </w:r>
    </w:p>
    <w:p>
      <w:pPr>
        <w:ind w:left="224"/>
        <w:spacing w:after="0" w:line="237" w:lineRule="auto"/>
        <w:rPr>
          <w:sz w:val="20"/>
          <w:szCs w:val="20"/>
          <w:color w:val="auto"/>
        </w:rPr>
      </w:pPr>
      <w:r>
        <w:rPr>
          <w:rFonts w:ascii="Courier New" w:cs="Courier New" w:eastAsia="Courier New" w:hAnsi="Courier New"/>
          <w:sz w:val="16"/>
          <w:szCs w:val="16"/>
          <w:color w:val="auto"/>
        </w:rPr>
        <w:t>debt securities.......... 5,883.9</w:t>
      </w:r>
    </w:p>
    <w:p>
      <w:pPr>
        <w:ind w:left="184"/>
        <w:spacing w:after="0"/>
        <w:rPr>
          <w:sz w:val="20"/>
          <w:szCs w:val="20"/>
          <w:color w:val="auto"/>
        </w:rPr>
      </w:pPr>
      <w:r>
        <w:rPr>
          <w:rFonts w:ascii="Courier New" w:cs="Courier New" w:eastAsia="Courier New" w:hAnsi="Courier New"/>
          <w:sz w:val="16"/>
          <w:szCs w:val="16"/>
          <w:color w:val="auto"/>
        </w:rPr>
        <w:t>30.0 1,748.7 1,165.5 2,939.7 Other</w:t>
      </w:r>
    </w:p>
    <w:p>
      <w:pPr>
        <w:ind w:left="364"/>
        <w:spacing w:after="0" w:line="238" w:lineRule="auto"/>
        <w:rPr>
          <w:sz w:val="20"/>
          <w:szCs w:val="20"/>
          <w:color w:val="auto"/>
        </w:rPr>
      </w:pPr>
      <w:r>
        <w:rPr>
          <w:rFonts w:ascii="Courier New" w:cs="Courier New" w:eastAsia="Courier New" w:hAnsi="Courier New"/>
          <w:sz w:val="16"/>
          <w:szCs w:val="16"/>
          <w:color w:val="auto"/>
        </w:rPr>
        <w:t>liabilities, including capital</w:t>
      </w:r>
    </w:p>
    <w:p>
      <w:pPr>
        <w:ind w:left="84"/>
        <w:spacing w:after="0"/>
        <w:rPr>
          <w:sz w:val="20"/>
          <w:szCs w:val="20"/>
          <w:color w:val="auto"/>
        </w:rPr>
      </w:pPr>
      <w:r>
        <w:rPr>
          <w:rFonts w:ascii="Courier New" w:cs="Courier New" w:eastAsia="Courier New" w:hAnsi="Courier New"/>
          <w:sz w:val="16"/>
          <w:szCs w:val="16"/>
          <w:color w:val="auto"/>
        </w:rPr>
        <w:t>leases........................... --</w:t>
      </w:r>
    </w:p>
    <w:p>
      <w:pPr>
        <w:ind w:left="804"/>
        <w:spacing w:after="0" w:line="238" w:lineRule="auto"/>
        <w:rPr>
          <w:sz w:val="20"/>
          <w:szCs w:val="20"/>
          <w:color w:val="auto"/>
        </w:rPr>
      </w:pPr>
      <w:r>
        <w:rPr>
          <w:rFonts w:ascii="Courier New" w:cs="Courier New" w:eastAsia="Courier New" w:hAnsi="Courier New"/>
          <w:sz w:val="16"/>
          <w:szCs w:val="16"/>
          <w:color w:val="auto"/>
        </w:rPr>
        <w:t>-- -- -- -- Operating</w:t>
      </w:r>
    </w:p>
    <w:p>
      <w:pPr>
        <w:ind w:left="144"/>
        <w:spacing w:after="0"/>
        <w:rPr>
          <w:sz w:val="20"/>
          <w:szCs w:val="20"/>
          <w:color w:val="auto"/>
        </w:rPr>
      </w:pPr>
      <w:r>
        <w:rPr>
          <w:rFonts w:ascii="Courier New" w:cs="Courier New" w:eastAsia="Courier New" w:hAnsi="Courier New"/>
          <w:sz w:val="16"/>
          <w:szCs w:val="16"/>
          <w:color w:val="auto"/>
        </w:rPr>
        <w:t>leases.................... 55.8 7.2</w:t>
      </w:r>
    </w:p>
    <w:p>
      <w:pPr>
        <w:ind w:left="44"/>
        <w:spacing w:after="0" w:line="237" w:lineRule="auto"/>
        <w:rPr>
          <w:sz w:val="20"/>
          <w:szCs w:val="20"/>
          <w:color w:val="auto"/>
        </w:rPr>
      </w:pPr>
      <w:r>
        <w:rPr>
          <w:rFonts w:ascii="Courier New" w:cs="Courier New" w:eastAsia="Courier New" w:hAnsi="Courier New"/>
          <w:sz w:val="16"/>
          <w:szCs w:val="16"/>
          <w:color w:val="auto"/>
        </w:rPr>
        <w:t>25.8 15.9 6.9 --------- ------ ------</w:t>
      </w:r>
    </w:p>
    <w:p>
      <w:pPr>
        <w:ind w:left="504"/>
        <w:spacing w:after="0"/>
        <w:rPr>
          <w:sz w:val="20"/>
          <w:szCs w:val="20"/>
          <w:color w:val="auto"/>
        </w:rPr>
      </w:pPr>
      <w:r>
        <w:rPr>
          <w:rFonts w:ascii="Courier New" w:cs="Courier New" w:eastAsia="Courier New" w:hAnsi="Courier New"/>
          <w:sz w:val="16"/>
          <w:szCs w:val="16"/>
          <w:color w:val="auto"/>
        </w:rPr>
        <w:t>--- -------- -------- Total</w:t>
      </w:r>
    </w:p>
    <w:p>
      <w:pPr>
        <w:ind w:left="144"/>
        <w:spacing w:after="0" w:line="238" w:lineRule="auto"/>
        <w:rPr>
          <w:sz w:val="20"/>
          <w:szCs w:val="20"/>
          <w:color w:val="auto"/>
        </w:rPr>
      </w:pPr>
      <w:r>
        <w:rPr>
          <w:rFonts w:ascii="Courier New" w:cs="Courier New" w:eastAsia="Courier New" w:hAnsi="Courier New"/>
          <w:sz w:val="16"/>
          <w:szCs w:val="16"/>
          <w:color w:val="auto"/>
        </w:rPr>
        <w:t>TCI........................ 5,939.7</w:t>
      </w:r>
    </w:p>
    <w:p>
      <w:pPr>
        <w:ind w:left="44"/>
        <w:spacing w:after="0"/>
        <w:rPr>
          <w:sz w:val="20"/>
          <w:szCs w:val="20"/>
          <w:color w:val="auto"/>
        </w:rPr>
      </w:pPr>
      <w:r>
        <w:rPr>
          <w:rFonts w:ascii="Courier New" w:cs="Courier New" w:eastAsia="Courier New" w:hAnsi="Courier New"/>
          <w:sz w:val="16"/>
          <w:szCs w:val="16"/>
          <w:color w:val="auto"/>
        </w:rPr>
        <w:t>37.2 1,774.5 1,181.4 2,946.6 --------</w:t>
      </w:r>
    </w:p>
    <w:p>
      <w:pPr>
        <w:ind w:left="284" w:hanging="192"/>
        <w:spacing w:after="0" w:line="238" w:lineRule="auto"/>
        <w:tabs>
          <w:tab w:leader="none" w:pos="284"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3" w:lineRule="exact"/>
        <w:rPr>
          <w:rFonts w:ascii="Courier New" w:cs="Courier New" w:eastAsia="Courier New" w:hAnsi="Courier New"/>
          <w:sz w:val="16"/>
          <w:szCs w:val="16"/>
          <w:color w:val="auto"/>
        </w:rPr>
      </w:pPr>
    </w:p>
    <w:p>
      <w:pPr>
        <w:jc w:val="both"/>
        <w:ind w:left="144" w:right="679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$27,237.9 $ 50.1 $12,286.8 $7,129.8 $7,771.2 ========= ====== =========</w:t>
      </w:r>
    </w:p>
    <w:p>
      <w:pPr>
        <w:ind w:left="3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Continental:</w:t>
      </w:r>
    </w:p>
    <w:p>
      <w:pPr>
        <w:ind w:left="5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Potentially guaranteed debt</w:t>
      </w:r>
    </w:p>
    <w:tbl>
      <w:tblPr>
        <w:tblLayout w:type="fixed"/>
        <w:tblInd w:w="84" w:type="dxa"/>
        <w:tblCellMar>
          <w:top w:w="0" w:type="dxa"/>
          <w:left w:w="0" w:type="dxa"/>
          <w:bottom w:w="0" w:type="dxa"/>
          <w:right w:w="0" w:type="dxa"/>
        </w:tblCellMar>
      </w:tblPr>
      <w:tr>
        <w:trPr>
          <w:trHeight w:val="179"/>
        </w:trPr>
        <w:tc>
          <w:tcPr>
            <w:tcW w:w="10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securities</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80"/>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85"/>
              </w:rPr>
              <w:t>1,800.0 $ --</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$ 875.0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$ 825.0</w:t>
            </w:r>
          </w:p>
        </w:tc>
      </w:tr>
    </w:tbl>
    <w:p>
      <w:pPr>
        <w:spacing w:after="0" w:line="179" w:lineRule="exact"/>
        <w:rPr>
          <w:sz w:val="20"/>
          <w:szCs w:val="20"/>
          <w:color w:val="auto"/>
        </w:rPr>
      </w:pPr>
    </w:p>
    <w:tbl>
      <w:tblPr>
        <w:tblLayout w:type="fixed"/>
        <w:tblInd w:w="44" w:type="dxa"/>
        <w:tblCellMar>
          <w:top w:w="0" w:type="dxa"/>
          <w:left w:w="0" w:type="dxa"/>
          <w:bottom w:w="0" w:type="dxa"/>
          <w:right w:w="0" w:type="dxa"/>
        </w:tblCellMar>
      </w:tblPr>
      <w:tr>
        <w:trPr>
          <w:trHeight w:val="181"/>
        </w:trPr>
        <w:tc>
          <w:tcPr>
            <w:tcW w:w="1980" w:type="dxa"/>
            <w:vAlign w:val="bottom"/>
          </w:tcPr>
          <w:p>
            <w:pPr>
              <w:jc w:val="right"/>
              <w:spacing w:after="0"/>
              <w:rPr>
                <w:sz w:val="20"/>
                <w:szCs w:val="20"/>
                <w:color w:val="auto"/>
              </w:rPr>
            </w:pPr>
            <w:r>
              <w:rPr>
                <w:rFonts w:ascii="Courier New" w:cs="Courier New" w:eastAsia="Courier New" w:hAnsi="Courier New"/>
                <w:sz w:val="13"/>
                <w:szCs w:val="13"/>
                <w:color w:val="auto"/>
                <w:w w:val="76"/>
              </w:rPr>
              <w:t>leases...........................</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0"/>
        </w:trPr>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1.1 3.1 -- --</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4"/>
              </w:rPr>
              <w:t>Operating</w:t>
            </w:r>
          </w:p>
        </w:tc>
      </w:tr>
      <w:tr>
        <w:trPr>
          <w:trHeight w:val="180"/>
        </w:trPr>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w w:val="78"/>
              </w:rPr>
              <w:t>leases....................</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1.2 0.3</w:t>
            </w:r>
          </w:p>
        </w:tc>
      </w:tr>
      <w:tr>
        <w:trPr>
          <w:trHeight w:val="180"/>
        </w:trPr>
        <w:tc>
          <w:tcPr>
            <w:tcW w:w="3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0.9 -- -- --------- ------ ---------</w:t>
            </w:r>
          </w:p>
        </w:tc>
      </w:tr>
      <w:tr>
        <w:trPr>
          <w:trHeight w:val="180"/>
        </w:trPr>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w w:val="79"/>
              </w:rPr>
              <w:t>-------- --------</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w w:val="75"/>
              </w:rPr>
              <w:t>Continental................</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$ 1,805.4</w:t>
            </w:r>
          </w:p>
        </w:tc>
      </w:tr>
    </w:tbl>
    <w:p>
      <w:pPr>
        <w:ind w:left="604" w:hanging="184"/>
        <w:spacing w:after="0"/>
        <w:tabs>
          <w:tab w:leader="none" w:pos="604"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1.4 $ 104.0 $ 875.0 $ 825.0</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24" w:lineRule="exact"/>
        <w:rPr>
          <w:rFonts w:ascii="Courier New" w:cs="Courier New" w:eastAsia="Courier New" w:hAnsi="Courier New"/>
          <w:sz w:val="16"/>
          <w:szCs w:val="16"/>
          <w:color w:val="auto"/>
        </w:rPr>
      </w:pPr>
    </w:p>
    <w:p>
      <w:pPr>
        <w:ind w:left="4" w:right="2999" w:hanging="4"/>
        <w:spacing w:after="0" w:line="236" w:lineRule="auto"/>
        <w:tabs>
          <w:tab w:leader="none" w:pos="379"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New Broadband Notes to be issued is not presently determinable.</w:t>
      </w:r>
    </w:p>
    <w:p>
      <w:pPr>
        <w:sectPr>
          <w:pgSz w:w="11900" w:h="16838" w:orient="portrait"/>
          <w:cols w:equalWidth="0" w:num="1">
            <w:col w:w="10223"/>
          </w:cols>
          <w:pgMar w:left="236" w:top="659" w:right="1440" w:bottom="0" w:gutter="0" w:footer="0" w:header="0"/>
        </w:sectPr>
      </w:pPr>
    </w:p>
    <w:bookmarkStart w:id="175" w:name="page176"/>
    <w:bookmarkEnd w:id="175"/>
    <w:p>
      <w:pPr>
        <w:ind w:left="2460"/>
        <w:spacing w:after="0"/>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9019"/>
          </w:cols>
          <w:pgMar w:left="1440" w:top="322" w:right="1440" w:bottom="1440" w:gutter="0" w:footer="0" w:header="0"/>
        </w:sectPr>
      </w:pPr>
    </w:p>
    <w:bookmarkStart w:id="176" w:name="page177"/>
    <w:bookmarkEnd w:id="176"/>
    <w:p>
      <w:pPr>
        <w:jc w:val="center"/>
        <w:ind w:right="2819"/>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validity of the New AT&amp;T Notes and Broadband Exchange Notes offered hereby will be passed upon for AT&amp;T by Robert S. Feit, Vice President -- Law and Secretary, of AT&amp;T Corp. The validity of the New Broadband Notes offered hereby will be passed upon for Broadband and the cable guarantors by Davis Polk &amp; Wardwell. Certain legal matters relating to the offering will be passed upon for the dealer managers by Simpson Thacher &amp; Bartlett.</w:t>
      </w:r>
    </w:p>
    <w:p>
      <w:pPr>
        <w:spacing w:after="0" w:line="18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EXPERTS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audited consolidated financial statements of AT&amp;T Corp. as of December 31, 2001 and 2000, and for each of the three years in the period ended December 31, 2001, incorporated by reference in this prospectus/registration statement, have been audited by PricewaterhouseCoopers LLP, independent accountants, whose report thereon appears herein and, insofar as they relate to Liberty Media Group as of December 31, 2000 and 1999, and for the two years in the period ended December 31, 2000, by KPMG LLP, independent certified public accountants. Such financial statements have been so incorporated in reliance on the reports of such independent accountants given on the authority of such firms as experts in auditing and accounting.</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appear as an exhibit to the Annual Report on Form 10-K/A of AT&amp;T Corp., have been incorporated by reference herein in reliance upon the report, dated March 8, 2002, of KPMG LLP, independent certified public accountants, incorporated by reference herein, and upon the authority of said firm as experts in accounting and auditing.</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KPMG LLP report states that Liberty Media Corporation changed its</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method of accounting for derivative instruments and hedging activities in 2001.</w:t>
      </w:r>
    </w:p>
    <w:p>
      <w:pPr>
        <w:spacing w:after="0" w:line="191"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the KPMG LLP report contains an explanatory paragraph that states that,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174"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consolidated financial statements of AT&amp;T Canada Inc. as of December 31, 2001 and 2000, and for each of the years in the three year period ended December 31, 2001, incorporated in this document by reference to the Annual Report on Form 10-K/A of AT&amp;T Corp. for the year ended December 31, 2001, have been so incorporated in reliance on the report of KPMG LLP, independent accountants, given on the authority of said firm as experts in auditing and accounting.</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KPMG LLP report dated February 1, 2002, except as to note 2, which is as of March 14, 2002, as to note 5, which is as of February 20, 2002 and as to note 9(h), which is as of May 1, 2002, contains Comments by the Auditors for U.S. Readers on Canada -- U.S. Reporting Differences which states that in the United States, reporting standards for auditors require the addition of an explanatory paragraph (following the opinion paragraph) when the financial statements are affected by conditions and events that cast substantial doubt on AT&amp;T Canada Inc.'s ability to continue as a going concern such as those described in note 2 to the consolidated financial statements. The KPMG LLP report to the shareholders is expressed in accordance with Canadian reporting standards, which do not permit a reference to such conditions and events in the auditors' report when these are adequately disclosed in the financial statements.</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156</w:t>
      </w:r>
    </w:p>
    <w:p>
      <w:pPr>
        <w:sectPr>
          <w:pgSz w:w="11900" w:h="16838" w:orient="portrait"/>
          <w:cols w:equalWidth="0" w:num="1">
            <w:col w:w="10219"/>
          </w:cols>
          <w:pgMar w:left="240" w:top="654" w:right="1440" w:bottom="1440" w:gutter="0" w:footer="0" w:header="0"/>
        </w:sectPr>
      </w:pPr>
    </w:p>
    <w:bookmarkStart w:id="177" w:name="page178"/>
    <w:bookmarkEnd w:id="177"/>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consolidated financial statements of Concert, B.V., incorporated in this prospectus/registration statement by reference to the Annual Report on Form 10-K/A of AT&amp;T Corp. for the year ended December 31, 2001 have been so incorporated in reliance on the report of PricewaterhouseCoopers LLP, independent accountants, given on the authority of said firm as experts in auditing and accounting.</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AT&amp;T BROADBAND GROUP</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combined financial statements of AT&amp;T Broadband Group as of December 31, 2001 and 2000, and for each of the two years in the period ended December 31, 2001 and for the ten-month period ended December 31, 1999, included in this prospectus/registration statement, have been so included in reliance on the report of PricewaterhouseCoopers LLP, independent accountants, given on the authority of said firm as experts in auditing and accounting.</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BROADBAND</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balance sheet of AT&amp;T Broadband Corp. as of December 31, 2001, included in this prospectus/registration statement, has been so included in reliance on the report of PricewaterhouseCoopers LLP, independent accountants, given on the authority of said firm as experts in auditing and accounting.</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AT&amp;T COMCAST</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balance sheet of AT&amp;T Comcast as of December 31, 2001 included in this prospectus has been audited by Deloitte &amp; Touche LLP, independent auditors, as stated in their report, appearing herein, and is so included in reliance upon the report of such firm given upon their authority as experts in accounting and auditing.</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COMCAST CABLE</w:t>
      </w:r>
    </w:p>
    <w:p>
      <w:pPr>
        <w:spacing w:after="0" w:line="185"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The financial statements and the related financial statement schedule of Comcast Cable, a wholly owned subsidiary of Comcast, and subsidiaries incorporated in this prospectus by reference from Comcast Cable's Annual Report on Form 10-K for the year ended December 31, 2001 have been audited by Deloitte</w:t>
      </w:r>
    </w:p>
    <w:p>
      <w:pPr>
        <w:spacing w:after="0" w:line="2" w:lineRule="exact"/>
        <w:rPr>
          <w:sz w:val="20"/>
          <w:szCs w:val="20"/>
          <w:color w:val="auto"/>
        </w:rPr>
      </w:pPr>
    </w:p>
    <w:p>
      <w:pPr>
        <w:ind w:left="4" w:right="2719" w:hanging="4"/>
        <w:spacing w:after="0" w:line="256" w:lineRule="auto"/>
        <w:tabs>
          <w:tab w:leader="none" w:pos="191"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6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COMCAST</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financial statements of Comcast as of December 31, 2001 and 2000 and for each of the three years ended December 31, 2001 included in this prospectus have been audited by Deloitte &amp; Touche LLP, independent auditors, as stated in their report (which report expresses an unqualified opinion and includes an explanatory paragraph related to the adoption of Statement of Financial Accounting Standards No. 133, "Accounting for Derivative Instruments and Hedging Activities," as amended, effective January 1, 2001), which is included herein and has been so included in reliance upon the report of such firm given upon their authority as experts in accounting and auditing.</w:t>
      </w:r>
    </w:p>
    <w:p>
      <w:pPr>
        <w:spacing w:after="0" w:line="181"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INFORMATION REGARDING FORWARD-LOOKING STATEMENTS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This prospectus contains "forward-looking statements" within the meaning of the Private Securities Litigation Reform Act of 1995. These statements may be made directly in this prospectus referring to AT&amp;T, Broadband, AT&amp;T Comcast, Comcast Cable, MediaOne, or TCI, and they may also be made a part of this prospectus by reference to other documents filed with the SEC, which is known as</w:t>
      </w:r>
    </w:p>
    <w:p>
      <w:pPr>
        <w:spacing w:after="0" w:line="17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157</w:t>
      </w:r>
    </w:p>
    <w:p>
      <w:pPr>
        <w:sectPr>
          <w:pgSz w:w="11900" w:h="16838" w:orient="portrait"/>
          <w:cols w:equalWidth="0" w:num="1">
            <w:col w:w="10223"/>
          </w:cols>
          <w:pgMar w:left="236" w:top="659" w:right="1440" w:bottom="1440" w:gutter="0" w:footer="0" w:header="0"/>
        </w:sectPr>
      </w:pPr>
    </w:p>
    <w:bookmarkStart w:id="178" w:name="page179"/>
    <w:bookmarkEnd w:id="178"/>
    <w:p>
      <w:pPr>
        <w:ind w:right="2819"/>
        <w:spacing w:after="0" w:line="237" w:lineRule="auto"/>
        <w:rPr>
          <w:sz w:val="20"/>
          <w:szCs w:val="20"/>
          <w:color w:val="auto"/>
        </w:rPr>
      </w:pPr>
      <w:r>
        <w:rPr>
          <w:rFonts w:ascii="Courier New" w:cs="Courier New" w:eastAsia="Courier New" w:hAnsi="Courier New"/>
          <w:sz w:val="16"/>
          <w:szCs w:val="16"/>
          <w:color w:val="auto"/>
        </w:rPr>
        <w:t>"incorporation by reference." These statements may include statements regarding the period leading up to and following completion of the AT&amp;T Comcast transaction.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Words such as "anticipate," "estimate," "expect," "project," "intend," "plan," "believe" and words and terms of similar substance used in connection with any discussion of future operating or financial performance, or the AT&amp;T Comcast transaction, identify forward-looking statements. All forward-looking statements are management's present estimates of future events and are subject to a number of factors and uncertainties, including without limitation the risks associated with the lack of complete data and the potential inaccuracy of data relied upon in making such forward-looking statements, that could cause actual results to differ materially from those described in the forward-looking statements. In addition, the risks related to the businesses of AT&amp;T, Broadband, AT&amp;T Comcast, Comcast Cable, MediaOne and TCI and the factors relating to the AT&amp;T Comcast transaction discussed under "Risk Factors," among others, could cause actual results to differ materially from those described in the forward-looking statements. Noteholders are cautioned not to place undue reliance on the forward-looking statements, which speak only as of the date of this prospectus or as of the date of any document incorporated by reference in this prospectus, as applicable. None of AT&amp;T, Broadband, AT&amp;T Comcast, Comcast Cable, MediaOne or TCI is under any obligation, and each expressly disclaims any obligation, to update or alter any forward-looking statements, whether as a result of new information, future events or otherwise.</w:t>
      </w:r>
    </w:p>
    <w:p>
      <w:pPr>
        <w:spacing w:after="0" w:line="35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additional information about factors that could cause actual results to differ materially from those described in the forward-looking statements, please see the annual reports on Form 10-K and the quarterly reports on Form 10-Q that AT&amp;T and Comcast Cable have filed with the SEC.</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All subsequent forward-looking statements attributable to AT&amp;T, Broadband, AT&amp;T Comcast, Comcast Cable, MediaOne or TCI, or any person acting on their behalf are expressly qualified in their entirety by the cautionary statements contained or referred to in this section.</w:t>
      </w:r>
    </w:p>
    <w:p>
      <w:pPr>
        <w:spacing w:after="0" w:line="181"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Broadband, TCI and MediaOne do not currently file information with the SEC. AT&amp;T, Comcast, AT&amp;T Comcast and Comcast Cable file annual, quarterly and special reports, prospectuses and other information with the SEC. You may read and copy any reports, statements or other information AT&amp;T, Comcast or Comcast Cable file at the SEC's public reference room at 450 Fifth Street, N.W., Washington, D.C. 20549. Please call the SEC at 1-800-SEC-0330 for further information on the public reference room. The SEC filings of AT&amp;T, Comcast, AT&amp;T Comcast and Comcast Cable are also available to the public from commercial document retrieval services and at the website maintained by the SEC at www.sec.gov.</w:t>
      </w:r>
    </w:p>
    <w:p>
      <w:pPr>
        <w:spacing w:after="0" w:line="17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SEC allows us to "incorporate by reference" information into this prospectus, which means that we can disclose important information to you by referring you to another document we have filed separately with the SEC. The information incorporated by reference is deemed to be part of this prospectus, except for any information superseded by information contained directly in this prospectus.</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This prospectus incorporates by reference the documents set forth below that AT&amp;T, AT&amp;T Comcast and Comcast Cable have previously filed with the SEC. These documents contain important information about the financial condition of AT&amp;T, AT&amp;T Comcast and Comcast Cable.</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SEC Filings (File No. 1-1105)</w:t>
      </w:r>
    </w:p>
    <w:p>
      <w:pPr>
        <w:spacing w:after="0" w:line="185" w:lineRule="exact"/>
        <w:rPr>
          <w:sz w:val="20"/>
          <w:szCs w:val="20"/>
          <w:color w:val="auto"/>
        </w:rPr>
      </w:pPr>
    </w:p>
    <w:p>
      <w:pPr>
        <w:ind w:left="660" w:right="2719" w:hanging="195"/>
        <w:spacing w:after="0" w:line="236" w:lineRule="auto"/>
        <w:tabs>
          <w:tab w:leader="none" w:pos="66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year ended December 31, 2001, filed on April 1, 2002, as amended on May 3, 2002 and May 13, 2002</w:t>
      </w:r>
    </w:p>
    <w:p>
      <w:pPr>
        <w:spacing w:after="0" w:line="184"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quarters ended March 31, 2002, filed on May 15, 2002 and June 30, 2002, filed on August 14, 2002</w:t>
      </w:r>
    </w:p>
    <w:p>
      <w:pPr>
        <w:spacing w:after="0" w:line="168"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Reports on Form 8-K filed on January 4, 2002, February 5, 2002, February 21, 2002, April 16, 2002, April 25, 2002, May 13, 2002, May 29, 2002, June 5, 2002, June 11, 2002, July 3,</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158</w:t>
      </w:r>
    </w:p>
    <w:p>
      <w:pPr>
        <w:sectPr>
          <w:pgSz w:w="11900" w:h="16838" w:orient="portrait"/>
          <w:cols w:equalWidth="0" w:num="1">
            <w:col w:w="10219"/>
          </w:cols>
          <w:pgMar w:left="240" w:top="659"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6"/>
          <w:szCs w:val="16"/>
          <w:color w:val="auto"/>
        </w:rPr>
        <w:t>2002, July 11, 2002, July 22, 2002, July 29, 2002, July 30, 2002, August 12,</w:t>
      </w:r>
    </w:p>
    <w:p>
      <w:pPr>
        <w:spacing w:after="0"/>
        <w:rPr>
          <w:sz w:val="20"/>
          <w:szCs w:val="20"/>
          <w:color w:val="auto"/>
        </w:rPr>
      </w:pPr>
      <w:r>
        <w:rPr>
          <w:rFonts w:ascii="Courier New" w:cs="Courier New" w:eastAsia="Courier New" w:hAnsi="Courier New"/>
          <w:sz w:val="16"/>
          <w:szCs w:val="16"/>
          <w:color w:val="auto"/>
        </w:rPr>
        <w:t>2002, August 13, 2002, August 14, 2002 and August 23, 2002</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Cable SEC Filings (File No. 333-30745)</w:t>
      </w:r>
    </w:p>
    <w:p>
      <w:pPr>
        <w:spacing w:after="0" w:line="185" w:lineRule="exact"/>
        <w:rPr>
          <w:sz w:val="20"/>
          <w:szCs w:val="20"/>
          <w:color w:val="auto"/>
        </w:rPr>
      </w:pPr>
    </w:p>
    <w:p>
      <w:pPr>
        <w:ind w:left="660" w:right="2719" w:hanging="195"/>
        <w:spacing w:after="0" w:line="236" w:lineRule="auto"/>
        <w:tabs>
          <w:tab w:leader="none" w:pos="6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year ended December 31, 2001, filed on March 29, 2002</w:t>
      </w:r>
    </w:p>
    <w:p>
      <w:pPr>
        <w:spacing w:after="0" w:line="184"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quarters ended March 31, 2002, filed on May 15, 2002 and June 30, 2002, filed on August 14, 2002</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also incorporate by reference into this prospectus additional documents that may be filed by AT&amp;T, AT&amp;T Broadband, or Comcast Cable with the SEC pursuant to Section 13(a), 13(c), 14 or 15(d) of the Exchange Act from the date of this prospectus before the termination of this offering. These include periodic reports, such as Annual Reports on Form 10-K, Quarterly Reports on Form 10-Q and Current Reports on Form 8-K, as well as prospectuses.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You may obtain copies of any documents incorporated by reference in this prospectus through us, the SEC or the SEC's website as described above. Documents incorporated by reference are available from us without charge, excluding exhibits thereto unless we have specifically incorporated by reference such exhibits in this prospectus. Any person, including any beneficial owner, to whom this prospectus is delivered may obtain documents incorporated by reference in, but not delivered with, this prospectus by requesting them from the information agent in writing or by telephone at the address set forth on the back cover of this prospectus. Any request should be made not later than five business days prior to the end of the exchange offer.</w:t>
      </w:r>
    </w:p>
    <w:p>
      <w:pPr>
        <w:spacing w:after="0" w:line="36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Broadband, AT&amp;T Comcast, Comcast Cable, MediaOne and TCI have together filed a registration statement on Form S-4 under the Securities Act with the SEC with respect to the exchange offer. This prospectus does not contain all of the information included in the registration statement and the exhibits and schedules to the registration statement. You will find additional information about the new notes and the companies involved in the exchange offer in the registration statement. Certain items are omitted in accordance with the rules and regulations of the SEC. For further information with respect to the companies and the new notes, reference is made to the registration statement and the exhibits and any schedules filed therewith. All documents incorporated by reference and all future annual and quarterly reports of the registrants will, so long as the eligible notes are listed on the Luxembourg Stock Exchange, be available free of charge during normal business hours at the specified office of the Luxembourg exchange agent and the Luxembourg paying agent.</w:t>
      </w:r>
    </w:p>
    <w:p>
      <w:pPr>
        <w:spacing w:after="0" w:line="35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for any reason we are not required to comply with the reporting requirements of the Securities Exchange Act of 1934, as amended, we are still required under the AT&amp;T Indenture and the New Broadband Indenture to furnish the holders of the new notes with the information, documents and other reports specified in Sections 13 and 15(d) of the Exchange Act.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159</w:t>
      </w:r>
    </w:p>
    <w:p>
      <w:pPr>
        <w:sectPr>
          <w:pgSz w:w="11900" w:h="16838" w:orient="portrait"/>
          <w:cols w:equalWidth="0" w:num="1">
            <w:col w:w="10219"/>
          </w:cols>
          <w:pgMar w:left="240" w:top="654" w:right="1440" w:bottom="1440" w:gutter="0" w:footer="0" w:header="0"/>
        </w:sectPr>
      </w:pPr>
    </w:p>
    <w:bookmarkStart w:id="180" w:name="page181"/>
    <w:bookmarkEnd w:id="180"/>
    <w:p>
      <w:pPr>
        <w:ind w:left="1780"/>
        <w:spacing w:after="0"/>
        <w:rPr>
          <w:sz w:val="20"/>
          <w:szCs w:val="20"/>
          <w:color w:val="auto"/>
        </w:rPr>
      </w:pPr>
      <w:r>
        <w:rPr>
          <w:rFonts w:ascii="Courier New" w:cs="Courier New" w:eastAsia="Courier New" w:hAnsi="Courier New"/>
          <w:sz w:val="16"/>
          <w:szCs w:val="16"/>
          <w:color w:val="auto"/>
        </w:rPr>
        <w:t>IMPORTANT INFORMATION FOR NON-U.S HOLDERS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BELGIUM</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has not authorized the exchange offer to the public in Belgium within the meaning of the Belgian Royal Decree N(LOGO) 185 of July 9, 1935 on the supervision of banks and the framework governing the issue of securities (as amended), the Belgian Royal Decree of July 7, 1999 on the public nature of financial transactions and the regulations enacted thereunder. The exchange offer may be offered to and accepted by persons in Belgium, and this prospectus and any other information in connection with the foregoing may be distributed or published in Belgium, only under circumstances which do not constitute an offer of the exchange to the public in Belgium in accordance with the aforementioned rules and regulations. This prospectus and the proposed transaction have not been submitted to, and have not been approved or disapproved by, the Belgian Banking and Finance Commission (Commissie voor het Bank- en Financiewezen/Commission Bancaire et Financiere) in accordance with Article 29ter of Belgian Royal Decree N(LOGO) 185.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CANADA</w:t>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OFFERING RESTRICTIONS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Broadband Exchange Notes and the New AT&amp;T Notes are being offered in the provinces of Ontario and Quebec only and therein only to investors who make the representations under "Representations of Purchasers" below. No securities commission or similar authority in Canada has reviewed or in any way passed upon the information made available herein or the merits of the securities described herein and any representation to the contrary is an offence.</w:t>
      </w: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RESALE RESTRICTIONS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distribution of the Broadband Exchange Notes and the New AT&amp;T Notes (and, if applicable, any securities for which they may be exchanged) in Canada is being made only on a private placement basis and is exempt from the requirement that the issuer of such securities prepare and file a prospectus with the relevant Canadian securities regulatory authorities. Any resale of the Broadband Exchange Notes and/or the New AT&amp;T Notes (and, if applicable, any securities for which they may be exchanged) must be made in accordance with applicable securities laws which may require resales to be made in accordance with exemptions from registration and prospectus requirements. Purchasers are advised to seek legal advice prior to any resale of the Broadband Exchange Notes and the New AT&amp;T Notes (and, if applicable, any securities for which they may be exchanged).</w:t>
      </w: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REPRESENTATIONS OF PURCHASERS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Each Canadian investor who tenders Broadband Eligible Notes and/or AT&amp;T Eligible Notes and, as the case may be, acquires Broadband Exchange Notes and/or New AT&amp;T Notes will be deemed to have represented to the issuer and the Dealer Managers that: (a) the offer and sale of the Broadband Exchange Notes and/or the New AT&amp;T Notes to that investor was made exclusively through this Prospectus and any other applicable supplement or amendment and was not made through an advertisement of the Broadband Exchange Notes and the New AT&amp;T Notes in any printed media of general and regular paid circulation, radio, television or any other form of advertising; (b) any resale of the Broadband Exchange Notes and/or the New AT&amp;T Notes (and, if applicable, any securities for which they may be exchanged) will be made in accordance with applicable securities laws; (c) where required by law, such purchaser is purchasing as principal and not as agent; (d) such investor or any ultimate purchaser for which such investor is acting as agent is not an individual and is entitled under applicable Canadian securities laws to acquire such Broadband Exchange Notes and/or New AT&amp;T Notes without the benefit of a prospectus qualified under such securities laws; (e) in the case of a purchaser located in Ontario, such purchaser is a person to which a dealer registered as an international dealer in Ontario may offer and sell Broadband</w:t>
      </w:r>
    </w:p>
    <w:p>
      <w:pPr>
        <w:spacing w:after="0" w:line="35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160</w:t>
      </w:r>
    </w:p>
    <w:p>
      <w:pPr>
        <w:sectPr>
          <w:pgSz w:w="11900" w:h="16838" w:orient="portrait"/>
          <w:cols w:equalWidth="0" w:num="1">
            <w:col w:w="10219"/>
          </w:cols>
          <w:pgMar w:left="240" w:top="834" w:right="1440" w:bottom="0" w:gutter="0" w:footer="0" w:header="0"/>
        </w:sectPr>
      </w:pPr>
    </w:p>
    <w:bookmarkStart w:id="181" w:name="page182"/>
    <w:bookmarkEnd w:id="181"/>
    <w:p>
      <w:pPr>
        <w:ind w:right="2719"/>
        <w:spacing w:after="0" w:line="237" w:lineRule="auto"/>
        <w:rPr>
          <w:sz w:val="20"/>
          <w:szCs w:val="20"/>
          <w:color w:val="auto"/>
        </w:rPr>
      </w:pPr>
      <w:r>
        <w:rPr>
          <w:rFonts w:ascii="Courier New" w:cs="Courier New" w:eastAsia="Courier New" w:hAnsi="Courier New"/>
          <w:sz w:val="16"/>
          <w:szCs w:val="16"/>
          <w:color w:val="auto"/>
        </w:rPr>
        <w:t>Exchange Notes and/or New AT&amp;T Notes; and (f) in the case of a purchaser located in Quebec, such purchaser is a "sophisticated purchaser" within the meaning of the Securities Act (Quebec).</w:t>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TAXATION AND ELIGIBILITY FOR INVESTMENT</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Canadian investors who acquire Broadband Exchange Notes and/or New AT&amp;T Notes should consult their own legal and tax advisers with respect to the tax consequences of an investment in such securities (and, if applicable, securities for which they may be exchanged) in their particular circumstances and with respect to the eligibility of the said securities for investment by the purchaser under relevant Canadian legislation.</w:t>
      </w: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STATUTORY RIGHTS OF ACTION FOR RESCISSION OR DAMAGES (ONTARIO ONLY)</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Pursuant to Ontario securities legislation, where an offering memorandum has been furnished to a prospective purchaser in connection with a distribution of securities in reliance upon the accredited investor exemption, the rights of action referred to in Section 130.1 of the Securities Act (Ontario) (the "OSA") must be described in the offering memorandum. These rights and the applicable notice with respect thereto, must be exercised or delivered, as the case may be, by the purchaser within the time limits prescribed by applicable Ontario securities legislation. Where used herein, "Misrepresentation" means an untrue statement of a material fact or an omission to state a material fact that is required to be stated or that is necessary to make any statement not misleading in light of the circumstances in which it was made. A "material fact", where used in relation to securities issued or proposed to be issued, means a fact that significantly affects, or would reasonably be expected to have a significant effect on, the market price or value of such securities. These rights of action are described below.</w:t>
      </w:r>
    </w:p>
    <w:p>
      <w:pPr>
        <w:spacing w:after="0" w:line="200" w:lineRule="exact"/>
        <w:rPr>
          <w:sz w:val="20"/>
          <w:szCs w:val="20"/>
          <w:color w:val="auto"/>
        </w:rPr>
      </w:pPr>
    </w:p>
    <w:p>
      <w:pPr>
        <w:spacing w:after="0" w:line="35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that this Prospectus (including any amendment or supplement thereto), which constitutes an offering memorandum under the OSA, contains a Misrepresentation, an Ontario purchaser who purchases Broadband Exchange Notes and/or New AT&amp;T Notes offered by this Prospectus during the period of distribution shall be deemed to have relied upon the Misrepresentation if it was a Misrepresentation at the time of purchase, and has a right of action for damages or alternatively for rescission against the issuer of such securities (the "Issuer"), provided that:</w:t>
      </w:r>
    </w:p>
    <w:p>
      <w:pPr>
        <w:spacing w:after="0" w:line="200" w:lineRule="exact"/>
        <w:rPr>
          <w:sz w:val="20"/>
          <w:szCs w:val="20"/>
          <w:color w:val="auto"/>
        </w:rPr>
      </w:pPr>
    </w:p>
    <w:p>
      <w:pPr>
        <w:spacing w:after="0" w:line="346" w:lineRule="exact"/>
        <w:rPr>
          <w:sz w:val="20"/>
          <w:szCs w:val="20"/>
          <w:color w:val="auto"/>
        </w:rPr>
      </w:pPr>
    </w:p>
    <w:p>
      <w:pPr>
        <w:ind w:left="660" w:right="2899" w:hanging="195"/>
        <w:spacing w:after="0" w:line="236" w:lineRule="auto"/>
        <w:tabs>
          <w:tab w:leader="none" w:pos="66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purchaser exercises its right of rescission, it shall not have a right of action for damages against the Issuer;</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will not be liable if it proves that the purchaser purchased the Broadband Exchange Notes and/or New AT&amp;T Notes with knowledge of the Misrepresentation;</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 action for damages, the Issuer will not be liable for all or any portion of the damages that it proves do not represent the depreciation in value of the Broadband Exchange Notes and/or New AT&amp;T Notes as a result of the Misrepresentation relied upon; and</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case shall the amount recoverable exceed the price at which the Broadband Exchange Notes and/or the New AT&amp;T Notes were offered.</w:t>
      </w:r>
    </w:p>
    <w:p>
      <w:pPr>
        <w:spacing w:after="0" w:line="200" w:lineRule="exact"/>
        <w:rPr>
          <w:sz w:val="20"/>
          <w:szCs w:val="20"/>
          <w:color w:val="auto"/>
        </w:rPr>
      </w:pPr>
    </w:p>
    <w:p>
      <w:pPr>
        <w:spacing w:after="0" w:line="329"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Section 138 of the OSA provides that no action shall be commenced to enforce these rights more than:</w:t>
      </w:r>
    </w:p>
    <w:p>
      <w:pPr>
        <w:spacing w:after="0" w:line="200" w:lineRule="exact"/>
        <w:rPr>
          <w:sz w:val="20"/>
          <w:szCs w:val="20"/>
          <w:color w:val="auto"/>
        </w:rPr>
      </w:pPr>
    </w:p>
    <w:p>
      <w:pPr>
        <w:spacing w:after="0" w:line="345" w:lineRule="exact"/>
        <w:rPr>
          <w:sz w:val="20"/>
          <w:szCs w:val="20"/>
          <w:color w:val="auto"/>
        </w:rPr>
      </w:pPr>
    </w:p>
    <w:p>
      <w:pPr>
        <w:ind w:left="660" w:right="2899" w:hanging="195"/>
        <w:spacing w:after="0" w:line="236" w:lineRule="auto"/>
        <w:tabs>
          <w:tab w:leader="none" w:pos="66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action for rescission, 180 days after the date of the transaction that gave rise to the cause of action; or</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action, other than an action for rescission, the earlier of:</w:t>
      </w:r>
    </w:p>
    <w:p>
      <w:pPr>
        <w:sectPr>
          <w:pgSz w:w="11900" w:h="16838" w:orient="portrait"/>
          <w:cols w:equalWidth="0" w:num="1">
            <w:col w:w="10219"/>
          </w:cols>
          <w:pgMar w:left="240" w:top="839" w:right="1440" w:bottom="0" w:gutter="0" w:footer="0" w:header="0"/>
        </w:sectPr>
      </w:pPr>
    </w:p>
    <w:bookmarkStart w:id="182" w:name="page183"/>
    <w:bookmarkEnd w:id="182"/>
    <w:p>
      <w:pPr>
        <w:ind w:left="1120" w:right="2719" w:hanging="186"/>
        <w:spacing w:after="0" w:line="236" w:lineRule="auto"/>
        <w:tabs>
          <w:tab w:leader="none" w:pos="112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180 days after the purchaser first had knowledge of the facts giving rise to the cause of action; or</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1120" w:right="2819" w:hanging="186"/>
        <w:spacing w:after="0" w:line="236" w:lineRule="auto"/>
        <w:tabs>
          <w:tab w:leader="none" w:pos="112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three years after the date of the transaction that gave rise to the cause of action.</w:t>
      </w:r>
    </w:p>
    <w:p>
      <w:pPr>
        <w:spacing w:after="0" w:line="200" w:lineRule="exact"/>
        <w:rPr>
          <w:sz w:val="20"/>
          <w:szCs w:val="20"/>
          <w:color w:val="auto"/>
        </w:rPr>
      </w:pPr>
    </w:p>
    <w:p>
      <w:pPr>
        <w:spacing w:after="0" w:line="34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rights of action described above are in addition to and without derogation from any right or remedy available at law to the purchaser and are intended to correspond to the relevant provisions of</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161</w:t>
      </w:r>
    </w:p>
    <w:p>
      <w:pPr>
        <w:sectPr>
          <w:pgSz w:w="11900" w:h="16838" w:orient="portrait"/>
          <w:cols w:equalWidth="0" w:num="1">
            <w:col w:w="10219"/>
          </w:cols>
          <w:pgMar w:left="240" w:top="502" w:right="1440" w:bottom="1440" w:gutter="0" w:footer="0" w:header="0"/>
        </w:sectPr>
      </w:pPr>
    </w:p>
    <w:bookmarkStart w:id="183" w:name="page184"/>
    <w:bookmarkEnd w:id="183"/>
    <w:p>
      <w:pPr>
        <w:spacing w:after="0" w:line="70"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Ontario securities legislation and are subject to the defences contained therein. Such provisions may contain limitations and statutory defences on which the Issuer and other applicable parties may rely.</w:t>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LANGUAGE OF DOCUMENTS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You hereby confirm that you have expressly requested that all documents evidencing or relating in any way to the offer or sale of the securities offered hereby (including for greater certainty any information, offering document, purchase confirmation or notice) be drawn up in the English language only. Vous confirmez par les presentes que vous avez expressement exige que tous les documents faisant foi ou se rapportant de quelque maniere que ce soit a l'offre ou la vente des valeurs mobilieres decrites aux presentes (incluant, pour plus de certitude, toute information, document d'offre, confirmation d'achat ou avis) soient rediges en anglais seulement.</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DENMARK</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 prospectus has not been published in Denmark in respect of the exchange offer as it is offered as a direct consequence of the AT&amp;T Comcast transaction and, accordingly, falls within the scope of the exception in section 2, subsection 9 of executive order no. 1207 of December 15, 2000 issued by the Danish Security Council pursuant to section 43 of the Danish Securities Trading Act, Consolidated Act no. 587 of July 9, 2002.</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This prospectus has not been submitted to the clearance procedures of the French Commission des Operations de Bourse and may not be used in connection with any offer to the public to purchase or sell any of the debt securities to be issued in connection with the exchange offer. Offers and sales of such securities will be made in accordance with Article L. 411-2 of the Code Monetaire et Financier and Decree no. 98-880 dated October 1, 1998, relating to offers to qualified institutional investors and a limited number of individual investors.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REPUBLIC OF GERMANY</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territory of the Federal Republic of Germany the offer to exchange Broadband Eligible Notes and AT&amp;T Eligible Notes for Broadband Exchange Notes and New AT&amp;T Notes is only made to and can only be accepted by (i) persons who, in the course of their professional or commercial activities, purchase or sell securities for their own account or the account of others and (ii) investors who exchange Broadband Eligible Notes or AT&amp;T Eligible Notes in the principal amount of at least Euro 40,000 for a like principal amount of Broadband Exchange Notes and New AT&amp;T Notes. Because the Broadband Exchange Notes and New AT&amp;T Notes have not been and will not be registered under the securities laws of Germany and this prospectus has not been and will not be submitted for approval to the German Financial Supervisory Authority (BAFin), the circulation of any exchange offer material to an unlimited number of investors or the offer to exchange or the exchange of Broadband Eligible Notes and AT&amp;T Eligible Notes for Broadband Exchange Notes and New AT&amp;T Notes of note holders who are not eligible under (i) or (ii) may constitute a violation of the German Securities Sales Prospectus Act (Verkaufsprospektgesetz).</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HONG KONG</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This document has not been registered with the Registrar of Companies in Hong Kong. Accordingly, this document may not be circulated or distributed in Hong Kong to any persons who do not qualify as professional investors. In addition, any securities offered in Hong Kong by means of this document or any other document may only be offered in circumstances that do not constitute an offer to the public in Hong Kong. This document is confidential. No person to whom a copy of this document is issued may issue, circulate or distribute this document in Hong Kong or make or give a copy of this document to any other</w:t>
      </w:r>
    </w:p>
    <w:p>
      <w:pPr>
        <w:spacing w:after="0" w:line="34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162</w:t>
      </w:r>
    </w:p>
    <w:p>
      <w:pPr>
        <w:sectPr>
          <w:pgSz w:w="11900" w:h="16908" w:orient="portrait"/>
          <w:cols w:equalWidth="0" w:num="1">
            <w:col w:w="10219"/>
          </w:cols>
          <w:pgMar w:left="240" w:top="839" w:right="1440" w:bottom="0" w:gutter="0" w:footer="0" w:header="0"/>
        </w:sectPr>
      </w:pPr>
    </w:p>
    <w:bookmarkStart w:id="184" w:name="page185"/>
    <w:bookmarkEnd w:id="184"/>
    <w:p>
      <w:pPr>
        <w:ind w:right="2719"/>
        <w:spacing w:after="0" w:line="236" w:lineRule="auto"/>
        <w:rPr>
          <w:sz w:val="20"/>
          <w:szCs w:val="20"/>
          <w:color w:val="auto"/>
        </w:rPr>
      </w:pPr>
      <w:r>
        <w:rPr>
          <w:rFonts w:ascii="Courier New" w:cs="Courier New" w:eastAsia="Courier New" w:hAnsi="Courier New"/>
          <w:sz w:val="16"/>
          <w:szCs w:val="16"/>
          <w:color w:val="auto"/>
        </w:rPr>
        <w:t>person, other than their legal, financial, tax or other appropriate advisers who are subject to a duty of confidentiality to such person.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REPUBLIC OF IRELAND</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exchange offer is being made in or into the Republic of Ireland only to professional investors in the context of their trades, professions or occupations and the exchange offer is being made to and is capable of acceptance in or from the Republic of Ireland only to those recipients who represent, warrant and undertake to the issuer that: (i) it is in the ordinary and usual and customary course of the recipient's trade, profession or occupation to receive and, as appropriate, accept offers of securities similar or comparable to the exchange offer; (ii) the recipient's ordinary business is the buying and selling of shares or instruments of indebtedness; and (iii) the recipient is accepting the exchange offer for its own account and is not accepting the notes with the intention of offering such notes for sale in whole or in part to any third parties and the recipient will not, in any event, offer or sell the notes in any manner which is in breach of any provision of the Companies Acts, 1963 to 2001 or the Investment Intermediaries Act, 1995 (as amended) of the Republic of Ireland. By accepting the exchange offer, you will be making the foregoing representations and warranties and will represent, warrant and confirm you fall within the restricted class of professional investors eligible to accept.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ITALY</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exchange offer has not been filed with the Italian Securities Commission, as it is offered to no more than 200 investors in Italy. The exchange offer may not be offered to nor accepted by any persons in Italy nor may this document be distributed or published in Italy under any circumstances that would constitute a public offer.</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NETHERLANDS</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order to comply with the Netherlands Securities Market Supervision Act 1995 (Wet toezicht effectenverkeer 1995), the Broadband Exchange Notes, the New Broadband Notes and the New AT&amp;T Notes are and will only be offered to individuals or legal entities situated in The Netherlands who or which trade or invest in securities in the conduct of a business or profession (which includes banks, securities firms, insurance companies, pension funds, investment institutions, central governments, large international and supranational organisations, other institutional investors and other parties, including treasury departments of commercial enterprises, which are regularly active in the financial market in a professional manner).</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NORWAY</w:t>
      </w:r>
    </w:p>
    <w:p>
      <w:pPr>
        <w:spacing w:after="0" w:line="200" w:lineRule="exact"/>
        <w:rPr>
          <w:sz w:val="20"/>
          <w:szCs w:val="20"/>
          <w:color w:val="auto"/>
        </w:rPr>
      </w:pPr>
    </w:p>
    <w:p>
      <w:pPr>
        <w:spacing w:after="0" w:line="345" w:lineRule="exact"/>
        <w:rPr>
          <w:sz w:val="20"/>
          <w:szCs w:val="20"/>
          <w:color w:val="auto"/>
        </w:rPr>
      </w:pPr>
    </w:p>
    <w:p>
      <w:pPr>
        <w:ind w:right="3479" w:firstLine="469"/>
        <w:spacing w:after="0" w:line="236" w:lineRule="auto"/>
        <w:rPr>
          <w:sz w:val="20"/>
          <w:szCs w:val="20"/>
          <w:color w:val="auto"/>
        </w:rPr>
      </w:pPr>
      <w:r>
        <w:rPr>
          <w:rFonts w:ascii="Courier New" w:cs="Courier New" w:eastAsia="Courier New" w:hAnsi="Courier New"/>
          <w:sz w:val="16"/>
          <w:szCs w:val="16"/>
          <w:color w:val="auto"/>
        </w:rPr>
        <w:t>This exchange offer is directed only to investors in Norway who are registered as professional investors with the Oslo Stock Exchange.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SINGAPORE</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This document has not been and will not be registered as a prospectus with the Monetary Authority of Singapore. The notes that are the subject of this document are being offered for exchange in Singapore pursuant to the exemptions from prospectus requirements under Section 274 of the Securities and Futures Act 2001 (the "Securities and Futures Act"). This document is made available to the recipient on the basis that such recipient is a person set out or defined in the aforesaid provisions of the Securities and Futures Act and the recipient's attention is drawn to the restrictions set out in Section 276 of the Securities and Futures Act. Accordingly, the notes being offered hereby may not be offered or sold nor may this document or any other offering document or material relating to such notes be circulated or distributed, directly or indirectly, to the public or any member of the public in Singapore other than pursuant to, and in accordance with the conditions of, Section 274 of the Securities and Futures Act and to persons to whom such notes may be offered or sold under those provisions. The notes being offered</w:t>
      </w:r>
    </w:p>
    <w:p>
      <w:pPr>
        <w:sectPr>
          <w:pgSz w:w="11900" w:h="16838" w:orient="portrait"/>
          <w:cols w:equalWidth="0" w:num="1">
            <w:col w:w="10219"/>
          </w:cols>
          <w:pgMar w:left="240" w:top="839" w:right="1440" w:bottom="0" w:gutter="0" w:footer="0" w:header="0"/>
        </w:sectPr>
      </w:pPr>
    </w:p>
    <w:bookmarkStart w:id="185" w:name="page186"/>
    <w:bookmarkEnd w:id="185"/>
    <w:p>
      <w:pPr>
        <w:ind w:left="246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9019"/>
          </w:cols>
          <w:pgMar w:left="1440" w:top="322" w:right="1440" w:bottom="1440" w:gutter="0" w:footer="0" w:header="0"/>
        </w:sectPr>
      </w:pPr>
    </w:p>
    <w:bookmarkStart w:id="186" w:name="page187"/>
    <w:bookmarkEnd w:id="186"/>
    <w:p>
      <w:pPr>
        <w:ind w:right="2819"/>
        <w:spacing w:after="0" w:line="259" w:lineRule="auto"/>
        <w:rPr>
          <w:sz w:val="20"/>
          <w:szCs w:val="20"/>
          <w:color w:val="auto"/>
        </w:rPr>
      </w:pPr>
      <w:r>
        <w:rPr>
          <w:rFonts w:ascii="Courier New" w:cs="Courier New" w:eastAsia="Courier New" w:hAnsi="Courier New"/>
          <w:sz w:val="15"/>
          <w:szCs w:val="15"/>
          <w:color w:val="auto"/>
        </w:rPr>
        <w:t>hereby may not be offered or sold nor may this document or any other offering document or material relating to such notes be circulated or distributed, directly or indirectly, to the public or any member of the public in Singapore.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SWEDEN</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offer to exchange Broadband Eligible Notes and AT&amp;T Eligible Notes for Broadband Exchange Notes and New AT&amp;T Notes is only made to and can only be accepted by investors if they exchange Broadband Eligible Notes or AT&amp;T Eligible Notes in the principal amount of at least 300,000 SEK for a like principal amount of Broadband Exchange Notes and New AT&amp;T Notes.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This offering circular is confidential and being furnished by AT&amp;T to prospective investors in connection with the exchange offer solely for such investors' confidential use with the express understanding that, without the prior written permission of AT&amp;T, such person will not release this document or discuss the information contained herein or reproduce or use this offering circular for any purpose other than an evaluation of whether to accept the exchange offer. This document, any accompanying letter, and any other communication made in connection with the exchange offer is made or distributed only to the following kinds of persons: (1) investment professionals as defined in Article 19 of the Financial Services and Markets Act 2000 (Financial Promotion) Order 2001; and/or (2) high net worth companies, unincorporated associations, partnerships and other specified persons pursuant to Article 49 of Financial Services and Markets Act 2000 (Financial Promotion) Order 2001.</w:t>
      </w:r>
    </w:p>
    <w:p>
      <w:pPr>
        <w:spacing w:after="0" w:line="200" w:lineRule="exact"/>
        <w:rPr>
          <w:sz w:val="20"/>
          <w:szCs w:val="20"/>
          <w:color w:val="auto"/>
        </w:rPr>
      </w:pPr>
    </w:p>
    <w:p>
      <w:pPr>
        <w:spacing w:after="0" w:line="33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Neither this offering circular nor any accompanying letter has been delivered for registration to any Registrar of Companies in the United Kingdom and no prospectus, within the meaning of the Public Offers of Securities Regulations 1995 as amended (the "Regulations"), has been published or is intended to be published in respect of the exchange offer. AT&amp;T has not authorized any offer to the public in the United Kingdom with the meaning of the Regulations with respect to the exchange offer. The exchange offer is only made in the United Kingdom to persons whose ordinary activities involve them in acquiring, holding, managing or disposing of investments (as principal or agent) for the purposes of their business.</w:t>
      </w:r>
    </w:p>
    <w:p>
      <w:pPr>
        <w:spacing w:after="0" w:line="200" w:lineRule="exact"/>
        <w:rPr>
          <w:sz w:val="20"/>
          <w:szCs w:val="20"/>
          <w:color w:val="auto"/>
        </w:rPr>
      </w:pPr>
    </w:p>
    <w:p>
      <w:pPr>
        <w:spacing w:after="0" w:line="347"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By accepting the exchange offer, you will represent, warrant and confirm that you:</w:t>
      </w:r>
    </w:p>
    <w:p>
      <w:pPr>
        <w:spacing w:after="0" w:line="200" w:lineRule="exact"/>
        <w:rPr>
          <w:sz w:val="20"/>
          <w:szCs w:val="20"/>
          <w:color w:val="auto"/>
        </w:rPr>
      </w:pPr>
    </w:p>
    <w:p>
      <w:pPr>
        <w:spacing w:after="0" w:line="345" w:lineRule="exact"/>
        <w:rPr>
          <w:sz w:val="20"/>
          <w:szCs w:val="20"/>
          <w:color w:val="auto"/>
        </w:rPr>
      </w:pPr>
    </w:p>
    <w:p>
      <w:pPr>
        <w:ind w:left="660" w:right="2719" w:hanging="195"/>
        <w:spacing w:after="0" w:line="263" w:lineRule="auto"/>
        <w:tabs>
          <w:tab w:leader="none" w:pos="66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persons of a kind described in Article 19 or Article 49 of the Financial Services and Markets Act 2000 (Financial Promotion) Order 2001;</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60" w:right="2719" w:hanging="195"/>
        <w:spacing w:after="0" w:line="237" w:lineRule="auto"/>
        <w:tabs>
          <w:tab w:leader="none" w:pos="6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persons whose ordinary activities involve them in acquiring, holding, managing or disposing of investments (as principal or agent) for the purposes of their business; and</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expressly invite AT&amp;T Corporation to provide information to you and to discuss with you the exchange offer.</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164</w:t>
      </w:r>
    </w:p>
    <w:p>
      <w:pPr>
        <w:sectPr>
          <w:pgSz w:w="11900" w:h="16838" w:orient="portrait"/>
          <w:cols w:equalWidth="0" w:num="1">
            <w:col w:w="10219"/>
          </w:cols>
          <w:pgMar w:left="240" w:top="839"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4360" w:type="dxa"/>
            <w:vAlign w:val="bottom"/>
          </w:tcPr>
          <w:p>
            <w:pPr>
              <w:ind w:left="940"/>
              <w:spacing w:after="0"/>
              <w:rPr>
                <w:sz w:val="20"/>
                <w:szCs w:val="20"/>
                <w:color w:val="auto"/>
              </w:rPr>
            </w:pPr>
            <w:r>
              <w:rPr>
                <w:rFonts w:ascii="Courier New" w:cs="Courier New" w:eastAsia="Courier New" w:hAnsi="Courier New"/>
                <w:sz w:val="16"/>
                <w:szCs w:val="16"/>
                <w:color w:val="auto"/>
              </w:rPr>
              <w:t>INDEX TO FINANCIAL STATEMENTS</w:t>
            </w:r>
          </w:p>
        </w:tc>
        <w:tc>
          <w:tcPr>
            <w:tcW w:w="520" w:type="dxa"/>
            <w:vAlign w:val="bottom"/>
          </w:tcPr>
          <w:p>
            <w:pPr>
              <w:spacing w:after="0"/>
              <w:rPr>
                <w:sz w:val="15"/>
                <w:szCs w:val="15"/>
                <w:color w:val="auto"/>
              </w:rPr>
            </w:pPr>
          </w:p>
        </w:tc>
      </w:tr>
      <w:tr>
        <w:trPr>
          <w:trHeight w:val="721"/>
        </w:trPr>
        <w:tc>
          <w:tcPr>
            <w:tcW w:w="1400" w:type="dxa"/>
            <w:vAlign w:val="bottom"/>
          </w:tcPr>
          <w:p>
            <w:pPr>
              <w:spacing w:after="0"/>
              <w:rPr>
                <w:sz w:val="20"/>
                <w:szCs w:val="20"/>
                <w:color w:val="auto"/>
              </w:rPr>
            </w:pPr>
            <w:r>
              <w:rPr>
                <w:rFonts w:ascii="Courier New" w:cs="Courier New" w:eastAsia="Courier New" w:hAnsi="Courier New"/>
                <w:sz w:val="16"/>
                <w:szCs w:val="16"/>
                <w:color w:val="auto"/>
              </w:rPr>
              <w:t>AT&amp;T</w:t>
            </w:r>
          </w:p>
        </w:tc>
        <w:tc>
          <w:tcPr>
            <w:tcW w:w="4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0"/>
        </w:trPr>
        <w:tc>
          <w:tcPr>
            <w:tcW w:w="5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 FORMA FINANCIAL STATEMENTS TO GIVE EFFECT TO THE AT&amp;T</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COMCAST TRANSACTION</w:t>
            </w:r>
          </w:p>
        </w:tc>
        <w:tc>
          <w:tcPr>
            <w:tcW w:w="520" w:type="dxa"/>
            <w:vAlign w:val="bottom"/>
          </w:tcPr>
          <w:p>
            <w:pPr>
              <w:spacing w:after="0"/>
              <w:rPr>
                <w:sz w:val="15"/>
                <w:szCs w:val="15"/>
                <w:color w:val="auto"/>
              </w:rPr>
            </w:pP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Balance Sheet at</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June 30,</w:t>
            </w:r>
          </w:p>
        </w:tc>
        <w:tc>
          <w:tcPr>
            <w:tcW w:w="43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2002.........................................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F-4</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Operations for the Six Months ended June 30, 2002.....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F-5</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Operations for the Six Months Ended June 30,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F-6</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Operations for the Year Ended December 31,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F-7</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Income for the Year Ended December 31, 2000...........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Pro Forma Combined Condensed Statement of</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Income for the Year Ended December 31, 1999...........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F-9</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Notes to Unaudited Pro Forma Combined Condensed</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Financial Statements..................................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F-10</w:t>
            </w:r>
          </w:p>
        </w:tc>
      </w:tr>
      <w:tr>
        <w:trPr>
          <w:trHeight w:val="361"/>
        </w:trPr>
        <w:tc>
          <w:tcPr>
            <w:tcW w:w="1400" w:type="dxa"/>
            <w:vAlign w:val="bottom"/>
          </w:tcPr>
          <w:p>
            <w:pPr>
              <w:spacing w:after="0"/>
              <w:rPr>
                <w:sz w:val="20"/>
                <w:szCs w:val="20"/>
                <w:color w:val="auto"/>
              </w:rPr>
            </w:pPr>
            <w:r>
              <w:rPr>
                <w:rFonts w:ascii="Courier New" w:cs="Courier New" w:eastAsia="Courier New" w:hAnsi="Courier New"/>
                <w:sz w:val="16"/>
                <w:szCs w:val="16"/>
                <w:color w:val="auto"/>
              </w:rPr>
              <w:t>AT&amp;T BROADBAND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GROUP</w:t>
            </w:r>
          </w:p>
        </w:tc>
        <w:tc>
          <w:tcPr>
            <w:tcW w:w="520" w:type="dxa"/>
            <w:vAlign w:val="bottom"/>
          </w:tcPr>
          <w:p>
            <w:pPr>
              <w:spacing w:after="0"/>
              <w:rPr>
                <w:sz w:val="24"/>
                <w:szCs w:val="24"/>
                <w:color w:val="auto"/>
              </w:rPr>
            </w:pPr>
          </w:p>
        </w:tc>
      </w:tr>
      <w:tr>
        <w:trPr>
          <w:trHeight w:val="180"/>
        </w:trPr>
        <w:tc>
          <w:tcPr>
            <w:tcW w:w="5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HISTORICAL FINANCIAL STATEMENTS</w:t>
            </w:r>
          </w:p>
        </w:tc>
        <w:tc>
          <w:tcPr>
            <w:tcW w:w="520" w:type="dxa"/>
            <w:vAlign w:val="bottom"/>
          </w:tcPr>
          <w:p>
            <w:pPr>
              <w:spacing w:after="0"/>
              <w:rPr>
                <w:sz w:val="15"/>
                <w:szCs w:val="15"/>
                <w:color w:val="auto"/>
              </w:rPr>
            </w:pP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Combined Statements of Operations for the</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Three and Six Months ended June 30, 2002 and June 30,</w:t>
            </w:r>
          </w:p>
        </w:tc>
        <w:tc>
          <w:tcPr>
            <w:tcW w:w="520" w:type="dxa"/>
            <w:vAlign w:val="bottom"/>
          </w:tcPr>
          <w:p>
            <w:pPr>
              <w:spacing w:after="0"/>
              <w:rPr>
                <w:sz w:val="15"/>
                <w:szCs w:val="15"/>
                <w:color w:val="auto"/>
              </w:rPr>
            </w:pPr>
          </w:p>
        </w:tc>
      </w:tr>
      <w:tr>
        <w:trPr>
          <w:trHeight w:val="180"/>
        </w:trPr>
        <w:tc>
          <w:tcPr>
            <w:tcW w:w="57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F-13</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Combined Balance Sheets at June 30, 2002 and</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December</w:t>
            </w:r>
          </w:p>
        </w:tc>
        <w:tc>
          <w:tcPr>
            <w:tcW w:w="43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31, 2001.....................................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F-14</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Combined Statements of Changes in Combined</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Attributed Net Assets for the Six Months ended June</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30, 2002</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and June 30,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F-15</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Combined Statements of Cash Flows for the Six</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Months ended June 30, 2002 and June 30,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F-16</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Notes to Unaudited Combined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F-17</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Report of</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Independent Accountants......................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F-29</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Combined Statements of Operations for the Years Ended</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December</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31, 2001, December 31, 2000 and the Ten</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Months Ended December 31, 1999........................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F-30</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Combined Balance Sheets at December 31, 2001 and</w:t>
            </w:r>
          </w:p>
        </w:tc>
        <w:tc>
          <w:tcPr>
            <w:tcW w:w="520" w:type="dxa"/>
            <w:vAlign w:val="bottom"/>
          </w:tcPr>
          <w:p>
            <w:pPr>
              <w:spacing w:after="0"/>
              <w:rPr>
                <w:sz w:val="15"/>
                <w:szCs w:val="15"/>
                <w:color w:val="auto"/>
              </w:rPr>
            </w:pPr>
          </w:p>
        </w:tc>
      </w:tr>
      <w:tr>
        <w:trPr>
          <w:trHeight w:val="180"/>
        </w:trPr>
        <w:tc>
          <w:tcPr>
            <w:tcW w:w="57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2000..................................................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F-31</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Combined Statements of Changes in Combined Attributed</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Net Assets for the Years Ended December 31, 2001,</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December</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31, 2000 and the Ten Months Ended December</w:t>
            </w:r>
          </w:p>
        </w:tc>
        <w:tc>
          <w:tcPr>
            <w:tcW w:w="520" w:type="dxa"/>
            <w:vAlign w:val="bottom"/>
          </w:tcPr>
          <w:p>
            <w:pPr>
              <w:spacing w:after="0"/>
              <w:rPr>
                <w:sz w:val="15"/>
                <w:szCs w:val="15"/>
                <w:color w:val="auto"/>
              </w:rPr>
            </w:pPr>
          </w:p>
        </w:tc>
      </w:tr>
      <w:tr>
        <w:trPr>
          <w:trHeight w:val="180"/>
        </w:trPr>
        <w:tc>
          <w:tcPr>
            <w:tcW w:w="57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31, 1999..............................................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F-32</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Combined Statements of Cash Flows for the Years Ended</w:t>
            </w:r>
          </w:p>
        </w:tc>
        <w:tc>
          <w:tcPr>
            <w:tcW w:w="520" w:type="dxa"/>
            <w:vAlign w:val="bottom"/>
          </w:tcPr>
          <w:p>
            <w:pPr>
              <w:spacing w:after="0"/>
              <w:rPr>
                <w:sz w:val="15"/>
                <w:szCs w:val="15"/>
                <w:color w:val="auto"/>
              </w:rPr>
            </w:pPr>
          </w:p>
        </w:tc>
      </w:tr>
      <w:tr>
        <w:trPr>
          <w:trHeight w:val="180"/>
        </w:trPr>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December</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31, 2001, December 31, 2000 and the Ten</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Months Ended December 31, 1999........................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F-33</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Notes to Combined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F-34</w:t>
            </w:r>
          </w:p>
        </w:tc>
      </w:tr>
      <w:tr>
        <w:trPr>
          <w:trHeight w:val="361"/>
        </w:trPr>
        <w:tc>
          <w:tcPr>
            <w:tcW w:w="1400" w:type="dxa"/>
            <w:vAlign w:val="bottom"/>
          </w:tcPr>
          <w:p>
            <w:pPr>
              <w:spacing w:after="0"/>
              <w:rPr>
                <w:sz w:val="20"/>
                <w:szCs w:val="20"/>
                <w:color w:val="auto"/>
              </w:rPr>
            </w:pPr>
            <w:r>
              <w:rPr>
                <w:rFonts w:ascii="Courier New" w:cs="Courier New" w:eastAsia="Courier New" w:hAnsi="Courier New"/>
                <w:sz w:val="16"/>
                <w:szCs w:val="16"/>
                <w:color w:val="auto"/>
              </w:rPr>
              <w:t>AT&amp;T BROADBAND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CORP.</w:t>
            </w:r>
          </w:p>
        </w:tc>
        <w:tc>
          <w:tcPr>
            <w:tcW w:w="520" w:type="dxa"/>
            <w:vAlign w:val="bottom"/>
          </w:tcPr>
          <w:p>
            <w:pPr>
              <w:spacing w:after="0"/>
              <w:rPr>
                <w:sz w:val="24"/>
                <w:szCs w:val="24"/>
                <w:color w:val="auto"/>
              </w:rPr>
            </w:pPr>
          </w:p>
        </w:tc>
      </w:tr>
      <w:tr>
        <w:trPr>
          <w:trHeight w:val="180"/>
        </w:trPr>
        <w:tc>
          <w:tcPr>
            <w:tcW w:w="5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HISTORICAL FINANCIAL STATEMENTS</w:t>
            </w:r>
          </w:p>
        </w:tc>
        <w:tc>
          <w:tcPr>
            <w:tcW w:w="520" w:type="dxa"/>
            <w:vAlign w:val="bottom"/>
          </w:tcPr>
          <w:p>
            <w:pPr>
              <w:spacing w:after="0"/>
              <w:rPr>
                <w:sz w:val="15"/>
                <w:szCs w:val="15"/>
                <w:color w:val="auto"/>
              </w:rPr>
            </w:pP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Unaudited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Balance Sheet at June 30, 2002...............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F-78</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 to Unaudited Balance Sheet........................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F-79</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Report of</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Independent Accountants......................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F-80</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Balance Sheet at December 31,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F-81</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 to Balance Sheet..................................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F-82</w:t>
            </w:r>
          </w:p>
        </w:tc>
      </w:tr>
      <w:tr>
        <w:trPr>
          <w:trHeight w:val="361"/>
        </w:trPr>
        <w:tc>
          <w:tcPr>
            <w:tcW w:w="5760" w:type="dxa"/>
            <w:vAlign w:val="bottom"/>
            <w:gridSpan w:val="2"/>
          </w:tcPr>
          <w:p>
            <w:pPr>
              <w:spacing w:after="0"/>
              <w:rPr>
                <w:sz w:val="20"/>
                <w:szCs w:val="20"/>
                <w:color w:val="auto"/>
              </w:rPr>
            </w:pPr>
            <w:r>
              <w:rPr>
                <w:rFonts w:ascii="Courier New" w:cs="Courier New" w:eastAsia="Courier New" w:hAnsi="Courier New"/>
                <w:sz w:val="16"/>
                <w:szCs w:val="16"/>
                <w:color w:val="auto"/>
              </w:rPr>
              <w:t>AT&amp;T COMCAST CORPORATION</w:t>
            </w:r>
          </w:p>
        </w:tc>
        <w:tc>
          <w:tcPr>
            <w:tcW w:w="520" w:type="dxa"/>
            <w:vAlign w:val="bottom"/>
          </w:tcPr>
          <w:p>
            <w:pPr>
              <w:spacing w:after="0"/>
              <w:rPr>
                <w:sz w:val="24"/>
                <w:szCs w:val="24"/>
                <w:color w:val="auto"/>
              </w:rPr>
            </w:pPr>
          </w:p>
        </w:tc>
      </w:tr>
      <w:tr>
        <w:trPr>
          <w:trHeight w:val="180"/>
        </w:trPr>
        <w:tc>
          <w:tcPr>
            <w:tcW w:w="57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HISTORICAL FINANCIAL STATEMENTS</w:t>
            </w:r>
          </w:p>
        </w:tc>
        <w:tc>
          <w:tcPr>
            <w:tcW w:w="520" w:type="dxa"/>
            <w:vAlign w:val="bottom"/>
          </w:tcPr>
          <w:p>
            <w:pPr>
              <w:spacing w:after="0"/>
              <w:rPr>
                <w:sz w:val="15"/>
                <w:szCs w:val="15"/>
                <w:color w:val="auto"/>
              </w:rPr>
            </w:pP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Balance Sheet as of June 30, 2002 (Unaudited)..........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F-83</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 to Balance Sheet (Unaudited)......................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F-84</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Independent Auditors' Report...........................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F-85</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Balance Sheet as of December 31, 2001..................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F-86</w:t>
            </w:r>
          </w:p>
        </w:tc>
      </w:tr>
      <w:tr>
        <w:trPr>
          <w:trHeight w:val="180"/>
        </w:trPr>
        <w:tc>
          <w:tcPr>
            <w:tcW w:w="5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Note to Balance Sheet..................................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F-87</w:t>
            </w:r>
          </w:p>
        </w:tc>
      </w:tr>
      <w:tr>
        <w:trPr>
          <w:trHeight w:val="541"/>
        </w:trPr>
        <w:tc>
          <w:tcPr>
            <w:tcW w:w="1400" w:type="dxa"/>
            <w:vAlign w:val="bottom"/>
          </w:tcPr>
          <w:p>
            <w:pPr>
              <w:spacing w:after="0"/>
              <w:rPr>
                <w:sz w:val="24"/>
                <w:szCs w:val="24"/>
                <w:color w:val="auto"/>
              </w:rPr>
            </w:pPr>
          </w:p>
        </w:tc>
        <w:tc>
          <w:tcPr>
            <w:tcW w:w="4360" w:type="dxa"/>
            <w:vAlign w:val="bottom"/>
          </w:tcPr>
          <w:p>
            <w:pPr>
              <w:ind w:left="2260"/>
              <w:spacing w:after="0"/>
              <w:rPr>
                <w:sz w:val="20"/>
                <w:szCs w:val="20"/>
                <w:color w:val="auto"/>
              </w:rPr>
            </w:pPr>
            <w:r>
              <w:rPr>
                <w:rFonts w:ascii="Courier New" w:cs="Courier New" w:eastAsia="Courier New" w:hAnsi="Courier New"/>
                <w:sz w:val="16"/>
                <w:szCs w:val="16"/>
                <w:color w:val="auto"/>
              </w:rPr>
              <w:t>F-1</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UNAUDITED PRO FORMA COMBINED CONDENSED FINANCIAL</w:t>
            </w:r>
          </w:p>
        </w:tc>
        <w:tc>
          <w:tcPr>
            <w:tcW w:w="560" w:type="dxa"/>
            <w:vAlign w:val="bottom"/>
          </w:tcPr>
          <w:p>
            <w:pPr>
              <w:spacing w:after="0"/>
              <w:rPr>
                <w:sz w:val="15"/>
                <w:szCs w:val="15"/>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STATEMENTS</w:t>
            </w:r>
          </w:p>
        </w:tc>
        <w:tc>
          <w:tcPr>
            <w:tcW w:w="560" w:type="dxa"/>
            <w:vAlign w:val="bottom"/>
          </w:tcPr>
          <w:p>
            <w:pPr>
              <w:spacing w:after="0"/>
              <w:rPr>
                <w:sz w:val="15"/>
                <w:szCs w:val="15"/>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w w:val="99"/>
              </w:rPr>
              <w:t>Unaudited Pro Forma Combined Condensed Balance Sheet as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of June 30, 2002......................................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 to Unaudited Pro Forma Combined Condensed Balance</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Sheet.................................................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Unaudited Pro Forma Combined Condensed Statement of</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 for the Year Ended December 31, 2001.......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Unaudited Pro Forma Combined Condensed Statement of</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 for the Quarter Ended June 30, 2002........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Notes to Unaudited Pro Forma Combined Condensed</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Statement of 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361"/>
        </w:trPr>
        <w:tc>
          <w:tcPr>
            <w:tcW w:w="5720" w:type="dxa"/>
            <w:vAlign w:val="bottom"/>
          </w:tcPr>
          <w:p>
            <w:pPr>
              <w:jc w:val="right"/>
              <w:ind w:right="3862"/>
              <w:spacing w:after="0"/>
              <w:rPr>
                <w:sz w:val="20"/>
                <w:szCs w:val="20"/>
                <w:color w:val="auto"/>
              </w:rPr>
            </w:pPr>
            <w:r>
              <w:rPr>
                <w:rFonts w:ascii="Courier New" w:cs="Courier New" w:eastAsia="Courier New" w:hAnsi="Courier New"/>
                <w:sz w:val="16"/>
                <w:szCs w:val="16"/>
                <w:color w:val="auto"/>
                <w:w w:val="96"/>
              </w:rPr>
              <w:t>COMCAST CORPORATION</w:t>
            </w:r>
          </w:p>
        </w:tc>
        <w:tc>
          <w:tcPr>
            <w:tcW w:w="560" w:type="dxa"/>
            <w:vAlign w:val="bottom"/>
          </w:tcPr>
          <w:p>
            <w:pPr>
              <w:spacing w:after="0"/>
              <w:rPr>
                <w:sz w:val="24"/>
                <w:szCs w:val="24"/>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HISTORICAL FINANCIAL STATEMENTS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Independent Auditors' Report...........................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F-88</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Consolidated Balance Sheet as of December 31, 2001 and</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F-89</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Consolidated Statement of Operations for the Years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Ended December 31, 2001, 2000 and 1999................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F-90</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Consolidated Statement of Cash Flows for the Years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Ended December 31, 2001, 2000 and 1999................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F-91</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Consolidated Statement of Stockholders' Equity for the</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Years Ended December 31, 2001, 2000 and 1999..........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F-92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F-93</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Condensed Consolidated Balance Sheet as of June 30,</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2002 and December 31, 2001 (Unaudited)................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F-127</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Condensed Consolidated Statement of Operations and</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Retained Earnings for the Three and Six Months Ended</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June 30, 2002 and 2001 (Unaudited)....................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F-128</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Condensed Consolidated Statement of Cash Flows for the</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Six Months Ended June 30, 2002 and 2001 (Unaudited)...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F-130</w:t>
            </w: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5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(Unaudited)...........................................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F-131</w:t>
            </w:r>
          </w:p>
        </w:tc>
      </w:tr>
      <w:tr>
        <w:trPr>
          <w:trHeight w:val="541"/>
        </w:trPr>
        <w:tc>
          <w:tcPr>
            <w:tcW w:w="572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F-2</w:t>
            </w:r>
          </w:p>
        </w:tc>
        <w:tc>
          <w:tcPr>
            <w:tcW w:w="560" w:type="dxa"/>
            <w:vAlign w:val="bottom"/>
          </w:tcPr>
          <w:p>
            <w:pPr>
              <w:spacing w:after="0"/>
              <w:rPr>
                <w:sz w:val="24"/>
                <w:szCs w:val="24"/>
                <w:color w:val="auto"/>
              </w:rPr>
            </w:pPr>
          </w:p>
        </w:tc>
      </w:tr>
    </w:tbl>
    <w:p>
      <w:pPr>
        <w:sectPr>
          <w:pgSz w:w="11900" w:h="16838" w:orient="portrait"/>
          <w:cols w:equalWidth="0" w:num="1">
            <w:col w:w="10219"/>
          </w:cols>
          <w:pgMar w:left="240" w:top="1015" w:right="1440" w:bottom="1440" w:gutter="0" w:footer="0" w:header="0"/>
        </w:sectPr>
      </w:pPr>
    </w:p>
    <w:bookmarkStart w:id="189" w:name="page190"/>
    <w:bookmarkEnd w:id="189"/>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unaudited pro forma combined condensed financial statements set forth below for AT&amp;T give effect to</w:t>
      </w:r>
    </w:p>
    <w:p>
      <w:pPr>
        <w:spacing w:after="0" w:line="180" w:lineRule="exact"/>
        <w:rPr>
          <w:sz w:val="20"/>
          <w:szCs w:val="20"/>
          <w:color w:val="auto"/>
        </w:rPr>
      </w:pPr>
    </w:p>
    <w:p>
      <w:pPr>
        <w:ind w:left="660" w:hanging="195"/>
        <w:spacing w:after="0"/>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(collectively, the AT&amp;T restructuring events), as if such events had been completed on January 1, 1999 for income statement purposes, and at June 30, 2002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by the remaining AT&amp;T entity upon the distribution date. The split-off of Liberty Media Group, which was completed on August 10, 2001, was a pro-rata distribution and was therefore recorded at historical cost. Since Liberty Media Group was split-off from AT&amp;T on August 10, 2001, no balance sheet or 2002 income statement pro forma adjustments were made for Liberty Media Group. See the Notes to the Unaudited Pro Forma Combined Condensed Financial Statements for additional disclosure of potential material nonrecurring charges and credits directly attributable to the events as noted above which are not reflected in the pro forma financial statements. Note (i) to the AT&amp;T Unaudited Pro Forma Combined Condensed Financial Statements includes the impacts to earnings per share of the proposed one-for-five reverse stock split of AT&amp;T common stock.</w:t>
      </w:r>
    </w:p>
    <w:p>
      <w:pPr>
        <w:spacing w:after="0" w:line="19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w:t>
      </w:r>
    </w:p>
    <w:p>
      <w:pPr>
        <w:spacing w:after="0" w:line="18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may dividend AT&amp;T Consumer Services Group tracking stock to current AT&amp;T shareholders representing some or all of the financial performance and economic value of AT&amp;T Consumer Services Group at such time as AT&amp;T determines that there is sufficient market receptivity and support for such a distribution. Due to the accumulated deficit that exists at AT&amp;T Corp., the dividend will be reflected as a reduction of additional paid-in capital for the fair value of AT&amp;T Consumer Services with a corresponding increase in par value of AT&amp;T Consumer Services Group tracking stock and additional paid-in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54" w:right="1440" w:bottom="1440" w:gutter="0" w:footer="0" w:header="0"/>
        </w:sectPr>
      </w:pPr>
    </w:p>
    <w:bookmarkStart w:id="190" w:name="page191"/>
    <w:bookmarkEnd w:id="190"/>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BALANCE SHEET</w:t>
      </w:r>
    </w:p>
    <w:p>
      <w:pPr>
        <w:jc w:val="center"/>
        <w:ind w:right="2719"/>
        <w:spacing w:after="0"/>
        <w:rPr>
          <w:sz w:val="20"/>
          <w:szCs w:val="20"/>
          <w:color w:val="auto"/>
        </w:rPr>
      </w:pPr>
      <w:r>
        <w:rPr>
          <w:rFonts w:ascii="Courier New" w:cs="Courier New" w:eastAsia="Courier New" w:hAnsi="Courier New"/>
          <w:sz w:val="16"/>
          <w:szCs w:val="16"/>
          <w:color w:val="auto"/>
        </w:rPr>
        <w:t>AT JUNE 30, 2002</w:t>
      </w:r>
    </w:p>
    <w:p>
      <w:pPr>
        <w:spacing w:after="0" w:line="359"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AT&amp;T BROADBAND HISTORICAL GROUP OTHER PRO FORMA</w:t>
      </w:r>
    </w:p>
    <w:p>
      <w:pPr>
        <w:ind w:left="40"/>
        <w:spacing w:after="0"/>
        <w:rPr>
          <w:sz w:val="20"/>
          <w:szCs w:val="20"/>
          <w:color w:val="auto"/>
        </w:rPr>
      </w:pPr>
      <w:r>
        <w:rPr>
          <w:rFonts w:ascii="Courier New" w:cs="Courier New" w:eastAsia="Courier New" w:hAnsi="Courier New"/>
          <w:sz w:val="16"/>
          <w:szCs w:val="16"/>
          <w:color w:val="auto"/>
        </w:rPr>
        <w:t>AT&amp;T(A) DISTRIBUTION(E) ADJUSTMENTS(G) AT&amp;T ---------</w:t>
      </w:r>
    </w:p>
    <w:p>
      <w:pPr>
        <w:ind w:left="140"/>
        <w:spacing w:after="0" w:line="237" w:lineRule="auto"/>
        <w:rPr>
          <w:sz w:val="20"/>
          <w:szCs w:val="20"/>
          <w:color w:val="auto"/>
        </w:rPr>
      </w:pPr>
      <w:r>
        <w:rPr>
          <w:rFonts w:ascii="Courier New" w:cs="Courier New" w:eastAsia="Courier New" w:hAnsi="Courier New"/>
          <w:sz w:val="16"/>
          <w:szCs w:val="16"/>
          <w:color w:val="auto"/>
        </w:rPr>
        <w:t>- --------------- -------------- --------- (DOLLARS</w:t>
      </w:r>
    </w:p>
    <w:p>
      <w:pPr>
        <w:ind w:left="980"/>
        <w:spacing w:after="0"/>
        <w:rPr>
          <w:sz w:val="20"/>
          <w:szCs w:val="20"/>
          <w:color w:val="auto"/>
        </w:rPr>
      </w:pPr>
      <w:r>
        <w:rPr>
          <w:rFonts w:ascii="Courier New" w:cs="Courier New" w:eastAsia="Courier New" w:hAnsi="Courier New"/>
          <w:sz w:val="16"/>
          <w:szCs w:val="16"/>
          <w:color w:val="auto"/>
        </w:rPr>
        <w:t>IN MILLIONS) ASSETS Cash and cash</w:t>
      </w:r>
    </w:p>
    <w:p>
      <w:pPr>
        <w:ind w:left="40"/>
        <w:spacing w:after="0" w:line="238" w:lineRule="auto"/>
        <w:rPr>
          <w:sz w:val="20"/>
          <w:szCs w:val="20"/>
          <w:color w:val="auto"/>
        </w:rPr>
      </w:pPr>
      <w:r>
        <w:rPr>
          <w:rFonts w:ascii="Courier New" w:cs="Courier New" w:eastAsia="Courier New" w:hAnsi="Courier New"/>
          <w:sz w:val="16"/>
          <w:szCs w:val="16"/>
          <w:color w:val="auto"/>
        </w:rPr>
        <w:t>equivalents............................. $ 5,606 $ --</w:t>
      </w:r>
    </w:p>
    <w:p>
      <w:pPr>
        <w:ind w:left="320"/>
        <w:spacing w:after="0"/>
        <w:rPr>
          <w:sz w:val="20"/>
          <w:szCs w:val="20"/>
          <w:color w:val="auto"/>
        </w:rPr>
      </w:pPr>
      <w:r>
        <w:rPr>
          <w:rFonts w:ascii="Courier New" w:cs="Courier New" w:eastAsia="Courier New" w:hAnsi="Courier New"/>
          <w:sz w:val="16"/>
          <w:szCs w:val="16"/>
          <w:color w:val="auto"/>
        </w:rPr>
        <w:t>$ 43 $ 5,649 6,486(f) (6,486)(f) Receivables --</w:t>
      </w:r>
    </w:p>
    <w:p>
      <w:pPr>
        <w:ind w:left="40"/>
        <w:spacing w:after="0" w:line="238" w:lineRule="auto"/>
        <w:rPr>
          <w:sz w:val="20"/>
          <w:szCs w:val="20"/>
          <w:color w:val="auto"/>
        </w:rPr>
      </w:pPr>
      <w:r>
        <w:rPr>
          <w:rFonts w:ascii="Courier New" w:cs="Courier New" w:eastAsia="Courier New" w:hAnsi="Courier New"/>
          <w:sz w:val="16"/>
          <w:szCs w:val="16"/>
          <w:color w:val="auto"/>
        </w:rPr>
        <w:t>net.................................... 7,565 (750) 4</w:t>
      </w:r>
    </w:p>
    <w:p>
      <w:pPr>
        <w:ind w:left="2300"/>
        <w:spacing w:after="0"/>
        <w:rPr>
          <w:sz w:val="20"/>
          <w:szCs w:val="20"/>
          <w:color w:val="auto"/>
        </w:rPr>
      </w:pPr>
      <w:r>
        <w:rPr>
          <w:rFonts w:ascii="Courier New" w:cs="Courier New" w:eastAsia="Courier New" w:hAnsi="Courier New"/>
          <w:sz w:val="16"/>
          <w:szCs w:val="16"/>
          <w:color w:val="auto"/>
        </w:rPr>
        <w:t>6,819</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1080"/>
        <w:spacing w:after="0"/>
        <w:rPr>
          <w:sz w:val="20"/>
          <w:szCs w:val="20"/>
          <w:color w:val="auto"/>
        </w:rPr>
      </w:pPr>
      <w:r>
        <w:rPr>
          <w:rFonts w:ascii="Courier New" w:cs="Courier New" w:eastAsia="Courier New" w:hAnsi="Courier New"/>
          <w:sz w:val="16"/>
          <w:szCs w:val="16"/>
          <w:color w:val="auto"/>
        </w:rPr>
        <w:t>414 (414) -- -- Deferred income</w:t>
      </w:r>
    </w:p>
    <w:p>
      <w:pPr>
        <w:ind w:left="140"/>
        <w:spacing w:after="0" w:line="238" w:lineRule="auto"/>
        <w:rPr>
          <w:sz w:val="20"/>
          <w:szCs w:val="20"/>
          <w:color w:val="auto"/>
        </w:rPr>
      </w:pPr>
      <w:r>
        <w:rPr>
          <w:rFonts w:ascii="Courier New" w:cs="Courier New" w:eastAsia="Courier New" w:hAnsi="Courier New"/>
          <w:sz w:val="16"/>
          <w:szCs w:val="16"/>
          <w:color w:val="auto"/>
        </w:rPr>
        <w:t>taxes................................. 1,981 -- 484</w:t>
      </w:r>
    </w:p>
    <w:p>
      <w:pPr>
        <w:ind w:left="1640"/>
        <w:spacing w:after="0"/>
        <w:rPr>
          <w:sz w:val="20"/>
          <w:szCs w:val="20"/>
          <w:color w:val="auto"/>
        </w:rPr>
      </w:pPr>
      <w:r>
        <w:rPr>
          <w:rFonts w:ascii="Courier New" w:cs="Courier New" w:eastAsia="Courier New" w:hAnsi="Courier New"/>
          <w:sz w:val="16"/>
          <w:szCs w:val="16"/>
          <w:color w:val="auto"/>
        </w:rPr>
        <w:t>2,465 Other current</w:t>
      </w:r>
    </w:p>
    <w:p>
      <w:pPr>
        <w:ind w:left="40"/>
        <w:spacing w:after="0" w:line="238" w:lineRule="auto"/>
        <w:rPr>
          <w:sz w:val="20"/>
          <w:szCs w:val="20"/>
          <w:color w:val="auto"/>
        </w:rPr>
      </w:pPr>
      <w:r>
        <w:rPr>
          <w:rFonts w:ascii="Courier New" w:cs="Courier New" w:eastAsia="Courier New" w:hAnsi="Courier New"/>
          <w:sz w:val="16"/>
          <w:szCs w:val="16"/>
          <w:color w:val="auto"/>
        </w:rPr>
        <w:t>assets.................................. 978 (262) --</w:t>
      </w:r>
    </w:p>
    <w:p>
      <w:pPr>
        <w:ind w:left="40"/>
        <w:spacing w:after="0"/>
        <w:rPr>
          <w:sz w:val="20"/>
          <w:szCs w:val="20"/>
          <w:color w:val="auto"/>
        </w:rPr>
      </w:pPr>
      <w:r>
        <w:rPr>
          <w:rFonts w:ascii="Courier New" w:cs="Courier New" w:eastAsia="Courier New" w:hAnsi="Courier New"/>
          <w:sz w:val="16"/>
          <w:szCs w:val="16"/>
          <w:color w:val="auto"/>
        </w:rPr>
        <w:t>716 6,486(f) (6,486)(f) Property, plant and equipment</w:t>
      </w:r>
    </w:p>
    <w:tbl>
      <w:tblPr>
        <w:tblLayout w:type="fixed"/>
        <w:tblInd w:w="40" w:type="dxa"/>
        <w:tblCellMar>
          <w:top w:w="0" w:type="dxa"/>
          <w:left w:w="0" w:type="dxa"/>
          <w:bottom w:w="0" w:type="dxa"/>
          <w:right w:w="0" w:type="dxa"/>
        </w:tblCellMar>
      </w:tblP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w w:val="75"/>
              </w:rPr>
              <w:t>-- net..................</w:t>
            </w:r>
          </w:p>
        </w:tc>
        <w:tc>
          <w:tcPr>
            <w:tcW w:w="3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41,460 (14,861) -- 26,599</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8"/>
              </w:rPr>
              <w:t>Franchise costs --</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8"/>
                <w:szCs w:val="8"/>
                <w:color w:val="auto"/>
                <w:w w:val="77"/>
              </w:rPr>
              <w:t>net................................</w:t>
            </w:r>
          </w:p>
        </w:tc>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rPr>
              <w:t>29,083 (29,083) -</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7"/>
              </w:rPr>
              <w:t>- -- Goodwill --</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7"/>
                <w:szCs w:val="7"/>
                <w:color w:val="auto"/>
                <w:w w:val="73"/>
              </w:rPr>
              <w:t>net.......................................</w:t>
            </w:r>
          </w:p>
        </w:tc>
        <w:tc>
          <w:tcPr>
            <w:tcW w:w="3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20,526</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(15,134) (46) 5,346 Other purchased intangibles --</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w w:val="72"/>
              </w:rPr>
              <w:t>net....................</w:t>
            </w:r>
          </w:p>
        </w:tc>
        <w:tc>
          <w:tcPr>
            <w:tcW w:w="36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2,064 (1,465) -- 599</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62"/>
              <w:spacing w:after="0"/>
              <w:rPr>
                <w:sz w:val="20"/>
                <w:szCs w:val="20"/>
                <w:color w:val="auto"/>
              </w:rPr>
            </w:pPr>
            <w:r>
              <w:rPr>
                <w:rFonts w:ascii="Courier New" w:cs="Courier New" w:eastAsia="Courier New" w:hAnsi="Courier New"/>
                <w:sz w:val="16"/>
                <w:szCs w:val="16"/>
                <w:color w:val="auto"/>
                <w:w w:val="97"/>
              </w:rPr>
              <w:t>Investments and related</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10"/>
                <w:szCs w:val="10"/>
                <w:color w:val="auto"/>
                <w:w w:val="72"/>
              </w:rPr>
              <w:t>advances......................</w:t>
            </w:r>
          </w:p>
        </w:tc>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rPr>
              <w:t>18,676 (17,896) -- 780</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8"/>
              </w:rPr>
              <w:t>Prepaid pension</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8"/>
                <w:szCs w:val="8"/>
                <w:color w:val="auto"/>
                <w:w w:val="71"/>
              </w:rPr>
              <w:t>costs.................................</w:t>
            </w:r>
          </w:p>
        </w:tc>
        <w:tc>
          <w:tcPr>
            <w:tcW w:w="3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3,466 -- --</w:t>
            </w:r>
          </w:p>
        </w:tc>
      </w:tr>
      <w:tr>
        <w:trPr>
          <w:trHeight w:val="180"/>
        </w:trPr>
        <w:tc>
          <w:tcPr>
            <w:tcW w:w="1320" w:type="dxa"/>
            <w:vAlign w:val="bottom"/>
          </w:tcPr>
          <w:p>
            <w:pPr>
              <w:spacing w:after="0"/>
              <w:rPr>
                <w:sz w:val="15"/>
                <w:szCs w:val="15"/>
                <w:color w:val="auto"/>
              </w:rPr>
            </w:pPr>
          </w:p>
        </w:tc>
        <w:tc>
          <w:tcPr>
            <w:tcW w:w="3660" w:type="dxa"/>
            <w:vAlign w:val="bottom"/>
          </w:tcPr>
          <w:p>
            <w:pPr>
              <w:jc w:val="center"/>
              <w:ind w:right="1242"/>
              <w:spacing w:after="0"/>
              <w:rPr>
                <w:sz w:val="20"/>
                <w:szCs w:val="20"/>
                <w:color w:val="auto"/>
              </w:rPr>
            </w:pPr>
            <w:r>
              <w:rPr>
                <w:rFonts w:ascii="Courier New" w:cs="Courier New" w:eastAsia="Courier New" w:hAnsi="Courier New"/>
                <w:sz w:val="16"/>
                <w:szCs w:val="16"/>
                <w:color w:val="auto"/>
                <w:w w:val="96"/>
              </w:rPr>
              <w:t>3,466 Other</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assets..........................................</w:t>
            </w:r>
          </w:p>
        </w:tc>
      </w:tr>
      <w:tr>
        <w:trPr>
          <w:trHeight w:val="180"/>
        </w:trPr>
        <w:tc>
          <w:tcPr>
            <w:tcW w:w="1320" w:type="dxa"/>
            <w:vAlign w:val="bottom"/>
          </w:tcPr>
          <w:p>
            <w:pPr>
              <w:jc w:val="right"/>
              <w:ind w:right="42"/>
              <w:spacing w:after="0"/>
              <w:rPr>
                <w:sz w:val="20"/>
                <w:szCs w:val="20"/>
                <w:color w:val="auto"/>
              </w:rPr>
            </w:pPr>
            <w:r>
              <w:rPr>
                <w:rFonts w:ascii="Courier New" w:cs="Courier New" w:eastAsia="Courier New" w:hAnsi="Courier New"/>
                <w:sz w:val="16"/>
                <w:szCs w:val="16"/>
                <w:color w:val="auto"/>
                <w:w w:val="96"/>
              </w:rPr>
              <w:t>6,076 (1,975)</w:t>
            </w:r>
          </w:p>
        </w:tc>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97"/>
              </w:rPr>
              <w:t>78 4,179 (5,867)(c) 5,867(c) -------- -</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66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 -------- Total</w:t>
            </w:r>
          </w:p>
        </w:tc>
      </w:tr>
      <w:tr>
        <w:trPr>
          <w:trHeight w:val="180"/>
        </w:trPr>
        <w:tc>
          <w:tcPr>
            <w:tcW w:w="1320" w:type="dxa"/>
            <w:vAlign w:val="bottom"/>
          </w:tcPr>
          <w:p>
            <w:pPr>
              <w:jc w:val="right"/>
              <w:spacing w:after="0"/>
              <w:rPr>
                <w:sz w:val="20"/>
                <w:szCs w:val="20"/>
                <w:color w:val="auto"/>
              </w:rPr>
            </w:pPr>
            <w:r>
              <w:rPr>
                <w:rFonts w:ascii="Courier New" w:cs="Courier New" w:eastAsia="Courier New" w:hAnsi="Courier New"/>
                <w:sz w:val="7"/>
                <w:szCs w:val="7"/>
                <w:color w:val="auto"/>
                <w:w w:val="70"/>
              </w:rPr>
              <w:t>Assets......................................</w:t>
            </w:r>
          </w:p>
        </w:tc>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rPr>
              <w:t>137,895</w:t>
            </w:r>
          </w:p>
        </w:tc>
      </w:tr>
    </w:tbl>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(81,840) 563 56,618 ======== ========= ===== ========</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LIABILITIES Accounts</w:t>
      </w:r>
    </w:p>
    <w:p>
      <w:pPr>
        <w:ind w:left="140"/>
        <w:spacing w:after="0"/>
        <w:rPr>
          <w:sz w:val="20"/>
          <w:szCs w:val="20"/>
          <w:color w:val="auto"/>
        </w:rPr>
      </w:pPr>
      <w:r>
        <w:rPr>
          <w:rFonts w:ascii="Courier New" w:cs="Courier New" w:eastAsia="Courier New" w:hAnsi="Courier New"/>
          <w:sz w:val="16"/>
          <w:szCs w:val="16"/>
          <w:color w:val="auto"/>
        </w:rPr>
        <w:t>payable...................................... 4,330</w:t>
      </w:r>
    </w:p>
    <w:p>
      <w:pPr>
        <w:ind w:left="560"/>
        <w:spacing w:after="0" w:line="237" w:lineRule="auto"/>
        <w:rPr>
          <w:sz w:val="20"/>
          <w:szCs w:val="20"/>
          <w:color w:val="auto"/>
        </w:rPr>
      </w:pPr>
      <w:r>
        <w:rPr>
          <w:rFonts w:ascii="Courier New" w:cs="Courier New" w:eastAsia="Courier New" w:hAnsi="Courier New"/>
          <w:sz w:val="16"/>
          <w:szCs w:val="16"/>
          <w:color w:val="auto"/>
        </w:rPr>
        <w:t>(712) 47 3,665 Payroll and benefit-related</w:t>
      </w:r>
    </w:p>
    <w:p>
      <w:pPr>
        <w:ind w:left="80"/>
        <w:spacing w:after="0"/>
        <w:rPr>
          <w:sz w:val="20"/>
          <w:szCs w:val="20"/>
          <w:color w:val="auto"/>
        </w:rPr>
      </w:pPr>
      <w:r>
        <w:rPr>
          <w:rFonts w:ascii="Courier New" w:cs="Courier New" w:eastAsia="Courier New" w:hAnsi="Courier New"/>
          <w:sz w:val="16"/>
          <w:szCs w:val="16"/>
          <w:color w:val="auto"/>
        </w:rPr>
        <w:t>liabilities............... 1,551 (369) -- 1,182 Debt</w:t>
      </w:r>
    </w:p>
    <w:p>
      <w:pPr>
        <w:ind w:left="220"/>
        <w:spacing w:after="0" w:line="238" w:lineRule="auto"/>
        <w:rPr>
          <w:sz w:val="20"/>
          <w:szCs w:val="20"/>
          <w:color w:val="auto"/>
        </w:rPr>
      </w:pPr>
      <w:r>
        <w:rPr>
          <w:rFonts w:ascii="Courier New" w:cs="Courier New" w:eastAsia="Courier New" w:hAnsi="Courier New"/>
          <w:sz w:val="16"/>
          <w:szCs w:val="16"/>
          <w:color w:val="auto"/>
        </w:rPr>
        <w:t>maturing within one year.........................</w:t>
      </w:r>
    </w:p>
    <w:p>
      <w:pPr>
        <w:ind w:left="140"/>
        <w:spacing w:after="0"/>
        <w:rPr>
          <w:sz w:val="20"/>
          <w:szCs w:val="20"/>
          <w:color w:val="auto"/>
        </w:rPr>
      </w:pPr>
      <w:r>
        <w:rPr>
          <w:rFonts w:ascii="Courier New" w:cs="Courier New" w:eastAsia="Courier New" w:hAnsi="Courier New"/>
          <w:sz w:val="16"/>
          <w:szCs w:val="16"/>
          <w:color w:val="auto"/>
        </w:rPr>
        <w:t>5,889 (8,536) -- -- 6,486(f) (3,839)(f) AT&amp;T Canada</w:t>
      </w:r>
    </w:p>
    <w:p>
      <w:pPr>
        <w:ind w:left="40"/>
        <w:spacing w:after="0" w:line="238" w:lineRule="auto"/>
        <w:rPr>
          <w:sz w:val="20"/>
          <w:szCs w:val="20"/>
          <w:color w:val="auto"/>
        </w:rPr>
      </w:pPr>
      <w:r>
        <w:rPr>
          <w:rFonts w:ascii="Courier New" w:cs="Courier New" w:eastAsia="Courier New" w:hAnsi="Courier New"/>
          <w:sz w:val="16"/>
          <w:szCs w:val="16"/>
          <w:color w:val="auto"/>
        </w:rPr>
        <w:t>obligation................................ 3,664 -- -</w:t>
      </w:r>
    </w:p>
    <w:p>
      <w:pPr>
        <w:ind w:left="1540"/>
        <w:spacing w:after="0"/>
        <w:rPr>
          <w:sz w:val="20"/>
          <w:szCs w:val="20"/>
          <w:color w:val="auto"/>
        </w:rPr>
      </w:pPr>
      <w:r>
        <w:rPr>
          <w:rFonts w:ascii="Courier New" w:cs="Courier New" w:eastAsia="Courier New" w:hAnsi="Courier New"/>
          <w:sz w:val="16"/>
          <w:szCs w:val="16"/>
          <w:color w:val="auto"/>
        </w:rPr>
        <w:t>- 3,664 Other current</w:t>
      </w:r>
    </w:p>
    <w:p>
      <w:pPr>
        <w:ind w:left="380"/>
        <w:spacing w:after="0" w:line="237" w:lineRule="auto"/>
        <w:rPr>
          <w:sz w:val="20"/>
          <w:szCs w:val="20"/>
          <w:color w:val="auto"/>
        </w:rPr>
      </w:pPr>
      <w:r>
        <w:rPr>
          <w:rFonts w:ascii="Courier New" w:cs="Courier New" w:eastAsia="Courier New" w:hAnsi="Courier New"/>
          <w:sz w:val="16"/>
          <w:szCs w:val="16"/>
          <w:color w:val="auto"/>
        </w:rPr>
        <w:t>liabilities............................. 4,779</w:t>
      </w:r>
    </w:p>
    <w:p>
      <w:pPr>
        <w:ind w:left="1260"/>
        <w:spacing w:after="0"/>
        <w:rPr>
          <w:sz w:val="20"/>
          <w:szCs w:val="20"/>
          <w:color w:val="auto"/>
        </w:rPr>
      </w:pPr>
      <w:r>
        <w:rPr>
          <w:rFonts w:ascii="Courier New" w:cs="Courier New" w:eastAsia="Courier New" w:hAnsi="Courier New"/>
          <w:sz w:val="16"/>
          <w:szCs w:val="16"/>
          <w:color w:val="auto"/>
        </w:rPr>
        <w:t>(2,363) 490 2,906 Long-term</w:t>
      </w:r>
    </w:p>
    <w:p>
      <w:pPr>
        <w:ind w:left="140"/>
        <w:spacing w:after="0" w:line="238" w:lineRule="auto"/>
        <w:rPr>
          <w:sz w:val="20"/>
          <w:szCs w:val="20"/>
          <w:color w:val="auto"/>
        </w:rPr>
      </w:pPr>
      <w:r>
        <w:rPr>
          <w:rFonts w:ascii="Courier New" w:cs="Courier New" w:eastAsia="Courier New" w:hAnsi="Courier New"/>
          <w:sz w:val="16"/>
          <w:szCs w:val="16"/>
          <w:color w:val="auto"/>
        </w:rPr>
        <w:t>debt........................................ 37,271</w:t>
      </w:r>
    </w:p>
    <w:p>
      <w:pPr>
        <w:ind w:left="280"/>
        <w:spacing w:after="0"/>
        <w:rPr>
          <w:sz w:val="20"/>
          <w:szCs w:val="20"/>
          <w:color w:val="auto"/>
        </w:rPr>
      </w:pPr>
      <w:r>
        <w:rPr>
          <w:rFonts w:ascii="Courier New" w:cs="Courier New" w:eastAsia="Courier New" w:hAnsi="Courier New"/>
          <w:sz w:val="16"/>
          <w:szCs w:val="16"/>
          <w:color w:val="auto"/>
        </w:rPr>
        <w:t>(13,406) -- 21,218 (2,647)(f) Long-term benefit-</w:t>
      </w:r>
    </w:p>
    <w:p>
      <w:pPr>
        <w:ind w:left="140"/>
        <w:spacing w:after="0" w:line="238" w:lineRule="auto"/>
        <w:rPr>
          <w:sz w:val="20"/>
          <w:szCs w:val="20"/>
          <w:color w:val="auto"/>
        </w:rPr>
      </w:pPr>
      <w:r>
        <w:rPr>
          <w:rFonts w:ascii="Courier New" w:cs="Courier New" w:eastAsia="Courier New" w:hAnsi="Courier New"/>
          <w:sz w:val="16"/>
          <w:szCs w:val="16"/>
          <w:color w:val="auto"/>
        </w:rPr>
        <w:t>related liabilities................. 3,632 -- (137)</w:t>
      </w:r>
    </w:p>
    <w:p>
      <w:pPr>
        <w:ind w:left="1540"/>
        <w:spacing w:after="0"/>
        <w:rPr>
          <w:sz w:val="20"/>
          <w:szCs w:val="20"/>
          <w:color w:val="auto"/>
        </w:rPr>
      </w:pPr>
      <w:r>
        <w:rPr>
          <w:rFonts w:ascii="Courier New" w:cs="Courier New" w:eastAsia="Courier New" w:hAnsi="Courier New"/>
          <w:sz w:val="16"/>
          <w:szCs w:val="16"/>
          <w:color w:val="auto"/>
        </w:rPr>
        <w:t>3,495 Deferred income</w:t>
      </w:r>
    </w:p>
    <w:p>
      <w:pPr>
        <w:ind w:left="420"/>
        <w:spacing w:after="0" w:line="237" w:lineRule="auto"/>
        <w:rPr>
          <w:sz w:val="20"/>
          <w:szCs w:val="20"/>
          <w:color w:val="auto"/>
        </w:rPr>
      </w:pPr>
      <w:r>
        <w:rPr>
          <w:rFonts w:ascii="Courier New" w:cs="Courier New" w:eastAsia="Courier New" w:hAnsi="Courier New"/>
          <w:sz w:val="16"/>
          <w:szCs w:val="16"/>
          <w:color w:val="auto"/>
        </w:rPr>
        <w:t>taxes................................. 23,911</w:t>
      </w:r>
    </w:p>
    <w:p>
      <w:pPr>
        <w:ind w:left="220"/>
        <w:spacing w:after="0"/>
        <w:rPr>
          <w:sz w:val="20"/>
          <w:szCs w:val="20"/>
          <w:color w:val="auto"/>
        </w:rPr>
      </w:pPr>
      <w:r>
        <w:rPr>
          <w:rFonts w:ascii="Courier New" w:cs="Courier New" w:eastAsia="Courier New" w:hAnsi="Courier New"/>
          <w:sz w:val="16"/>
          <w:szCs w:val="16"/>
          <w:color w:val="auto"/>
        </w:rPr>
        <w:t>(19,906) 80 4,085 Other long-term liabilities and</w:t>
      </w:r>
    </w:p>
    <w:p>
      <w:pPr>
        <w:ind w:left="40"/>
        <w:spacing w:after="0" w:line="238" w:lineRule="auto"/>
        <w:rPr>
          <w:sz w:val="20"/>
          <w:szCs w:val="20"/>
          <w:color w:val="auto"/>
        </w:rPr>
      </w:pPr>
      <w:r>
        <w:rPr>
          <w:rFonts w:ascii="Courier New" w:cs="Courier New" w:eastAsia="Courier New" w:hAnsi="Courier New"/>
          <w:sz w:val="16"/>
          <w:szCs w:val="16"/>
          <w:color w:val="auto"/>
        </w:rPr>
        <w:t>deferred credits...... 3,991 (836) 215 3,549 179(d) -</w:t>
      </w:r>
    </w:p>
    <w:p>
      <w:pPr>
        <w:ind w:left="740"/>
        <w:spacing w:after="0"/>
        <w:rPr>
          <w:sz w:val="20"/>
          <w:szCs w:val="20"/>
          <w:color w:val="auto"/>
        </w:rPr>
      </w:pPr>
      <w:r>
        <w:rPr>
          <w:rFonts w:ascii="Courier New" w:cs="Courier New" w:eastAsia="Courier New" w:hAnsi="Courier New"/>
          <w:sz w:val="16"/>
          <w:szCs w:val="16"/>
          <w:color w:val="auto"/>
        </w:rPr>
        <w:t>------- --------- ----- -------- Total</w:t>
      </w:r>
    </w:p>
    <w:p>
      <w:pPr>
        <w:ind w:left="140"/>
        <w:spacing w:after="0" w:line="238" w:lineRule="auto"/>
        <w:rPr>
          <w:sz w:val="20"/>
          <w:szCs w:val="20"/>
          <w:color w:val="auto"/>
        </w:rPr>
      </w:pPr>
      <w:r>
        <w:rPr>
          <w:rFonts w:ascii="Courier New" w:cs="Courier New" w:eastAsia="Courier New" w:hAnsi="Courier New"/>
          <w:sz w:val="16"/>
          <w:szCs w:val="16"/>
          <w:color w:val="auto"/>
        </w:rPr>
        <w:t>Liabilities................................. 89,018</w:t>
      </w:r>
    </w:p>
    <w:p>
      <w:pPr>
        <w:ind w:left="1220"/>
        <w:spacing w:after="0"/>
        <w:rPr>
          <w:sz w:val="20"/>
          <w:szCs w:val="20"/>
          <w:color w:val="auto"/>
        </w:rPr>
      </w:pPr>
      <w:r>
        <w:rPr>
          <w:rFonts w:ascii="Courier New" w:cs="Courier New" w:eastAsia="Courier New" w:hAnsi="Courier New"/>
          <w:sz w:val="16"/>
          <w:szCs w:val="16"/>
          <w:color w:val="auto"/>
        </w:rPr>
        <w:t>(45,949) 695 43,764 Minority</w:t>
      </w:r>
    </w:p>
    <w:p>
      <w:pPr>
        <w:ind w:left="140"/>
        <w:spacing w:after="0" w:line="237" w:lineRule="auto"/>
        <w:rPr>
          <w:sz w:val="20"/>
          <w:szCs w:val="20"/>
          <w:color w:val="auto"/>
        </w:rPr>
      </w:pPr>
      <w:r>
        <w:rPr>
          <w:rFonts w:ascii="Courier New" w:cs="Courier New" w:eastAsia="Courier New" w:hAnsi="Courier New"/>
          <w:sz w:val="16"/>
          <w:szCs w:val="16"/>
          <w:color w:val="auto"/>
        </w:rPr>
        <w:t>interest..................................... 1,397</w:t>
      </w:r>
    </w:p>
    <w:p>
      <w:pPr>
        <w:ind w:left="460"/>
        <w:spacing w:after="0"/>
        <w:rPr>
          <w:sz w:val="20"/>
          <w:szCs w:val="20"/>
          <w:color w:val="auto"/>
        </w:rPr>
      </w:pPr>
      <w:r>
        <w:rPr>
          <w:rFonts w:ascii="Courier New" w:cs="Courier New" w:eastAsia="Courier New" w:hAnsi="Courier New"/>
          <w:sz w:val="16"/>
          <w:szCs w:val="16"/>
          <w:color w:val="auto"/>
        </w:rPr>
        <w:t>(1,210) -- 187 Company-obligated convertible</w:t>
      </w:r>
    </w:p>
    <w:p>
      <w:pPr>
        <w:ind w:left="140"/>
        <w:spacing w:after="0" w:line="238" w:lineRule="auto"/>
        <w:rPr>
          <w:sz w:val="20"/>
          <w:szCs w:val="20"/>
          <w:color w:val="auto"/>
        </w:rPr>
      </w:pPr>
      <w:r>
        <w:rPr>
          <w:rFonts w:ascii="Courier New" w:cs="Courier New" w:eastAsia="Courier New" w:hAnsi="Courier New"/>
          <w:sz w:val="16"/>
          <w:szCs w:val="16"/>
          <w:color w:val="auto"/>
        </w:rPr>
        <w:t>quarterly income preferred securities of subsidiary</w:t>
      </w:r>
    </w:p>
    <w:p>
      <w:pPr>
        <w:ind w:left="80"/>
        <w:spacing w:after="0"/>
        <w:rPr>
          <w:sz w:val="20"/>
          <w:szCs w:val="20"/>
          <w:color w:val="auto"/>
        </w:rPr>
      </w:pPr>
      <w:r>
        <w:rPr>
          <w:rFonts w:ascii="Courier New" w:cs="Courier New" w:eastAsia="Courier New" w:hAnsi="Courier New"/>
          <w:sz w:val="16"/>
          <w:szCs w:val="16"/>
          <w:color w:val="auto"/>
        </w:rPr>
        <w:t>trust holding solely subordinated debt securities of</w:t>
      </w:r>
    </w:p>
    <w:p>
      <w:pPr>
        <w:ind w:left="40"/>
        <w:spacing w:after="0" w:line="238" w:lineRule="auto"/>
        <w:rPr>
          <w:sz w:val="20"/>
          <w:szCs w:val="20"/>
          <w:color w:val="auto"/>
        </w:rPr>
      </w:pPr>
      <w:r>
        <w:rPr>
          <w:rFonts w:ascii="Courier New" w:cs="Courier New" w:eastAsia="Courier New" w:hAnsi="Courier New"/>
          <w:sz w:val="16"/>
          <w:szCs w:val="16"/>
          <w:color w:val="auto"/>
        </w:rPr>
        <w:t>AT&amp;T......... 4,725 (4,725) -- -- SHAREOWNERS' EQUITY</w:t>
      </w:r>
    </w:p>
    <w:p>
      <w:pPr>
        <w:ind w:left="380"/>
        <w:spacing w:after="0"/>
        <w:rPr>
          <w:sz w:val="20"/>
          <w:szCs w:val="20"/>
          <w:color w:val="auto"/>
        </w:rPr>
      </w:pPr>
      <w:r>
        <w:rPr>
          <w:rFonts w:ascii="Courier New" w:cs="Courier New" w:eastAsia="Courier New" w:hAnsi="Courier New"/>
          <w:sz w:val="16"/>
          <w:szCs w:val="16"/>
          <w:color w:val="auto"/>
        </w:rPr>
        <w:t>Common Stock: AT&amp;T common stock, $1 par value,</w:t>
      </w:r>
    </w:p>
    <w:p>
      <w:pPr>
        <w:ind w:left="520"/>
        <w:spacing w:after="0" w:line="237" w:lineRule="auto"/>
        <w:rPr>
          <w:sz w:val="20"/>
          <w:szCs w:val="20"/>
          <w:color w:val="auto"/>
        </w:rPr>
      </w:pPr>
      <w:r>
        <w:rPr>
          <w:rFonts w:ascii="Courier New" w:cs="Courier New" w:eastAsia="Courier New" w:hAnsi="Courier New"/>
          <w:sz w:val="16"/>
          <w:szCs w:val="16"/>
          <w:color w:val="auto"/>
        </w:rPr>
        <w:t>authorized 6,000,000,000 shares; issued and</w:t>
      </w:r>
    </w:p>
    <w:p>
      <w:pPr>
        <w:ind w:left="1360"/>
        <w:spacing w:after="0"/>
        <w:rPr>
          <w:sz w:val="20"/>
          <w:szCs w:val="20"/>
          <w:color w:val="auto"/>
        </w:rPr>
      </w:pPr>
      <w:r>
        <w:rPr>
          <w:rFonts w:ascii="Courier New" w:cs="Courier New" w:eastAsia="Courier New" w:hAnsi="Courier New"/>
          <w:sz w:val="16"/>
          <w:szCs w:val="16"/>
          <w:color w:val="auto"/>
        </w:rPr>
        <w:t>outstanding 3,845,223,065</w:t>
      </w:r>
    </w:p>
    <w:p>
      <w:pPr>
        <w:ind w:left="40"/>
        <w:spacing w:after="0" w:line="238" w:lineRule="auto"/>
        <w:rPr>
          <w:sz w:val="20"/>
          <w:szCs w:val="20"/>
          <w:color w:val="auto"/>
        </w:rPr>
      </w:pPr>
      <w:r>
        <w:rPr>
          <w:rFonts w:ascii="Courier New" w:cs="Courier New" w:eastAsia="Courier New" w:hAnsi="Courier New"/>
          <w:sz w:val="16"/>
          <w:szCs w:val="16"/>
          <w:color w:val="auto"/>
        </w:rPr>
        <w:t>shares................................ 3,845 --(d) --</w:t>
      </w:r>
    </w:p>
    <w:p>
      <w:pPr>
        <w:ind w:left="1400"/>
        <w:spacing w:after="0"/>
        <w:rPr>
          <w:sz w:val="20"/>
          <w:szCs w:val="20"/>
          <w:color w:val="auto"/>
        </w:rPr>
      </w:pPr>
      <w:r>
        <w:rPr>
          <w:rFonts w:ascii="Courier New" w:cs="Courier New" w:eastAsia="Courier New" w:hAnsi="Courier New"/>
          <w:sz w:val="16"/>
          <w:szCs w:val="16"/>
          <w:color w:val="auto"/>
        </w:rPr>
        <w:t>3,845 Additional paid-in</w:t>
      </w:r>
    </w:p>
    <w:p>
      <w:pPr>
        <w:ind w:left="140"/>
        <w:spacing w:after="0" w:line="238" w:lineRule="auto"/>
        <w:rPr>
          <w:sz w:val="20"/>
          <w:szCs w:val="20"/>
          <w:color w:val="auto"/>
        </w:rPr>
      </w:pPr>
      <w:r>
        <w:rPr>
          <w:rFonts w:ascii="Courier New" w:cs="Courier New" w:eastAsia="Courier New" w:hAnsi="Courier New"/>
          <w:sz w:val="16"/>
          <w:szCs w:val="16"/>
          <w:color w:val="auto"/>
        </w:rPr>
        <w:t>capital............................ 56,312 (29,879)</w:t>
      </w:r>
    </w:p>
    <w:p>
      <w:pPr>
        <w:ind w:left="560"/>
        <w:spacing w:after="0"/>
        <w:rPr>
          <w:sz w:val="20"/>
          <w:szCs w:val="20"/>
          <w:color w:val="auto"/>
        </w:rPr>
      </w:pPr>
      <w:r>
        <w:rPr>
          <w:rFonts w:ascii="Courier New" w:cs="Courier New" w:eastAsia="Courier New" w:hAnsi="Courier New"/>
          <w:sz w:val="16"/>
          <w:szCs w:val="16"/>
          <w:color w:val="auto"/>
        </w:rPr>
        <w:t>(203) 31,918 5,867(c) (179)(d) Accumulated</w:t>
      </w:r>
    </w:p>
    <w:p>
      <w:pPr>
        <w:ind w:left="140"/>
        <w:spacing w:after="0" w:line="237" w:lineRule="auto"/>
        <w:rPr>
          <w:sz w:val="20"/>
          <w:szCs w:val="20"/>
          <w:color w:val="auto"/>
        </w:rPr>
      </w:pPr>
      <w:r>
        <w:rPr>
          <w:rFonts w:ascii="Courier New" w:cs="Courier New" w:eastAsia="Courier New" w:hAnsi="Courier New"/>
          <w:sz w:val="16"/>
          <w:szCs w:val="16"/>
          <w:color w:val="auto"/>
        </w:rPr>
        <w:t>deficit................................... (17,288)</w:t>
      </w:r>
    </w:p>
    <w:p>
      <w:pPr>
        <w:ind w:left="660"/>
        <w:spacing w:after="0"/>
        <w:rPr>
          <w:sz w:val="20"/>
          <w:szCs w:val="20"/>
          <w:color w:val="auto"/>
        </w:rPr>
      </w:pPr>
      <w:r>
        <w:rPr>
          <w:rFonts w:ascii="Courier New" w:cs="Courier New" w:eastAsia="Courier New" w:hAnsi="Courier New"/>
          <w:sz w:val="16"/>
          <w:szCs w:val="16"/>
          <w:color w:val="auto"/>
        </w:rPr>
        <w:t>(5,867)(c) 71 (23,084) Accumulated other</w:t>
      </w:r>
    </w:p>
    <w:p>
      <w:pPr>
        <w:ind w:left="220"/>
        <w:spacing w:after="0" w:line="238" w:lineRule="auto"/>
        <w:rPr>
          <w:sz w:val="20"/>
          <w:szCs w:val="20"/>
          <w:color w:val="auto"/>
        </w:rPr>
      </w:pPr>
      <w:r>
        <w:rPr>
          <w:rFonts w:ascii="Courier New" w:cs="Courier New" w:eastAsia="Courier New" w:hAnsi="Courier New"/>
          <w:sz w:val="16"/>
          <w:szCs w:val="16"/>
          <w:color w:val="auto"/>
        </w:rPr>
        <w:t>comprehensive loss.................. (114) 102 --</w:t>
      </w:r>
    </w:p>
    <w:p>
      <w:pPr>
        <w:ind w:left="460"/>
        <w:spacing w:after="0"/>
        <w:rPr>
          <w:sz w:val="20"/>
          <w:szCs w:val="20"/>
          <w:color w:val="auto"/>
        </w:rPr>
      </w:pPr>
      <w:r>
        <w:rPr>
          <w:rFonts w:ascii="Courier New" w:cs="Courier New" w:eastAsia="Courier New" w:hAnsi="Courier New"/>
          <w:sz w:val="16"/>
          <w:szCs w:val="16"/>
          <w:color w:val="auto"/>
        </w:rPr>
        <w:t>(12) -------- --------- ----- -------- Total</w:t>
      </w:r>
    </w:p>
    <w:p>
      <w:pPr>
        <w:ind w:left="140"/>
        <w:spacing w:after="0" w:line="238" w:lineRule="auto"/>
        <w:rPr>
          <w:sz w:val="20"/>
          <w:szCs w:val="20"/>
          <w:color w:val="auto"/>
        </w:rPr>
      </w:pPr>
      <w:r>
        <w:rPr>
          <w:rFonts w:ascii="Courier New" w:cs="Courier New" w:eastAsia="Courier New" w:hAnsi="Courier New"/>
          <w:sz w:val="16"/>
          <w:szCs w:val="16"/>
          <w:color w:val="auto"/>
        </w:rPr>
        <w:t>shareowners' equity......................... 42,755</w:t>
      </w:r>
    </w:p>
    <w:p>
      <w:pPr>
        <w:ind w:left="600"/>
        <w:spacing w:after="0"/>
        <w:rPr>
          <w:sz w:val="20"/>
          <w:szCs w:val="20"/>
          <w:color w:val="auto"/>
        </w:rPr>
      </w:pPr>
      <w:r>
        <w:rPr>
          <w:rFonts w:ascii="Courier New" w:cs="Courier New" w:eastAsia="Courier New" w:hAnsi="Courier New"/>
          <w:sz w:val="16"/>
          <w:szCs w:val="16"/>
          <w:color w:val="auto"/>
        </w:rPr>
        <w:t>(29,956) (132) 12,667 Total Liabilities &amp;</w:t>
      </w:r>
    </w:p>
    <w:p>
      <w:pPr>
        <w:ind w:left="80"/>
        <w:spacing w:after="0" w:line="237" w:lineRule="auto"/>
        <w:rPr>
          <w:sz w:val="20"/>
          <w:szCs w:val="20"/>
          <w:color w:val="auto"/>
        </w:rPr>
      </w:pPr>
      <w:r>
        <w:rPr>
          <w:rFonts w:ascii="Courier New" w:cs="Courier New" w:eastAsia="Courier New" w:hAnsi="Courier New"/>
          <w:sz w:val="16"/>
          <w:szCs w:val="16"/>
          <w:color w:val="auto"/>
        </w:rPr>
        <w:t>Shareowners' Equity........... $137,895 $ (81,840) $</w:t>
      </w:r>
    </w:p>
    <w:p>
      <w:pPr>
        <w:ind w:left="380"/>
        <w:spacing w:after="0"/>
        <w:rPr>
          <w:sz w:val="20"/>
          <w:szCs w:val="20"/>
          <w:color w:val="auto"/>
        </w:rPr>
      </w:pPr>
      <w:r>
        <w:rPr>
          <w:rFonts w:ascii="Courier New" w:cs="Courier New" w:eastAsia="Courier New" w:hAnsi="Courier New"/>
          <w:sz w:val="16"/>
          <w:szCs w:val="16"/>
          <w:color w:val="auto"/>
        </w:rPr>
        <w:t>563 $ 56,618 ======== ========= ===== ========</w:t>
      </w:r>
    </w:p>
    <w:p>
      <w:pPr>
        <w:spacing w:after="0" w:line="200" w:lineRule="exact"/>
        <w:rPr>
          <w:sz w:val="20"/>
          <w:szCs w:val="20"/>
          <w:color w:val="auto"/>
        </w:rPr>
      </w:pPr>
    </w:p>
    <w:p>
      <w:pPr>
        <w:spacing w:after="0" w:line="34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54" w:right="1440" w:bottom="828" w:gutter="0" w:footer="0" w:header="0"/>
        </w:sectPr>
      </w:pPr>
    </w:p>
    <w:bookmarkStart w:id="191" w:name="page192"/>
    <w:bookmarkEnd w:id="191"/>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jc w:val="center"/>
        <w:ind w:right="2719"/>
        <w:spacing w:after="0"/>
        <w:rPr>
          <w:sz w:val="20"/>
          <w:szCs w:val="20"/>
          <w:color w:val="auto"/>
        </w:rPr>
      </w:pPr>
      <w:r>
        <w:rPr>
          <w:rFonts w:ascii="Courier New" w:cs="Courier New" w:eastAsia="Courier New" w:hAnsi="Courier New"/>
          <w:sz w:val="16"/>
          <w:szCs w:val="16"/>
          <w:color w:val="auto"/>
        </w:rPr>
        <w:t>FOR THE SIX MONTHS ENDED JUNE 30, 2002</w:t>
      </w:r>
    </w:p>
    <w:p>
      <w:pPr>
        <w:spacing w:after="0" w:line="184"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5"/>
          <w:szCs w:val="15"/>
          <w:color w:val="auto"/>
        </w:rPr>
        <w:t>AT&amp;T BROADBAND HISTORICAL GROUP OTHER PRO</w:t>
      </w:r>
    </w:p>
    <w:p>
      <w:pPr>
        <w:spacing w:after="0" w:line="5"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6"/>
          <w:szCs w:val="16"/>
          <w:color w:val="auto"/>
        </w:rPr>
        <w:t>FORMA AT&amp;T(A) DISTRIBUTION(E)</w:t>
      </w:r>
    </w:p>
    <w:p>
      <w:pPr>
        <w:ind w:left="40"/>
        <w:spacing w:after="0"/>
        <w:rPr>
          <w:sz w:val="20"/>
          <w:szCs w:val="20"/>
          <w:color w:val="auto"/>
        </w:rPr>
      </w:pPr>
      <w:r>
        <w:rPr>
          <w:rFonts w:ascii="Courier New" w:cs="Courier New" w:eastAsia="Courier New" w:hAnsi="Courier New"/>
          <w:sz w:val="16"/>
          <w:szCs w:val="16"/>
          <w:color w:val="auto"/>
        </w:rPr>
        <w:t>ADJUSTMENTS(G) AT&amp;T ---------- ----------</w:t>
      </w:r>
    </w:p>
    <w:p>
      <w:pPr>
        <w:ind w:left="140"/>
        <w:spacing w:after="0" w:line="237" w:lineRule="auto"/>
        <w:rPr>
          <w:sz w:val="20"/>
          <w:szCs w:val="20"/>
          <w:color w:val="auto"/>
        </w:rPr>
      </w:pPr>
      <w:r>
        <w:rPr>
          <w:rFonts w:ascii="Courier New" w:cs="Courier New" w:eastAsia="Courier New" w:hAnsi="Courier New"/>
          <w:sz w:val="16"/>
          <w:szCs w:val="16"/>
          <w:color w:val="auto"/>
        </w:rPr>
        <w:t>----- -------------- --------- (DOLLARS</w:t>
      </w:r>
    </w:p>
    <w:p>
      <w:pPr>
        <w:jc w:val="center"/>
        <w:ind w:right="6299"/>
        <w:spacing w:after="0"/>
        <w:rPr>
          <w:sz w:val="20"/>
          <w:szCs w:val="20"/>
          <w:color w:val="auto"/>
        </w:rPr>
      </w:pPr>
      <w:r>
        <w:rPr>
          <w:rFonts w:ascii="Courier New" w:cs="Courier New" w:eastAsia="Courier New" w:hAnsi="Courier New"/>
          <w:sz w:val="16"/>
          <w:szCs w:val="16"/>
          <w:color w:val="auto"/>
        </w:rPr>
        <w:t>IN MILLIONS)</w:t>
      </w:r>
    </w:p>
    <w:p>
      <w:pPr>
        <w:spacing w:after="0" w:line="238" w:lineRule="auto"/>
        <w:rPr>
          <w:sz w:val="20"/>
          <w:szCs w:val="20"/>
          <w:color w:val="auto"/>
        </w:rPr>
      </w:pPr>
      <w:r>
        <w:rPr>
          <w:rFonts w:ascii="Courier New" w:cs="Courier New" w:eastAsia="Courier New" w:hAnsi="Courier New"/>
          <w:sz w:val="16"/>
          <w:szCs w:val="16"/>
          <w:color w:val="auto"/>
        </w:rPr>
        <w:t>Revenue...................................</w:t>
      </w:r>
    </w:p>
    <w:p>
      <w:pPr>
        <w:spacing w:after="0" w:line="4" w:lineRule="exact"/>
        <w:rPr>
          <w:sz w:val="20"/>
          <w:szCs w:val="20"/>
          <w:color w:val="auto"/>
        </w:rPr>
      </w:pPr>
    </w:p>
    <w:p>
      <w:pPr>
        <w:ind w:left="560" w:right="6339" w:hanging="521"/>
        <w:spacing w:after="0" w:line="254" w:lineRule="auto"/>
        <w:tabs>
          <w:tab w:leader="none" w:pos="23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24,088 $ (4,965) $175 $19,298 OPERATING EXPENSES Costs of services and</w:t>
      </w:r>
    </w:p>
    <w:p>
      <w:pPr>
        <w:ind w:left="180"/>
        <w:spacing w:after="0" w:line="234" w:lineRule="auto"/>
        <w:rPr>
          <w:sz w:val="20"/>
          <w:szCs w:val="20"/>
          <w:color w:val="auto"/>
        </w:rPr>
      </w:pPr>
      <w:r>
        <w:rPr>
          <w:rFonts w:ascii="Courier New" w:cs="Courier New" w:eastAsia="Courier New" w:hAnsi="Courier New"/>
          <w:sz w:val="16"/>
          <w:szCs w:val="16"/>
          <w:color w:val="auto"/>
        </w:rPr>
        <w:t>products............ 6,629 (2,591) 210</w:t>
      </w:r>
    </w:p>
    <w:p>
      <w:pPr>
        <w:ind w:left="940"/>
        <w:spacing w:after="0"/>
        <w:rPr>
          <w:sz w:val="20"/>
          <w:szCs w:val="20"/>
          <w:color w:val="auto"/>
        </w:rPr>
      </w:pPr>
      <w:r>
        <w:rPr>
          <w:rFonts w:ascii="Courier New" w:cs="Courier New" w:eastAsia="Courier New" w:hAnsi="Courier New"/>
          <w:sz w:val="16"/>
          <w:szCs w:val="16"/>
          <w:color w:val="auto"/>
        </w:rPr>
        <w:t>4,248 Access and other</w:t>
      </w:r>
    </w:p>
    <w:p>
      <w:pPr>
        <w:ind w:left="140"/>
        <w:spacing w:after="0" w:line="238" w:lineRule="auto"/>
        <w:rPr>
          <w:sz w:val="20"/>
          <w:szCs w:val="20"/>
          <w:color w:val="auto"/>
        </w:rPr>
      </w:pPr>
      <w:r>
        <w:rPr>
          <w:rFonts w:ascii="Courier New" w:cs="Courier New" w:eastAsia="Courier New" w:hAnsi="Courier New"/>
          <w:sz w:val="16"/>
          <w:szCs w:val="16"/>
          <w:color w:val="auto"/>
        </w:rPr>
        <w:t>connection............... 5,571 -- (35)</w:t>
      </w:r>
    </w:p>
    <w:p>
      <w:pPr>
        <w:ind w:left="740"/>
        <w:spacing w:after="0"/>
        <w:rPr>
          <w:sz w:val="20"/>
          <w:szCs w:val="20"/>
          <w:color w:val="auto"/>
        </w:rPr>
      </w:pPr>
      <w:r>
        <w:rPr>
          <w:rFonts w:ascii="Courier New" w:cs="Courier New" w:eastAsia="Courier New" w:hAnsi="Courier New"/>
          <w:sz w:val="16"/>
          <w:szCs w:val="16"/>
          <w:color w:val="auto"/>
        </w:rPr>
        <w:t>5,536 Selling, general and</w:t>
      </w:r>
    </w:p>
    <w:p>
      <w:pPr>
        <w:ind w:left="180"/>
        <w:spacing w:after="0" w:line="238" w:lineRule="auto"/>
        <w:rPr>
          <w:sz w:val="20"/>
          <w:szCs w:val="20"/>
          <w:color w:val="auto"/>
        </w:rPr>
      </w:pPr>
      <w:r>
        <w:rPr>
          <w:rFonts w:ascii="Courier New" w:cs="Courier New" w:eastAsia="Courier New" w:hAnsi="Courier New"/>
          <w:sz w:val="16"/>
          <w:szCs w:val="16"/>
          <w:color w:val="auto"/>
        </w:rPr>
        <w:t>administrative....... 5,190 (1,342) --</w:t>
      </w:r>
    </w:p>
    <w:p>
      <w:pPr>
        <w:ind w:left="940"/>
        <w:spacing w:after="0"/>
        <w:rPr>
          <w:sz w:val="20"/>
          <w:szCs w:val="20"/>
          <w:color w:val="auto"/>
        </w:rPr>
      </w:pPr>
      <w:r>
        <w:rPr>
          <w:rFonts w:ascii="Courier New" w:cs="Courier New" w:eastAsia="Courier New" w:hAnsi="Courier New"/>
          <w:sz w:val="16"/>
          <w:szCs w:val="16"/>
          <w:color w:val="auto"/>
        </w:rPr>
        <w:t>3,848 Depreciation and</w:t>
      </w:r>
    </w:p>
    <w:p>
      <w:pPr>
        <w:ind w:left="40"/>
        <w:spacing w:after="0" w:line="237" w:lineRule="auto"/>
        <w:rPr>
          <w:sz w:val="20"/>
          <w:szCs w:val="20"/>
          <w:color w:val="auto"/>
        </w:rPr>
      </w:pPr>
      <w:r>
        <w:rPr>
          <w:rFonts w:ascii="Courier New" w:cs="Courier New" w:eastAsia="Courier New" w:hAnsi="Courier New"/>
          <w:sz w:val="16"/>
          <w:szCs w:val="16"/>
          <w:color w:val="auto"/>
        </w:rPr>
        <w:t>amortization............. 3,854 (1,466) -</w:t>
      </w:r>
    </w:p>
    <w:p>
      <w:pPr>
        <w:ind w:left="320"/>
        <w:spacing w:after="0"/>
        <w:rPr>
          <w:sz w:val="20"/>
          <w:szCs w:val="20"/>
          <w:color w:val="auto"/>
        </w:rPr>
      </w:pPr>
      <w:r>
        <w:rPr>
          <w:rFonts w:ascii="Courier New" w:cs="Courier New" w:eastAsia="Courier New" w:hAnsi="Courier New"/>
          <w:sz w:val="16"/>
          <w:szCs w:val="16"/>
          <w:color w:val="auto"/>
        </w:rPr>
        <w:t>- 2,388 Net restructuring and other</w:t>
      </w:r>
    </w:p>
    <w:p>
      <w:pPr>
        <w:ind w:left="40"/>
        <w:spacing w:after="0" w:line="238" w:lineRule="auto"/>
        <w:rPr>
          <w:sz w:val="20"/>
          <w:szCs w:val="20"/>
          <w:color w:val="auto"/>
        </w:rPr>
      </w:pPr>
      <w:r>
        <w:rPr>
          <w:rFonts w:ascii="Courier New" w:cs="Courier New" w:eastAsia="Courier New" w:hAnsi="Courier New"/>
          <w:sz w:val="16"/>
          <w:szCs w:val="16"/>
          <w:color w:val="auto"/>
        </w:rPr>
        <w:t>charges....... 56 (56) -- -- Goodwill and</w:t>
      </w:r>
    </w:p>
    <w:p>
      <w:pPr>
        <w:ind w:left="1020"/>
        <w:spacing w:after="0"/>
        <w:rPr>
          <w:sz w:val="20"/>
          <w:szCs w:val="20"/>
          <w:color w:val="auto"/>
        </w:rPr>
      </w:pPr>
      <w:r>
        <w:rPr>
          <w:rFonts w:ascii="Courier New" w:cs="Courier New" w:eastAsia="Courier New" w:hAnsi="Courier New"/>
          <w:sz w:val="16"/>
          <w:szCs w:val="16"/>
          <w:color w:val="auto"/>
        </w:rPr>
        <w:t>franchise impairment</w:t>
      </w:r>
    </w:p>
    <w:p>
      <w:pPr>
        <w:ind w:left="80"/>
        <w:spacing w:after="0" w:line="238" w:lineRule="auto"/>
        <w:rPr>
          <w:sz w:val="20"/>
          <w:szCs w:val="20"/>
          <w:color w:val="auto"/>
        </w:rPr>
      </w:pPr>
      <w:r>
        <w:rPr>
          <w:rFonts w:ascii="Courier New" w:cs="Courier New" w:eastAsia="Courier New" w:hAnsi="Courier New"/>
          <w:sz w:val="16"/>
          <w:szCs w:val="16"/>
          <w:color w:val="auto"/>
        </w:rPr>
        <w:t>charges.................................</w:t>
      </w:r>
    </w:p>
    <w:p>
      <w:pPr>
        <w:ind w:left="40"/>
        <w:spacing w:after="0"/>
        <w:rPr>
          <w:sz w:val="20"/>
          <w:szCs w:val="20"/>
          <w:color w:val="auto"/>
        </w:rPr>
      </w:pPr>
      <w:r>
        <w:rPr>
          <w:rFonts w:ascii="Courier New" w:cs="Courier New" w:eastAsia="Courier New" w:hAnsi="Courier New"/>
          <w:sz w:val="16"/>
          <w:szCs w:val="16"/>
          <w:color w:val="auto"/>
        </w:rPr>
        <w:t>16,479 (16,525) 46 -- -------- -------- -</w:t>
      </w:r>
    </w:p>
    <w:p>
      <w:pPr>
        <w:ind w:left="700"/>
        <w:spacing w:after="0" w:line="237" w:lineRule="auto"/>
        <w:rPr>
          <w:sz w:val="20"/>
          <w:szCs w:val="20"/>
          <w:color w:val="auto"/>
        </w:rPr>
      </w:pPr>
      <w:r>
        <w:rPr>
          <w:rFonts w:ascii="Courier New" w:cs="Courier New" w:eastAsia="Courier New" w:hAnsi="Courier New"/>
          <w:sz w:val="16"/>
          <w:szCs w:val="16"/>
          <w:color w:val="auto"/>
        </w:rPr>
        <w:t>--- ------- Total operating</w:t>
      </w:r>
    </w:p>
    <w:p>
      <w:pPr>
        <w:ind w:left="420"/>
        <w:spacing w:after="0"/>
        <w:rPr>
          <w:sz w:val="20"/>
          <w:szCs w:val="20"/>
          <w:color w:val="auto"/>
        </w:rPr>
      </w:pPr>
      <w:r>
        <w:rPr>
          <w:rFonts w:ascii="Courier New" w:cs="Courier New" w:eastAsia="Courier New" w:hAnsi="Courier New"/>
          <w:sz w:val="16"/>
          <w:szCs w:val="16"/>
          <w:color w:val="auto"/>
        </w:rPr>
        <w:t>expenses.................. 37,779</w:t>
      </w:r>
    </w:p>
    <w:p>
      <w:pPr>
        <w:ind w:left="600"/>
        <w:spacing w:after="0" w:line="238" w:lineRule="auto"/>
        <w:rPr>
          <w:sz w:val="20"/>
          <w:szCs w:val="20"/>
          <w:color w:val="auto"/>
        </w:rPr>
      </w:pPr>
      <w:r>
        <w:rPr>
          <w:rFonts w:ascii="Courier New" w:cs="Courier New" w:eastAsia="Courier New" w:hAnsi="Courier New"/>
          <w:sz w:val="16"/>
          <w:szCs w:val="16"/>
          <w:color w:val="auto"/>
        </w:rPr>
        <w:t>(21,980) 221 16,020 Operating</w:t>
      </w:r>
    </w:p>
    <w:p>
      <w:pPr>
        <w:ind w:left="40"/>
        <w:spacing w:after="0"/>
        <w:rPr>
          <w:sz w:val="20"/>
          <w:szCs w:val="20"/>
          <w:color w:val="auto"/>
        </w:rPr>
      </w:pPr>
      <w:r>
        <w:rPr>
          <w:rFonts w:ascii="Courier New" w:cs="Courier New" w:eastAsia="Courier New" w:hAnsi="Courier New"/>
          <w:sz w:val="16"/>
          <w:szCs w:val="16"/>
          <w:color w:val="auto"/>
        </w:rPr>
        <w:t>income.......................... (13,691)</w:t>
      </w:r>
    </w:p>
    <w:p>
      <w:pPr>
        <w:ind w:left="420"/>
        <w:spacing w:after="0" w:line="238" w:lineRule="auto"/>
        <w:rPr>
          <w:sz w:val="20"/>
          <w:szCs w:val="20"/>
          <w:color w:val="auto"/>
        </w:rPr>
      </w:pPr>
      <w:r>
        <w:rPr>
          <w:rFonts w:ascii="Courier New" w:cs="Courier New" w:eastAsia="Courier New" w:hAnsi="Courier New"/>
          <w:sz w:val="16"/>
          <w:szCs w:val="16"/>
          <w:color w:val="auto"/>
        </w:rPr>
        <w:t>17,015 (46) 3,278 Other (expense)</w:t>
      </w:r>
    </w:p>
    <w:p>
      <w:pPr>
        <w:ind w:left="140"/>
        <w:spacing w:after="0"/>
        <w:rPr>
          <w:sz w:val="20"/>
          <w:szCs w:val="20"/>
          <w:color w:val="auto"/>
        </w:rPr>
      </w:pPr>
      <w:r>
        <w:rPr>
          <w:rFonts w:ascii="Courier New" w:cs="Courier New" w:eastAsia="Courier New" w:hAnsi="Courier New"/>
          <w:sz w:val="16"/>
          <w:szCs w:val="16"/>
          <w:color w:val="auto"/>
        </w:rPr>
        <w:t>income.................... (991) 886 --</w:t>
      </w:r>
    </w:p>
    <w:p>
      <w:pPr>
        <w:ind w:left="1300"/>
        <w:spacing w:after="0" w:line="237" w:lineRule="auto"/>
        <w:rPr>
          <w:sz w:val="20"/>
          <w:szCs w:val="20"/>
          <w:color w:val="auto"/>
        </w:rPr>
      </w:pPr>
      <w:r>
        <w:rPr>
          <w:rFonts w:ascii="Courier New" w:cs="Courier New" w:eastAsia="Courier New" w:hAnsi="Courier New"/>
          <w:sz w:val="16"/>
          <w:szCs w:val="16"/>
          <w:color w:val="auto"/>
        </w:rPr>
        <w:t>(105) Interest</w:t>
      </w:r>
    </w:p>
    <w:p>
      <w:pPr>
        <w:ind w:left="140"/>
        <w:spacing w:after="0"/>
        <w:rPr>
          <w:sz w:val="20"/>
          <w:szCs w:val="20"/>
          <w:color w:val="auto"/>
        </w:rPr>
      </w:pPr>
      <w:r>
        <w:rPr>
          <w:rFonts w:ascii="Courier New" w:cs="Courier New" w:eastAsia="Courier New" w:hAnsi="Courier New"/>
          <w:sz w:val="16"/>
          <w:szCs w:val="16"/>
          <w:color w:val="auto"/>
        </w:rPr>
        <w:t>expense.......................... 1,483</w:t>
      </w:r>
    </w:p>
    <w:p>
      <w:pPr>
        <w:spacing w:after="0" w:line="4" w:lineRule="exact"/>
        <w:rPr>
          <w:sz w:val="20"/>
          <w:szCs w:val="20"/>
          <w:color w:val="auto"/>
        </w:rPr>
      </w:pPr>
    </w:p>
    <w:p>
      <w:pPr>
        <w:ind w:left="320" w:right="6619" w:firstLine="188"/>
        <w:spacing w:after="0" w:line="254" w:lineRule="auto"/>
        <w:tabs>
          <w:tab w:leader="none" w:pos="1071"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-- 751 (Loss) income from continuing operations before income</w:t>
      </w:r>
    </w:p>
    <w:p>
      <w:pPr>
        <w:jc w:val="center"/>
        <w:ind w:right="6299"/>
        <w:spacing w:after="0" w:line="234" w:lineRule="auto"/>
        <w:rPr>
          <w:sz w:val="20"/>
          <w:szCs w:val="20"/>
          <w:color w:val="auto"/>
        </w:rPr>
      </w:pPr>
      <w:r>
        <w:rPr>
          <w:rFonts w:ascii="Courier New" w:cs="Courier New" w:eastAsia="Courier New" w:hAnsi="Courier New"/>
          <w:sz w:val="16"/>
          <w:szCs w:val="16"/>
          <w:color w:val="auto"/>
        </w:rPr>
        <w:t>taxes, minority interest and (losses)</w:t>
      </w:r>
    </w:p>
    <w:p>
      <w:pPr>
        <w:jc w:val="center"/>
        <w:ind w:right="6299"/>
        <w:spacing w:after="0"/>
        <w:rPr>
          <w:sz w:val="20"/>
          <w:szCs w:val="20"/>
          <w:color w:val="auto"/>
        </w:rPr>
      </w:pPr>
      <w:r>
        <w:rPr>
          <w:rFonts w:ascii="Courier New" w:cs="Courier New" w:eastAsia="Courier New" w:hAnsi="Courier New"/>
          <w:sz w:val="16"/>
          <w:szCs w:val="16"/>
          <w:color w:val="auto"/>
        </w:rPr>
        <w:t>earnings related to equity</w:t>
      </w:r>
    </w:p>
    <w:p>
      <w:pPr>
        <w:ind w:left="80"/>
        <w:spacing w:after="0" w:line="238" w:lineRule="auto"/>
        <w:rPr>
          <w:sz w:val="20"/>
          <w:szCs w:val="20"/>
          <w:color w:val="auto"/>
        </w:rPr>
      </w:pPr>
      <w:r>
        <w:rPr>
          <w:rFonts w:ascii="Courier New" w:cs="Courier New" w:eastAsia="Courier New" w:hAnsi="Courier New"/>
          <w:sz w:val="16"/>
          <w:szCs w:val="16"/>
          <w:color w:val="auto"/>
        </w:rPr>
        <w:t>investments.............................</w:t>
      </w:r>
    </w:p>
    <w:p>
      <w:pPr>
        <w:jc w:val="center"/>
        <w:ind w:right="6299"/>
        <w:spacing w:after="0"/>
        <w:rPr>
          <w:sz w:val="20"/>
          <w:szCs w:val="20"/>
          <w:color w:val="auto"/>
        </w:rPr>
      </w:pPr>
      <w:r>
        <w:rPr>
          <w:rFonts w:ascii="Courier New" w:cs="Courier New" w:eastAsia="Courier New" w:hAnsi="Courier New"/>
          <w:sz w:val="16"/>
          <w:szCs w:val="16"/>
          <w:color w:val="auto"/>
        </w:rPr>
        <w:t>(16,165) 18,633 (46) 2,422 (Benefit)</w:t>
      </w:r>
    </w:p>
    <w:p>
      <w:pPr>
        <w:ind w:left="80"/>
        <w:spacing w:after="0" w:line="238" w:lineRule="auto"/>
        <w:rPr>
          <w:sz w:val="20"/>
          <w:szCs w:val="20"/>
          <w:color w:val="auto"/>
        </w:rPr>
      </w:pPr>
      <w:r>
        <w:rPr>
          <w:rFonts w:ascii="Courier New" w:cs="Courier New" w:eastAsia="Courier New" w:hAnsi="Courier New"/>
          <w:sz w:val="16"/>
          <w:szCs w:val="16"/>
          <w:color w:val="auto"/>
        </w:rPr>
        <w:t>provision for income taxes...... (4,365)</w:t>
      </w:r>
    </w:p>
    <w:p>
      <w:pPr>
        <w:ind w:left="360"/>
        <w:spacing w:after="0"/>
        <w:rPr>
          <w:sz w:val="20"/>
          <w:szCs w:val="20"/>
          <w:color w:val="auto"/>
        </w:rPr>
      </w:pPr>
      <w:r>
        <w:rPr>
          <w:rFonts w:ascii="Courier New" w:cs="Courier New" w:eastAsia="Courier New" w:hAnsi="Courier New"/>
          <w:sz w:val="16"/>
          <w:szCs w:val="16"/>
          <w:color w:val="auto"/>
        </w:rPr>
        <w:t>5,506 (49) 1,092 Minority interest</w:t>
      </w:r>
    </w:p>
    <w:p>
      <w:pPr>
        <w:ind w:left="140"/>
        <w:spacing w:after="0" w:line="237" w:lineRule="auto"/>
        <w:rPr>
          <w:sz w:val="20"/>
          <w:szCs w:val="20"/>
          <w:color w:val="auto"/>
        </w:rPr>
      </w:pPr>
      <w:r>
        <w:rPr>
          <w:rFonts w:ascii="Courier New" w:cs="Courier New" w:eastAsia="Courier New" w:hAnsi="Courier New"/>
          <w:sz w:val="16"/>
          <w:szCs w:val="16"/>
          <w:color w:val="auto"/>
        </w:rPr>
        <w:t>(expense) income........ (88) 140 -- 52</w:t>
      </w:r>
    </w:p>
    <w:p>
      <w:pPr>
        <w:ind w:left="360"/>
        <w:spacing w:after="0"/>
        <w:rPr>
          <w:sz w:val="20"/>
          <w:szCs w:val="20"/>
          <w:color w:val="auto"/>
        </w:rPr>
      </w:pPr>
      <w:r>
        <w:rPr>
          <w:rFonts w:ascii="Courier New" w:cs="Courier New" w:eastAsia="Courier New" w:hAnsi="Courier New"/>
          <w:sz w:val="16"/>
          <w:szCs w:val="16"/>
          <w:color w:val="auto"/>
        </w:rPr>
        <w:t>Net losses related to other equity</w:t>
      </w:r>
    </w:p>
    <w:p>
      <w:pPr>
        <w:ind w:left="80"/>
        <w:spacing w:after="0" w:line="238" w:lineRule="auto"/>
        <w:rPr>
          <w:sz w:val="20"/>
          <w:szCs w:val="20"/>
          <w:color w:val="auto"/>
        </w:rPr>
      </w:pPr>
      <w:r>
        <w:rPr>
          <w:rFonts w:ascii="Courier New" w:cs="Courier New" w:eastAsia="Courier New" w:hAnsi="Courier New"/>
          <w:sz w:val="16"/>
          <w:szCs w:val="16"/>
          <w:color w:val="auto"/>
        </w:rPr>
        <w:t>investments.............................</w:t>
      </w:r>
    </w:p>
    <w:p>
      <w:pPr>
        <w:ind w:left="40"/>
        <w:spacing w:after="0"/>
        <w:rPr>
          <w:sz w:val="20"/>
          <w:szCs w:val="20"/>
          <w:color w:val="auto"/>
        </w:rPr>
      </w:pPr>
      <w:r>
        <w:rPr>
          <w:rFonts w:ascii="Courier New" w:cs="Courier New" w:eastAsia="Courier New" w:hAnsi="Courier New"/>
          <w:sz w:val="16"/>
          <w:szCs w:val="16"/>
          <w:color w:val="auto"/>
        </w:rPr>
        <w:t>(1,021) 617 -- (404) -------- -------- --</w:t>
      </w:r>
    </w:p>
    <w:p>
      <w:pPr>
        <w:ind w:left="320"/>
        <w:spacing w:after="0" w:line="238" w:lineRule="auto"/>
        <w:rPr>
          <w:sz w:val="20"/>
          <w:szCs w:val="20"/>
          <w:color w:val="auto"/>
        </w:rPr>
      </w:pPr>
      <w:r>
        <w:rPr>
          <w:rFonts w:ascii="Courier New" w:cs="Courier New" w:eastAsia="Courier New" w:hAnsi="Courier New"/>
          <w:sz w:val="16"/>
          <w:szCs w:val="16"/>
          <w:color w:val="auto"/>
        </w:rPr>
        <w:t>-- ------- Net (loss) earnings from</w:t>
      </w:r>
    </w:p>
    <w:p>
      <w:pPr>
        <w:ind w:left="220"/>
        <w:spacing w:after="0"/>
        <w:rPr>
          <w:sz w:val="20"/>
          <w:szCs w:val="20"/>
          <w:color w:val="auto"/>
        </w:rPr>
      </w:pPr>
      <w:r>
        <w:rPr>
          <w:rFonts w:ascii="Courier New" w:cs="Courier New" w:eastAsia="Courier New" w:hAnsi="Courier New"/>
          <w:sz w:val="16"/>
          <w:szCs w:val="16"/>
          <w:color w:val="auto"/>
        </w:rPr>
        <w:t>continuing operations attributable to</w:t>
      </w:r>
    </w:p>
    <w:p>
      <w:pPr>
        <w:ind w:left="1680"/>
        <w:spacing w:after="0" w:line="237" w:lineRule="auto"/>
        <w:rPr>
          <w:sz w:val="20"/>
          <w:szCs w:val="20"/>
          <w:color w:val="auto"/>
        </w:rPr>
      </w:pPr>
      <w:r>
        <w:rPr>
          <w:rFonts w:ascii="Courier New" w:cs="Courier New" w:eastAsia="Courier New" w:hAnsi="Courier New"/>
          <w:sz w:val="16"/>
          <w:szCs w:val="16"/>
          <w:color w:val="auto"/>
        </w:rPr>
        <w:t>common</w:t>
      </w:r>
    </w:p>
    <w:p>
      <w:pPr>
        <w:ind w:left="80"/>
        <w:spacing w:after="0"/>
        <w:rPr>
          <w:sz w:val="20"/>
          <w:szCs w:val="20"/>
          <w:color w:val="auto"/>
        </w:rPr>
      </w:pPr>
      <w:r>
        <w:rPr>
          <w:rFonts w:ascii="Courier New" w:cs="Courier New" w:eastAsia="Courier New" w:hAnsi="Courier New"/>
          <w:sz w:val="16"/>
          <w:szCs w:val="16"/>
          <w:color w:val="auto"/>
        </w:rPr>
        <w:t>shareowners.............................</w:t>
      </w:r>
    </w:p>
    <w:p>
      <w:pPr>
        <w:ind w:left="220"/>
        <w:spacing w:after="0" w:line="238" w:lineRule="auto"/>
        <w:rPr>
          <w:sz w:val="20"/>
          <w:szCs w:val="20"/>
          <w:color w:val="auto"/>
        </w:rPr>
      </w:pPr>
      <w:r>
        <w:rPr>
          <w:rFonts w:ascii="Courier New" w:cs="Courier New" w:eastAsia="Courier New" w:hAnsi="Courier New"/>
          <w:sz w:val="16"/>
          <w:szCs w:val="16"/>
          <w:color w:val="auto"/>
        </w:rPr>
        <w:t>$(12,909) $ 13,884 $ 3 $ 978 ========</w:t>
      </w:r>
    </w:p>
    <w:p>
      <w:pPr>
        <w:ind w:left="140"/>
        <w:spacing w:after="0"/>
        <w:rPr>
          <w:sz w:val="20"/>
          <w:szCs w:val="20"/>
          <w:color w:val="auto"/>
        </w:rPr>
      </w:pPr>
      <w:r>
        <w:rPr>
          <w:rFonts w:ascii="Courier New" w:cs="Courier New" w:eastAsia="Courier New" w:hAnsi="Courier New"/>
          <w:sz w:val="16"/>
          <w:szCs w:val="16"/>
          <w:color w:val="auto"/>
        </w:rPr>
        <w:t>======== ==== ======= AT&amp;T COMMON STOCK</w:t>
      </w:r>
    </w:p>
    <w:p>
      <w:pPr>
        <w:ind w:left="700"/>
        <w:spacing w:after="0" w:line="238" w:lineRule="auto"/>
        <w:rPr>
          <w:sz w:val="20"/>
          <w:szCs w:val="20"/>
          <w:color w:val="auto"/>
        </w:rPr>
      </w:pPr>
      <w:r>
        <w:rPr>
          <w:rFonts w:ascii="Courier New" w:cs="Courier New" w:eastAsia="Courier New" w:hAnsi="Courier New"/>
          <w:sz w:val="16"/>
          <w:szCs w:val="16"/>
          <w:color w:val="auto"/>
        </w:rPr>
        <w:t>GROUP: Loss from continuing</w:t>
      </w:r>
    </w:p>
    <w:p>
      <w:pPr>
        <w:ind w:left="80"/>
        <w:spacing w:after="0"/>
        <w:rPr>
          <w:sz w:val="20"/>
          <w:szCs w:val="20"/>
          <w:color w:val="auto"/>
        </w:rPr>
      </w:pPr>
      <w:r>
        <w:rPr>
          <w:rFonts w:ascii="Courier New" w:cs="Courier New" w:eastAsia="Courier New" w:hAnsi="Courier New"/>
          <w:sz w:val="16"/>
          <w:szCs w:val="16"/>
          <w:color w:val="auto"/>
        </w:rPr>
        <w:t>operations........... $(12,909) $ (6)(h)</w:t>
      </w:r>
    </w:p>
    <w:p>
      <w:pPr>
        <w:ind w:left="40"/>
        <w:spacing w:after="0" w:line="237" w:lineRule="auto"/>
        <w:rPr>
          <w:sz w:val="20"/>
          <w:szCs w:val="20"/>
          <w:color w:val="auto"/>
        </w:rPr>
      </w:pPr>
      <w:r>
        <w:rPr>
          <w:rFonts w:ascii="Courier New" w:cs="Courier New" w:eastAsia="Courier New" w:hAnsi="Courier New"/>
          <w:sz w:val="16"/>
          <w:szCs w:val="16"/>
          <w:color w:val="auto"/>
        </w:rPr>
        <w:t>(j) Weighted average shares outstanding -</w:t>
      </w:r>
    </w:p>
    <w:tbl>
      <w:tblPr>
        <w:tblLayout w:type="fixed"/>
        <w:tblInd w:w="140" w:type="dxa"/>
        <w:tblCellMar>
          <w:top w:w="0" w:type="dxa"/>
          <w:left w:w="0" w:type="dxa"/>
          <w:bottom w:w="0" w:type="dxa"/>
          <w:right w:w="0" w:type="dxa"/>
        </w:tblCellMar>
      </w:tblPr>
      <w:tr>
        <w:trPr>
          <w:trHeight w:val="181"/>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96"/>
              </w:rPr>
              <w:t>- (basic &amp; diluted)</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w w:val="96"/>
              </w:rPr>
              <w:t>........ 3,598 3,598</w:t>
            </w:r>
          </w:p>
        </w:tc>
      </w:tr>
      <w:tr>
        <w:trPr>
          <w:trHeight w:val="180"/>
        </w:trPr>
        <w:tc>
          <w:tcPr>
            <w:tcW w:w="366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Basic and diluted loss per</w:t>
            </w:r>
          </w:p>
        </w:tc>
      </w:tr>
      <w:tr>
        <w:trPr>
          <w:trHeight w:val="180"/>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8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(3.59) 0.00(i)</w:t>
            </w:r>
          </w:p>
        </w:tc>
      </w:tr>
    </w:tbl>
    <w:p>
      <w:pPr>
        <w:spacing w:after="0" w:line="36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654" w:right="1440" w:bottom="1440" w:gutter="0" w:footer="0" w:header="0"/>
        </w:sectPr>
      </w:pPr>
    </w:p>
    <w:bookmarkStart w:id="192" w:name="page193"/>
    <w:bookmarkEnd w:id="192"/>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jc w:val="center"/>
        <w:ind w:right="2719"/>
        <w:spacing w:after="0"/>
        <w:rPr>
          <w:sz w:val="20"/>
          <w:szCs w:val="20"/>
          <w:color w:val="auto"/>
        </w:rPr>
      </w:pPr>
      <w:r>
        <w:rPr>
          <w:rFonts w:ascii="Courier New" w:cs="Courier New" w:eastAsia="Courier New" w:hAnsi="Courier New"/>
          <w:sz w:val="16"/>
          <w:szCs w:val="16"/>
          <w:color w:val="auto"/>
        </w:rPr>
        <w:t>FOR THE SIX MONTHS ENDED JUNE 30, 2001</w:t>
      </w:r>
    </w:p>
    <w:p>
      <w:pPr>
        <w:spacing w:after="0" w:line="179" w:lineRule="exact"/>
        <w:rPr>
          <w:sz w:val="20"/>
          <w:szCs w:val="20"/>
          <w:color w:val="auto"/>
        </w:rPr>
      </w:pPr>
    </w:p>
    <w:p>
      <w:pPr>
        <w:jc w:val="center"/>
        <w:ind w:right="6559"/>
        <w:spacing w:after="0"/>
        <w:rPr>
          <w:sz w:val="20"/>
          <w:szCs w:val="20"/>
          <w:color w:val="auto"/>
        </w:rPr>
      </w:pPr>
      <w:r>
        <w:rPr>
          <w:rFonts w:ascii="Courier New" w:cs="Courier New" w:eastAsia="Courier New" w:hAnsi="Courier New"/>
          <w:sz w:val="16"/>
          <w:szCs w:val="16"/>
          <w:color w:val="auto"/>
        </w:rPr>
        <w:t>LIBERTY MEDIA AT&amp;T BROADBAND</w:t>
      </w:r>
    </w:p>
    <w:p>
      <w:pPr>
        <w:jc w:val="center"/>
        <w:ind w:right="6559"/>
        <w:spacing w:after="0"/>
        <w:rPr>
          <w:sz w:val="20"/>
          <w:szCs w:val="20"/>
          <w:color w:val="auto"/>
        </w:rPr>
      </w:pPr>
      <w:r>
        <w:rPr>
          <w:rFonts w:ascii="Courier New" w:cs="Courier New" w:eastAsia="Courier New" w:hAnsi="Courier New"/>
          <w:sz w:val="16"/>
          <w:szCs w:val="16"/>
          <w:color w:val="auto"/>
        </w:rPr>
        <w:t>HISTORICAL GROUP GROUP OTHER PRO FORMA</w:t>
      </w:r>
    </w:p>
    <w:p>
      <w:pPr>
        <w:jc w:val="center"/>
        <w:ind w:right="6559"/>
        <w:spacing w:after="0" w:line="237" w:lineRule="auto"/>
        <w:rPr>
          <w:sz w:val="20"/>
          <w:szCs w:val="20"/>
          <w:color w:val="auto"/>
        </w:rPr>
      </w:pPr>
      <w:r>
        <w:rPr>
          <w:rFonts w:ascii="Courier New" w:cs="Courier New" w:eastAsia="Courier New" w:hAnsi="Courier New"/>
          <w:sz w:val="16"/>
          <w:szCs w:val="16"/>
          <w:color w:val="auto"/>
        </w:rPr>
        <w:t>AT&amp;T(A) DISTRIBUTION(B)</w:t>
      </w:r>
    </w:p>
    <w:p>
      <w:pPr>
        <w:jc w:val="center"/>
        <w:ind w:right="6559"/>
        <w:spacing w:after="0"/>
        <w:rPr>
          <w:sz w:val="20"/>
          <w:szCs w:val="20"/>
          <w:color w:val="auto"/>
        </w:rPr>
      </w:pPr>
      <w:r>
        <w:rPr>
          <w:rFonts w:ascii="Courier New" w:cs="Courier New" w:eastAsia="Courier New" w:hAnsi="Courier New"/>
          <w:sz w:val="16"/>
          <w:szCs w:val="16"/>
          <w:color w:val="auto"/>
        </w:rPr>
        <w:t>DISTRIBUTION(E) ADJUSTMENTS(G) AT&amp;T --</w:t>
      </w:r>
    </w:p>
    <w:p>
      <w:pPr>
        <w:ind w:left="40"/>
        <w:spacing w:after="0" w:line="238" w:lineRule="auto"/>
        <w:rPr>
          <w:sz w:val="20"/>
          <w:szCs w:val="20"/>
          <w:color w:val="auto"/>
        </w:rPr>
      </w:pPr>
      <w:r>
        <w:rPr>
          <w:rFonts w:ascii="Courier New" w:cs="Courier New" w:eastAsia="Courier New" w:hAnsi="Courier New"/>
          <w:sz w:val="16"/>
          <w:szCs w:val="16"/>
          <w:color w:val="auto"/>
        </w:rPr>
        <w:t>-------- --------------- -------------</w:t>
      </w:r>
    </w:p>
    <w:p>
      <w:pPr>
        <w:ind w:left="140"/>
        <w:spacing w:after="0"/>
        <w:rPr>
          <w:sz w:val="20"/>
          <w:szCs w:val="20"/>
          <w:color w:val="auto"/>
        </w:rPr>
      </w:pPr>
      <w:r>
        <w:rPr>
          <w:rFonts w:ascii="Courier New" w:cs="Courier New" w:eastAsia="Courier New" w:hAnsi="Courier New"/>
          <w:sz w:val="16"/>
          <w:szCs w:val="16"/>
          <w:color w:val="auto"/>
        </w:rPr>
        <w:t>-- -------------- --------- (DOLLARS</w:t>
      </w:r>
    </w:p>
    <w:p>
      <w:pPr>
        <w:ind w:left="1260"/>
        <w:spacing w:after="0" w:line="238" w:lineRule="auto"/>
        <w:rPr>
          <w:sz w:val="20"/>
          <w:szCs w:val="20"/>
          <w:color w:val="auto"/>
        </w:rPr>
      </w:pPr>
      <w:r>
        <w:rPr>
          <w:rFonts w:ascii="Courier New" w:cs="Courier New" w:eastAsia="Courier New" w:hAnsi="Courier New"/>
          <w:sz w:val="16"/>
          <w:szCs w:val="16"/>
          <w:color w:val="auto"/>
        </w:rPr>
        <w:t>IN MILLIONS)</w:t>
      </w:r>
    </w:p>
    <w:p>
      <w:pPr>
        <w:spacing w:after="0"/>
        <w:rPr>
          <w:sz w:val="20"/>
          <w:szCs w:val="20"/>
          <w:color w:val="auto"/>
        </w:rPr>
      </w:pPr>
      <w:r>
        <w:rPr>
          <w:rFonts w:ascii="Courier New" w:cs="Courier New" w:eastAsia="Courier New" w:hAnsi="Courier New"/>
          <w:sz w:val="16"/>
          <w:szCs w:val="16"/>
          <w:color w:val="auto"/>
        </w:rPr>
        <w:t>Revenue................................</w:t>
      </w:r>
    </w:p>
    <w:p>
      <w:pPr>
        <w:ind w:left="220"/>
        <w:spacing w:after="0" w:line="237" w:lineRule="auto"/>
        <w:rPr>
          <w:sz w:val="20"/>
          <w:szCs w:val="20"/>
          <w:color w:val="auto"/>
        </w:rPr>
      </w:pPr>
      <w:r>
        <w:rPr>
          <w:rFonts w:ascii="Courier New" w:cs="Courier New" w:eastAsia="Courier New" w:hAnsi="Courier New"/>
          <w:sz w:val="16"/>
          <w:szCs w:val="16"/>
          <w:color w:val="auto"/>
        </w:rPr>
        <w:t>$26,738 $ -- $(5,256) $120 $21,602</w:t>
      </w:r>
    </w:p>
    <w:p>
      <w:pPr>
        <w:ind w:left="140"/>
        <w:spacing w:after="0"/>
        <w:rPr>
          <w:sz w:val="20"/>
          <w:szCs w:val="20"/>
          <w:color w:val="auto"/>
        </w:rPr>
      </w:pPr>
      <w:r>
        <w:rPr>
          <w:rFonts w:ascii="Courier New" w:cs="Courier New" w:eastAsia="Courier New" w:hAnsi="Courier New"/>
          <w:sz w:val="16"/>
          <w:szCs w:val="16"/>
          <w:color w:val="auto"/>
        </w:rPr>
        <w:t>OPERATING EXPENSES Costs of services</w:t>
      </w:r>
    </w:p>
    <w:p>
      <w:pPr>
        <w:ind w:left="40"/>
        <w:spacing w:after="0" w:line="238" w:lineRule="auto"/>
        <w:rPr>
          <w:sz w:val="20"/>
          <w:szCs w:val="20"/>
          <w:color w:val="auto"/>
        </w:rPr>
      </w:pPr>
      <w:r>
        <w:rPr>
          <w:rFonts w:ascii="Courier New" w:cs="Courier New" w:eastAsia="Courier New" w:hAnsi="Courier New"/>
          <w:sz w:val="16"/>
          <w:szCs w:val="16"/>
          <w:color w:val="auto"/>
        </w:rPr>
        <w:t>and products......... 6,982 -- (2,920)</w:t>
      </w:r>
    </w:p>
    <w:p>
      <w:pPr>
        <w:ind w:left="600"/>
        <w:spacing w:after="0"/>
        <w:rPr>
          <w:sz w:val="20"/>
          <w:szCs w:val="20"/>
          <w:color w:val="auto"/>
        </w:rPr>
      </w:pPr>
      <w:r>
        <w:rPr>
          <w:rFonts w:ascii="Courier New" w:cs="Courier New" w:eastAsia="Courier New" w:hAnsi="Courier New"/>
          <w:sz w:val="16"/>
          <w:szCs w:val="16"/>
          <w:color w:val="auto"/>
        </w:rPr>
        <w:t>142 4,204 Access and other</w:t>
      </w:r>
    </w:p>
    <w:p>
      <w:pPr>
        <w:ind w:left="220"/>
        <w:spacing w:after="0" w:line="238" w:lineRule="auto"/>
        <w:rPr>
          <w:sz w:val="20"/>
          <w:szCs w:val="20"/>
          <w:color w:val="auto"/>
        </w:rPr>
      </w:pPr>
      <w:r>
        <w:rPr>
          <w:rFonts w:ascii="Courier New" w:cs="Courier New" w:eastAsia="Courier New" w:hAnsi="Courier New"/>
          <w:sz w:val="16"/>
          <w:szCs w:val="16"/>
          <w:color w:val="auto"/>
        </w:rPr>
        <w:t>connection............ 6,256 -- --</w:t>
      </w:r>
    </w:p>
    <w:p>
      <w:pPr>
        <w:ind w:left="380"/>
        <w:spacing w:after="0"/>
        <w:rPr>
          <w:sz w:val="20"/>
          <w:szCs w:val="20"/>
          <w:color w:val="auto"/>
        </w:rPr>
      </w:pPr>
      <w:r>
        <w:rPr>
          <w:rFonts w:ascii="Courier New" w:cs="Courier New" w:eastAsia="Courier New" w:hAnsi="Courier New"/>
          <w:sz w:val="16"/>
          <w:szCs w:val="16"/>
          <w:color w:val="auto"/>
        </w:rPr>
        <w:t>(22) 6,234 Selling, general and</w:t>
      </w:r>
    </w:p>
    <w:p>
      <w:pPr>
        <w:ind w:left="40"/>
        <w:spacing w:after="0" w:line="237" w:lineRule="auto"/>
        <w:rPr>
          <w:sz w:val="20"/>
          <w:szCs w:val="20"/>
          <w:color w:val="auto"/>
        </w:rPr>
      </w:pPr>
      <w:r>
        <w:rPr>
          <w:rFonts w:ascii="Courier New" w:cs="Courier New" w:eastAsia="Courier New" w:hAnsi="Courier New"/>
          <w:sz w:val="16"/>
          <w:szCs w:val="16"/>
          <w:color w:val="auto"/>
        </w:rPr>
        <w:t>administrative.... 5,465 -- (1,343) --</w:t>
      </w:r>
    </w:p>
    <w:p>
      <w:pPr>
        <w:ind w:left="800"/>
        <w:spacing w:after="0"/>
        <w:rPr>
          <w:sz w:val="20"/>
          <w:szCs w:val="20"/>
          <w:color w:val="auto"/>
        </w:rPr>
      </w:pPr>
      <w:r>
        <w:rPr>
          <w:rFonts w:ascii="Courier New" w:cs="Courier New" w:eastAsia="Courier New" w:hAnsi="Courier New"/>
          <w:sz w:val="16"/>
          <w:szCs w:val="16"/>
          <w:color w:val="auto"/>
        </w:rPr>
        <w:t>4,122 Depreciation and</w:t>
      </w:r>
    </w:p>
    <w:p>
      <w:pPr>
        <w:ind w:left="380"/>
        <w:spacing w:after="0" w:line="238" w:lineRule="auto"/>
        <w:rPr>
          <w:sz w:val="20"/>
          <w:szCs w:val="20"/>
          <w:color w:val="auto"/>
        </w:rPr>
      </w:pPr>
      <w:r>
        <w:rPr>
          <w:rFonts w:ascii="Courier New" w:cs="Courier New" w:eastAsia="Courier New" w:hAnsi="Courier New"/>
          <w:sz w:val="16"/>
          <w:szCs w:val="16"/>
          <w:color w:val="auto"/>
        </w:rPr>
        <w:t>amortization.......... 4,762 --</w:t>
      </w:r>
    </w:p>
    <w:p>
      <w:pPr>
        <w:ind w:left="40"/>
        <w:spacing w:after="0"/>
        <w:rPr>
          <w:sz w:val="20"/>
          <w:szCs w:val="20"/>
          <w:color w:val="auto"/>
        </w:rPr>
      </w:pPr>
      <w:r>
        <w:rPr>
          <w:rFonts w:ascii="Courier New" w:cs="Courier New" w:eastAsia="Courier New" w:hAnsi="Courier New"/>
          <w:sz w:val="16"/>
          <w:szCs w:val="16"/>
          <w:color w:val="auto"/>
        </w:rPr>
        <w:t>(2,492) -- 2,270 Net restructuring and</w:t>
      </w:r>
    </w:p>
    <w:p>
      <w:pPr>
        <w:ind w:left="80"/>
        <w:spacing w:after="0" w:line="238" w:lineRule="auto"/>
        <w:rPr>
          <w:sz w:val="20"/>
          <w:szCs w:val="20"/>
          <w:color w:val="auto"/>
        </w:rPr>
      </w:pPr>
      <w:r>
        <w:rPr>
          <w:rFonts w:ascii="Courier New" w:cs="Courier New" w:eastAsia="Courier New" w:hAnsi="Courier New"/>
          <w:sz w:val="16"/>
          <w:szCs w:val="16"/>
          <w:color w:val="auto"/>
        </w:rPr>
        <w:t>other charges.... 1,095 -- (1,095) --</w:t>
      </w:r>
    </w:p>
    <w:p>
      <w:pPr>
        <w:ind w:left="320" w:hanging="278"/>
        <w:spacing w:after="0"/>
        <w:tabs>
          <w:tab w:leader="none" w:pos="32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operating</w:t>
      </w:r>
    </w:p>
    <w:tbl>
      <w:tblPr>
        <w:tblLayout w:type="fixed"/>
        <w:tblInd w:w="40" w:type="dxa"/>
        <w:tblCellMar>
          <w:top w:w="0" w:type="dxa"/>
          <w:left w:w="0" w:type="dxa"/>
          <w:bottom w:w="0" w:type="dxa"/>
          <w:right w:w="0" w:type="dxa"/>
        </w:tblCellMar>
      </w:tblP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expenses</w:t>
            </w:r>
          </w:p>
        </w:tc>
        <w:tc>
          <w:tcPr>
            <w:tcW w:w="660" w:type="dxa"/>
            <w:vAlign w:val="bottom"/>
          </w:tcPr>
          <w:p>
            <w:pPr>
              <w:jc w:val="right"/>
              <w:spacing w:after="0"/>
              <w:rPr>
                <w:sz w:val="20"/>
                <w:szCs w:val="20"/>
                <w:color w:val="auto"/>
              </w:rPr>
            </w:pPr>
            <w:r>
              <w:rPr>
                <w:rFonts w:ascii="Courier New" w:cs="Courier New" w:eastAsia="Courier New" w:hAnsi="Courier New"/>
                <w:sz w:val="10"/>
                <w:szCs w:val="10"/>
                <w:color w:val="auto"/>
                <w:w w:val="71"/>
              </w:rPr>
              <w:t>...............</w:t>
            </w:r>
          </w:p>
        </w:tc>
        <w:tc>
          <w:tcPr>
            <w:tcW w:w="1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24,560 --</w:t>
            </w:r>
          </w:p>
        </w:tc>
      </w:tr>
      <w:tr>
        <w:trPr>
          <w:trHeight w:val="180"/>
        </w:trPr>
        <w:tc>
          <w:tcPr>
            <w:tcW w:w="356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(7,850) 120 16,830 Operating</w:t>
            </w: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income.......................</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2,178 --</w:t>
            </w:r>
          </w:p>
        </w:tc>
      </w:tr>
      <w:tr>
        <w:trPr>
          <w:trHeight w:val="18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2,594 --</w:t>
            </w:r>
          </w:p>
        </w:tc>
        <w:tc>
          <w:tcPr>
            <w:tcW w:w="258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4,772 Other (expense)</w:t>
            </w: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income.................</w:t>
            </w:r>
          </w:p>
        </w:tc>
        <w:tc>
          <w:tcPr>
            <w:tcW w:w="1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(1,091) --</w:t>
            </w:r>
          </w:p>
        </w:tc>
      </w:tr>
      <w:tr>
        <w:trPr>
          <w:trHeight w:val="180"/>
        </w:trPr>
        <w:tc>
          <w:tcPr>
            <w:tcW w:w="1640" w:type="dxa"/>
            <w:vAlign w:val="bottom"/>
            <w:gridSpan w:val="2"/>
          </w:tcPr>
          <w:p>
            <w:pPr>
              <w:jc w:val="right"/>
              <w:ind w:right="36"/>
              <w:spacing w:after="0"/>
              <w:rPr>
                <w:sz w:val="20"/>
                <w:szCs w:val="20"/>
                <w:color w:val="auto"/>
              </w:rPr>
            </w:pPr>
            <w:r>
              <w:rPr>
                <w:rFonts w:ascii="Courier New" w:cs="Courier New" w:eastAsia="Courier New" w:hAnsi="Courier New"/>
                <w:sz w:val="16"/>
                <w:szCs w:val="16"/>
                <w:color w:val="auto"/>
              </w:rPr>
              <w:t>1,904 --</w:t>
            </w:r>
          </w:p>
        </w:tc>
        <w:tc>
          <w:tcPr>
            <w:tcW w:w="1920" w:type="dxa"/>
            <w:vAlign w:val="bottom"/>
          </w:tcPr>
          <w:p>
            <w:pPr>
              <w:jc w:val="right"/>
              <w:ind w:right="722"/>
              <w:spacing w:after="0"/>
              <w:rPr>
                <w:sz w:val="20"/>
                <w:szCs w:val="20"/>
                <w:color w:val="auto"/>
              </w:rPr>
            </w:pPr>
            <w:r>
              <w:rPr>
                <w:rFonts w:ascii="Courier New" w:cs="Courier New" w:eastAsia="Courier New" w:hAnsi="Courier New"/>
                <w:sz w:val="16"/>
                <w:szCs w:val="16"/>
                <w:color w:val="auto"/>
                <w:w w:val="95"/>
              </w:rPr>
              <w:t>813 Interest</w:t>
            </w: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expense.......................</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1,640 -</w:t>
            </w:r>
          </w:p>
        </w:tc>
      </w:tr>
    </w:tbl>
    <w:p>
      <w:pPr>
        <w:spacing w:after="0" w:line="4" w:lineRule="exact"/>
        <w:rPr>
          <w:sz w:val="20"/>
          <w:szCs w:val="20"/>
          <w:color w:val="auto"/>
        </w:rPr>
      </w:pPr>
    </w:p>
    <w:p>
      <w:pPr>
        <w:ind w:left="180" w:right="6759" w:firstLine="96"/>
        <w:spacing w:after="0" w:line="254" w:lineRule="auto"/>
        <w:tabs>
          <w:tab w:leader="none" w:pos="461"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(961) -- 679 (Loss) income from continuing operations before income</w:t>
      </w:r>
    </w:p>
    <w:p>
      <w:pPr>
        <w:jc w:val="center"/>
        <w:ind w:right="6559"/>
        <w:spacing w:after="0" w:line="234" w:lineRule="auto"/>
        <w:rPr>
          <w:sz w:val="20"/>
          <w:szCs w:val="20"/>
          <w:color w:val="auto"/>
        </w:rPr>
      </w:pPr>
      <w:r>
        <w:rPr>
          <w:rFonts w:ascii="Courier New" w:cs="Courier New" w:eastAsia="Courier New" w:hAnsi="Courier New"/>
          <w:sz w:val="16"/>
          <w:szCs w:val="16"/>
          <w:color w:val="auto"/>
        </w:rPr>
        <w:t>taxes, minority interest and (losses)</w:t>
      </w:r>
    </w:p>
    <w:p>
      <w:pPr>
        <w:jc w:val="center"/>
        <w:ind w:right="6559"/>
        <w:spacing w:after="0"/>
        <w:rPr>
          <w:sz w:val="20"/>
          <w:szCs w:val="20"/>
          <w:color w:val="auto"/>
        </w:rPr>
      </w:pPr>
      <w:r>
        <w:rPr>
          <w:rFonts w:ascii="Courier New" w:cs="Courier New" w:eastAsia="Courier New" w:hAnsi="Courier New"/>
          <w:sz w:val="16"/>
          <w:szCs w:val="16"/>
          <w:color w:val="auto"/>
        </w:rPr>
        <w:t>earnings related to equity</w:t>
      </w:r>
    </w:p>
    <w:p>
      <w:pPr>
        <w:ind w:left="80"/>
        <w:spacing w:after="0" w:line="238" w:lineRule="auto"/>
        <w:rPr>
          <w:sz w:val="20"/>
          <w:szCs w:val="20"/>
          <w:color w:val="auto"/>
        </w:rPr>
      </w:pPr>
      <w:r>
        <w:rPr>
          <w:rFonts w:ascii="Courier New" w:cs="Courier New" w:eastAsia="Courier New" w:hAnsi="Courier New"/>
          <w:sz w:val="16"/>
          <w:szCs w:val="16"/>
          <w:color w:val="auto"/>
        </w:rPr>
        <w:t>investments..........................</w:t>
      </w:r>
    </w:p>
    <w:p>
      <w:pPr>
        <w:ind w:left="280"/>
        <w:spacing w:after="0"/>
        <w:rPr>
          <w:sz w:val="20"/>
          <w:szCs w:val="20"/>
          <w:color w:val="auto"/>
        </w:rPr>
      </w:pPr>
      <w:r>
        <w:rPr>
          <w:rFonts w:ascii="Courier New" w:cs="Courier New" w:eastAsia="Courier New" w:hAnsi="Courier New"/>
          <w:sz w:val="16"/>
          <w:szCs w:val="16"/>
          <w:color w:val="auto"/>
        </w:rPr>
        <w:t>(553) -- 5,459 -- 4,906 (Benefit)</w:t>
      </w:r>
    </w:p>
    <w:p>
      <w:pPr>
        <w:ind w:left="40"/>
        <w:spacing w:after="0" w:line="238" w:lineRule="auto"/>
        <w:rPr>
          <w:sz w:val="20"/>
          <w:szCs w:val="20"/>
          <w:color w:val="auto"/>
        </w:rPr>
      </w:pPr>
      <w:r>
        <w:rPr>
          <w:rFonts w:ascii="Courier New" w:cs="Courier New" w:eastAsia="Courier New" w:hAnsi="Courier New"/>
          <w:sz w:val="16"/>
          <w:szCs w:val="16"/>
          <w:color w:val="auto"/>
        </w:rPr>
        <w:t>provision for income taxes... (218) --</w:t>
      </w:r>
    </w:p>
    <w:p>
      <w:pPr>
        <w:ind w:left="220"/>
        <w:spacing w:after="0"/>
        <w:rPr>
          <w:sz w:val="20"/>
          <w:szCs w:val="20"/>
          <w:color w:val="auto"/>
        </w:rPr>
      </w:pPr>
      <w:r>
        <w:rPr>
          <w:rFonts w:ascii="Courier New" w:cs="Courier New" w:eastAsia="Courier New" w:hAnsi="Courier New"/>
          <w:sz w:val="16"/>
          <w:szCs w:val="16"/>
          <w:color w:val="auto"/>
        </w:rPr>
        <w:t>2,178 (12) 1,948 Minority interest</w:t>
      </w:r>
    </w:p>
    <w:p>
      <w:pPr>
        <w:ind w:left="80"/>
        <w:spacing w:after="0" w:line="237" w:lineRule="auto"/>
        <w:rPr>
          <w:sz w:val="20"/>
          <w:szCs w:val="20"/>
          <w:color w:val="auto"/>
        </w:rPr>
      </w:pPr>
      <w:r>
        <w:rPr>
          <w:rFonts w:ascii="Courier New" w:cs="Courier New" w:eastAsia="Courier New" w:hAnsi="Courier New"/>
          <w:sz w:val="16"/>
          <w:szCs w:val="16"/>
          <w:color w:val="auto"/>
        </w:rPr>
        <w:t>income............... 838 -- (736) --</w:t>
      </w:r>
    </w:p>
    <w:p>
      <w:pPr>
        <w:ind w:left="140"/>
        <w:spacing w:after="0"/>
        <w:rPr>
          <w:sz w:val="20"/>
          <w:szCs w:val="20"/>
          <w:color w:val="auto"/>
        </w:rPr>
      </w:pPr>
      <w:r>
        <w:rPr>
          <w:rFonts w:ascii="Courier New" w:cs="Courier New" w:eastAsia="Courier New" w:hAnsi="Courier New"/>
          <w:sz w:val="16"/>
          <w:szCs w:val="16"/>
          <w:color w:val="auto"/>
        </w:rPr>
        <w:t>102 Equity losses from Liberty Media</w:t>
      </w:r>
    </w:p>
    <w:p>
      <w:pPr>
        <w:ind w:left="80"/>
        <w:spacing w:after="0" w:line="238" w:lineRule="auto"/>
        <w:rPr>
          <w:sz w:val="20"/>
          <w:szCs w:val="20"/>
          <w:color w:val="auto"/>
        </w:rPr>
      </w:pPr>
      <w:r>
        <w:rPr>
          <w:rFonts w:ascii="Courier New" w:cs="Courier New" w:eastAsia="Courier New" w:hAnsi="Courier New"/>
          <w:sz w:val="16"/>
          <w:szCs w:val="16"/>
          <w:color w:val="auto"/>
        </w:rPr>
        <w:t>Group................................</w:t>
      </w:r>
    </w:p>
    <w:p>
      <w:pPr>
        <w:ind w:left="280"/>
        <w:spacing w:after="0"/>
        <w:rPr>
          <w:sz w:val="20"/>
          <w:szCs w:val="20"/>
          <w:color w:val="auto"/>
        </w:rPr>
      </w:pPr>
      <w:r>
        <w:rPr>
          <w:rFonts w:ascii="Courier New" w:cs="Courier New" w:eastAsia="Courier New" w:hAnsi="Courier New"/>
          <w:sz w:val="16"/>
          <w:szCs w:val="16"/>
          <w:color w:val="auto"/>
        </w:rPr>
        <w:t>(2,822) 2,822 -- -- -- Net losses</w:t>
      </w:r>
    </w:p>
    <w:p>
      <w:pPr>
        <w:ind w:left="740"/>
        <w:spacing w:after="0" w:line="238" w:lineRule="auto"/>
        <w:rPr>
          <w:sz w:val="20"/>
          <w:szCs w:val="20"/>
          <w:color w:val="auto"/>
        </w:rPr>
      </w:pPr>
      <w:r>
        <w:rPr>
          <w:rFonts w:ascii="Courier New" w:cs="Courier New" w:eastAsia="Courier New" w:hAnsi="Courier New"/>
          <w:sz w:val="16"/>
          <w:szCs w:val="16"/>
          <w:color w:val="auto"/>
        </w:rPr>
        <w:t>related to other equity</w:t>
      </w:r>
    </w:p>
    <w:p>
      <w:pPr>
        <w:ind w:left="80"/>
        <w:spacing w:after="0"/>
        <w:rPr>
          <w:sz w:val="20"/>
          <w:szCs w:val="20"/>
          <w:color w:val="auto"/>
        </w:rPr>
      </w:pPr>
      <w:r>
        <w:rPr>
          <w:rFonts w:ascii="Courier New" w:cs="Courier New" w:eastAsia="Courier New" w:hAnsi="Courier New"/>
          <w:sz w:val="16"/>
          <w:szCs w:val="16"/>
          <w:color w:val="auto"/>
        </w:rPr>
        <w:t>investments..........................</w:t>
      </w:r>
    </w:p>
    <w:p>
      <w:pPr>
        <w:ind w:left="280"/>
        <w:spacing w:after="0" w:line="237" w:lineRule="auto"/>
        <w:rPr>
          <w:sz w:val="20"/>
          <w:szCs w:val="20"/>
          <w:color w:val="auto"/>
        </w:rPr>
      </w:pPr>
      <w:r>
        <w:rPr>
          <w:rFonts w:ascii="Courier New" w:cs="Courier New" w:eastAsia="Courier New" w:hAnsi="Courier New"/>
          <w:sz w:val="16"/>
          <w:szCs w:val="16"/>
          <w:color w:val="auto"/>
        </w:rPr>
        <w:t>(1,037) -- (16) -- (1,053) (Loss)</w:t>
      </w:r>
    </w:p>
    <w:p>
      <w:pPr>
        <w:jc w:val="center"/>
        <w:ind w:right="6559"/>
        <w:spacing w:after="0"/>
        <w:rPr>
          <w:sz w:val="20"/>
          <w:szCs w:val="20"/>
          <w:color w:val="auto"/>
        </w:rPr>
      </w:pPr>
      <w:r>
        <w:rPr>
          <w:rFonts w:ascii="Courier New" w:cs="Courier New" w:eastAsia="Courier New" w:hAnsi="Courier New"/>
          <w:sz w:val="16"/>
          <w:szCs w:val="16"/>
          <w:color w:val="auto"/>
        </w:rPr>
        <w:t>income from continuing</w:t>
      </w:r>
    </w:p>
    <w:p>
      <w:pPr>
        <w:ind w:left="80"/>
        <w:spacing w:after="0" w:line="238" w:lineRule="auto"/>
        <w:rPr>
          <w:sz w:val="20"/>
          <w:szCs w:val="20"/>
          <w:color w:val="auto"/>
        </w:rPr>
      </w:pPr>
      <w:r>
        <w:rPr>
          <w:rFonts w:ascii="Courier New" w:cs="Courier New" w:eastAsia="Courier New" w:hAnsi="Courier New"/>
          <w:sz w:val="16"/>
          <w:szCs w:val="16"/>
          <w:color w:val="auto"/>
        </w:rPr>
        <w:t>operations...........................</w:t>
      </w:r>
    </w:p>
    <w:p>
      <w:pPr>
        <w:jc w:val="center"/>
        <w:ind w:right="6559"/>
        <w:spacing w:after="0"/>
        <w:rPr>
          <w:sz w:val="20"/>
          <w:szCs w:val="20"/>
          <w:color w:val="auto"/>
        </w:rPr>
      </w:pPr>
      <w:r>
        <w:rPr>
          <w:rFonts w:ascii="Courier New" w:cs="Courier New" w:eastAsia="Courier New" w:hAnsi="Courier New"/>
          <w:sz w:val="16"/>
          <w:szCs w:val="16"/>
          <w:color w:val="auto"/>
        </w:rPr>
        <w:t>(3,356) 2,822 2,529 12 2,007 Dividend</w:t>
      </w:r>
    </w:p>
    <w:p>
      <w:pPr>
        <w:ind w:left="660"/>
        <w:spacing w:after="0" w:line="238" w:lineRule="auto"/>
        <w:rPr>
          <w:sz w:val="20"/>
          <w:szCs w:val="20"/>
          <w:color w:val="auto"/>
        </w:rPr>
      </w:pPr>
      <w:r>
        <w:rPr>
          <w:rFonts w:ascii="Courier New" w:cs="Courier New" w:eastAsia="Courier New" w:hAnsi="Courier New"/>
          <w:sz w:val="16"/>
          <w:szCs w:val="16"/>
          <w:color w:val="auto"/>
        </w:rPr>
        <w:t>requirements of preferred</w:t>
      </w:r>
    </w:p>
    <w:p>
      <w:pPr>
        <w:ind w:left="80"/>
        <w:spacing w:after="0"/>
        <w:rPr>
          <w:sz w:val="20"/>
          <w:szCs w:val="20"/>
          <w:color w:val="auto"/>
        </w:rPr>
      </w:pPr>
      <w:r>
        <w:rPr>
          <w:rFonts w:ascii="Courier New" w:cs="Courier New" w:eastAsia="Courier New" w:hAnsi="Courier New"/>
          <w:sz w:val="16"/>
          <w:szCs w:val="16"/>
          <w:color w:val="auto"/>
        </w:rPr>
        <w:t>stock................................</w:t>
      </w:r>
    </w:p>
    <w:p>
      <w:pPr>
        <w:ind w:left="140"/>
        <w:spacing w:after="0" w:line="237" w:lineRule="auto"/>
        <w:rPr>
          <w:sz w:val="20"/>
          <w:szCs w:val="20"/>
          <w:color w:val="auto"/>
        </w:rPr>
      </w:pPr>
      <w:r>
        <w:rPr>
          <w:rFonts w:ascii="Courier New" w:cs="Courier New" w:eastAsia="Courier New" w:hAnsi="Courier New"/>
          <w:sz w:val="16"/>
          <w:szCs w:val="16"/>
          <w:color w:val="auto"/>
        </w:rPr>
        <w:t>417 -- -- -- 417 Premium on exchange</w:t>
      </w:r>
    </w:p>
    <w:p>
      <w:pPr>
        <w:ind w:left="660"/>
        <w:spacing w:after="0"/>
        <w:rPr>
          <w:sz w:val="20"/>
          <w:szCs w:val="20"/>
          <w:color w:val="auto"/>
        </w:rPr>
      </w:pPr>
      <w:r>
        <w:rPr>
          <w:rFonts w:ascii="Courier New" w:cs="Courier New" w:eastAsia="Courier New" w:hAnsi="Courier New"/>
          <w:sz w:val="16"/>
          <w:szCs w:val="16"/>
          <w:color w:val="auto"/>
        </w:rPr>
        <w:t>of AT&amp;T Wireless tracking</w:t>
      </w:r>
    </w:p>
    <w:p>
      <w:pPr>
        <w:ind w:left="80"/>
        <w:spacing w:after="0" w:line="238" w:lineRule="auto"/>
        <w:rPr>
          <w:sz w:val="20"/>
          <w:szCs w:val="20"/>
          <w:color w:val="auto"/>
        </w:rPr>
      </w:pPr>
      <w:r>
        <w:rPr>
          <w:rFonts w:ascii="Courier New" w:cs="Courier New" w:eastAsia="Courier New" w:hAnsi="Courier New"/>
          <w:sz w:val="16"/>
          <w:szCs w:val="16"/>
          <w:color w:val="auto"/>
        </w:rPr>
        <w:t>stock....................... 80 -- --</w:t>
      </w:r>
    </w:p>
    <w:p>
      <w:pPr>
        <w:ind w:left="320" w:hanging="278"/>
        <w:spacing w:after="0"/>
        <w:tabs>
          <w:tab w:leader="none" w:pos="32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80 ------- ------ ------- ---- ----</w:t>
      </w:r>
    </w:p>
    <w:p>
      <w:pPr>
        <w:spacing w:after="0" w:line="3" w:lineRule="exact"/>
        <w:rPr>
          <w:rFonts w:ascii="Courier New" w:cs="Courier New" w:eastAsia="Courier New" w:hAnsi="Courier New"/>
          <w:sz w:val="16"/>
          <w:szCs w:val="16"/>
          <w:color w:val="auto"/>
        </w:rPr>
      </w:pPr>
    </w:p>
    <w:p>
      <w:pPr>
        <w:ind w:left="80" w:right="6659" w:firstLine="431"/>
        <w:spacing w:after="0" w:line="254" w:lineRule="auto"/>
        <w:tabs>
          <w:tab w:leader="none" w:pos="877"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earnings from continuing operations attributable to</w:t>
      </w:r>
    </w:p>
    <w:p>
      <w:pPr>
        <w:jc w:val="center"/>
        <w:ind w:right="6559"/>
        <w:spacing w:after="0" w:line="234" w:lineRule="auto"/>
        <w:rPr>
          <w:sz w:val="20"/>
          <w:szCs w:val="20"/>
          <w:color w:val="auto"/>
        </w:rPr>
      </w:pPr>
      <w:r>
        <w:rPr>
          <w:rFonts w:ascii="Courier New" w:cs="Courier New" w:eastAsia="Courier New" w:hAnsi="Courier New"/>
          <w:sz w:val="16"/>
          <w:szCs w:val="16"/>
          <w:color w:val="auto"/>
        </w:rPr>
        <w:t>common</w:t>
      </w:r>
    </w:p>
    <w:p>
      <w:pPr>
        <w:ind w:left="80"/>
        <w:spacing w:after="0"/>
        <w:rPr>
          <w:sz w:val="20"/>
          <w:szCs w:val="20"/>
          <w:color w:val="auto"/>
        </w:rPr>
      </w:pPr>
      <w:r>
        <w:rPr>
          <w:rFonts w:ascii="Courier New" w:cs="Courier New" w:eastAsia="Courier New" w:hAnsi="Courier New"/>
          <w:sz w:val="16"/>
          <w:szCs w:val="16"/>
          <w:color w:val="auto"/>
        </w:rPr>
        <w:t>shareowners..........................</w:t>
      </w:r>
    </w:p>
    <w:p>
      <w:pPr>
        <w:jc w:val="center"/>
        <w:ind w:right="6559"/>
        <w:spacing w:after="0" w:line="238" w:lineRule="auto"/>
        <w:rPr>
          <w:sz w:val="20"/>
          <w:szCs w:val="20"/>
          <w:color w:val="auto"/>
        </w:rPr>
      </w:pPr>
      <w:r>
        <w:rPr>
          <w:rFonts w:ascii="Courier New" w:cs="Courier New" w:eastAsia="Courier New" w:hAnsi="Courier New"/>
          <w:sz w:val="16"/>
          <w:szCs w:val="16"/>
          <w:color w:val="auto"/>
        </w:rPr>
        <w:t>$(3,853) $2,822 $ 2,529 $ 12 $ 1,510</w:t>
      </w:r>
    </w:p>
    <w:p>
      <w:pPr>
        <w:jc w:val="center"/>
        <w:ind w:right="6559"/>
        <w:spacing w:after="0"/>
        <w:rPr>
          <w:sz w:val="20"/>
          <w:szCs w:val="20"/>
          <w:color w:val="auto"/>
        </w:rPr>
      </w:pPr>
      <w:r>
        <w:rPr>
          <w:rFonts w:ascii="Courier New" w:cs="Courier New" w:eastAsia="Courier New" w:hAnsi="Courier New"/>
          <w:sz w:val="16"/>
          <w:szCs w:val="16"/>
          <w:color w:val="auto"/>
        </w:rPr>
        <w:t>======= ====== ======= ==== =======</w:t>
      </w:r>
    </w:p>
    <w:p>
      <w:pPr>
        <w:jc w:val="center"/>
        <w:ind w:right="6559"/>
        <w:spacing w:after="0" w:line="238" w:lineRule="auto"/>
        <w:rPr>
          <w:sz w:val="20"/>
          <w:szCs w:val="20"/>
          <w:color w:val="auto"/>
        </w:rPr>
      </w:pPr>
      <w:r>
        <w:rPr>
          <w:rFonts w:ascii="Courier New" w:cs="Courier New" w:eastAsia="Courier New" w:hAnsi="Courier New"/>
          <w:sz w:val="16"/>
          <w:szCs w:val="16"/>
          <w:color w:val="auto"/>
        </w:rPr>
        <w:t>AT&amp;T COMMON STOCK GROUP: (Loss)</w:t>
      </w:r>
    </w:p>
    <w:p>
      <w:pPr>
        <w:jc w:val="center"/>
        <w:ind w:right="6559"/>
        <w:spacing w:after="0"/>
        <w:rPr>
          <w:sz w:val="20"/>
          <w:szCs w:val="20"/>
          <w:color w:val="auto"/>
        </w:rPr>
      </w:pPr>
      <w:r>
        <w:rPr>
          <w:rFonts w:ascii="Courier New" w:cs="Courier New" w:eastAsia="Courier New" w:hAnsi="Courier New"/>
          <w:sz w:val="16"/>
          <w:szCs w:val="16"/>
          <w:color w:val="auto"/>
        </w:rPr>
        <w:t>earnings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ind w:left="140"/>
        <w:spacing w:after="0"/>
        <w:rPr>
          <w:sz w:val="20"/>
          <w:szCs w:val="20"/>
          <w:color w:val="auto"/>
        </w:rPr>
      </w:pPr>
      <w:r>
        <w:rPr>
          <w:rFonts w:ascii="Courier New" w:cs="Courier New" w:eastAsia="Courier New" w:hAnsi="Courier New"/>
          <w:sz w:val="16"/>
          <w:szCs w:val="16"/>
          <w:color w:val="auto"/>
        </w:rPr>
        <w:t>$(1,031) $ 30(h)(j) Weighted average</w:t>
      </w:r>
    </w:p>
    <w:p>
      <w:pPr>
        <w:ind w:left="840"/>
        <w:spacing w:after="0" w:line="238" w:lineRule="auto"/>
        <w:rPr>
          <w:sz w:val="20"/>
          <w:szCs w:val="20"/>
          <w:color w:val="auto"/>
        </w:rPr>
      </w:pPr>
      <w:r>
        <w:rPr>
          <w:rFonts w:ascii="Courier New" w:cs="Courier New" w:eastAsia="Courier New" w:hAnsi="Courier New"/>
          <w:sz w:val="16"/>
          <w:szCs w:val="16"/>
          <w:color w:val="auto"/>
        </w:rPr>
        <w:t>shares outstanding --</w:t>
      </w:r>
    </w:p>
    <w:p>
      <w:pPr>
        <w:ind w:left="220"/>
        <w:spacing w:after="0"/>
        <w:rPr>
          <w:sz w:val="20"/>
          <w:szCs w:val="20"/>
          <w:color w:val="auto"/>
        </w:rPr>
      </w:pPr>
      <w:r>
        <w:rPr>
          <w:rFonts w:ascii="Courier New" w:cs="Courier New" w:eastAsia="Courier New" w:hAnsi="Courier New"/>
          <w:sz w:val="16"/>
          <w:szCs w:val="16"/>
          <w:color w:val="auto"/>
        </w:rPr>
        <w:t>basic................. 3,749 3,789</w:t>
      </w:r>
    </w:p>
    <w:p>
      <w:pPr>
        <w:ind w:left="660"/>
        <w:spacing w:after="0" w:line="238" w:lineRule="auto"/>
        <w:rPr>
          <w:sz w:val="20"/>
          <w:szCs w:val="20"/>
          <w:color w:val="auto"/>
        </w:rPr>
      </w:pPr>
      <w:r>
        <w:rPr>
          <w:rFonts w:ascii="Courier New" w:cs="Courier New" w:eastAsia="Courier New" w:hAnsi="Courier New"/>
          <w:sz w:val="16"/>
          <w:szCs w:val="16"/>
          <w:color w:val="auto"/>
        </w:rPr>
        <w:t>Basic (loss) earnings per</w:t>
      </w:r>
    </w:p>
    <w:p>
      <w:pPr>
        <w:ind w:left="180"/>
        <w:spacing w:after="0"/>
        <w:rPr>
          <w:sz w:val="20"/>
          <w:szCs w:val="20"/>
          <w:color w:val="auto"/>
        </w:rPr>
      </w:pPr>
      <w:r>
        <w:rPr>
          <w:rFonts w:ascii="Courier New" w:cs="Courier New" w:eastAsia="Courier New" w:hAnsi="Courier New"/>
          <w:sz w:val="16"/>
          <w:szCs w:val="16"/>
          <w:color w:val="auto"/>
        </w:rPr>
        <w:t>share........ (0.28) 0.01(i) (Loss)</w:t>
      </w:r>
    </w:p>
    <w:p>
      <w:pPr>
        <w:ind w:left="700"/>
        <w:spacing w:after="0" w:line="237" w:lineRule="auto"/>
        <w:rPr>
          <w:sz w:val="20"/>
          <w:szCs w:val="20"/>
          <w:color w:val="auto"/>
        </w:rPr>
      </w:pPr>
      <w:r>
        <w:rPr>
          <w:rFonts w:ascii="Courier New" w:cs="Courier New" w:eastAsia="Courier New" w:hAnsi="Courier New"/>
          <w:sz w:val="16"/>
          <w:szCs w:val="16"/>
          <w:color w:val="auto"/>
        </w:rPr>
        <w:t>earnings from continuing</w:t>
      </w:r>
    </w:p>
    <w:p>
      <w:pPr>
        <w:ind w:left="80"/>
        <w:spacing w:after="0"/>
        <w:rPr>
          <w:sz w:val="20"/>
          <w:szCs w:val="20"/>
          <w:color w:val="auto"/>
        </w:rPr>
      </w:pPr>
      <w:r>
        <w:rPr>
          <w:rFonts w:ascii="Courier New" w:cs="Courier New" w:eastAsia="Courier New" w:hAnsi="Courier New"/>
          <w:sz w:val="16"/>
          <w:szCs w:val="16"/>
          <w:color w:val="auto"/>
        </w:rPr>
        <w:t>operations...........................</w:t>
      </w:r>
    </w:p>
    <w:p>
      <w:pPr>
        <w:ind w:left="280"/>
        <w:spacing w:after="0" w:line="238" w:lineRule="auto"/>
        <w:rPr>
          <w:sz w:val="20"/>
          <w:szCs w:val="20"/>
          <w:color w:val="auto"/>
        </w:rPr>
      </w:pPr>
      <w:r>
        <w:rPr>
          <w:rFonts w:ascii="Courier New" w:cs="Courier New" w:eastAsia="Courier New" w:hAnsi="Courier New"/>
          <w:sz w:val="16"/>
          <w:szCs w:val="16"/>
          <w:color w:val="auto"/>
        </w:rPr>
        <w:t>(1,031) 30(h)(j) Weighted average</w:t>
      </w:r>
    </w:p>
    <w:p>
      <w:pPr>
        <w:ind w:left="840"/>
        <w:spacing w:after="0"/>
        <w:rPr>
          <w:sz w:val="20"/>
          <w:szCs w:val="20"/>
          <w:color w:val="auto"/>
        </w:rPr>
      </w:pPr>
      <w:r>
        <w:rPr>
          <w:rFonts w:ascii="Courier New" w:cs="Courier New" w:eastAsia="Courier New" w:hAnsi="Courier New"/>
          <w:sz w:val="16"/>
          <w:szCs w:val="16"/>
          <w:color w:val="auto"/>
        </w:rPr>
        <w:t>shares outstanding --</w:t>
      </w:r>
    </w:p>
    <w:p>
      <w:pPr>
        <w:ind w:left="220"/>
        <w:spacing w:after="0" w:line="238" w:lineRule="auto"/>
        <w:rPr>
          <w:sz w:val="20"/>
          <w:szCs w:val="20"/>
          <w:color w:val="auto"/>
        </w:rPr>
      </w:pPr>
      <w:r>
        <w:rPr>
          <w:rFonts w:ascii="Courier New" w:cs="Courier New" w:eastAsia="Courier New" w:hAnsi="Courier New"/>
          <w:sz w:val="16"/>
          <w:szCs w:val="16"/>
          <w:color w:val="auto"/>
        </w:rPr>
        <w:t>diluted............... 3,749 3,796</w:t>
      </w:r>
    </w:p>
    <w:p>
      <w:pPr>
        <w:ind w:left="560"/>
        <w:spacing w:after="0"/>
        <w:rPr>
          <w:sz w:val="20"/>
          <w:szCs w:val="20"/>
          <w:color w:val="auto"/>
        </w:rPr>
      </w:pPr>
      <w:r>
        <w:rPr>
          <w:rFonts w:ascii="Courier New" w:cs="Courier New" w:eastAsia="Courier New" w:hAnsi="Courier New"/>
          <w:sz w:val="16"/>
          <w:szCs w:val="16"/>
          <w:color w:val="auto"/>
        </w:rPr>
        <w:t>Diluted (loss) earnings per</w:t>
      </w:r>
    </w:p>
    <w:p>
      <w:pPr>
        <w:ind w:left="220"/>
        <w:spacing w:after="0" w:line="237" w:lineRule="auto"/>
        <w:rPr>
          <w:sz w:val="20"/>
          <w:szCs w:val="20"/>
          <w:color w:val="auto"/>
        </w:rPr>
      </w:pPr>
      <w:r>
        <w:rPr>
          <w:rFonts w:ascii="Courier New" w:cs="Courier New" w:eastAsia="Courier New" w:hAnsi="Courier New"/>
          <w:sz w:val="16"/>
          <w:szCs w:val="16"/>
          <w:color w:val="auto"/>
        </w:rPr>
        <w:t>share...... (0.28) 0.01(i) LIBERTY</w:t>
      </w:r>
    </w:p>
    <w:p>
      <w:pPr>
        <w:jc w:val="center"/>
        <w:ind w:right="6559"/>
        <w:spacing w:after="0"/>
        <w:rPr>
          <w:sz w:val="20"/>
          <w:szCs w:val="20"/>
          <w:color w:val="auto"/>
        </w:rPr>
      </w:pPr>
      <w:r>
        <w:rPr>
          <w:rFonts w:ascii="Courier New" w:cs="Courier New" w:eastAsia="Courier New" w:hAnsi="Courier New"/>
          <w:sz w:val="16"/>
          <w:szCs w:val="16"/>
          <w:color w:val="auto"/>
        </w:rPr>
        <w:t>MEDIA GROUP: Basic and diluted loss</w:t>
      </w:r>
    </w:p>
    <w:p>
      <w:pPr>
        <w:jc w:val="center"/>
        <w:ind w:right="6559"/>
        <w:spacing w:after="0" w:line="238" w:lineRule="auto"/>
        <w:rPr>
          <w:sz w:val="20"/>
          <w:szCs w:val="20"/>
          <w:color w:val="auto"/>
        </w:rPr>
      </w:pPr>
      <w:r>
        <w:rPr>
          <w:rFonts w:ascii="Courier New" w:cs="Courier New" w:eastAsia="Courier New" w:hAnsi="Courier New"/>
          <w:sz w:val="16"/>
          <w:szCs w:val="16"/>
          <w:color w:val="auto"/>
        </w:rPr>
        <w:t>per share....... $ (1.09)</w:t>
      </w:r>
    </w:p>
    <w:p>
      <w:pPr>
        <w:spacing w:after="0" w:line="36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654" w:right="1440" w:bottom="467" w:gutter="0" w:footer="0" w:header="0"/>
        </w:sectPr>
      </w:pPr>
    </w:p>
    <w:bookmarkStart w:id="193" w:name="page194"/>
    <w:bookmarkEnd w:id="193"/>
    <w:p>
      <w:pPr>
        <w:spacing w:after="0" w:line="6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179"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AT&amp;T LIBERTY MEDIA BROADBAND</w:t>
      </w:r>
    </w:p>
    <w:p>
      <w:pPr>
        <w:jc w:val="center"/>
        <w:ind w:right="7319"/>
        <w:spacing w:after="0"/>
        <w:rPr>
          <w:sz w:val="20"/>
          <w:szCs w:val="20"/>
          <w:color w:val="auto"/>
        </w:rPr>
      </w:pPr>
      <w:r>
        <w:rPr>
          <w:rFonts w:ascii="Courier New" w:cs="Courier New" w:eastAsia="Courier New" w:hAnsi="Courier New"/>
          <w:sz w:val="16"/>
          <w:szCs w:val="16"/>
          <w:color w:val="auto"/>
        </w:rPr>
        <w:t>HISTORICAL GROUP GROUP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PRO FORMA AT&amp;T(A)</w:t>
      </w:r>
    </w:p>
    <w:p>
      <w:pPr>
        <w:jc w:val="center"/>
        <w:ind w:right="7319"/>
        <w:spacing w:after="0"/>
        <w:rPr>
          <w:sz w:val="20"/>
          <w:szCs w:val="20"/>
          <w:color w:val="auto"/>
        </w:rPr>
      </w:pPr>
      <w:r>
        <w:rPr>
          <w:rFonts w:ascii="Courier New" w:cs="Courier New" w:eastAsia="Courier New" w:hAnsi="Courier New"/>
          <w:sz w:val="16"/>
          <w:szCs w:val="16"/>
          <w:color w:val="auto"/>
        </w:rPr>
        <w:t>DISTRIBUTION(B)</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DISTRIBUTION(E) ADJUSTMENTS(G)</w:t>
      </w:r>
    </w:p>
    <w:p>
      <w:pPr>
        <w:ind w:left="40"/>
        <w:spacing w:after="0"/>
        <w:rPr>
          <w:sz w:val="20"/>
          <w:szCs w:val="20"/>
          <w:color w:val="auto"/>
        </w:rPr>
      </w:pPr>
      <w:r>
        <w:rPr>
          <w:rFonts w:ascii="Courier New" w:cs="Courier New" w:eastAsia="Courier New" w:hAnsi="Courier New"/>
          <w:sz w:val="16"/>
          <w:szCs w:val="16"/>
          <w:color w:val="auto"/>
        </w:rPr>
        <w:t>AT&amp;T ---------- --------------</w:t>
      </w:r>
    </w:p>
    <w:p>
      <w:pPr>
        <w:ind w:left="220" w:hanging="182"/>
        <w:spacing w:after="0" w:line="238" w:lineRule="auto"/>
        <w:tabs>
          <w:tab w:leader="none" w:pos="22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00" w:hanging="280"/>
        <w:spacing w:after="0"/>
        <w:tabs>
          <w:tab w:leader="none" w:pos="600"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p>
      <w:pPr>
        <w:jc w:val="center"/>
        <w:ind w:right="7319"/>
        <w:spacing w:after="0" w:line="237" w:lineRule="auto"/>
        <w:rPr>
          <w:sz w:val="20"/>
          <w:szCs w:val="20"/>
          <w:color w:val="auto"/>
        </w:rPr>
      </w:pPr>
      <w:r>
        <w:rPr>
          <w:rFonts w:ascii="Courier New" w:cs="Courier New" w:eastAsia="Courier New" w:hAnsi="Courier New"/>
          <w:sz w:val="16"/>
          <w:szCs w:val="16"/>
          <w:color w:val="auto"/>
        </w:rPr>
        <w:t>MILLIONS)</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$52,550 $ -- $(10,132) $247</w:t>
      </w:r>
    </w:p>
    <w:p>
      <w:pPr>
        <w:jc w:val="center"/>
        <w:ind w:right="7319"/>
        <w:spacing w:after="0"/>
        <w:rPr>
          <w:sz w:val="20"/>
          <w:szCs w:val="20"/>
          <w:color w:val="auto"/>
        </w:rPr>
      </w:pPr>
      <w:r>
        <w:rPr>
          <w:rFonts w:ascii="Courier New" w:cs="Courier New" w:eastAsia="Courier New" w:hAnsi="Courier New"/>
          <w:sz w:val="16"/>
          <w:szCs w:val="16"/>
          <w:color w:val="auto"/>
        </w:rPr>
        <w:t>$42,665 OPERATING EXPENSES</w:t>
      </w:r>
    </w:p>
    <w:p>
      <w:pPr>
        <w:jc w:val="center"/>
        <w:ind w:right="7319"/>
        <w:spacing w:after="0" w:line="237" w:lineRule="auto"/>
        <w:rPr>
          <w:sz w:val="20"/>
          <w:szCs w:val="20"/>
          <w:color w:val="auto"/>
        </w:rPr>
      </w:pPr>
      <w:r>
        <w:rPr>
          <w:rFonts w:ascii="Courier New" w:cs="Courier New" w:eastAsia="Courier New" w:hAnsi="Courier New"/>
          <w:sz w:val="16"/>
          <w:szCs w:val="16"/>
          <w:color w:val="auto"/>
        </w:rPr>
        <w:t>Costs of services and</w:t>
      </w:r>
    </w:p>
    <w:p>
      <w:pPr>
        <w:jc w:val="center"/>
        <w:ind w:right="7319"/>
        <w:spacing w:after="0"/>
        <w:rPr>
          <w:sz w:val="20"/>
          <w:szCs w:val="20"/>
          <w:color w:val="auto"/>
        </w:rPr>
      </w:pPr>
      <w:r>
        <w:rPr>
          <w:rFonts w:ascii="Courier New" w:cs="Courier New" w:eastAsia="Courier New" w:hAnsi="Courier New"/>
          <w:sz w:val="16"/>
          <w:szCs w:val="16"/>
          <w:color w:val="auto"/>
        </w:rPr>
        <w:t>products.....................</w:t>
      </w:r>
    </w:p>
    <w:p>
      <w:pPr>
        <w:jc w:val="center"/>
        <w:ind w:right="7319"/>
        <w:spacing w:after="0" w:line="238" w:lineRule="auto"/>
        <w:rPr>
          <w:sz w:val="20"/>
          <w:szCs w:val="20"/>
          <w:color w:val="auto"/>
        </w:rPr>
      </w:pPr>
      <w:r>
        <w:rPr>
          <w:rFonts w:ascii="Courier New" w:cs="Courier New" w:eastAsia="Courier New" w:hAnsi="Courier New"/>
          <w:sz w:val="16"/>
          <w:szCs w:val="16"/>
          <w:color w:val="auto"/>
        </w:rPr>
        <w:t>13,960 -- (5,459) 298 8,799</w:t>
      </w:r>
    </w:p>
    <w:p>
      <w:pPr>
        <w:jc w:val="center"/>
        <w:ind w:right="7319"/>
        <w:spacing w:after="0"/>
        <w:rPr>
          <w:sz w:val="20"/>
          <w:szCs w:val="20"/>
          <w:color w:val="auto"/>
        </w:rPr>
      </w:pPr>
      <w:r>
        <w:rPr>
          <w:rFonts w:ascii="Courier New" w:cs="Courier New" w:eastAsia="Courier New" w:hAnsi="Courier New"/>
          <w:sz w:val="16"/>
          <w:szCs w:val="16"/>
          <w:color w:val="auto"/>
        </w:rPr>
        <w:t>Access and other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connection.... 12,136 -- --</w:t>
      </w:r>
    </w:p>
    <w:p>
      <w:pPr>
        <w:spacing w:after="0" w:line="4" w:lineRule="exact"/>
        <w:rPr>
          <w:sz w:val="20"/>
          <w:szCs w:val="20"/>
          <w:color w:val="auto"/>
        </w:rPr>
      </w:pPr>
    </w:p>
    <w:p>
      <w:pPr>
        <w:ind w:left="1300" w:right="7459" w:hanging="1168"/>
        <w:spacing w:after="0" w:line="236" w:lineRule="auto"/>
        <w:tabs>
          <w:tab w:leader="none" w:pos="596"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12,085 Selling, general and</w:t>
      </w:r>
    </w:p>
    <w:tbl>
      <w:tblPr>
        <w:tblLayout w:type="fixed"/>
        <w:tblInd w:w="40" w:type="dxa"/>
        <w:tblCellMar>
          <w:top w:w="0" w:type="dxa"/>
          <w:left w:w="0" w:type="dxa"/>
          <w:bottom w:w="0" w:type="dxa"/>
          <w:right w:w="0" w:type="dxa"/>
        </w:tblCellMar>
      </w:tblPr>
      <w:tr>
        <w:trPr>
          <w:trHeight w:val="181"/>
        </w:trPr>
        <w:tc>
          <w:tcPr>
            <w:tcW w:w="2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administrative...............</w:t>
            </w:r>
          </w:p>
        </w:tc>
      </w:tr>
      <w:tr>
        <w:trPr>
          <w:trHeight w:val="180"/>
        </w:trPr>
        <w:tc>
          <w:tcPr>
            <w:tcW w:w="8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10,832</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 (2,582)</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-- 8,250</w:t>
            </w:r>
          </w:p>
        </w:tc>
      </w:tr>
      <w:tr>
        <w:trPr>
          <w:trHeight w:val="180"/>
        </w:trPr>
        <w:tc>
          <w:tcPr>
            <w:tcW w:w="28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Depreciation and</w:t>
            </w:r>
          </w:p>
        </w:tc>
      </w:tr>
      <w:tr>
        <w:trPr>
          <w:trHeight w:val="180"/>
        </w:trPr>
        <w:tc>
          <w:tcPr>
            <w:tcW w:w="2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amortization.................</w:t>
            </w:r>
          </w:p>
        </w:tc>
      </w:tr>
      <w:tr>
        <w:trPr>
          <w:trHeight w:val="180"/>
        </w:trPr>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9,338 --</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(4,780) --</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4,558 Net</w:t>
            </w:r>
          </w:p>
        </w:tc>
      </w:tr>
      <w:tr>
        <w:trPr>
          <w:trHeight w:val="180"/>
        </w:trPr>
        <w:tc>
          <w:tcPr>
            <w:tcW w:w="282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restructuring and other</w:t>
            </w:r>
          </w:p>
        </w:tc>
      </w:tr>
      <w:tr>
        <w:trPr>
          <w:trHeight w:val="180"/>
        </w:trPr>
        <w:tc>
          <w:tcPr>
            <w:tcW w:w="188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80"/>
              </w:rPr>
              <w:t>charges......................</w:t>
            </w:r>
          </w:p>
        </w:tc>
        <w:tc>
          <w:tcPr>
            <w:tcW w:w="940" w:type="dxa"/>
            <w:vAlign w:val="bottom"/>
          </w:tcPr>
          <w:p>
            <w:pPr>
              <w:spacing w:after="0"/>
              <w:rPr>
                <w:sz w:val="15"/>
                <w:szCs w:val="15"/>
                <w:color w:val="auto"/>
              </w:rPr>
            </w:pPr>
          </w:p>
        </w:tc>
      </w:tr>
      <w:tr>
        <w:trPr>
          <w:trHeight w:val="180"/>
        </w:trPr>
        <w:tc>
          <w:tcPr>
            <w:tcW w:w="840" w:type="dxa"/>
            <w:vAlign w:val="bottom"/>
          </w:tcPr>
          <w:p>
            <w:pPr>
              <w:jc w:val="right"/>
              <w:ind w:right="23"/>
              <w:spacing w:after="0"/>
              <w:rPr>
                <w:sz w:val="20"/>
                <w:szCs w:val="20"/>
                <w:color w:val="auto"/>
              </w:rPr>
            </w:pPr>
            <w:r>
              <w:rPr>
                <w:rFonts w:ascii="Courier New" w:cs="Courier New" w:eastAsia="Courier New" w:hAnsi="Courier New"/>
                <w:sz w:val="16"/>
                <w:szCs w:val="16"/>
                <w:color w:val="auto"/>
                <w:w w:val="93"/>
              </w:rPr>
              <w:t>2,530 --</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(1,494) --</w:t>
            </w:r>
          </w:p>
        </w:tc>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1,036 ----</w:t>
            </w:r>
          </w:p>
        </w:tc>
      </w:tr>
    </w:tbl>
    <w:p>
      <w:pPr>
        <w:ind w:left="420" w:hanging="382"/>
        <w:spacing w:after="0"/>
        <w:tabs>
          <w:tab w:leader="none" w:pos="42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3" w:lineRule="exact"/>
        <w:rPr>
          <w:rFonts w:ascii="Courier New" w:cs="Courier New" w:eastAsia="Courier New" w:hAnsi="Courier New"/>
          <w:sz w:val="16"/>
          <w:szCs w:val="16"/>
          <w:color w:val="auto"/>
        </w:rPr>
      </w:pPr>
    </w:p>
    <w:p>
      <w:pPr>
        <w:ind w:left="280" w:right="7599" w:firstLine="321"/>
        <w:spacing w:after="0" w:line="263" w:lineRule="auto"/>
        <w:tabs>
          <w:tab w:leader="none" w:pos="889"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operating expenses....... 48,796 --</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840" w:type="dxa"/>
            <w:vAlign w:val="bottom"/>
          </w:tcPr>
          <w:p>
            <w:pPr>
              <w:spacing w:after="0"/>
              <w:rPr>
                <w:sz w:val="20"/>
                <w:szCs w:val="20"/>
                <w:color w:val="auto"/>
              </w:rPr>
            </w:pPr>
            <w:r>
              <w:rPr>
                <w:rFonts w:ascii="Courier New" w:cs="Courier New" w:eastAsia="Courier New" w:hAnsi="Courier New"/>
                <w:sz w:val="9"/>
                <w:szCs w:val="9"/>
                <w:color w:val="auto"/>
                <w:w w:val="72"/>
              </w:rPr>
              <w:t>income...............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3,754 --</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16"/>
                <w:szCs w:val="16"/>
                <w:color w:val="auto"/>
              </w:rPr>
              <w:t>4,183 --</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w w:val="97"/>
              </w:rPr>
              <w:t>7,937 Other (expense)</w:t>
            </w:r>
          </w:p>
        </w:tc>
      </w:tr>
      <w:tr>
        <w:trPr>
          <w:trHeight w:val="180"/>
        </w:trPr>
        <w:tc>
          <w:tcPr>
            <w:tcW w:w="840" w:type="dxa"/>
            <w:vAlign w:val="bottom"/>
          </w:tcPr>
          <w:p>
            <w:pPr>
              <w:ind w:left="180"/>
              <w:spacing w:after="0"/>
              <w:rPr>
                <w:sz w:val="20"/>
                <w:szCs w:val="20"/>
                <w:color w:val="auto"/>
              </w:rPr>
            </w:pPr>
            <w:r>
              <w:rPr>
                <w:rFonts w:ascii="Courier New" w:cs="Courier New" w:eastAsia="Courier New" w:hAnsi="Courier New"/>
                <w:sz w:val="10"/>
                <w:szCs w:val="10"/>
                <w:color w:val="auto"/>
                <w:w w:val="71"/>
              </w:rPr>
              <w:t>income.........</w:t>
            </w:r>
          </w:p>
        </w:tc>
        <w:tc>
          <w:tcPr>
            <w:tcW w:w="1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(1,547) --</w:t>
            </w:r>
          </w:p>
        </w:tc>
      </w:tr>
      <w:tr>
        <w:trPr>
          <w:trHeight w:val="180"/>
        </w:trPr>
        <w:tc>
          <w:tcPr>
            <w:tcW w:w="840" w:type="dxa"/>
            <w:vAlign w:val="bottom"/>
          </w:tcPr>
          <w:p>
            <w:pPr>
              <w:ind w:left="320"/>
              <w:spacing w:after="0"/>
              <w:rPr>
                <w:sz w:val="20"/>
                <w:szCs w:val="20"/>
                <w:color w:val="auto"/>
              </w:rPr>
            </w:pPr>
            <w:r>
              <w:rPr>
                <w:rFonts w:ascii="Courier New" w:cs="Courier New" w:eastAsia="Courier New" w:hAnsi="Courier New"/>
                <w:sz w:val="16"/>
                <w:szCs w:val="16"/>
                <w:color w:val="auto"/>
              </w:rPr>
              <w:t>2,874</w:t>
            </w:r>
          </w:p>
        </w:tc>
        <w:tc>
          <w:tcPr>
            <w:tcW w:w="1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9"/>
              </w:rPr>
              <w:t>-- 1,327 Interest</w:t>
            </w:r>
          </w:p>
        </w:tc>
      </w:tr>
      <w:tr>
        <w:trPr>
          <w:trHeight w:val="180"/>
        </w:trPr>
        <w:tc>
          <w:tcPr>
            <w:tcW w:w="840" w:type="dxa"/>
            <w:vAlign w:val="bottom"/>
          </w:tcPr>
          <w:p>
            <w:pPr>
              <w:spacing w:after="0"/>
              <w:rPr>
                <w:sz w:val="20"/>
                <w:szCs w:val="20"/>
                <w:color w:val="auto"/>
              </w:rPr>
            </w:pPr>
            <w:r>
              <w:rPr>
                <w:rFonts w:ascii="Courier New" w:cs="Courier New" w:eastAsia="Courier New" w:hAnsi="Courier New"/>
                <w:sz w:val="8"/>
                <w:szCs w:val="8"/>
                <w:color w:val="auto"/>
                <w:w w:val="77"/>
              </w:rPr>
              <w:t>expense...............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3,242 -</w:t>
            </w:r>
          </w:p>
        </w:tc>
      </w:tr>
    </w:tbl>
    <w:p>
      <w:pPr>
        <w:spacing w:after="0" w:line="4" w:lineRule="exact"/>
        <w:rPr>
          <w:sz w:val="20"/>
          <w:szCs w:val="20"/>
          <w:color w:val="auto"/>
        </w:rPr>
      </w:pPr>
    </w:p>
    <w:p>
      <w:pPr>
        <w:ind w:left="420" w:right="7599" w:hanging="147"/>
        <w:spacing w:after="0" w:line="254" w:lineRule="auto"/>
        <w:tabs>
          <w:tab w:leader="none" w:pos="46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(1,735) -- 1,507 (Loss) income from continuing</w:t>
      </w:r>
    </w:p>
    <w:p>
      <w:pPr>
        <w:jc w:val="center"/>
        <w:ind w:right="7319"/>
        <w:spacing w:after="0" w:line="234" w:lineRule="auto"/>
        <w:rPr>
          <w:sz w:val="20"/>
          <w:szCs w:val="20"/>
          <w:color w:val="auto"/>
        </w:rPr>
      </w:pPr>
      <w:r>
        <w:rPr>
          <w:rFonts w:ascii="Courier New" w:cs="Courier New" w:eastAsia="Courier New" w:hAnsi="Courier New"/>
          <w:sz w:val="16"/>
          <w:szCs w:val="16"/>
          <w:color w:val="auto"/>
        </w:rPr>
        <w:t>operations before income</w:t>
      </w:r>
    </w:p>
    <w:p>
      <w:pPr>
        <w:ind w:left="140"/>
        <w:spacing w:after="0"/>
        <w:rPr>
          <w:sz w:val="20"/>
          <w:szCs w:val="20"/>
          <w:color w:val="auto"/>
        </w:rPr>
      </w:pPr>
      <w:r>
        <w:rPr>
          <w:rFonts w:ascii="Courier New" w:cs="Courier New" w:eastAsia="Courier New" w:hAnsi="Courier New"/>
          <w:sz w:val="16"/>
          <w:szCs w:val="16"/>
          <w:color w:val="auto"/>
        </w:rPr>
        <w:t>taxes, minority interest and</w:t>
      </w:r>
    </w:p>
    <w:p>
      <w:pPr>
        <w:ind w:left="140"/>
        <w:spacing w:after="0" w:line="238" w:lineRule="auto"/>
        <w:rPr>
          <w:sz w:val="20"/>
          <w:szCs w:val="20"/>
          <w:color w:val="auto"/>
        </w:rPr>
      </w:pPr>
      <w:r>
        <w:rPr>
          <w:rFonts w:ascii="Courier New" w:cs="Courier New" w:eastAsia="Courier New" w:hAnsi="Courier New"/>
          <w:sz w:val="16"/>
          <w:szCs w:val="16"/>
          <w:color w:val="auto"/>
        </w:rPr>
        <w:t>(losses) earnings related to</w:t>
      </w:r>
    </w:p>
    <w:p>
      <w:pPr>
        <w:ind w:left="80"/>
        <w:spacing w:after="0"/>
        <w:rPr>
          <w:sz w:val="20"/>
          <w:szCs w:val="20"/>
          <w:color w:val="auto"/>
        </w:rPr>
      </w:pPr>
      <w:r>
        <w:rPr>
          <w:rFonts w:ascii="Courier New" w:cs="Courier New" w:eastAsia="Courier New" w:hAnsi="Courier New"/>
          <w:sz w:val="16"/>
          <w:szCs w:val="16"/>
          <w:color w:val="auto"/>
        </w:rPr>
        <w:t>equity investments...........</w:t>
      </w:r>
    </w:p>
    <w:p>
      <w:pPr>
        <w:jc w:val="center"/>
        <w:ind w:right="7319"/>
        <w:spacing w:after="0" w:line="238" w:lineRule="auto"/>
        <w:rPr>
          <w:sz w:val="20"/>
          <w:szCs w:val="20"/>
          <w:color w:val="auto"/>
        </w:rPr>
      </w:pPr>
      <w:r>
        <w:rPr>
          <w:rFonts w:ascii="Courier New" w:cs="Courier New" w:eastAsia="Courier New" w:hAnsi="Courier New"/>
          <w:sz w:val="16"/>
          <w:szCs w:val="16"/>
          <w:color w:val="auto"/>
        </w:rPr>
        <w:t>(1,035) -- 8,792 -- 7,757</w:t>
      </w:r>
    </w:p>
    <w:p>
      <w:pPr>
        <w:ind w:left="40"/>
        <w:spacing w:after="0"/>
        <w:rPr>
          <w:sz w:val="20"/>
          <w:szCs w:val="20"/>
          <w:color w:val="auto"/>
        </w:rPr>
      </w:pPr>
      <w:r>
        <w:rPr>
          <w:rFonts w:ascii="Courier New" w:cs="Courier New" w:eastAsia="Courier New" w:hAnsi="Courier New"/>
          <w:sz w:val="16"/>
          <w:szCs w:val="16"/>
          <w:color w:val="auto"/>
        </w:rPr>
        <w:t>(Benefit) provision for income</w:t>
      </w:r>
    </w:p>
    <w:p>
      <w:pPr>
        <w:ind w:left="80"/>
        <w:spacing w:after="0" w:line="237" w:lineRule="auto"/>
        <w:rPr>
          <w:sz w:val="20"/>
          <w:szCs w:val="20"/>
          <w:color w:val="auto"/>
        </w:rPr>
      </w:pPr>
      <w:r>
        <w:rPr>
          <w:rFonts w:ascii="Courier New" w:cs="Courier New" w:eastAsia="Courier New" w:hAnsi="Courier New"/>
          <w:sz w:val="16"/>
          <w:szCs w:val="16"/>
          <w:color w:val="auto"/>
        </w:rPr>
        <w:t>taxes........................</w:t>
      </w:r>
    </w:p>
    <w:p>
      <w:pPr>
        <w:spacing w:after="0" w:line="5" w:lineRule="exact"/>
        <w:rPr>
          <w:sz w:val="20"/>
          <w:szCs w:val="20"/>
          <w:color w:val="auto"/>
        </w:rPr>
      </w:pPr>
    </w:p>
    <w:p>
      <w:pPr>
        <w:ind w:left="640" w:right="7599" w:hanging="367"/>
        <w:spacing w:after="0" w:line="254" w:lineRule="auto"/>
        <w:tabs>
          <w:tab w:leader="none" w:pos="82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-- 3,857 (90) 2,976 Minority interest</w:t>
      </w:r>
    </w:p>
    <w:tbl>
      <w:tblPr>
        <w:tblLayout w:type="fixed"/>
        <w:tblInd w:w="80" w:type="dxa"/>
        <w:tblCellMar>
          <w:top w:w="0" w:type="dxa"/>
          <w:left w:w="0" w:type="dxa"/>
          <w:bottom w:w="0" w:type="dxa"/>
          <w:right w:w="0" w:type="dxa"/>
        </w:tblCellMar>
      </w:tblPr>
      <w:tr>
        <w:trPr>
          <w:trHeight w:val="177"/>
        </w:trPr>
        <w:tc>
          <w:tcPr>
            <w:tcW w:w="1280" w:type="dxa"/>
            <w:vAlign w:val="bottom"/>
          </w:tcPr>
          <w:p>
            <w:pPr>
              <w:spacing w:after="0" w:line="177" w:lineRule="exact"/>
              <w:rPr>
                <w:sz w:val="20"/>
                <w:szCs w:val="20"/>
                <w:color w:val="auto"/>
              </w:rPr>
            </w:pPr>
            <w:r>
              <w:rPr>
                <w:rFonts w:ascii="Courier New" w:cs="Courier New" w:eastAsia="Courier New" w:hAnsi="Courier New"/>
                <w:sz w:val="16"/>
                <w:szCs w:val="16"/>
                <w:color w:val="auto"/>
              </w:rPr>
              <w:t>income.......</w:t>
            </w:r>
          </w:p>
        </w:tc>
        <w:tc>
          <w:tcPr>
            <w:tcW w:w="144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w w:val="98"/>
              </w:rPr>
              <w:t>963 -- (833) --</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680" w:type="dxa"/>
            <w:vAlign w:val="bottom"/>
          </w:tcPr>
          <w:p>
            <w:pPr>
              <w:spacing w:after="0"/>
              <w:rPr>
                <w:sz w:val="20"/>
                <w:szCs w:val="20"/>
                <w:color w:val="auto"/>
              </w:rPr>
            </w:pPr>
            <w:r>
              <w:rPr>
                <w:rFonts w:ascii="Courier New" w:cs="Courier New" w:eastAsia="Courier New" w:hAnsi="Courier New"/>
                <w:sz w:val="16"/>
                <w:szCs w:val="16"/>
                <w:color w:val="auto"/>
              </w:rPr>
              <w:t>130 Equity losses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from Liberty</w:t>
            </w:r>
          </w:p>
        </w:tc>
      </w:tr>
      <w:tr>
        <w:trPr>
          <w:trHeight w:val="180"/>
        </w:trPr>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Media Group..................</w:t>
            </w:r>
          </w:p>
        </w:tc>
      </w:tr>
      <w:tr>
        <w:trPr>
          <w:trHeight w:val="18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(2,711) 2,711 --</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 Net</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16"/>
                <w:szCs w:val="16"/>
                <w:color w:val="auto"/>
              </w:rPr>
              <w:t>losses related to</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other equity</w:t>
            </w:r>
          </w:p>
        </w:tc>
      </w:tr>
      <w:tr>
        <w:trPr>
          <w:trHeight w:val="180"/>
        </w:trPr>
        <w:tc>
          <w:tcPr>
            <w:tcW w:w="1680" w:type="dxa"/>
            <w:vAlign w:val="bottom"/>
          </w:tcPr>
          <w:p>
            <w:pPr>
              <w:spacing w:after="0"/>
              <w:rPr>
                <w:sz w:val="20"/>
                <w:szCs w:val="20"/>
                <w:color w:val="auto"/>
              </w:rPr>
            </w:pPr>
            <w:r>
              <w:rPr>
                <w:rFonts w:ascii="Courier New" w:cs="Courier New" w:eastAsia="Courier New" w:hAnsi="Courier New"/>
                <w:sz w:val="16"/>
                <w:szCs w:val="16"/>
                <w:color w:val="auto"/>
                <w:w w:val="78"/>
              </w:rPr>
              <w:t>investments...........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(4,850)</w:t>
            </w:r>
          </w:p>
        </w:tc>
      </w:tr>
    </w:tbl>
    <w:p>
      <w:pPr>
        <w:spacing w:after="0" w:line="4" w:lineRule="exact"/>
        <w:rPr>
          <w:sz w:val="20"/>
          <w:szCs w:val="20"/>
          <w:color w:val="auto"/>
        </w:rPr>
      </w:pPr>
    </w:p>
    <w:p>
      <w:pPr>
        <w:ind w:left="740" w:right="7359" w:hanging="702"/>
        <w:spacing w:after="0" w:line="236" w:lineRule="auto"/>
        <w:tabs>
          <w:tab w:leader="none" w:pos="318"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69 -- (4,781) (Loss) income from continuing</w:t>
      </w:r>
    </w:p>
    <w:p>
      <w:pPr>
        <w:jc w:val="center"/>
        <w:ind w:right="7319"/>
        <w:spacing w:after="0"/>
        <w:rPr>
          <w:sz w:val="20"/>
          <w:szCs w:val="20"/>
          <w:color w:val="auto"/>
        </w:rPr>
      </w:pPr>
      <w:r>
        <w:rPr>
          <w:rFonts w:ascii="Courier New" w:cs="Courier New" w:eastAsia="Courier New" w:hAnsi="Courier New"/>
          <w:sz w:val="16"/>
          <w:szCs w:val="16"/>
          <w:color w:val="auto"/>
        </w:rPr>
        <w:t>operations...................</w:t>
      </w:r>
    </w:p>
    <w:p>
      <w:pPr>
        <w:jc w:val="center"/>
        <w:ind w:right="7319"/>
        <w:spacing w:after="0" w:line="237" w:lineRule="auto"/>
        <w:rPr>
          <w:sz w:val="20"/>
          <w:szCs w:val="20"/>
          <w:color w:val="auto"/>
        </w:rPr>
      </w:pPr>
      <w:r>
        <w:rPr>
          <w:rFonts w:ascii="Courier New" w:cs="Courier New" w:eastAsia="Courier New" w:hAnsi="Courier New"/>
          <w:sz w:val="16"/>
          <w:szCs w:val="16"/>
          <w:color w:val="auto"/>
        </w:rPr>
        <w:t>(6,842) 2,711 4,171 90 130</w:t>
      </w:r>
    </w:p>
    <w:p>
      <w:pPr>
        <w:jc w:val="center"/>
        <w:ind w:right="7319"/>
        <w:spacing w:after="0"/>
        <w:rPr>
          <w:sz w:val="20"/>
          <w:szCs w:val="20"/>
          <w:color w:val="auto"/>
        </w:rPr>
      </w:pPr>
      <w:r>
        <w:rPr>
          <w:rFonts w:ascii="Courier New" w:cs="Courier New" w:eastAsia="Courier New" w:hAnsi="Courier New"/>
          <w:sz w:val="16"/>
          <w:szCs w:val="16"/>
          <w:color w:val="auto"/>
        </w:rPr>
        <w:t>Dividend requirements of</w:t>
      </w:r>
    </w:p>
    <w:p>
      <w:pPr>
        <w:jc w:val="center"/>
        <w:ind w:right="7319"/>
        <w:spacing w:after="0" w:line="238" w:lineRule="auto"/>
        <w:rPr>
          <w:sz w:val="20"/>
          <w:szCs w:val="20"/>
          <w:color w:val="auto"/>
        </w:rPr>
      </w:pPr>
      <w:r>
        <w:rPr>
          <w:rFonts w:ascii="Courier New" w:cs="Courier New" w:eastAsia="Courier New" w:hAnsi="Courier New"/>
          <w:sz w:val="16"/>
          <w:szCs w:val="16"/>
          <w:color w:val="auto"/>
        </w:rPr>
        <w:t>preferred stock..............</w:t>
      </w:r>
    </w:p>
    <w:p>
      <w:pPr>
        <w:jc w:val="center"/>
        <w:ind w:right="7319"/>
        <w:spacing w:after="0"/>
        <w:rPr>
          <w:sz w:val="20"/>
          <w:szCs w:val="20"/>
          <w:color w:val="auto"/>
        </w:rPr>
      </w:pPr>
      <w:r>
        <w:rPr>
          <w:rFonts w:ascii="Courier New" w:cs="Courier New" w:eastAsia="Courier New" w:hAnsi="Courier New"/>
          <w:sz w:val="16"/>
          <w:szCs w:val="16"/>
          <w:color w:val="auto"/>
        </w:rPr>
        <w:t>652 -- -- -- 652 Premium on</w:t>
      </w:r>
    </w:p>
    <w:p>
      <w:pPr>
        <w:jc w:val="center"/>
        <w:ind w:right="7319"/>
        <w:spacing w:after="0" w:line="238" w:lineRule="auto"/>
        <w:rPr>
          <w:sz w:val="20"/>
          <w:szCs w:val="20"/>
          <w:color w:val="auto"/>
        </w:rPr>
      </w:pPr>
      <w:r>
        <w:rPr>
          <w:rFonts w:ascii="Courier New" w:cs="Courier New" w:eastAsia="Courier New" w:hAnsi="Courier New"/>
          <w:sz w:val="16"/>
          <w:szCs w:val="16"/>
          <w:color w:val="auto"/>
        </w:rPr>
        <w:t>exchange of AT&amp;T Wireless</w:t>
      </w:r>
    </w:p>
    <w:p>
      <w:pPr>
        <w:jc w:val="center"/>
        <w:ind w:right="7319"/>
        <w:spacing w:after="0"/>
        <w:rPr>
          <w:sz w:val="20"/>
          <w:szCs w:val="20"/>
          <w:color w:val="auto"/>
        </w:rPr>
      </w:pPr>
      <w:r>
        <w:rPr>
          <w:rFonts w:ascii="Courier New" w:cs="Courier New" w:eastAsia="Courier New" w:hAnsi="Courier New"/>
          <w:sz w:val="16"/>
          <w:szCs w:val="16"/>
          <w:color w:val="auto"/>
        </w:rPr>
        <w:t>tracking stock...... 80 -- --</w:t>
      </w:r>
    </w:p>
    <w:p>
      <w:pPr>
        <w:jc w:val="center"/>
        <w:ind w:right="7319"/>
        <w:spacing w:after="0" w:line="237" w:lineRule="auto"/>
        <w:rPr>
          <w:sz w:val="20"/>
          <w:szCs w:val="20"/>
          <w:color w:val="auto"/>
        </w:rPr>
      </w:pPr>
      <w:r>
        <w:rPr>
          <w:rFonts w:ascii="Courier New" w:cs="Courier New" w:eastAsia="Courier New" w:hAnsi="Courier New"/>
          <w:sz w:val="16"/>
          <w:szCs w:val="16"/>
          <w:color w:val="auto"/>
        </w:rPr>
        <w:t>-- 80 ------- ------ --------</w:t>
      </w:r>
    </w:p>
    <w:p>
      <w:pPr>
        <w:jc w:val="center"/>
        <w:ind w:right="7319"/>
        <w:spacing w:after="0"/>
        <w:rPr>
          <w:sz w:val="20"/>
          <w:szCs w:val="20"/>
          <w:color w:val="auto"/>
        </w:rPr>
      </w:pPr>
      <w:r>
        <w:rPr>
          <w:rFonts w:ascii="Courier New" w:cs="Courier New" w:eastAsia="Courier New" w:hAnsi="Courier New"/>
          <w:sz w:val="16"/>
          <w:szCs w:val="16"/>
          <w:color w:val="auto"/>
        </w:rPr>
        <w:t>---- ------- Net loss from</w:t>
      </w:r>
    </w:p>
    <w:p>
      <w:pPr>
        <w:jc w:val="center"/>
        <w:ind w:right="7319"/>
        <w:spacing w:after="0" w:line="238" w:lineRule="auto"/>
        <w:rPr>
          <w:sz w:val="20"/>
          <w:szCs w:val="20"/>
          <w:color w:val="auto"/>
        </w:rPr>
      </w:pPr>
      <w:r>
        <w:rPr>
          <w:rFonts w:ascii="Courier New" w:cs="Courier New" w:eastAsia="Courier New" w:hAnsi="Courier New"/>
          <w:sz w:val="16"/>
          <w:szCs w:val="16"/>
          <w:color w:val="auto"/>
        </w:rPr>
        <w:t>continuing operations</w:t>
      </w:r>
    </w:p>
    <w:p>
      <w:pPr>
        <w:jc w:val="center"/>
        <w:ind w:right="7319"/>
        <w:spacing w:after="0"/>
        <w:rPr>
          <w:sz w:val="20"/>
          <w:szCs w:val="20"/>
          <w:color w:val="auto"/>
        </w:rPr>
      </w:pPr>
      <w:r>
        <w:rPr>
          <w:rFonts w:ascii="Courier New" w:cs="Courier New" w:eastAsia="Courier New" w:hAnsi="Courier New"/>
          <w:sz w:val="16"/>
          <w:szCs w:val="16"/>
          <w:color w:val="auto"/>
        </w:rPr>
        <w:t>attributable to common</w:t>
      </w:r>
    </w:p>
    <w:p>
      <w:pPr>
        <w:jc w:val="center"/>
        <w:ind w:right="7319"/>
        <w:spacing w:after="0" w:line="238" w:lineRule="auto"/>
        <w:rPr>
          <w:sz w:val="20"/>
          <w:szCs w:val="20"/>
          <w:color w:val="auto"/>
        </w:rPr>
      </w:pPr>
      <w:r>
        <w:rPr>
          <w:rFonts w:ascii="Courier New" w:cs="Courier New" w:eastAsia="Courier New" w:hAnsi="Courier New"/>
          <w:sz w:val="16"/>
          <w:szCs w:val="16"/>
          <w:color w:val="auto"/>
        </w:rPr>
        <w:t>shareowners...........</w:t>
      </w:r>
    </w:p>
    <w:p>
      <w:pPr>
        <w:jc w:val="center"/>
        <w:ind w:right="7319"/>
        <w:spacing w:after="0"/>
        <w:rPr>
          <w:sz w:val="20"/>
          <w:szCs w:val="20"/>
          <w:color w:val="auto"/>
        </w:rPr>
      </w:pPr>
      <w:r>
        <w:rPr>
          <w:rFonts w:ascii="Courier New" w:cs="Courier New" w:eastAsia="Courier New" w:hAnsi="Courier New"/>
          <w:sz w:val="16"/>
          <w:szCs w:val="16"/>
          <w:color w:val="auto"/>
        </w:rPr>
        <w:t>$(7,574) $2,711 $ 4,171 $ 90 $</w:t>
      </w:r>
    </w:p>
    <w:p>
      <w:pPr>
        <w:ind w:left="640" w:hanging="555"/>
        <w:spacing w:after="0" w:line="237" w:lineRule="auto"/>
        <w:tabs>
          <w:tab w:leader="none" w:pos="640"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4" w:lineRule="exact"/>
        <w:rPr>
          <w:rFonts w:ascii="Courier New" w:cs="Courier New" w:eastAsia="Courier New" w:hAnsi="Courier New"/>
          <w:sz w:val="16"/>
          <w:szCs w:val="16"/>
          <w:color w:val="auto"/>
        </w:rPr>
      </w:pPr>
    </w:p>
    <w:p>
      <w:pPr>
        <w:ind w:left="180" w:right="7359" w:hanging="142"/>
        <w:spacing w:after="0" w:line="254" w:lineRule="auto"/>
        <w:tabs>
          <w:tab w:leader="none" w:pos="50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AT&amp;T COMMON STOCK GROUP: Loss from continuing</w:t>
      </w:r>
    </w:p>
    <w:p>
      <w:pPr>
        <w:ind w:left="80"/>
        <w:spacing w:after="0" w:line="234" w:lineRule="auto"/>
        <w:rPr>
          <w:sz w:val="20"/>
          <w:szCs w:val="20"/>
          <w:color w:val="auto"/>
        </w:rPr>
      </w:pPr>
      <w:r>
        <w:rPr>
          <w:rFonts w:ascii="Courier New" w:cs="Courier New" w:eastAsia="Courier New" w:hAnsi="Courier New"/>
          <w:sz w:val="16"/>
          <w:szCs w:val="16"/>
          <w:color w:val="auto"/>
        </w:rPr>
        <w:t>operations...................</w:t>
      </w:r>
    </w:p>
    <w:p>
      <w:pPr>
        <w:jc w:val="center"/>
        <w:ind w:right="7319"/>
        <w:spacing w:after="0"/>
        <w:rPr>
          <w:sz w:val="20"/>
          <w:szCs w:val="20"/>
          <w:color w:val="auto"/>
        </w:rPr>
      </w:pPr>
      <w:r>
        <w:rPr>
          <w:rFonts w:ascii="Courier New" w:cs="Courier New" w:eastAsia="Courier New" w:hAnsi="Courier New"/>
          <w:sz w:val="16"/>
          <w:szCs w:val="16"/>
          <w:color w:val="auto"/>
        </w:rPr>
        <w:t>$(4,863) $(3,475)(h)(j)</w:t>
      </w:r>
    </w:p>
    <w:p>
      <w:pPr>
        <w:jc w:val="center"/>
        <w:ind w:right="7319"/>
        <w:spacing w:after="0" w:line="238" w:lineRule="auto"/>
        <w:rPr>
          <w:sz w:val="20"/>
          <w:szCs w:val="20"/>
          <w:color w:val="auto"/>
        </w:rPr>
      </w:pPr>
      <w:r>
        <w:rPr>
          <w:rFonts w:ascii="Courier New" w:cs="Courier New" w:eastAsia="Courier New" w:hAnsi="Courier New"/>
          <w:sz w:val="16"/>
          <w:szCs w:val="16"/>
          <w:color w:val="auto"/>
        </w:rPr>
        <w:t>Weighted average shares</w:t>
      </w:r>
    </w:p>
    <w:p>
      <w:pPr>
        <w:jc w:val="center"/>
        <w:ind w:right="7319"/>
        <w:spacing w:after="0"/>
        <w:rPr>
          <w:sz w:val="20"/>
          <w:szCs w:val="20"/>
          <w:color w:val="auto"/>
        </w:rPr>
      </w:pPr>
      <w:r>
        <w:rPr>
          <w:rFonts w:ascii="Courier New" w:cs="Courier New" w:eastAsia="Courier New" w:hAnsi="Courier New"/>
          <w:sz w:val="16"/>
          <w:szCs w:val="16"/>
          <w:color w:val="auto"/>
        </w:rPr>
        <w:t>outstanding (basic &amp;</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diluted).....................</w:t>
      </w:r>
    </w:p>
    <w:p>
      <w:pPr>
        <w:jc w:val="center"/>
        <w:ind w:right="7319"/>
        <w:spacing w:after="0"/>
        <w:rPr>
          <w:sz w:val="20"/>
          <w:szCs w:val="20"/>
          <w:color w:val="auto"/>
        </w:rPr>
      </w:pPr>
      <w:r>
        <w:rPr>
          <w:rFonts w:ascii="Courier New" w:cs="Courier New" w:eastAsia="Courier New" w:hAnsi="Courier New"/>
          <w:sz w:val="16"/>
          <w:szCs w:val="16"/>
          <w:color w:val="auto"/>
        </w:rPr>
        <w:t>3,643 3,695 Basic and diluted</w:t>
      </w:r>
    </w:p>
    <w:p>
      <w:pPr>
        <w:jc w:val="center"/>
        <w:ind w:right="7319"/>
        <w:spacing w:after="0" w:line="237" w:lineRule="auto"/>
        <w:rPr>
          <w:sz w:val="20"/>
          <w:szCs w:val="20"/>
          <w:color w:val="auto"/>
        </w:rPr>
      </w:pPr>
      <w:r>
        <w:rPr>
          <w:rFonts w:ascii="Courier New" w:cs="Courier New" w:eastAsia="Courier New" w:hAnsi="Courier New"/>
          <w:sz w:val="16"/>
          <w:szCs w:val="16"/>
          <w:color w:val="auto"/>
        </w:rPr>
        <w:t>loss per</w:t>
      </w:r>
    </w:p>
    <w:p>
      <w:pPr>
        <w:ind w:left="80"/>
        <w:spacing w:after="0"/>
        <w:rPr>
          <w:sz w:val="20"/>
          <w:szCs w:val="20"/>
          <w:color w:val="auto"/>
        </w:rPr>
      </w:pPr>
      <w:r>
        <w:rPr>
          <w:rFonts w:ascii="Courier New" w:cs="Courier New" w:eastAsia="Courier New" w:hAnsi="Courier New"/>
          <w:sz w:val="16"/>
          <w:szCs w:val="16"/>
          <w:color w:val="auto"/>
        </w:rPr>
        <w:t>share........................</w:t>
      </w:r>
    </w:p>
    <w:p>
      <w:pPr>
        <w:jc w:val="center"/>
        <w:ind w:right="7319"/>
        <w:spacing w:after="0" w:line="238" w:lineRule="auto"/>
        <w:rPr>
          <w:sz w:val="20"/>
          <w:szCs w:val="20"/>
          <w:color w:val="auto"/>
        </w:rPr>
      </w:pPr>
      <w:r>
        <w:rPr>
          <w:rFonts w:ascii="Courier New" w:cs="Courier New" w:eastAsia="Courier New" w:hAnsi="Courier New"/>
          <w:sz w:val="16"/>
          <w:szCs w:val="16"/>
          <w:color w:val="auto"/>
        </w:rPr>
        <w:t>(1.33) (0.94)(i) LIBERTY MEDIA</w:t>
      </w:r>
    </w:p>
    <w:p>
      <w:pPr>
        <w:jc w:val="center"/>
        <w:ind w:right="7319"/>
        <w:spacing w:after="0"/>
        <w:rPr>
          <w:sz w:val="20"/>
          <w:szCs w:val="20"/>
          <w:color w:val="auto"/>
        </w:rPr>
      </w:pPr>
      <w:r>
        <w:rPr>
          <w:rFonts w:ascii="Courier New" w:cs="Courier New" w:eastAsia="Courier New" w:hAnsi="Courier New"/>
          <w:sz w:val="16"/>
          <w:szCs w:val="16"/>
          <w:color w:val="auto"/>
        </w:rPr>
        <w:t>GROUP: Basic and diluted loss</w:t>
      </w:r>
    </w:p>
    <w:p>
      <w:pPr>
        <w:jc w:val="center"/>
        <w:ind w:right="7319"/>
        <w:spacing w:after="0" w:line="238" w:lineRule="auto"/>
        <w:rPr>
          <w:sz w:val="20"/>
          <w:szCs w:val="20"/>
          <w:color w:val="auto"/>
        </w:rPr>
      </w:pPr>
      <w:r>
        <w:rPr>
          <w:rFonts w:ascii="Courier New" w:cs="Courier New" w:eastAsia="Courier New" w:hAnsi="Courier New"/>
          <w:sz w:val="16"/>
          <w:szCs w:val="16"/>
          <w:color w:val="auto"/>
        </w:rPr>
        <w:t>per</w:t>
      </w:r>
    </w:p>
    <w:p>
      <w:pPr>
        <w:jc w:val="center"/>
        <w:ind w:right="7319"/>
        <w:spacing w:after="0"/>
        <w:rPr>
          <w:sz w:val="20"/>
          <w:szCs w:val="20"/>
          <w:color w:val="auto"/>
        </w:rPr>
      </w:pPr>
      <w:r>
        <w:rPr>
          <w:rFonts w:ascii="Courier New" w:cs="Courier New" w:eastAsia="Courier New" w:hAnsi="Courier New"/>
          <w:sz w:val="16"/>
          <w:szCs w:val="16"/>
          <w:color w:val="auto"/>
        </w:rPr>
        <w:t>share........................</w:t>
      </w:r>
    </w:p>
    <w:p>
      <w:pPr>
        <w:ind w:left="1080"/>
        <w:spacing w:after="0" w:line="237" w:lineRule="auto"/>
        <w:rPr>
          <w:sz w:val="20"/>
          <w:szCs w:val="20"/>
          <w:color w:val="auto"/>
        </w:rPr>
      </w:pPr>
      <w:r>
        <w:rPr>
          <w:rFonts w:ascii="Courier New" w:cs="Courier New" w:eastAsia="Courier New" w:hAnsi="Courier New"/>
          <w:sz w:val="16"/>
          <w:szCs w:val="16"/>
          <w:color w:val="auto"/>
        </w:rPr>
        <w:t>$ (1.05)</w:t>
      </w:r>
    </w:p>
    <w:p>
      <w:pPr>
        <w:sectPr>
          <w:pgSz w:w="11900" w:h="16908" w:orient="portrait"/>
          <w:cols w:equalWidth="0" w:num="1">
            <w:col w:w="10219"/>
          </w:cols>
          <w:pgMar w:left="240" w:top="654" w:right="1440" w:bottom="0" w:gutter="0" w:footer="0" w:header="0"/>
        </w:sectPr>
      </w:pPr>
    </w:p>
    <w:bookmarkStart w:id="194" w:name="page195"/>
    <w:bookmarkEnd w:id="194"/>
    <w:p>
      <w:pPr>
        <w:jc w:val="center"/>
        <w:ind w:right="28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119"/>
          </w:cols>
          <w:pgMar w:left="340" w:top="502" w:right="1440" w:bottom="1440" w:gutter="0" w:footer="0" w:header="0"/>
        </w:sectPr>
      </w:pPr>
    </w:p>
    <w:bookmarkStart w:id="195" w:name="page196"/>
    <w:bookmarkEnd w:id="195"/>
    <w:p>
      <w:pPr>
        <w:spacing w:after="0" w:line="7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jc w:val="center"/>
        <w:ind w:right="2719"/>
        <w:spacing w:after="0"/>
        <w:rPr>
          <w:sz w:val="20"/>
          <w:szCs w:val="20"/>
          <w:color w:val="auto"/>
        </w:rPr>
      </w:pPr>
      <w:r>
        <w:rPr>
          <w:rFonts w:ascii="Courier New" w:cs="Courier New" w:eastAsia="Courier New" w:hAnsi="Courier New"/>
          <w:sz w:val="16"/>
          <w:szCs w:val="16"/>
          <w:color w:val="auto"/>
        </w:rPr>
        <w:t>FOR THE YEAR ENDED DECEMBER 31, 2000</w:t>
      </w:r>
    </w:p>
    <w:p>
      <w:pPr>
        <w:spacing w:after="0" w:line="179"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AT&amp;T LIBERTY MEDIA BROADBAND</w:t>
      </w:r>
    </w:p>
    <w:p>
      <w:pPr>
        <w:jc w:val="center"/>
        <w:ind w:right="7319"/>
        <w:spacing w:after="0"/>
        <w:rPr>
          <w:sz w:val="20"/>
          <w:szCs w:val="20"/>
          <w:color w:val="auto"/>
        </w:rPr>
      </w:pPr>
      <w:r>
        <w:rPr>
          <w:rFonts w:ascii="Courier New" w:cs="Courier New" w:eastAsia="Courier New" w:hAnsi="Courier New"/>
          <w:sz w:val="16"/>
          <w:szCs w:val="16"/>
          <w:color w:val="auto"/>
        </w:rPr>
        <w:t>HISTORICAL GROUP GROUP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PRO FORMA AT&amp;T(A)</w:t>
      </w:r>
    </w:p>
    <w:p>
      <w:pPr>
        <w:jc w:val="center"/>
        <w:ind w:right="7319"/>
        <w:spacing w:after="0"/>
        <w:rPr>
          <w:sz w:val="20"/>
          <w:szCs w:val="20"/>
          <w:color w:val="auto"/>
        </w:rPr>
      </w:pPr>
      <w:r>
        <w:rPr>
          <w:rFonts w:ascii="Courier New" w:cs="Courier New" w:eastAsia="Courier New" w:hAnsi="Courier New"/>
          <w:sz w:val="16"/>
          <w:szCs w:val="16"/>
          <w:color w:val="auto"/>
        </w:rPr>
        <w:t>DISTRIBUTION(B)</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DISTRIBUTION(E) ADJUSTMENTS(G)</w:t>
      </w:r>
    </w:p>
    <w:p>
      <w:pPr>
        <w:ind w:left="40"/>
        <w:spacing w:after="0"/>
        <w:rPr>
          <w:sz w:val="20"/>
          <w:szCs w:val="20"/>
          <w:color w:val="auto"/>
        </w:rPr>
      </w:pPr>
      <w:r>
        <w:rPr>
          <w:rFonts w:ascii="Courier New" w:cs="Courier New" w:eastAsia="Courier New" w:hAnsi="Courier New"/>
          <w:sz w:val="16"/>
          <w:szCs w:val="16"/>
          <w:color w:val="auto"/>
        </w:rPr>
        <w:t>AT&amp;T ---------- --------------</w:t>
      </w:r>
    </w:p>
    <w:p>
      <w:pPr>
        <w:ind w:left="220" w:hanging="182"/>
        <w:spacing w:after="0" w:line="238" w:lineRule="auto"/>
        <w:tabs>
          <w:tab w:leader="none" w:pos="22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00" w:hanging="280"/>
        <w:spacing w:after="0"/>
        <w:tabs>
          <w:tab w:leader="none" w:pos="600"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tbl>
      <w:tblPr>
        <w:tblLayout w:type="fixed"/>
        <w:tblInd w:w="0" w:type="dxa"/>
        <w:tblCellMar>
          <w:top w:w="0" w:type="dxa"/>
          <w:left w:w="0" w:type="dxa"/>
          <w:bottom w:w="0" w:type="dxa"/>
          <w:right w:w="0" w:type="dxa"/>
        </w:tblCellMar>
      </w:tblPr>
      <w:tr>
        <w:trPr>
          <w:trHeight w:val="179"/>
        </w:trPr>
        <w:tc>
          <w:tcPr>
            <w:tcW w:w="1860" w:type="dxa"/>
            <w:vAlign w:val="bottom"/>
            <w:gridSpan w:val="2"/>
          </w:tcPr>
          <w:p>
            <w:pPr>
              <w:jc w:val="center"/>
              <w:ind w:left="944"/>
              <w:spacing w:after="0" w:line="179" w:lineRule="exact"/>
              <w:rPr>
                <w:sz w:val="20"/>
                <w:szCs w:val="20"/>
                <w:color w:val="auto"/>
              </w:rPr>
            </w:pPr>
            <w:r>
              <w:rPr>
                <w:rFonts w:ascii="Courier New" w:cs="Courier New" w:eastAsia="Courier New" w:hAnsi="Courier New"/>
                <w:sz w:val="16"/>
                <w:szCs w:val="16"/>
                <w:color w:val="auto"/>
                <w:w w:val="97"/>
              </w:rPr>
              <w:t>MILLIONS)</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Revenue........................</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$55,533 $</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$(8,445)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0"/>
        </w:trPr>
        <w:tc>
          <w:tcPr>
            <w:tcW w:w="2720" w:type="dxa"/>
            <w:vAlign w:val="bottom"/>
            <w:gridSpan w:val="4"/>
          </w:tcPr>
          <w:p>
            <w:pPr>
              <w:jc w:val="center"/>
              <w:ind w:left="84"/>
              <w:spacing w:after="0"/>
              <w:rPr>
                <w:sz w:val="20"/>
                <w:szCs w:val="20"/>
                <w:color w:val="auto"/>
              </w:rPr>
            </w:pPr>
            <w:r>
              <w:rPr>
                <w:rFonts w:ascii="Courier New" w:cs="Courier New" w:eastAsia="Courier New" w:hAnsi="Courier New"/>
                <w:sz w:val="16"/>
                <w:szCs w:val="16"/>
                <w:color w:val="auto"/>
                <w:w w:val="97"/>
              </w:rPr>
              <w:t>$47,204 OPERATING EXPENSES</w:t>
            </w:r>
          </w:p>
        </w:tc>
      </w:tr>
      <w:tr>
        <w:trPr>
          <w:trHeight w:val="180"/>
        </w:trPr>
        <w:tc>
          <w:tcPr>
            <w:tcW w:w="2720" w:type="dxa"/>
            <w:vAlign w:val="bottom"/>
            <w:gridSpan w:val="4"/>
          </w:tcPr>
          <w:p>
            <w:pPr>
              <w:jc w:val="center"/>
              <w:ind w:left="104"/>
              <w:spacing w:after="0"/>
              <w:rPr>
                <w:sz w:val="20"/>
                <w:szCs w:val="20"/>
                <w:color w:val="auto"/>
              </w:rPr>
            </w:pPr>
            <w:r>
              <w:rPr>
                <w:rFonts w:ascii="Courier New" w:cs="Courier New" w:eastAsia="Courier New" w:hAnsi="Courier New"/>
                <w:sz w:val="16"/>
                <w:szCs w:val="16"/>
                <w:color w:val="auto"/>
                <w:w w:val="98"/>
              </w:rPr>
              <w:t>Costs of services and</w:t>
            </w: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products.....................</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12,795 --</w:t>
            </w:r>
          </w:p>
        </w:tc>
        <w:tc>
          <w:tcPr>
            <w:tcW w:w="74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8"/>
              </w:rPr>
              <w:t>(4,600)</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0"/>
              </w:rPr>
              <w:t>117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8,312</w:t>
            </w:r>
          </w:p>
        </w:tc>
      </w:tr>
      <w:tr>
        <w:trPr>
          <w:trHeight w:val="180"/>
        </w:trPr>
        <w:tc>
          <w:tcPr>
            <w:tcW w:w="2220" w:type="dxa"/>
            <w:vAlign w:val="bottom"/>
            <w:gridSpan w:val="3"/>
          </w:tcPr>
          <w:p>
            <w:pPr>
              <w:jc w:val="center"/>
              <w:ind w:left="604"/>
              <w:spacing w:after="0"/>
              <w:rPr>
                <w:sz w:val="20"/>
                <w:szCs w:val="20"/>
                <w:color w:val="auto"/>
              </w:rPr>
            </w:pPr>
            <w:r>
              <w:rPr>
                <w:rFonts w:ascii="Courier New" w:cs="Courier New" w:eastAsia="Courier New" w:hAnsi="Courier New"/>
                <w:sz w:val="16"/>
                <w:szCs w:val="16"/>
                <w:color w:val="auto"/>
                <w:w w:val="97"/>
              </w:rPr>
              <w:t>Access and other</w:t>
            </w:r>
          </w:p>
        </w:tc>
        <w:tc>
          <w:tcPr>
            <w:tcW w:w="500" w:type="dxa"/>
            <w:vAlign w:val="bottom"/>
          </w:tcPr>
          <w:p>
            <w:pPr>
              <w:spacing w:after="0"/>
              <w:rPr>
                <w:sz w:val="15"/>
                <w:szCs w:val="15"/>
                <w:color w:val="auto"/>
              </w:rPr>
            </w:pPr>
          </w:p>
        </w:tc>
      </w:tr>
      <w:tr>
        <w:trPr>
          <w:trHeight w:val="180"/>
        </w:trPr>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w w:val="95"/>
              </w:rPr>
              <w:t>connection</w:t>
            </w: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 13,140 -- --</w:t>
            </w:r>
          </w:p>
        </w:tc>
      </w:tr>
    </w:tbl>
    <w:p>
      <w:pPr>
        <w:spacing w:after="0" w:line="4" w:lineRule="exact"/>
        <w:rPr>
          <w:sz w:val="20"/>
          <w:szCs w:val="20"/>
          <w:color w:val="auto"/>
        </w:rPr>
      </w:pPr>
    </w:p>
    <w:p>
      <w:pPr>
        <w:ind w:left="1300" w:right="7499" w:hanging="1121"/>
        <w:spacing w:after="0" w:line="236" w:lineRule="auto"/>
        <w:tabs>
          <w:tab w:leader="none" w:pos="55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13,139 Selling, general and</w:t>
      </w:r>
    </w:p>
    <w:tbl>
      <w:tblPr>
        <w:tblLayout w:type="fixed"/>
        <w:tblInd w:w="40" w:type="dxa"/>
        <w:tblCellMar>
          <w:top w:w="0" w:type="dxa"/>
          <w:left w:w="0" w:type="dxa"/>
          <w:bottom w:w="0" w:type="dxa"/>
          <w:right w:w="0" w:type="dxa"/>
        </w:tblCellMar>
      </w:tblPr>
      <w:tr>
        <w:trPr>
          <w:trHeight w:val="181"/>
        </w:trPr>
        <w:tc>
          <w:tcPr>
            <w:tcW w:w="2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administrative...............</w:t>
            </w:r>
          </w:p>
        </w:tc>
      </w:tr>
      <w:tr>
        <w:trPr>
          <w:trHeight w:val="180"/>
        </w:trPr>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9,752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84"/>
              </w:rPr>
              <w:t>-- (2,180) --</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7,572</w:t>
            </w:r>
          </w:p>
        </w:tc>
      </w:tr>
      <w:tr>
        <w:trPr>
          <w:trHeight w:val="180"/>
        </w:trPr>
        <w:tc>
          <w:tcPr>
            <w:tcW w:w="28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Depreciation and</w:t>
            </w:r>
          </w:p>
        </w:tc>
      </w:tr>
      <w:tr>
        <w:trPr>
          <w:trHeight w:val="180"/>
        </w:trPr>
        <w:tc>
          <w:tcPr>
            <w:tcW w:w="2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amortization.................</w:t>
            </w:r>
          </w:p>
        </w:tc>
      </w:tr>
      <w:tr>
        <w:trPr>
          <w:trHeight w:val="180"/>
        </w:trPr>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8,589 --</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(4,051) --</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4,538 Net</w:t>
            </w:r>
          </w:p>
        </w:tc>
      </w:tr>
      <w:tr>
        <w:trPr>
          <w:trHeight w:val="180"/>
        </w:trPr>
        <w:tc>
          <w:tcPr>
            <w:tcW w:w="282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restructuring and other</w:t>
            </w:r>
          </w:p>
        </w:tc>
      </w:tr>
      <w:tr>
        <w:trPr>
          <w:trHeight w:val="180"/>
        </w:trPr>
        <w:tc>
          <w:tcPr>
            <w:tcW w:w="188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80"/>
              </w:rPr>
              <w:t>charges......................</w:t>
            </w:r>
          </w:p>
        </w:tc>
        <w:tc>
          <w:tcPr>
            <w:tcW w:w="940" w:type="dxa"/>
            <w:vAlign w:val="bottom"/>
          </w:tcPr>
          <w:p>
            <w:pPr>
              <w:spacing w:after="0"/>
              <w:rPr>
                <w:sz w:val="15"/>
                <w:szCs w:val="15"/>
                <w:color w:val="auto"/>
              </w:rPr>
            </w:pP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7,029 --</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(6,270) --</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759 ------</w:t>
            </w:r>
          </w:p>
        </w:tc>
      </w:tr>
    </w:tbl>
    <w:p>
      <w:pPr>
        <w:ind w:left="220" w:hanging="182"/>
        <w:spacing w:after="0"/>
        <w:tabs>
          <w:tab w:leader="none" w:pos="2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operating</w:t>
      </w:r>
    </w:p>
    <w:tbl>
      <w:tblPr>
        <w:tblLayout w:type="fixed"/>
        <w:tblInd w:w="40" w:type="dxa"/>
        <w:tblCellMar>
          <w:top w:w="0" w:type="dxa"/>
          <w:left w:w="0" w:type="dxa"/>
          <w:bottom w:w="0" w:type="dxa"/>
          <w:right w:w="0" w:type="dxa"/>
        </w:tblCellMar>
      </w:tblPr>
      <w:tr>
        <w:trPr>
          <w:trHeight w:val="179"/>
        </w:trPr>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6"/>
              </w:rPr>
              <w:t>expenses.......</w:t>
            </w:r>
          </w:p>
        </w:tc>
        <w:tc>
          <w:tcPr>
            <w:tcW w:w="15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51,305 --</w:t>
            </w:r>
          </w:p>
        </w:tc>
      </w:tr>
      <w:tr>
        <w:trPr>
          <w:trHeight w:val="180"/>
        </w:trPr>
        <w:tc>
          <w:tcPr>
            <w:tcW w:w="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(17,101)</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116 34,320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Operating</w:t>
            </w:r>
          </w:p>
        </w:tc>
      </w:tr>
      <w:tr>
        <w:trPr>
          <w:trHeight w:val="180"/>
        </w:trPr>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income...............</w:t>
            </w: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4,228 --</w:t>
            </w:r>
          </w:p>
        </w:tc>
      </w:tr>
      <w:tr>
        <w:trPr>
          <w:trHeight w:val="180"/>
        </w:trPr>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8,656</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12,884</w:t>
            </w:r>
          </w:p>
        </w:tc>
        <w:tc>
          <w:tcPr>
            <w:tcW w:w="94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99"/>
              </w:rPr>
              <w:t>Other</w:t>
            </w:r>
          </w:p>
        </w:tc>
      </w:tr>
      <w:tr>
        <w:trPr>
          <w:trHeight w:val="180"/>
        </w:trPr>
        <w:tc>
          <w:tcPr>
            <w:tcW w:w="12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income...................</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1,150 --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74"/>
              </w:rPr>
              <w:t>39 --</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1,189 Interest</w:t>
            </w:r>
          </w:p>
        </w:tc>
      </w:tr>
      <w:tr>
        <w:trPr>
          <w:trHeight w:val="180"/>
        </w:trPr>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expense...............</w:t>
            </w: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2,964 -</w:t>
            </w:r>
          </w:p>
        </w:tc>
      </w:tr>
    </w:tbl>
    <w:p>
      <w:pPr>
        <w:spacing w:after="0" w:line="4" w:lineRule="exact"/>
        <w:rPr>
          <w:sz w:val="20"/>
          <w:szCs w:val="20"/>
          <w:color w:val="auto"/>
        </w:rPr>
      </w:pPr>
    </w:p>
    <w:p>
      <w:pPr>
        <w:ind w:left="140" w:right="7359" w:hanging="102"/>
        <w:spacing w:after="0" w:line="254" w:lineRule="auto"/>
        <w:tabs>
          <w:tab w:leader="none" w:pos="234"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(1,323) -- 1,641 Income from continuing operations before</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income taxes, minority</w:t>
      </w:r>
    </w:p>
    <w:p>
      <w:pPr>
        <w:jc w:val="center"/>
        <w:ind w:right="7319"/>
        <w:spacing w:after="0" w:line="237" w:lineRule="auto"/>
        <w:rPr>
          <w:sz w:val="20"/>
          <w:szCs w:val="20"/>
          <w:color w:val="auto"/>
        </w:rPr>
      </w:pPr>
      <w:r>
        <w:rPr>
          <w:rFonts w:ascii="Courier New" w:cs="Courier New" w:eastAsia="Courier New" w:hAnsi="Courier New"/>
          <w:sz w:val="16"/>
          <w:szCs w:val="16"/>
          <w:color w:val="auto"/>
        </w:rPr>
        <w:t>interest and (losses) earnings</w:t>
      </w:r>
    </w:p>
    <w:p>
      <w:pPr>
        <w:jc w:val="center"/>
        <w:ind w:right="7319"/>
        <w:spacing w:after="0"/>
        <w:rPr>
          <w:sz w:val="20"/>
          <w:szCs w:val="20"/>
          <w:color w:val="auto"/>
        </w:rPr>
      </w:pPr>
      <w:r>
        <w:rPr>
          <w:rFonts w:ascii="Courier New" w:cs="Courier New" w:eastAsia="Courier New" w:hAnsi="Courier New"/>
          <w:sz w:val="16"/>
          <w:szCs w:val="16"/>
          <w:color w:val="auto"/>
        </w:rPr>
        <w:t>related to equity</w:t>
      </w:r>
    </w:p>
    <w:p>
      <w:pPr>
        <w:jc w:val="center"/>
        <w:ind w:right="7319"/>
        <w:spacing w:after="0" w:line="238" w:lineRule="auto"/>
        <w:rPr>
          <w:sz w:val="20"/>
          <w:szCs w:val="20"/>
          <w:color w:val="auto"/>
        </w:rPr>
      </w:pPr>
      <w:r>
        <w:rPr>
          <w:rFonts w:ascii="Courier New" w:cs="Courier New" w:eastAsia="Courier New" w:hAnsi="Courier New"/>
          <w:sz w:val="16"/>
          <w:szCs w:val="16"/>
          <w:color w:val="auto"/>
        </w:rPr>
        <w:t>investments........... 2,414 -</w:t>
      </w:r>
    </w:p>
    <w:p>
      <w:pPr>
        <w:jc w:val="center"/>
        <w:ind w:right="7339"/>
        <w:spacing w:after="0"/>
        <w:rPr>
          <w:sz w:val="20"/>
          <w:szCs w:val="20"/>
          <w:color w:val="auto"/>
        </w:rPr>
      </w:pPr>
      <w:r>
        <w:rPr>
          <w:rFonts w:ascii="Courier New" w:cs="Courier New" w:eastAsia="Courier New" w:hAnsi="Courier New"/>
          <w:sz w:val="16"/>
          <w:szCs w:val="16"/>
          <w:color w:val="auto"/>
        </w:rPr>
        <w:t>- 10,018 -- 12,432 Provision</w:t>
      </w:r>
    </w:p>
    <w:p>
      <w:pPr>
        <w:jc w:val="center"/>
        <w:ind w:right="7319"/>
        <w:spacing w:after="0" w:line="238" w:lineRule="auto"/>
        <w:rPr>
          <w:sz w:val="20"/>
          <w:szCs w:val="20"/>
          <w:color w:val="auto"/>
        </w:rPr>
      </w:pPr>
      <w:r>
        <w:rPr>
          <w:rFonts w:ascii="Courier New" w:cs="Courier New" w:eastAsia="Courier New" w:hAnsi="Courier New"/>
          <w:sz w:val="16"/>
          <w:szCs w:val="16"/>
          <w:color w:val="auto"/>
        </w:rPr>
        <w:t>for income taxes..... 3,284 --</w:t>
      </w:r>
    </w:p>
    <w:p>
      <w:pPr>
        <w:jc w:val="center"/>
        <w:ind w:right="7319"/>
        <w:spacing w:after="0"/>
        <w:rPr>
          <w:sz w:val="20"/>
          <w:szCs w:val="20"/>
          <w:color w:val="auto"/>
        </w:rPr>
      </w:pPr>
      <w:r>
        <w:rPr>
          <w:rFonts w:ascii="Courier New" w:cs="Courier New" w:eastAsia="Courier New" w:hAnsi="Courier New"/>
          <w:sz w:val="16"/>
          <w:szCs w:val="16"/>
          <w:color w:val="auto"/>
        </w:rPr>
        <w:t>1,183 -- 4,467 Minority</w:t>
      </w:r>
    </w:p>
    <w:p>
      <w:pPr>
        <w:jc w:val="center"/>
        <w:ind w:right="7319"/>
        <w:spacing w:after="0" w:line="237" w:lineRule="auto"/>
        <w:rPr>
          <w:sz w:val="20"/>
          <w:szCs w:val="20"/>
          <w:color w:val="auto"/>
        </w:rPr>
      </w:pPr>
      <w:r>
        <w:rPr>
          <w:rFonts w:ascii="Courier New" w:cs="Courier New" w:eastAsia="Courier New" w:hAnsi="Courier New"/>
          <w:sz w:val="16"/>
          <w:szCs w:val="16"/>
          <w:color w:val="auto"/>
        </w:rPr>
        <w:t>interest income....... 4,103 -</w:t>
      </w:r>
    </w:p>
    <w:p>
      <w:pPr>
        <w:jc w:val="center"/>
        <w:ind w:right="7319"/>
        <w:spacing w:after="0"/>
        <w:rPr>
          <w:sz w:val="20"/>
          <w:szCs w:val="20"/>
          <w:color w:val="auto"/>
        </w:rPr>
      </w:pPr>
      <w:r>
        <w:rPr>
          <w:rFonts w:ascii="Courier New" w:cs="Courier New" w:eastAsia="Courier New" w:hAnsi="Courier New"/>
          <w:sz w:val="16"/>
          <w:szCs w:val="16"/>
          <w:color w:val="auto"/>
        </w:rPr>
        <w:t>- (4,062) -- 41 Equity</w:t>
      </w:r>
    </w:p>
    <w:p>
      <w:pPr>
        <w:jc w:val="center"/>
        <w:ind w:right="7319"/>
        <w:spacing w:after="0" w:line="238" w:lineRule="auto"/>
        <w:rPr>
          <w:sz w:val="20"/>
          <w:szCs w:val="20"/>
          <w:color w:val="auto"/>
        </w:rPr>
      </w:pPr>
      <w:r>
        <w:rPr>
          <w:rFonts w:ascii="Courier New" w:cs="Courier New" w:eastAsia="Courier New" w:hAnsi="Courier New"/>
          <w:sz w:val="16"/>
          <w:szCs w:val="16"/>
          <w:color w:val="auto"/>
        </w:rPr>
        <w:t>earnings from Liberty Media</w:t>
      </w:r>
    </w:p>
    <w:p>
      <w:pPr>
        <w:jc w:val="center"/>
        <w:ind w:right="7319"/>
        <w:spacing w:after="0"/>
        <w:rPr>
          <w:sz w:val="20"/>
          <w:szCs w:val="20"/>
          <w:color w:val="auto"/>
        </w:rPr>
      </w:pPr>
      <w:r>
        <w:rPr>
          <w:rFonts w:ascii="Courier New" w:cs="Courier New" w:eastAsia="Courier New" w:hAnsi="Courier New"/>
          <w:sz w:val="16"/>
          <w:szCs w:val="16"/>
          <w:color w:val="auto"/>
        </w:rPr>
        <w:t>Group.................. 1,488</w:t>
      </w:r>
    </w:p>
    <w:p>
      <w:pPr>
        <w:jc w:val="center"/>
        <w:ind w:right="7319"/>
        <w:spacing w:after="0" w:line="238" w:lineRule="auto"/>
        <w:rPr>
          <w:sz w:val="20"/>
          <w:szCs w:val="20"/>
          <w:color w:val="auto"/>
        </w:rPr>
      </w:pPr>
      <w:r>
        <w:rPr>
          <w:rFonts w:ascii="Courier New" w:cs="Courier New" w:eastAsia="Courier New" w:hAnsi="Courier New"/>
          <w:sz w:val="16"/>
          <w:szCs w:val="16"/>
          <w:color w:val="auto"/>
        </w:rPr>
        <w:t>(1,488) -- -- -- Net (losses)</w:t>
      </w:r>
    </w:p>
    <w:p>
      <w:pPr>
        <w:jc w:val="center"/>
        <w:ind w:right="7319"/>
        <w:spacing w:after="0"/>
        <w:rPr>
          <w:sz w:val="20"/>
          <w:szCs w:val="20"/>
          <w:color w:val="auto"/>
        </w:rPr>
      </w:pPr>
      <w:r>
        <w:rPr>
          <w:rFonts w:ascii="Courier New" w:cs="Courier New" w:eastAsia="Courier New" w:hAnsi="Courier New"/>
          <w:sz w:val="16"/>
          <w:szCs w:val="16"/>
          <w:color w:val="auto"/>
        </w:rPr>
        <w:t>earnings related to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equity</w:t>
      </w:r>
    </w:p>
    <w:p>
      <w:pPr>
        <w:jc w:val="center"/>
        <w:ind w:right="7339"/>
        <w:spacing w:after="0"/>
        <w:rPr>
          <w:sz w:val="20"/>
          <w:szCs w:val="20"/>
          <w:color w:val="auto"/>
        </w:rPr>
      </w:pPr>
      <w:r>
        <w:rPr>
          <w:rFonts w:ascii="Courier New" w:cs="Courier New" w:eastAsia="Courier New" w:hAnsi="Courier New"/>
          <w:sz w:val="16"/>
          <w:szCs w:val="16"/>
          <w:color w:val="auto"/>
        </w:rPr>
        <w:t>investments..................</w:t>
      </w:r>
    </w:p>
    <w:p>
      <w:pPr>
        <w:jc w:val="center"/>
        <w:ind w:right="7319"/>
        <w:spacing w:after="0" w:line="238" w:lineRule="auto"/>
        <w:rPr>
          <w:sz w:val="20"/>
          <w:szCs w:val="20"/>
          <w:color w:val="auto"/>
        </w:rPr>
      </w:pPr>
      <w:r>
        <w:rPr>
          <w:rFonts w:ascii="Courier New" w:cs="Courier New" w:eastAsia="Courier New" w:hAnsi="Courier New"/>
          <w:sz w:val="16"/>
          <w:szCs w:val="16"/>
          <w:color w:val="auto"/>
        </w:rPr>
        <w:t>(588) -- 597 -- 9 ------- ----</w:t>
      </w:r>
    </w:p>
    <w:p>
      <w:pPr>
        <w:jc w:val="center"/>
        <w:ind w:right="7319"/>
        <w:spacing w:after="0"/>
        <w:rPr>
          <w:sz w:val="20"/>
          <w:szCs w:val="20"/>
          <w:color w:val="auto"/>
        </w:rPr>
      </w:pPr>
      <w:r>
        <w:rPr>
          <w:rFonts w:ascii="Courier New" w:cs="Courier New" w:eastAsia="Courier New" w:hAnsi="Courier New"/>
          <w:sz w:val="16"/>
          <w:szCs w:val="16"/>
          <w:color w:val="auto"/>
        </w:rPr>
        <w:t>--- ------- ---- ------- Net</w:t>
      </w:r>
    </w:p>
    <w:p>
      <w:pPr>
        <w:jc w:val="center"/>
        <w:ind w:right="7319"/>
        <w:spacing w:after="0" w:line="238" w:lineRule="auto"/>
        <w:rPr>
          <w:sz w:val="20"/>
          <w:szCs w:val="20"/>
          <w:color w:val="auto"/>
        </w:rPr>
      </w:pPr>
      <w:r>
        <w:rPr>
          <w:rFonts w:ascii="Courier New" w:cs="Courier New" w:eastAsia="Courier New" w:hAnsi="Courier New"/>
          <w:sz w:val="16"/>
          <w:szCs w:val="16"/>
          <w:color w:val="auto"/>
        </w:rPr>
        <w:t>income from continuing</w:t>
      </w:r>
    </w:p>
    <w:p>
      <w:pPr>
        <w:jc w:val="center"/>
        <w:ind w:right="7339"/>
        <w:spacing w:after="0"/>
        <w:rPr>
          <w:sz w:val="20"/>
          <w:szCs w:val="20"/>
          <w:color w:val="auto"/>
        </w:rPr>
      </w:pPr>
      <w:r>
        <w:rPr>
          <w:rFonts w:ascii="Courier New" w:cs="Courier New" w:eastAsia="Courier New" w:hAnsi="Courier New"/>
          <w:sz w:val="16"/>
          <w:szCs w:val="16"/>
          <w:color w:val="auto"/>
        </w:rPr>
        <w:t>operations attributable to</w:t>
      </w:r>
    </w:p>
    <w:p>
      <w:pPr>
        <w:ind w:left="80"/>
        <w:spacing w:after="0" w:line="237" w:lineRule="auto"/>
        <w:rPr>
          <w:sz w:val="20"/>
          <w:szCs w:val="20"/>
          <w:color w:val="auto"/>
        </w:rPr>
      </w:pPr>
      <w:r>
        <w:rPr>
          <w:rFonts w:ascii="Courier New" w:cs="Courier New" w:eastAsia="Courier New" w:hAnsi="Courier New"/>
          <w:sz w:val="16"/>
          <w:szCs w:val="16"/>
          <w:color w:val="auto"/>
        </w:rPr>
        <w:t>common shareowners...........</w:t>
      </w:r>
    </w:p>
    <w:p>
      <w:pPr>
        <w:ind w:left="80"/>
        <w:spacing w:after="0"/>
        <w:rPr>
          <w:sz w:val="20"/>
          <w:szCs w:val="20"/>
          <w:color w:val="auto"/>
        </w:rPr>
      </w:pPr>
      <w:r>
        <w:rPr>
          <w:rFonts w:ascii="Courier New" w:cs="Courier New" w:eastAsia="Courier New" w:hAnsi="Courier New"/>
          <w:sz w:val="16"/>
          <w:szCs w:val="16"/>
          <w:color w:val="auto"/>
        </w:rPr>
        <w:t>$ 4,133 $(1,488) $ 5,370 $ --</w:t>
      </w:r>
    </w:p>
    <w:p>
      <w:pPr>
        <w:ind w:left="560" w:hanging="193"/>
        <w:spacing w:after="0" w:line="238" w:lineRule="auto"/>
        <w:tabs>
          <w:tab w:leader="none" w:pos="56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8,015 ======= =======</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AT&amp;T</w:t>
      </w:r>
    </w:p>
    <w:p>
      <w:pPr>
        <w:jc w:val="center"/>
        <w:ind w:right="7339"/>
        <w:spacing w:after="0" w:line="237" w:lineRule="auto"/>
        <w:rPr>
          <w:sz w:val="20"/>
          <w:szCs w:val="20"/>
          <w:color w:val="auto"/>
        </w:rPr>
      </w:pPr>
      <w:r>
        <w:rPr>
          <w:rFonts w:ascii="Courier New" w:cs="Courier New" w:eastAsia="Courier New" w:hAnsi="Courier New"/>
          <w:sz w:val="16"/>
          <w:szCs w:val="16"/>
          <w:color w:val="auto"/>
        </w:rPr>
        <w:t>COMMON STOCK GROUP: Earnings</w:t>
      </w:r>
    </w:p>
    <w:p>
      <w:pPr>
        <w:jc w:val="center"/>
        <w:ind w:right="7319"/>
        <w:spacing w:after="0"/>
        <w:rPr>
          <w:sz w:val="20"/>
          <w:szCs w:val="20"/>
          <w:color w:val="auto"/>
        </w:rPr>
      </w:pPr>
      <w:r>
        <w:rPr>
          <w:rFonts w:ascii="Courier New" w:cs="Courier New" w:eastAsia="Courier New" w:hAnsi="Courier New"/>
          <w:sz w:val="16"/>
          <w:szCs w:val="16"/>
          <w:color w:val="auto"/>
        </w:rPr>
        <w:t>from continuing</w:t>
      </w:r>
    </w:p>
    <w:p>
      <w:pPr>
        <w:ind w:left="80"/>
        <w:spacing w:after="0" w:line="238"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both"/>
        <w:ind w:left="80" w:right="7359" w:hanging="42"/>
        <w:spacing w:after="0" w:line="254" w:lineRule="auto"/>
        <w:tabs>
          <w:tab w:leader="none" w:pos="221"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2,645 $ 3,903(h)(j) Weighted average shares outstanding --</w:t>
      </w:r>
    </w:p>
    <w:p>
      <w:pPr>
        <w:jc w:val="center"/>
        <w:ind w:right="7319"/>
        <w:spacing w:after="0" w:line="234" w:lineRule="auto"/>
        <w:rPr>
          <w:sz w:val="20"/>
          <w:szCs w:val="20"/>
          <w:color w:val="auto"/>
        </w:rPr>
      </w:pPr>
      <w:r>
        <w:rPr>
          <w:rFonts w:ascii="Courier New" w:cs="Courier New" w:eastAsia="Courier New" w:hAnsi="Courier New"/>
          <w:sz w:val="16"/>
          <w:szCs w:val="16"/>
          <w:color w:val="auto"/>
        </w:rPr>
        <w:t>basic......... 3,486 3,526</w:t>
      </w:r>
    </w:p>
    <w:p>
      <w:pPr>
        <w:jc w:val="center"/>
        <w:ind w:right="7319"/>
        <w:spacing w:after="0"/>
        <w:rPr>
          <w:sz w:val="20"/>
          <w:szCs w:val="20"/>
          <w:color w:val="auto"/>
        </w:rPr>
      </w:pPr>
      <w:r>
        <w:rPr>
          <w:rFonts w:ascii="Courier New" w:cs="Courier New" w:eastAsia="Courier New" w:hAnsi="Courier New"/>
          <w:sz w:val="16"/>
          <w:szCs w:val="16"/>
          <w:color w:val="auto"/>
        </w:rPr>
        <w:t>Basic earnings per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share....... 0.76 1.11</w:t>
      </w:r>
    </w:p>
    <w:p>
      <w:pPr>
        <w:jc w:val="center"/>
        <w:ind w:right="7319"/>
        <w:spacing w:after="0"/>
        <w:rPr>
          <w:sz w:val="20"/>
          <w:szCs w:val="20"/>
          <w:color w:val="auto"/>
        </w:rPr>
      </w:pPr>
      <w:r>
        <w:rPr>
          <w:rFonts w:ascii="Courier New" w:cs="Courier New" w:eastAsia="Courier New" w:hAnsi="Courier New"/>
          <w:sz w:val="16"/>
          <w:szCs w:val="16"/>
          <w:color w:val="auto"/>
        </w:rPr>
        <w:t>Earnings from continuing</w:t>
      </w:r>
    </w:p>
    <w:p>
      <w:pPr>
        <w:jc w:val="center"/>
        <w:ind w:right="7339"/>
        <w:spacing w:after="0" w:line="238" w:lineRule="auto"/>
        <w:rPr>
          <w:sz w:val="20"/>
          <w:szCs w:val="20"/>
          <w:color w:val="auto"/>
        </w:rPr>
      </w:pPr>
      <w:r>
        <w:rPr>
          <w:rFonts w:ascii="Courier New" w:cs="Courier New" w:eastAsia="Courier New" w:hAnsi="Courier New"/>
          <w:sz w:val="16"/>
          <w:szCs w:val="16"/>
          <w:color w:val="auto"/>
        </w:rPr>
        <w:t>operations...................</w:t>
      </w:r>
    </w:p>
    <w:p>
      <w:pPr>
        <w:jc w:val="center"/>
        <w:ind w:right="7319"/>
        <w:spacing w:after="0"/>
        <w:rPr>
          <w:sz w:val="20"/>
          <w:szCs w:val="20"/>
          <w:color w:val="auto"/>
        </w:rPr>
      </w:pPr>
      <w:r>
        <w:rPr>
          <w:rFonts w:ascii="Courier New" w:cs="Courier New" w:eastAsia="Courier New" w:hAnsi="Courier New"/>
          <w:sz w:val="16"/>
          <w:szCs w:val="16"/>
          <w:color w:val="auto"/>
        </w:rPr>
        <w:t>2,677 3,903(h)(j) Weighted</w:t>
      </w:r>
    </w:p>
    <w:p>
      <w:pPr>
        <w:jc w:val="center"/>
        <w:ind w:right="7319"/>
        <w:spacing w:after="0" w:line="237" w:lineRule="auto"/>
        <w:rPr>
          <w:sz w:val="20"/>
          <w:szCs w:val="20"/>
          <w:color w:val="auto"/>
        </w:rPr>
      </w:pPr>
      <w:r>
        <w:rPr>
          <w:rFonts w:ascii="Courier New" w:cs="Courier New" w:eastAsia="Courier New" w:hAnsi="Courier New"/>
          <w:sz w:val="16"/>
          <w:szCs w:val="16"/>
          <w:color w:val="auto"/>
        </w:rPr>
        <w:t>average shares outstanding --</w:t>
      </w:r>
    </w:p>
    <w:p>
      <w:pPr>
        <w:jc w:val="center"/>
        <w:ind w:right="7319"/>
        <w:spacing w:after="0"/>
        <w:rPr>
          <w:sz w:val="20"/>
          <w:szCs w:val="20"/>
          <w:color w:val="auto"/>
        </w:rPr>
      </w:pPr>
      <w:r>
        <w:rPr>
          <w:rFonts w:ascii="Courier New" w:cs="Courier New" w:eastAsia="Courier New" w:hAnsi="Courier New"/>
          <w:sz w:val="16"/>
          <w:szCs w:val="16"/>
          <w:color w:val="auto"/>
        </w:rPr>
        <w:t>diluted....... 3,545 3,545</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Diluted earnings per</w:t>
      </w:r>
    </w:p>
    <w:p>
      <w:pPr>
        <w:jc w:val="center"/>
        <w:ind w:right="7319"/>
        <w:spacing w:after="0"/>
        <w:rPr>
          <w:sz w:val="20"/>
          <w:szCs w:val="20"/>
          <w:color w:val="auto"/>
        </w:rPr>
      </w:pPr>
      <w:r>
        <w:rPr>
          <w:rFonts w:ascii="Courier New" w:cs="Courier New" w:eastAsia="Courier New" w:hAnsi="Courier New"/>
          <w:sz w:val="16"/>
          <w:szCs w:val="16"/>
          <w:color w:val="auto"/>
        </w:rPr>
        <w:t>share..... 0.75 1.10(i)</w:t>
      </w:r>
    </w:p>
    <w:p>
      <w:pPr>
        <w:jc w:val="center"/>
        <w:ind w:right="7319"/>
        <w:spacing w:after="0" w:line="238" w:lineRule="auto"/>
        <w:rPr>
          <w:sz w:val="20"/>
          <w:szCs w:val="20"/>
          <w:color w:val="auto"/>
        </w:rPr>
      </w:pPr>
      <w:r>
        <w:rPr>
          <w:rFonts w:ascii="Courier New" w:cs="Courier New" w:eastAsia="Courier New" w:hAnsi="Courier New"/>
          <w:sz w:val="16"/>
          <w:szCs w:val="16"/>
          <w:color w:val="auto"/>
        </w:rPr>
        <w:t>LIBERTY MEDIA GROUP: Basic and</w:t>
      </w:r>
    </w:p>
    <w:p>
      <w:pPr>
        <w:jc w:val="center"/>
        <w:ind w:right="7319"/>
        <w:spacing w:after="0"/>
        <w:rPr>
          <w:sz w:val="20"/>
          <w:szCs w:val="20"/>
          <w:color w:val="auto"/>
        </w:rPr>
      </w:pPr>
      <w:r>
        <w:rPr>
          <w:rFonts w:ascii="Courier New" w:cs="Courier New" w:eastAsia="Courier New" w:hAnsi="Courier New"/>
          <w:sz w:val="16"/>
          <w:szCs w:val="16"/>
          <w:color w:val="auto"/>
        </w:rPr>
        <w:t>diluted earnings per</w:t>
      </w:r>
    </w:p>
    <w:p>
      <w:pPr>
        <w:ind w:left="80"/>
        <w:spacing w:after="0" w:line="237" w:lineRule="auto"/>
        <w:rPr>
          <w:sz w:val="20"/>
          <w:szCs w:val="20"/>
          <w:color w:val="auto"/>
        </w:rPr>
      </w:pPr>
      <w:r>
        <w:rPr>
          <w:rFonts w:ascii="Courier New" w:cs="Courier New" w:eastAsia="Courier New" w:hAnsi="Courier New"/>
          <w:sz w:val="16"/>
          <w:szCs w:val="16"/>
          <w:color w:val="auto"/>
        </w:rPr>
        <w:t>share........................</w:t>
      </w:r>
    </w:p>
    <w:p>
      <w:pPr>
        <w:ind w:left="1160"/>
        <w:spacing w:after="0"/>
        <w:rPr>
          <w:sz w:val="20"/>
          <w:szCs w:val="20"/>
          <w:color w:val="auto"/>
        </w:rPr>
      </w:pPr>
      <w:r>
        <w:rPr>
          <w:rFonts w:ascii="Courier New" w:cs="Courier New" w:eastAsia="Courier New" w:hAnsi="Courier New"/>
          <w:sz w:val="16"/>
          <w:szCs w:val="16"/>
          <w:color w:val="auto"/>
        </w:rPr>
        <w:t>$ 0.58</w:t>
      </w:r>
    </w:p>
    <w:p>
      <w:pPr>
        <w:spacing w:after="0" w:line="36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F-8</w:t>
      </w:r>
    </w:p>
    <w:p>
      <w:pPr>
        <w:sectPr>
          <w:pgSz w:w="11900" w:h="16908" w:orient="portrait"/>
          <w:cols w:equalWidth="0" w:num="1">
            <w:col w:w="10219"/>
          </w:cols>
          <w:pgMar w:left="240" w:top="654" w:right="1440" w:bottom="0" w:gutter="0" w:footer="0" w:header="0"/>
        </w:sectPr>
      </w:pPr>
    </w:p>
    <w:bookmarkStart w:id="196" w:name="page197"/>
    <w:bookmarkEnd w:id="196"/>
    <w:p>
      <w:pPr>
        <w:jc w:val="center"/>
        <w:ind w:right="2719"/>
        <w:spacing w:after="0"/>
        <w:rPr>
          <w:sz w:val="20"/>
          <w:szCs w:val="20"/>
          <w:color w:val="auto"/>
        </w:rPr>
      </w:pPr>
      <w:r>
        <w:rPr>
          <w:rFonts w:ascii="Courier New" w:cs="Courier New" w:eastAsia="Courier New" w:hAnsi="Courier New"/>
          <w:sz w:val="16"/>
          <w:szCs w:val="16"/>
          <w:color w:val="auto"/>
        </w:rPr>
        <w:t>AT&amp;T</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jc w:val="center"/>
        <w:ind w:right="2719"/>
        <w:spacing w:after="0"/>
        <w:rPr>
          <w:sz w:val="20"/>
          <w:szCs w:val="20"/>
          <w:color w:val="auto"/>
        </w:rPr>
      </w:pPr>
      <w:r>
        <w:rPr>
          <w:rFonts w:ascii="Courier New" w:cs="Courier New" w:eastAsia="Courier New" w:hAnsi="Courier New"/>
          <w:sz w:val="16"/>
          <w:szCs w:val="16"/>
          <w:color w:val="auto"/>
        </w:rPr>
        <w:t>FOR THE YEAR ENDED DECEMBER 31, 1999</w:t>
      </w:r>
    </w:p>
    <w:p>
      <w:pPr>
        <w:spacing w:after="0" w:line="179"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AT&amp;T LIBERTY MEDIA BROADBAND</w:t>
      </w:r>
    </w:p>
    <w:p>
      <w:pPr>
        <w:jc w:val="center"/>
        <w:ind w:right="7319"/>
        <w:spacing w:after="0"/>
        <w:rPr>
          <w:sz w:val="20"/>
          <w:szCs w:val="20"/>
          <w:color w:val="auto"/>
        </w:rPr>
      </w:pPr>
      <w:r>
        <w:rPr>
          <w:rFonts w:ascii="Courier New" w:cs="Courier New" w:eastAsia="Courier New" w:hAnsi="Courier New"/>
          <w:sz w:val="16"/>
          <w:szCs w:val="16"/>
          <w:color w:val="auto"/>
        </w:rPr>
        <w:t>HISTORICAL GROUP GROUP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PRO FORMA AT&amp;T(A)</w:t>
      </w:r>
    </w:p>
    <w:p>
      <w:pPr>
        <w:jc w:val="center"/>
        <w:ind w:right="7319"/>
        <w:spacing w:after="0"/>
        <w:rPr>
          <w:sz w:val="20"/>
          <w:szCs w:val="20"/>
          <w:color w:val="auto"/>
        </w:rPr>
      </w:pPr>
      <w:r>
        <w:rPr>
          <w:rFonts w:ascii="Courier New" w:cs="Courier New" w:eastAsia="Courier New" w:hAnsi="Courier New"/>
          <w:sz w:val="16"/>
          <w:szCs w:val="16"/>
          <w:color w:val="auto"/>
        </w:rPr>
        <w:t>DISTRIBUTION(B)</w:t>
      </w:r>
    </w:p>
    <w:p>
      <w:pPr>
        <w:jc w:val="center"/>
        <w:ind w:right="7319"/>
        <w:spacing w:after="0" w:line="238" w:lineRule="auto"/>
        <w:rPr>
          <w:sz w:val="20"/>
          <w:szCs w:val="20"/>
          <w:color w:val="auto"/>
        </w:rPr>
      </w:pPr>
      <w:r>
        <w:rPr>
          <w:rFonts w:ascii="Courier New" w:cs="Courier New" w:eastAsia="Courier New" w:hAnsi="Courier New"/>
          <w:sz w:val="16"/>
          <w:szCs w:val="16"/>
          <w:color w:val="auto"/>
        </w:rPr>
        <w:t>DISTRIBUTION(E) ADJUSTMENTS(G)</w:t>
      </w:r>
    </w:p>
    <w:p>
      <w:pPr>
        <w:ind w:left="40"/>
        <w:spacing w:after="0"/>
        <w:rPr>
          <w:sz w:val="20"/>
          <w:szCs w:val="20"/>
          <w:color w:val="auto"/>
        </w:rPr>
      </w:pPr>
      <w:r>
        <w:rPr>
          <w:rFonts w:ascii="Courier New" w:cs="Courier New" w:eastAsia="Courier New" w:hAnsi="Courier New"/>
          <w:sz w:val="16"/>
          <w:szCs w:val="16"/>
          <w:color w:val="auto"/>
        </w:rPr>
        <w:t>AT&amp;T ---------- --------------</w:t>
      </w:r>
    </w:p>
    <w:p>
      <w:pPr>
        <w:ind w:left="220" w:hanging="182"/>
        <w:spacing w:after="0" w:line="238" w:lineRule="auto"/>
        <w:tabs>
          <w:tab w:leader="none" w:pos="22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00" w:hanging="280"/>
        <w:spacing w:after="0"/>
        <w:tabs>
          <w:tab w:leader="none" w:pos="600" w:val="left"/>
        </w:tabs>
        <w:numPr>
          <w:ilvl w:val="1"/>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p>
      <w:pPr>
        <w:jc w:val="center"/>
        <w:ind w:right="7319"/>
        <w:spacing w:after="0" w:line="237" w:lineRule="auto"/>
        <w:rPr>
          <w:sz w:val="20"/>
          <w:szCs w:val="20"/>
          <w:color w:val="auto"/>
        </w:rPr>
      </w:pPr>
      <w:r>
        <w:rPr>
          <w:rFonts w:ascii="Courier New" w:cs="Courier New" w:eastAsia="Courier New" w:hAnsi="Courier New"/>
          <w:sz w:val="16"/>
          <w:szCs w:val="16"/>
          <w:color w:val="auto"/>
        </w:rPr>
        <w:t>MILLIONS)</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$54,973 $ -- $(5,080) $32</w:t>
      </w:r>
    </w:p>
    <w:p>
      <w:pPr>
        <w:jc w:val="center"/>
        <w:ind w:right="7319"/>
        <w:spacing w:after="0"/>
        <w:rPr>
          <w:sz w:val="20"/>
          <w:szCs w:val="20"/>
          <w:color w:val="auto"/>
        </w:rPr>
      </w:pPr>
      <w:r>
        <w:rPr>
          <w:rFonts w:ascii="Courier New" w:cs="Courier New" w:eastAsia="Courier New" w:hAnsi="Courier New"/>
          <w:sz w:val="16"/>
          <w:szCs w:val="16"/>
          <w:color w:val="auto"/>
        </w:rPr>
        <w:t>$49,925 OPERATING EXPENSES</w:t>
      </w:r>
    </w:p>
    <w:p>
      <w:pPr>
        <w:jc w:val="center"/>
        <w:ind w:right="7319"/>
        <w:spacing w:after="0" w:line="237" w:lineRule="auto"/>
        <w:rPr>
          <w:sz w:val="20"/>
          <w:szCs w:val="20"/>
          <w:color w:val="auto"/>
        </w:rPr>
      </w:pPr>
      <w:r>
        <w:rPr>
          <w:rFonts w:ascii="Courier New" w:cs="Courier New" w:eastAsia="Courier New" w:hAnsi="Courier New"/>
          <w:sz w:val="16"/>
          <w:szCs w:val="16"/>
          <w:color w:val="auto"/>
        </w:rPr>
        <w:t>Costs of services and</w:t>
      </w:r>
    </w:p>
    <w:p>
      <w:pPr>
        <w:jc w:val="center"/>
        <w:ind w:right="7319"/>
        <w:spacing w:after="0"/>
        <w:rPr>
          <w:sz w:val="20"/>
          <w:szCs w:val="20"/>
          <w:color w:val="auto"/>
        </w:rPr>
      </w:pPr>
      <w:r>
        <w:rPr>
          <w:rFonts w:ascii="Courier New" w:cs="Courier New" w:eastAsia="Courier New" w:hAnsi="Courier New"/>
          <w:sz w:val="16"/>
          <w:szCs w:val="16"/>
          <w:color w:val="auto"/>
        </w:rPr>
        <w:t>products.....................</w:t>
      </w:r>
    </w:p>
    <w:p>
      <w:pPr>
        <w:jc w:val="center"/>
        <w:ind w:right="7319"/>
        <w:spacing w:after="0" w:line="238" w:lineRule="auto"/>
        <w:rPr>
          <w:sz w:val="20"/>
          <w:szCs w:val="20"/>
          <w:color w:val="auto"/>
        </w:rPr>
      </w:pPr>
      <w:r>
        <w:rPr>
          <w:rFonts w:ascii="Courier New" w:cs="Courier New" w:eastAsia="Courier New" w:hAnsi="Courier New"/>
          <w:sz w:val="16"/>
          <w:szCs w:val="16"/>
          <w:color w:val="auto"/>
        </w:rPr>
        <w:t>11,013 -- (2,686) 32 8,359</w:t>
      </w:r>
    </w:p>
    <w:p>
      <w:pPr>
        <w:jc w:val="center"/>
        <w:ind w:right="7319"/>
        <w:spacing w:after="0"/>
        <w:rPr>
          <w:sz w:val="20"/>
          <w:szCs w:val="20"/>
          <w:color w:val="auto"/>
        </w:rPr>
      </w:pPr>
      <w:r>
        <w:rPr>
          <w:rFonts w:ascii="Courier New" w:cs="Courier New" w:eastAsia="Courier New" w:hAnsi="Courier New"/>
          <w:sz w:val="16"/>
          <w:szCs w:val="16"/>
          <w:color w:val="auto"/>
        </w:rPr>
        <w:t>Access and other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connection.... 14,439 -- -- --</w:t>
      </w:r>
    </w:p>
    <w:p>
      <w:pPr>
        <w:jc w:val="center"/>
        <w:ind w:right="7319"/>
        <w:spacing w:after="0"/>
        <w:rPr>
          <w:sz w:val="20"/>
          <w:szCs w:val="20"/>
          <w:color w:val="auto"/>
        </w:rPr>
      </w:pPr>
      <w:r>
        <w:rPr>
          <w:rFonts w:ascii="Courier New" w:cs="Courier New" w:eastAsia="Courier New" w:hAnsi="Courier New"/>
          <w:sz w:val="16"/>
          <w:szCs w:val="16"/>
          <w:color w:val="auto"/>
        </w:rPr>
        <w:t>14,439 Selling, general and</w:t>
      </w:r>
    </w:p>
    <w:p>
      <w:pPr>
        <w:jc w:val="center"/>
        <w:ind w:right="7319"/>
        <w:spacing w:after="0" w:line="237" w:lineRule="auto"/>
        <w:rPr>
          <w:sz w:val="20"/>
          <w:szCs w:val="20"/>
          <w:color w:val="auto"/>
        </w:rPr>
      </w:pPr>
      <w:r>
        <w:rPr>
          <w:rFonts w:ascii="Courier New" w:cs="Courier New" w:eastAsia="Courier New" w:hAnsi="Courier New"/>
          <w:sz w:val="16"/>
          <w:szCs w:val="16"/>
          <w:color w:val="auto"/>
        </w:rPr>
        <w:t>administrative...............</w:t>
      </w:r>
    </w:p>
    <w:p>
      <w:pPr>
        <w:jc w:val="center"/>
        <w:ind w:right="7319"/>
        <w:spacing w:after="0"/>
        <w:rPr>
          <w:sz w:val="20"/>
          <w:szCs w:val="20"/>
          <w:color w:val="auto"/>
        </w:rPr>
      </w:pPr>
      <w:r>
        <w:rPr>
          <w:rFonts w:ascii="Courier New" w:cs="Courier New" w:eastAsia="Courier New" w:hAnsi="Courier New"/>
          <w:sz w:val="16"/>
          <w:szCs w:val="16"/>
          <w:color w:val="auto"/>
        </w:rPr>
        <w:t>10,894 -- (1,253) -- 9,641</w:t>
      </w:r>
    </w:p>
    <w:p>
      <w:pPr>
        <w:jc w:val="center"/>
        <w:ind w:right="7319"/>
        <w:spacing w:after="0" w:line="238" w:lineRule="auto"/>
        <w:rPr>
          <w:sz w:val="20"/>
          <w:szCs w:val="20"/>
          <w:color w:val="auto"/>
        </w:rPr>
      </w:pPr>
      <w:r>
        <w:rPr>
          <w:rFonts w:ascii="Courier New" w:cs="Courier New" w:eastAsia="Courier New" w:hAnsi="Courier New"/>
          <w:sz w:val="16"/>
          <w:szCs w:val="16"/>
          <w:color w:val="auto"/>
        </w:rPr>
        <w:t>Depreciation and</w:t>
      </w:r>
    </w:p>
    <w:p>
      <w:pPr>
        <w:jc w:val="center"/>
        <w:ind w:right="7319"/>
        <w:spacing w:after="0"/>
        <w:rPr>
          <w:sz w:val="20"/>
          <w:szCs w:val="20"/>
          <w:color w:val="auto"/>
        </w:rPr>
      </w:pPr>
      <w:r>
        <w:rPr>
          <w:rFonts w:ascii="Courier New" w:cs="Courier New" w:eastAsia="Courier New" w:hAnsi="Courier New"/>
          <w:sz w:val="16"/>
          <w:szCs w:val="16"/>
          <w:color w:val="auto"/>
        </w:rPr>
        <w:t>amortization.................</w:t>
      </w:r>
    </w:p>
    <w:p>
      <w:pPr>
        <w:jc w:val="center"/>
        <w:ind w:right="7319"/>
        <w:spacing w:after="0" w:line="238" w:lineRule="auto"/>
        <w:rPr>
          <w:sz w:val="20"/>
          <w:szCs w:val="20"/>
          <w:color w:val="auto"/>
        </w:rPr>
      </w:pPr>
      <w:r>
        <w:rPr>
          <w:rFonts w:ascii="Courier New" w:cs="Courier New" w:eastAsia="Courier New" w:hAnsi="Courier New"/>
          <w:sz w:val="16"/>
          <w:szCs w:val="16"/>
          <w:color w:val="auto"/>
        </w:rPr>
        <w:t>6,194 -- (1,674) -- 4,520 Net</w:t>
      </w:r>
    </w:p>
    <w:p>
      <w:pPr>
        <w:jc w:val="center"/>
        <w:ind w:right="7319"/>
        <w:spacing w:after="0"/>
        <w:rPr>
          <w:sz w:val="20"/>
          <w:szCs w:val="20"/>
          <w:color w:val="auto"/>
        </w:rPr>
      </w:pPr>
      <w:r>
        <w:rPr>
          <w:rFonts w:ascii="Courier New" w:cs="Courier New" w:eastAsia="Courier New" w:hAnsi="Courier New"/>
          <w:sz w:val="16"/>
          <w:szCs w:val="16"/>
          <w:color w:val="auto"/>
        </w:rPr>
        <w:t>restructuring and other</w:t>
      </w:r>
    </w:p>
    <w:p>
      <w:pPr>
        <w:jc w:val="center"/>
        <w:ind w:right="7319"/>
        <w:spacing w:after="0" w:line="237" w:lineRule="auto"/>
        <w:rPr>
          <w:sz w:val="20"/>
          <w:szCs w:val="20"/>
          <w:color w:val="auto"/>
        </w:rPr>
      </w:pPr>
      <w:r>
        <w:rPr>
          <w:rFonts w:ascii="Courier New" w:cs="Courier New" w:eastAsia="Courier New" w:hAnsi="Courier New"/>
          <w:sz w:val="16"/>
          <w:szCs w:val="16"/>
          <w:color w:val="auto"/>
        </w:rPr>
        <w:t>charges......................</w:t>
      </w:r>
    </w:p>
    <w:p>
      <w:pPr>
        <w:jc w:val="center"/>
        <w:ind w:right="7319"/>
        <w:spacing w:after="0"/>
        <w:rPr>
          <w:sz w:val="20"/>
          <w:szCs w:val="20"/>
          <w:color w:val="auto"/>
        </w:rPr>
      </w:pPr>
      <w:r>
        <w:rPr>
          <w:rFonts w:ascii="Courier New" w:cs="Courier New" w:eastAsia="Courier New" w:hAnsi="Courier New"/>
          <w:sz w:val="16"/>
          <w:szCs w:val="16"/>
          <w:color w:val="auto"/>
        </w:rPr>
        <w:t>975 -- (644) -- 331 ------- --</w:t>
      </w:r>
    </w:p>
    <w:p>
      <w:pPr>
        <w:jc w:val="center"/>
        <w:ind w:right="7319"/>
        <w:spacing w:after="0" w:line="238" w:lineRule="auto"/>
        <w:rPr>
          <w:sz w:val="20"/>
          <w:szCs w:val="20"/>
          <w:color w:val="auto"/>
        </w:rPr>
      </w:pPr>
      <w:r>
        <w:rPr>
          <w:rFonts w:ascii="Courier New" w:cs="Courier New" w:eastAsia="Courier New" w:hAnsi="Courier New"/>
          <w:sz w:val="16"/>
          <w:szCs w:val="16"/>
          <w:color w:val="auto"/>
        </w:rPr>
        <w:t>---- ------- --- ------- Total</w:t>
      </w:r>
    </w:p>
    <w:p>
      <w:pPr>
        <w:jc w:val="center"/>
        <w:ind w:right="7319"/>
        <w:spacing w:after="0"/>
        <w:rPr>
          <w:sz w:val="20"/>
          <w:szCs w:val="20"/>
          <w:color w:val="auto"/>
        </w:rPr>
      </w:pPr>
      <w:r>
        <w:rPr>
          <w:rFonts w:ascii="Courier New" w:cs="Courier New" w:eastAsia="Courier New" w:hAnsi="Courier New"/>
          <w:sz w:val="16"/>
          <w:szCs w:val="16"/>
          <w:color w:val="auto"/>
        </w:rPr>
        <w:t>operating expenses.......</w:t>
      </w:r>
    </w:p>
    <w:p>
      <w:pPr>
        <w:jc w:val="center"/>
        <w:ind w:right="7319"/>
        <w:spacing w:after="0" w:line="238" w:lineRule="auto"/>
        <w:rPr>
          <w:sz w:val="20"/>
          <w:szCs w:val="20"/>
          <w:color w:val="auto"/>
        </w:rPr>
      </w:pPr>
      <w:r>
        <w:rPr>
          <w:rFonts w:ascii="Courier New" w:cs="Courier New" w:eastAsia="Courier New" w:hAnsi="Courier New"/>
          <w:sz w:val="16"/>
          <w:szCs w:val="16"/>
          <w:color w:val="auto"/>
        </w:rPr>
        <w:t>43,515 -- (6,257) 32 37,290</w:t>
      </w:r>
    </w:p>
    <w:p>
      <w:pPr>
        <w:jc w:val="center"/>
        <w:ind w:right="7319"/>
        <w:spacing w:after="0"/>
        <w:rPr>
          <w:sz w:val="20"/>
          <w:szCs w:val="20"/>
          <w:color w:val="auto"/>
        </w:rPr>
      </w:pPr>
      <w:r>
        <w:rPr>
          <w:rFonts w:ascii="Courier New" w:cs="Courier New" w:eastAsia="Courier New" w:hAnsi="Courier New"/>
          <w:sz w:val="16"/>
          <w:szCs w:val="16"/>
          <w:color w:val="auto"/>
        </w:rPr>
        <w:t>Operating</w:t>
      </w:r>
    </w:p>
    <w:p>
      <w:pPr>
        <w:jc w:val="center"/>
        <w:ind w:right="7319"/>
        <w:spacing w:after="0" w:line="237" w:lineRule="auto"/>
        <w:rPr>
          <w:sz w:val="20"/>
          <w:szCs w:val="20"/>
          <w:color w:val="auto"/>
        </w:rPr>
      </w:pPr>
      <w:r>
        <w:rPr>
          <w:rFonts w:ascii="Courier New" w:cs="Courier New" w:eastAsia="Courier New" w:hAnsi="Courier New"/>
          <w:sz w:val="16"/>
          <w:szCs w:val="16"/>
          <w:color w:val="auto"/>
        </w:rPr>
        <w:t>income............... 11,458 -</w:t>
      </w:r>
    </w:p>
    <w:p>
      <w:pPr>
        <w:jc w:val="center"/>
        <w:ind w:right="7319"/>
        <w:spacing w:after="0"/>
        <w:rPr>
          <w:sz w:val="20"/>
          <w:szCs w:val="20"/>
          <w:color w:val="auto"/>
        </w:rPr>
      </w:pPr>
      <w:r>
        <w:rPr>
          <w:rFonts w:ascii="Courier New" w:cs="Courier New" w:eastAsia="Courier New" w:hAnsi="Courier New"/>
          <w:sz w:val="16"/>
          <w:szCs w:val="16"/>
          <w:color w:val="auto"/>
        </w:rPr>
        <w:t>- 1,177 -- 12,635 Other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income................... 826</w:t>
      </w:r>
    </w:p>
    <w:p>
      <w:pPr>
        <w:jc w:val="center"/>
        <w:ind w:right="7319"/>
        <w:spacing w:after="0"/>
        <w:rPr>
          <w:sz w:val="20"/>
          <w:szCs w:val="20"/>
          <w:color w:val="auto"/>
        </w:rPr>
      </w:pPr>
      <w:r>
        <w:rPr>
          <w:rFonts w:ascii="Courier New" w:cs="Courier New" w:eastAsia="Courier New" w:hAnsi="Courier New"/>
          <w:sz w:val="16"/>
          <w:szCs w:val="16"/>
          <w:color w:val="auto"/>
        </w:rPr>
        <w:t>-- (50) -- 776 Interest</w:t>
      </w:r>
    </w:p>
    <w:p>
      <w:pPr>
        <w:jc w:val="center"/>
        <w:ind w:right="7319"/>
        <w:spacing w:after="0" w:line="238" w:lineRule="auto"/>
        <w:rPr>
          <w:sz w:val="20"/>
          <w:szCs w:val="20"/>
          <w:color w:val="auto"/>
        </w:rPr>
      </w:pPr>
      <w:r>
        <w:rPr>
          <w:rFonts w:ascii="Courier New" w:cs="Courier New" w:eastAsia="Courier New" w:hAnsi="Courier New"/>
          <w:sz w:val="16"/>
          <w:szCs w:val="16"/>
          <w:color w:val="auto"/>
        </w:rPr>
        <w:t>expense............... 1,503 -</w:t>
      </w:r>
    </w:p>
    <w:p>
      <w:pPr>
        <w:spacing w:after="0" w:line="4" w:lineRule="exact"/>
        <w:rPr>
          <w:sz w:val="20"/>
          <w:szCs w:val="20"/>
          <w:color w:val="auto"/>
        </w:rPr>
      </w:pPr>
    </w:p>
    <w:p>
      <w:pPr>
        <w:ind w:left="140" w:right="7459" w:firstLine="86"/>
        <w:spacing w:after="0" w:line="254" w:lineRule="auto"/>
        <w:tabs>
          <w:tab w:leader="none" w:pos="42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(705) -- 798 Income from continuing operations before</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income taxes, minority</w:t>
      </w:r>
    </w:p>
    <w:tbl>
      <w:tblPr>
        <w:tblLayout w:type="fixed"/>
        <w:tblInd w:w="40" w:type="dxa"/>
        <w:tblCellMar>
          <w:top w:w="0" w:type="dxa"/>
          <w:left w:w="0" w:type="dxa"/>
          <w:bottom w:w="0" w:type="dxa"/>
          <w:right w:w="0" w:type="dxa"/>
        </w:tblCellMar>
      </w:tblPr>
      <w:tr>
        <w:trPr>
          <w:trHeight w:val="179"/>
        </w:trPr>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interest and</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(losses)</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earnings</w:t>
            </w:r>
          </w:p>
        </w:tc>
      </w:tr>
      <w:tr>
        <w:trPr>
          <w:trHeight w:val="180"/>
        </w:trPr>
        <w:tc>
          <w:tcPr>
            <w:tcW w:w="320" w:type="dxa"/>
            <w:vAlign w:val="bottom"/>
          </w:tcPr>
          <w:p>
            <w:pPr>
              <w:spacing w:after="0"/>
              <w:rPr>
                <w:sz w:val="15"/>
                <w:szCs w:val="15"/>
                <w:color w:val="auto"/>
              </w:rPr>
            </w:pPr>
          </w:p>
        </w:tc>
        <w:tc>
          <w:tcPr>
            <w:tcW w:w="2500" w:type="dxa"/>
            <w:vAlign w:val="bottom"/>
            <w:gridSpan w:val="3"/>
          </w:tcPr>
          <w:p>
            <w:pPr>
              <w:jc w:val="right"/>
              <w:ind w:right="542"/>
              <w:spacing w:after="0"/>
              <w:rPr>
                <w:sz w:val="20"/>
                <w:szCs w:val="20"/>
                <w:color w:val="auto"/>
              </w:rPr>
            </w:pPr>
            <w:r>
              <w:rPr>
                <w:rFonts w:ascii="Courier New" w:cs="Courier New" w:eastAsia="Courier New" w:hAnsi="Courier New"/>
                <w:sz w:val="16"/>
                <w:szCs w:val="16"/>
                <w:color w:val="auto"/>
              </w:rPr>
              <w:t>related to equity</w:t>
            </w:r>
          </w:p>
        </w:tc>
      </w:tr>
      <w:tr>
        <w:trPr>
          <w:trHeight w:val="180"/>
        </w:trPr>
        <w:tc>
          <w:tcPr>
            <w:tcW w:w="20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2"/>
              </w:rPr>
              <w:t>investments...........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10,781</w:t>
            </w:r>
          </w:p>
        </w:tc>
      </w:tr>
      <w:tr>
        <w:trPr>
          <w:trHeight w:val="180"/>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1,832 --</w:t>
            </w: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6"/>
              </w:rPr>
              <w:t>12,613 Provision</w:t>
            </w:r>
          </w:p>
        </w:tc>
      </w:tr>
      <w:tr>
        <w:trPr>
          <w:trHeight w:val="180"/>
        </w:trPr>
        <w:tc>
          <w:tcPr>
            <w:tcW w:w="32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income taxes.....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4,016 --</w:t>
            </w:r>
          </w:p>
        </w:tc>
      </w:tr>
      <w:tr>
        <w:trPr>
          <w:trHeight w:val="180"/>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465</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-- 4,481</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Minority</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r>
      <w:tr>
        <w:trPr>
          <w:trHeight w:val="180"/>
        </w:trPr>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2"/>
              </w:rPr>
              <w:t>expense......</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(126) -- 126 --</w:t>
            </w:r>
          </w:p>
        </w:tc>
      </w:tr>
    </w:tbl>
    <w:p>
      <w:pPr>
        <w:spacing w:after="0" w:line="4" w:lineRule="exact"/>
        <w:rPr>
          <w:sz w:val="20"/>
          <w:szCs w:val="20"/>
          <w:color w:val="auto"/>
        </w:rPr>
      </w:pPr>
    </w:p>
    <w:p>
      <w:pPr>
        <w:jc w:val="both"/>
        <w:ind w:left="80" w:right="7419" w:firstLine="5"/>
        <w:spacing w:after="0" w:line="254" w:lineRule="auto"/>
        <w:tabs>
          <w:tab w:leader="none" w:pos="36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losses from Liberty Media Group..................</w:t>
      </w:r>
    </w:p>
    <w:p>
      <w:pPr>
        <w:jc w:val="center"/>
        <w:ind w:right="7319"/>
        <w:spacing w:after="0" w:line="234" w:lineRule="auto"/>
        <w:rPr>
          <w:sz w:val="20"/>
          <w:szCs w:val="20"/>
          <w:color w:val="auto"/>
        </w:rPr>
      </w:pPr>
      <w:r>
        <w:rPr>
          <w:rFonts w:ascii="Courier New" w:cs="Courier New" w:eastAsia="Courier New" w:hAnsi="Courier New"/>
          <w:sz w:val="16"/>
          <w:szCs w:val="16"/>
          <w:color w:val="auto"/>
        </w:rPr>
        <w:t>(2,022) 2,022 -- -- -- Net</w:t>
      </w:r>
    </w:p>
    <w:p>
      <w:pPr>
        <w:jc w:val="center"/>
        <w:ind w:right="7319"/>
        <w:spacing w:after="0"/>
        <w:rPr>
          <w:sz w:val="20"/>
          <w:szCs w:val="20"/>
          <w:color w:val="auto"/>
        </w:rPr>
      </w:pPr>
      <w:r>
        <w:rPr>
          <w:rFonts w:ascii="Courier New" w:cs="Courier New" w:eastAsia="Courier New" w:hAnsi="Courier New"/>
          <w:sz w:val="16"/>
          <w:szCs w:val="16"/>
          <w:color w:val="auto"/>
        </w:rPr>
        <w:t>losses related to other equity</w:t>
      </w:r>
    </w:p>
    <w:p>
      <w:pPr>
        <w:jc w:val="center"/>
        <w:ind w:right="7319"/>
        <w:spacing w:after="0" w:line="238" w:lineRule="auto"/>
        <w:rPr>
          <w:sz w:val="20"/>
          <w:szCs w:val="20"/>
          <w:color w:val="auto"/>
        </w:rPr>
      </w:pPr>
      <w:r>
        <w:rPr>
          <w:rFonts w:ascii="Courier New" w:cs="Courier New" w:eastAsia="Courier New" w:hAnsi="Courier New"/>
          <w:sz w:val="16"/>
          <w:szCs w:val="16"/>
          <w:color w:val="auto"/>
        </w:rPr>
        <w:t>investments........... (756) -</w:t>
      </w:r>
    </w:p>
    <w:p>
      <w:pPr>
        <w:jc w:val="center"/>
        <w:ind w:right="7319"/>
        <w:spacing w:after="0"/>
        <w:rPr>
          <w:sz w:val="20"/>
          <w:szCs w:val="20"/>
          <w:color w:val="auto"/>
        </w:rPr>
      </w:pPr>
      <w:r>
        <w:rPr>
          <w:rFonts w:ascii="Courier New" w:cs="Courier New" w:eastAsia="Courier New" w:hAnsi="Courier New"/>
          <w:sz w:val="16"/>
          <w:szCs w:val="16"/>
          <w:color w:val="auto"/>
        </w:rPr>
        <w:t>- 707 -- (49) ------- ------ -</w:t>
      </w:r>
    </w:p>
    <w:p>
      <w:pPr>
        <w:jc w:val="center"/>
        <w:ind w:right="7319"/>
        <w:spacing w:after="0" w:line="238" w:lineRule="auto"/>
        <w:rPr>
          <w:sz w:val="20"/>
          <w:szCs w:val="20"/>
          <w:color w:val="auto"/>
        </w:rPr>
      </w:pPr>
      <w:r>
        <w:rPr>
          <w:rFonts w:ascii="Courier New" w:cs="Courier New" w:eastAsia="Courier New" w:hAnsi="Courier New"/>
          <w:sz w:val="16"/>
          <w:szCs w:val="16"/>
          <w:color w:val="auto"/>
        </w:rPr>
        <w:t>------ --- ------- Net income</w:t>
      </w:r>
    </w:p>
    <w:p>
      <w:pPr>
        <w:jc w:val="center"/>
        <w:ind w:right="7319"/>
        <w:spacing w:after="0"/>
        <w:rPr>
          <w:sz w:val="20"/>
          <w:szCs w:val="20"/>
          <w:color w:val="auto"/>
        </w:rPr>
      </w:pPr>
      <w:r>
        <w:rPr>
          <w:rFonts w:ascii="Courier New" w:cs="Courier New" w:eastAsia="Courier New" w:hAnsi="Courier New"/>
          <w:sz w:val="16"/>
          <w:szCs w:val="16"/>
          <w:color w:val="auto"/>
        </w:rPr>
        <w:t>from continuing operations</w:t>
      </w:r>
    </w:p>
    <w:p>
      <w:pPr>
        <w:jc w:val="center"/>
        <w:ind w:right="7319"/>
        <w:spacing w:after="0" w:line="237" w:lineRule="auto"/>
        <w:rPr>
          <w:sz w:val="20"/>
          <w:szCs w:val="20"/>
          <w:color w:val="auto"/>
        </w:rPr>
      </w:pPr>
      <w:r>
        <w:rPr>
          <w:rFonts w:ascii="Courier New" w:cs="Courier New" w:eastAsia="Courier New" w:hAnsi="Courier New"/>
          <w:sz w:val="16"/>
          <w:szCs w:val="16"/>
          <w:color w:val="auto"/>
        </w:rPr>
        <w:t>attributable to common</w:t>
      </w:r>
    </w:p>
    <w:p>
      <w:pPr>
        <w:jc w:val="center"/>
        <w:ind w:right="7319"/>
        <w:spacing w:after="0"/>
        <w:rPr>
          <w:sz w:val="20"/>
          <w:szCs w:val="20"/>
          <w:color w:val="auto"/>
        </w:rPr>
      </w:pPr>
      <w:r>
        <w:rPr>
          <w:rFonts w:ascii="Courier New" w:cs="Courier New" w:eastAsia="Courier New" w:hAnsi="Courier New"/>
          <w:sz w:val="16"/>
          <w:szCs w:val="16"/>
          <w:color w:val="auto"/>
        </w:rPr>
        <w:t>shareowners........... $ 3,861</w:t>
      </w:r>
    </w:p>
    <w:p>
      <w:pPr>
        <w:jc w:val="center"/>
        <w:ind w:right="7319"/>
        <w:spacing w:after="0" w:line="238" w:lineRule="auto"/>
        <w:rPr>
          <w:sz w:val="20"/>
          <w:szCs w:val="20"/>
          <w:color w:val="auto"/>
        </w:rPr>
      </w:pPr>
      <w:r>
        <w:rPr>
          <w:rFonts w:ascii="Courier New" w:cs="Courier New" w:eastAsia="Courier New" w:hAnsi="Courier New"/>
          <w:sz w:val="16"/>
          <w:szCs w:val="16"/>
          <w:color w:val="auto"/>
        </w:rPr>
        <w:t>$2,022 $ 2,200 $-- $ 8,083</w:t>
      </w:r>
    </w:p>
    <w:p>
      <w:pPr>
        <w:jc w:val="center"/>
        <w:ind w:right="7319"/>
        <w:spacing w:after="0"/>
        <w:rPr>
          <w:sz w:val="20"/>
          <w:szCs w:val="20"/>
          <w:color w:val="auto"/>
        </w:rPr>
      </w:pPr>
      <w:r>
        <w:rPr>
          <w:rFonts w:ascii="Courier New" w:cs="Courier New" w:eastAsia="Courier New" w:hAnsi="Courier New"/>
          <w:sz w:val="16"/>
          <w:szCs w:val="16"/>
          <w:color w:val="auto"/>
        </w:rPr>
        <w:t>======= ====== ======= ===</w:t>
      </w:r>
    </w:p>
    <w:p>
      <w:pPr>
        <w:jc w:val="center"/>
        <w:ind w:right="7319"/>
        <w:spacing w:after="0" w:line="238" w:lineRule="auto"/>
        <w:rPr>
          <w:sz w:val="20"/>
          <w:szCs w:val="20"/>
          <w:color w:val="auto"/>
        </w:rPr>
      </w:pPr>
      <w:r>
        <w:rPr>
          <w:rFonts w:ascii="Courier New" w:cs="Courier New" w:eastAsia="Courier New" w:hAnsi="Courier New"/>
          <w:sz w:val="16"/>
          <w:szCs w:val="16"/>
          <w:color w:val="auto"/>
        </w:rPr>
        <w:t>======= AT&amp;T COMMON STOCK</w:t>
      </w:r>
    </w:p>
    <w:p>
      <w:pPr>
        <w:jc w:val="center"/>
        <w:ind w:right="7319"/>
        <w:spacing w:after="0"/>
        <w:rPr>
          <w:sz w:val="20"/>
          <w:szCs w:val="20"/>
          <w:color w:val="auto"/>
        </w:rPr>
      </w:pPr>
      <w:r>
        <w:rPr>
          <w:rFonts w:ascii="Courier New" w:cs="Courier New" w:eastAsia="Courier New" w:hAnsi="Courier New"/>
          <w:sz w:val="16"/>
          <w:szCs w:val="16"/>
          <w:color w:val="auto"/>
        </w:rPr>
        <w:t>GROUP: Earnings from</w:t>
      </w:r>
    </w:p>
    <w:p>
      <w:pPr>
        <w:jc w:val="center"/>
        <w:ind w:right="7319"/>
        <w:spacing w:after="0" w:line="237" w:lineRule="auto"/>
        <w:rPr>
          <w:sz w:val="20"/>
          <w:szCs w:val="20"/>
          <w:color w:val="auto"/>
        </w:rPr>
      </w:pPr>
      <w:r>
        <w:rPr>
          <w:rFonts w:ascii="Courier New" w:cs="Courier New" w:eastAsia="Courier New" w:hAnsi="Courier New"/>
          <w:sz w:val="16"/>
          <w:szCs w:val="16"/>
          <w:color w:val="auto"/>
        </w:rPr>
        <w:t>continuing</w:t>
      </w:r>
    </w:p>
    <w:p>
      <w:pPr>
        <w:ind w:left="80"/>
        <w:spacing w:after="0"/>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both"/>
        <w:ind w:left="80" w:right="7359" w:hanging="42"/>
        <w:spacing w:after="0" w:line="254" w:lineRule="auto"/>
        <w:tabs>
          <w:tab w:leader="none" w:pos="221"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5,883 $ 3,450(h)(j) Weighted average shares outstanding --</w:t>
      </w:r>
    </w:p>
    <w:p>
      <w:pPr>
        <w:jc w:val="center"/>
        <w:ind w:right="7319"/>
        <w:spacing w:after="0" w:line="234" w:lineRule="auto"/>
        <w:rPr>
          <w:sz w:val="20"/>
          <w:szCs w:val="20"/>
          <w:color w:val="auto"/>
        </w:rPr>
      </w:pPr>
      <w:r>
        <w:rPr>
          <w:rFonts w:ascii="Courier New" w:cs="Courier New" w:eastAsia="Courier New" w:hAnsi="Courier New"/>
          <w:sz w:val="16"/>
          <w:szCs w:val="16"/>
          <w:color w:val="auto"/>
        </w:rPr>
        <w:t>basic......... 3,082 3,115</w:t>
      </w:r>
    </w:p>
    <w:p>
      <w:pPr>
        <w:jc w:val="center"/>
        <w:ind w:right="7319"/>
        <w:spacing w:after="0"/>
        <w:rPr>
          <w:sz w:val="20"/>
          <w:szCs w:val="20"/>
          <w:color w:val="auto"/>
        </w:rPr>
      </w:pPr>
      <w:r>
        <w:rPr>
          <w:rFonts w:ascii="Courier New" w:cs="Courier New" w:eastAsia="Courier New" w:hAnsi="Courier New"/>
          <w:sz w:val="16"/>
          <w:szCs w:val="16"/>
          <w:color w:val="auto"/>
        </w:rPr>
        <w:t>Basic earnings per</w:t>
      </w:r>
    </w:p>
    <w:p>
      <w:pPr>
        <w:jc w:val="center"/>
        <w:ind w:right="7319"/>
        <w:spacing w:after="0" w:line="238" w:lineRule="auto"/>
        <w:rPr>
          <w:sz w:val="20"/>
          <w:szCs w:val="20"/>
          <w:color w:val="auto"/>
        </w:rPr>
      </w:pPr>
      <w:r>
        <w:rPr>
          <w:rFonts w:ascii="Courier New" w:cs="Courier New" w:eastAsia="Courier New" w:hAnsi="Courier New"/>
          <w:sz w:val="16"/>
          <w:szCs w:val="16"/>
          <w:color w:val="auto"/>
        </w:rPr>
        <w:t>share....... 1.91 1.11</w:t>
      </w:r>
    </w:p>
    <w:p>
      <w:pPr>
        <w:jc w:val="center"/>
        <w:ind w:right="7319"/>
        <w:spacing w:after="0"/>
        <w:rPr>
          <w:sz w:val="20"/>
          <w:szCs w:val="20"/>
          <w:color w:val="auto"/>
        </w:rPr>
      </w:pPr>
      <w:r>
        <w:rPr>
          <w:rFonts w:ascii="Courier New" w:cs="Courier New" w:eastAsia="Courier New" w:hAnsi="Courier New"/>
          <w:sz w:val="16"/>
          <w:szCs w:val="16"/>
          <w:color w:val="auto"/>
        </w:rPr>
        <w:t>Earnings from continuing</w:t>
      </w:r>
    </w:p>
    <w:p>
      <w:pPr>
        <w:ind w:left="80"/>
        <w:spacing w:after="0" w:line="238" w:lineRule="auto"/>
        <w:rPr>
          <w:sz w:val="20"/>
          <w:szCs w:val="20"/>
          <w:color w:val="auto"/>
        </w:rPr>
      </w:pPr>
      <w:r>
        <w:rPr>
          <w:rFonts w:ascii="Courier New" w:cs="Courier New" w:eastAsia="Courier New" w:hAnsi="Courier New"/>
          <w:sz w:val="16"/>
          <w:szCs w:val="16"/>
          <w:color w:val="auto"/>
        </w:rPr>
        <w:t>operations...................</w:t>
      </w:r>
    </w:p>
    <w:p>
      <w:pPr>
        <w:jc w:val="center"/>
        <w:ind w:right="7319"/>
        <w:spacing w:after="0"/>
        <w:rPr>
          <w:sz w:val="20"/>
          <w:szCs w:val="20"/>
          <w:color w:val="auto"/>
        </w:rPr>
      </w:pPr>
      <w:r>
        <w:rPr>
          <w:rFonts w:ascii="Courier New" w:cs="Courier New" w:eastAsia="Courier New" w:hAnsi="Courier New"/>
          <w:sz w:val="16"/>
          <w:szCs w:val="16"/>
          <w:color w:val="auto"/>
        </w:rPr>
        <w:t>5,909 3,450(h)(j) Weighted</w:t>
      </w:r>
    </w:p>
    <w:p>
      <w:pPr>
        <w:jc w:val="center"/>
        <w:ind w:right="7319"/>
        <w:spacing w:after="0" w:line="237" w:lineRule="auto"/>
        <w:rPr>
          <w:sz w:val="20"/>
          <w:szCs w:val="20"/>
          <w:color w:val="auto"/>
        </w:rPr>
      </w:pPr>
      <w:r>
        <w:rPr>
          <w:rFonts w:ascii="Courier New" w:cs="Courier New" w:eastAsia="Courier New" w:hAnsi="Courier New"/>
          <w:sz w:val="16"/>
          <w:szCs w:val="16"/>
          <w:color w:val="auto"/>
        </w:rPr>
        <w:t>average shares outstanding --</w:t>
      </w:r>
    </w:p>
    <w:tbl>
      <w:tblPr>
        <w:tblLayout w:type="fixed"/>
        <w:tblInd w:w="220" w:type="dxa"/>
        <w:tblCellMar>
          <w:top w:w="0" w:type="dxa"/>
          <w:left w:w="0" w:type="dxa"/>
          <w:bottom w:w="0" w:type="dxa"/>
          <w:right w:w="0" w:type="dxa"/>
        </w:tblCellMar>
      </w:tblPr>
      <w:tr>
        <w:trPr>
          <w:trHeight w:val="181"/>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diluted</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96"/>
              </w:rPr>
              <w:t>....... 3,152 3,152</w:t>
            </w:r>
          </w:p>
        </w:tc>
      </w:tr>
      <w:tr>
        <w:trPr>
          <w:trHeight w:val="180"/>
        </w:trPr>
        <w:tc>
          <w:tcPr>
            <w:tcW w:w="24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Diluted earnings per</w:t>
            </w:r>
          </w:p>
        </w:tc>
      </w:tr>
      <w:tr>
        <w:trPr>
          <w:trHeight w:val="18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71"/>
              </w:rPr>
              <w:t>share.....</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1.87 1.09(i)</w:t>
            </w:r>
          </w:p>
        </w:tc>
      </w:tr>
    </w:tbl>
    <w:p>
      <w:pPr>
        <w:jc w:val="center"/>
        <w:ind w:right="7319"/>
        <w:spacing w:after="0"/>
        <w:rPr>
          <w:sz w:val="20"/>
          <w:szCs w:val="20"/>
          <w:color w:val="auto"/>
        </w:rPr>
      </w:pPr>
      <w:r>
        <w:rPr>
          <w:rFonts w:ascii="Courier New" w:cs="Courier New" w:eastAsia="Courier New" w:hAnsi="Courier New"/>
          <w:sz w:val="16"/>
          <w:szCs w:val="16"/>
          <w:color w:val="auto"/>
        </w:rPr>
        <w:t>LIBERTY MEDIA GROUP: Basic and</w:t>
      </w:r>
    </w:p>
    <w:p>
      <w:pPr>
        <w:jc w:val="center"/>
        <w:ind w:right="7319"/>
        <w:spacing w:after="0" w:line="237" w:lineRule="auto"/>
        <w:rPr>
          <w:sz w:val="20"/>
          <w:szCs w:val="20"/>
          <w:color w:val="auto"/>
        </w:rPr>
      </w:pPr>
      <w:r>
        <w:rPr>
          <w:rFonts w:ascii="Courier New" w:cs="Courier New" w:eastAsia="Courier New" w:hAnsi="Courier New"/>
          <w:sz w:val="16"/>
          <w:szCs w:val="16"/>
          <w:color w:val="auto"/>
        </w:rPr>
        <w:t>diluted loss per</w:t>
      </w:r>
    </w:p>
    <w:p>
      <w:pPr>
        <w:ind w:left="80"/>
        <w:spacing w:after="0"/>
        <w:rPr>
          <w:sz w:val="20"/>
          <w:szCs w:val="20"/>
          <w:color w:val="auto"/>
        </w:rPr>
      </w:pPr>
      <w:r>
        <w:rPr>
          <w:rFonts w:ascii="Courier New" w:cs="Courier New" w:eastAsia="Courier New" w:hAnsi="Courier New"/>
          <w:sz w:val="16"/>
          <w:szCs w:val="16"/>
          <w:color w:val="auto"/>
        </w:rPr>
        <w:t>share........................</w:t>
      </w:r>
    </w:p>
    <w:p>
      <w:pPr>
        <w:ind w:left="1080"/>
        <w:spacing w:after="0" w:line="238" w:lineRule="auto"/>
        <w:rPr>
          <w:sz w:val="20"/>
          <w:szCs w:val="20"/>
          <w:color w:val="auto"/>
        </w:rPr>
      </w:pPr>
      <w:r>
        <w:rPr>
          <w:rFonts w:ascii="Courier New" w:cs="Courier New" w:eastAsia="Courier New" w:hAnsi="Courier New"/>
          <w:sz w:val="16"/>
          <w:szCs w:val="16"/>
          <w:color w:val="auto"/>
        </w:rPr>
        <w:t>$ (0.80)</w:t>
      </w:r>
    </w:p>
    <w:p>
      <w:pPr>
        <w:spacing w:after="0" w:line="36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54" w:right="1440" w:bottom="107" w:gutter="0" w:footer="0" w:header="0"/>
        </w:sectPr>
      </w:pPr>
    </w:p>
    <w:bookmarkStart w:id="197" w:name="page198"/>
    <w:bookmarkEnd w:id="197"/>
    <w:p>
      <w:pPr>
        <w:ind w:left="1960"/>
        <w:spacing w:after="0"/>
        <w:rPr>
          <w:sz w:val="20"/>
          <w:szCs w:val="20"/>
          <w:color w:val="auto"/>
        </w:rPr>
      </w:pPr>
      <w:r>
        <w:rPr>
          <w:rFonts w:ascii="Courier New" w:cs="Courier New" w:eastAsia="Courier New" w:hAnsi="Courier New"/>
          <w:sz w:val="16"/>
          <w:szCs w:val="16"/>
          <w:color w:val="auto"/>
        </w:rPr>
        <w:t>NOTES TO UNAUDITED PRO FORMA COMBINED</w:t>
      </w:r>
    </w:p>
    <w:p>
      <w:pPr>
        <w:ind w:left="2340"/>
        <w:spacing w:after="0"/>
        <w:rPr>
          <w:sz w:val="20"/>
          <w:szCs w:val="20"/>
          <w:color w:val="auto"/>
        </w:rPr>
      </w:pPr>
      <w:r>
        <w:rPr>
          <w:rFonts w:ascii="Courier New" w:cs="Courier New" w:eastAsia="Courier New" w:hAnsi="Courier New"/>
          <w:sz w:val="16"/>
          <w:szCs w:val="16"/>
          <w:color w:val="auto"/>
        </w:rPr>
        <w:t>CONDENSED FINANCIAL STATEMENTS</w:t>
      </w:r>
    </w:p>
    <w:p>
      <w:pPr>
        <w:spacing w:after="0" w:line="184" w:lineRule="exact"/>
        <w:rPr>
          <w:sz w:val="20"/>
          <w:szCs w:val="20"/>
          <w:color w:val="auto"/>
        </w:rPr>
      </w:pPr>
    </w:p>
    <w:p>
      <w:pPr>
        <w:ind w:right="3559" w:firstLine="465"/>
        <w:spacing w:after="0" w:line="236" w:lineRule="auto"/>
        <w:tabs>
          <w:tab w:leader="none" w:pos="84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results of operations and financial position of AT&amp;T Corp.</w:t>
      </w:r>
    </w:p>
    <w:p>
      <w:pPr>
        <w:spacing w:after="0" w:line="184" w:lineRule="exact"/>
        <w:rPr>
          <w:rFonts w:ascii="Courier New" w:cs="Courier New" w:eastAsia="Courier New" w:hAnsi="Courier New"/>
          <w:sz w:val="16"/>
          <w:szCs w:val="16"/>
          <w:color w:val="auto"/>
        </w:rPr>
      </w:pPr>
    </w:p>
    <w:p>
      <w:pPr>
        <w:ind w:right="2899" w:firstLine="465"/>
        <w:spacing w:after="0" w:line="263" w:lineRule="auto"/>
        <w:tabs>
          <w:tab w:leader="none" w:pos="84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adjustments deduct the historical results of operations of Liberty Media Group to reflect the split-off of Liberty Media Group from AT&amp;T.</w:t>
      </w:r>
    </w:p>
    <w:p>
      <w:pPr>
        <w:spacing w:after="0" w:line="168" w:lineRule="exact"/>
        <w:rPr>
          <w:rFonts w:ascii="Courier New" w:cs="Courier New" w:eastAsia="Courier New" w:hAnsi="Courier New"/>
          <w:sz w:val="15"/>
          <w:szCs w:val="15"/>
          <w:color w:val="auto"/>
        </w:rPr>
      </w:pPr>
    </w:p>
    <w:p>
      <w:pPr>
        <w:ind w:right="2819" w:firstLine="465"/>
        <w:spacing w:after="0" w:line="238" w:lineRule="auto"/>
        <w:tabs>
          <w:tab w:leader="none" w:pos="84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fair value adjustment for accounting purposes which would have been recorded had the distribution of AT&amp;T Broadband Group occurred on June 30, 2002. Comcast currently owns shares of AT&amp;T common stock ("T"). In the event Comcast retains these shares at the time of the AT&amp;T Broadband Group distribution, pursuant to certain provisions of the merger agreement, these shares will be converted into exchangeable preferred stock of AT&amp;T and Comcast will not participate in the AT&amp;T Broadband Group distribution. Therefore the distribution would be a non pro-rata transaction among the "T" shareholders accounted for at fair value.</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Additionally, the timing of the issuance of the AT&amp;T Consumer Services Group tracking stock is uncertain. However, in the event the AT&amp;T Consumer Services Group tracking stock is created and distributed prior to the distribution of AT&amp;T Broadband Group, shareowners of the AT&amp;T Consumer Services Group tracking stock would not receive shares of AT&amp;T Broadband Group, therefore the distribution of AT&amp;T Broadband Group would also be a non pro-rata transaction in these circumstances.</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distribution has been reflected in the pro forma balance sheet at fair value, resulting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closing share price of Comcast Corp. on October 3,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w w:val="96"/>
              </w:rPr>
              <w:t>Fair value of</w:t>
            </w:r>
          </w:p>
        </w:tc>
        <w:tc>
          <w:tcPr>
            <w:tcW w:w="450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9"/>
              </w:rPr>
              <w:t>Comcast Corp. shares to be received in the</w:t>
            </w:r>
          </w:p>
        </w:tc>
        <w:tc>
          <w:tcPr>
            <w:tcW w:w="840" w:type="dxa"/>
            <w:vAlign w:val="bottom"/>
          </w:tcPr>
          <w:p>
            <w:pPr>
              <w:spacing w:after="0"/>
              <w:rPr>
                <w:sz w:val="15"/>
                <w:szCs w:val="15"/>
                <w:color w:val="auto"/>
              </w:rPr>
            </w:pPr>
          </w:p>
        </w:tc>
      </w:tr>
      <w:tr>
        <w:trPr>
          <w:trHeight w:val="180"/>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transaction</w:t>
            </w:r>
          </w:p>
        </w:tc>
        <w:tc>
          <w:tcPr>
            <w:tcW w:w="45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(1,235,000,000 shares at a closing stock price</w:t>
            </w:r>
          </w:p>
        </w:tc>
        <w:tc>
          <w:tcPr>
            <w:tcW w:w="840" w:type="dxa"/>
            <w:vAlign w:val="bottom"/>
          </w:tcPr>
          <w:p>
            <w:pPr>
              <w:spacing w:after="0"/>
              <w:rPr>
                <w:sz w:val="15"/>
                <w:szCs w:val="15"/>
                <w:color w:val="auto"/>
              </w:rPr>
            </w:pP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of $19.45 per share on October 3, 2002)...................</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$24,021</w:t>
            </w:r>
          </w:p>
        </w:tc>
      </w:tr>
      <w:tr>
        <w:trPr>
          <w:trHeight w:val="180"/>
        </w:trPr>
        <w:tc>
          <w:tcPr>
            <w:tcW w:w="57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w w:val="97"/>
              </w:rPr>
              <w:t>Carrying value of AT&amp;T Broadband Group net assets to be</w:t>
            </w:r>
          </w:p>
        </w:tc>
        <w:tc>
          <w:tcPr>
            <w:tcW w:w="840" w:type="dxa"/>
            <w:vAlign w:val="bottom"/>
          </w:tcPr>
          <w:p>
            <w:pPr>
              <w:spacing w:after="0"/>
              <w:rPr>
                <w:sz w:val="15"/>
                <w:szCs w:val="15"/>
                <w:color w:val="auto"/>
              </w:rPr>
            </w:pPr>
          </w:p>
        </w:tc>
      </w:tr>
      <w:tr>
        <w:trPr>
          <w:trHeight w:val="180"/>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distributed</w:t>
            </w:r>
          </w:p>
        </w:tc>
        <w:tc>
          <w:tcPr>
            <w:tcW w:w="45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29,888</w:t>
            </w:r>
          </w:p>
        </w:tc>
      </w:tr>
      <w:tr>
        <w:trPr>
          <w:trHeight w:val="180"/>
        </w:trPr>
        <w:tc>
          <w:tcPr>
            <w:tcW w:w="12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Loss on distribution........................................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$(5,867)</w:t>
            </w:r>
          </w:p>
        </w:tc>
      </w:tr>
      <w:tr>
        <w:trPr>
          <w:trHeight w:val="180"/>
        </w:trPr>
        <w:tc>
          <w:tcPr>
            <w:tcW w:w="12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the second quarter of 2002, AT&amp;T noted significant changes in the general business climate, including the cable industry, as evidenced by significant volatility in the stock market and corporate bankruptcies. These factors indicated a trigger event, which necessitated the testing of goodwill and franchise costs for impairment under the provisions of SFAS No. 142, "Goodwill and Other Intangible Assets." Such testing resulted in the recognition of $16.5 billion of pretax goodwill and franchise impairment charges. AT&amp;T Broadband Group's combined attributed net assets at June 30, 2002, reflect this charge.</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the event Comcast does not hold any AT&amp;T shares at the time of the AT&amp;T Broadband Group distribution and if the AT&amp;T Consumer Services Group tracking stock is not issued prior to the distribution of AT&amp;T Broadband Group, the distribution would be a pro-rata transaction. This treatment would still result in the recognition of a loss in the event the carrying value of AT&amp;T Broadband Group exceeded the fair value of the Comcast shares received in the transaction pursuant to the provisions of SFAS No. 144, paragraph 29, however, in the event the fair value of the Comcast shares received in the transaction exceeded the carrying value of AT&amp;T Broadband Group, no gain would be recorded in a pro-rata transaction.</w:t>
      </w:r>
    </w:p>
    <w:p>
      <w:pPr>
        <w:spacing w:after="0" w:line="187" w:lineRule="exact"/>
        <w:rPr>
          <w:sz w:val="20"/>
          <w:szCs w:val="20"/>
          <w:color w:val="auto"/>
        </w:rPr>
      </w:pPr>
    </w:p>
    <w:p>
      <w:pPr>
        <w:ind w:right="2999" w:firstLine="465"/>
        <w:spacing w:after="0" w:line="237" w:lineRule="auto"/>
        <w:tabs>
          <w:tab w:leader="none" w:pos="844"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entries represent adjustments to AT&amp;T Broadband Group combined attributed net assets pursuant to the Merger Agreement. The Merger Agreement stipulates that AT&amp;T will retain certain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654" w:right="1440" w:bottom="828" w:gutter="0" w:footer="0" w:header="0"/>
        </w:sectPr>
      </w:pPr>
    </w:p>
    <w:bookmarkStart w:id="198" w:name="page199"/>
    <w:bookmarkEnd w:id="198"/>
    <w:p>
      <w:pPr>
        <w:ind w:right="2899"/>
        <w:spacing w:after="0" w:line="237" w:lineRule="auto"/>
        <w:rPr>
          <w:sz w:val="20"/>
          <w:szCs w:val="20"/>
          <w:color w:val="auto"/>
        </w:rPr>
      </w:pPr>
      <w:r>
        <w:rPr>
          <w:rFonts w:ascii="Courier New" w:cs="Courier New" w:eastAsia="Courier New" w:hAnsi="Courier New"/>
          <w:sz w:val="16"/>
          <w:szCs w:val="16"/>
          <w:color w:val="auto"/>
        </w:rPr>
        <w:t>liabilities currently reflected in the AT&amp;T Broadband Group financial statements. Accordingly, these liabilities were transferred to AT&amp;T along with the related deferred income taxes.</w:t>
      </w:r>
    </w:p>
    <w:p>
      <w:pPr>
        <w:spacing w:after="0" w:line="185" w:lineRule="exact"/>
        <w:rPr>
          <w:sz w:val="20"/>
          <w:szCs w:val="20"/>
          <w:color w:val="auto"/>
        </w:rPr>
      </w:pPr>
    </w:p>
    <w:p>
      <w:pPr>
        <w:ind w:right="2719" w:firstLine="465"/>
        <w:spacing w:after="0" w:line="237" w:lineRule="auto"/>
        <w:tabs>
          <w:tab w:leader="none" w:pos="844"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deduct the historical results of operations and the historical financial position of AT&amp;T Broadband Group to reflect the spin-off of AT&amp;T Broadband from AT&amp;T. The distribution is being accounted for as a fair value transaction and as such the fair value of the net assets of AT&amp;T Broadband Group have been recorded as a reduction to additional paid-in capital, given the deficit that exists in retained earnings.</w:t>
      </w:r>
    </w:p>
    <w:p>
      <w:pPr>
        <w:spacing w:after="0" w:line="188"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185" w:lineRule="exact"/>
        <w:rPr>
          <w:rFonts w:ascii="Courier New" w:cs="Courier New" w:eastAsia="Courier New" w:hAnsi="Courier New"/>
          <w:sz w:val="16"/>
          <w:szCs w:val="16"/>
          <w:color w:val="auto"/>
        </w:rPr>
      </w:pPr>
    </w:p>
    <w:p>
      <w:pPr>
        <w:ind w:right="2999" w:firstLine="465"/>
        <w:spacing w:after="0" w:line="238" w:lineRule="auto"/>
        <w:tabs>
          <w:tab w:leader="none" w:pos="844"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 entries also reflect the reclassification of certain items appropriately reflected on the separate financial statements of AT&amp;T Broadband Group.</w:t>
      </w:r>
    </w:p>
    <w:p>
      <w:pPr>
        <w:spacing w:after="0" w:line="186"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attributable to the AT&amp;T Common Stock Group shareholders has been reduced by $984 and $1,480 for the six months ended June 30, 2002 and 2001, respectively, and by $2,873, $4,112 and $4,633 for the years ended December 31, 2001, 2000 and 1999, respectively, to reflect the income attributable to the AT&amp;T Consumer Services Group tracking stock shareholders.</w:t>
      </w:r>
    </w:p>
    <w:p>
      <w:pPr>
        <w:spacing w:after="0" w:line="187" w:lineRule="exact"/>
        <w:rPr>
          <w:rFonts w:ascii="Courier New" w:cs="Courier New" w:eastAsia="Courier New" w:hAnsi="Courier New"/>
          <w:sz w:val="16"/>
          <w:szCs w:val="16"/>
          <w:color w:val="auto"/>
        </w:rPr>
      </w:pPr>
    </w:p>
    <w:p>
      <w:pPr>
        <w:ind w:right="2819" w:firstLine="465"/>
        <w:spacing w:after="0" w:line="238" w:lineRule="auto"/>
        <w:tabs>
          <w:tab w:leader="none" w:pos="844"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proposed one-for-five reverse stock split of AT&amp;T common stock, (loss) earnings per basic share would have been $(0.01) and $0.04 for the six months ended June 30, 2002 and 2001, respectively, and $(4.70), $5.53 and $5.54 for the years ended December 31, 2001, 2000 and 1999, respectively. (Loss) earnings per diluted share on the same basis would have been $(0.01) and $0.04 for the six months ended June 30, 2002 and 2001, respectively, and $(4.70), $5.50 and $5.47 for the years ended December 31, 2001, 2000 and 1999, respectively.</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Additionally, pursuant to the Merger Agreement, prior to the AT&amp;T Broadband spin-off, shares of AT&amp;T common stock held by Comcast (currently 41.5 million shares) will be exchanged on a one-for-one basis into a newly created series of AT&amp;T exchangeable preferred stock. The AT&amp;T exchangeable preferred stock will be mandatorily exchangeable after the closing of the Comcast merger into shares of AT&amp;T common stock utilizing a conversion formula. The conversion formula will provide Comcast with an interest in AT&amp;T that is equal in value to the interest Comcast held in AT&amp;T prior to the Comcast merger, subject to a maximum share issuance of 10% of the outstanding shares of AT&amp;T common stock. The conversion formula is computed as the combination of average post closing AT&amp;T Comcast Class A common stock and AT&amp;T common stock trading values divided by average AT&amp;T common stock trading values utilizing ten randomly selected trading days after the closing of the Comcast merger. At June 30, 2002, assuming a one-for-five reverse stock split of AT&amp;T common stock, the maximum additional shares that Comcast could receive would be approximately 69 million shares, resulting in (loss) earnings per basic share of $(0.01) and $0.04 for the six months ended June 30, 2002 and 2001, respectively, and $(4.30), $5.04 and $4.99 for the years ended December 31, 2001, 2000 and 1999, respectively. (Loss) earnings per diluted share on the same basis would be $(0.01) and $0.04 for the six months ended June 30, 2002 and 2001, respectively, and $(4.30), $5.02 and $4.94 for the years ended December 31, 2001, 2000 and 1999, respectively.</w:t>
      </w:r>
    </w:p>
    <w:p>
      <w:pPr>
        <w:spacing w:after="0" w:line="17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 June 30, 2002, assuming no reverse stock split of AT&amp;T common stock, the maximum additional shares that Comcast could receive would be approximately 343 million shares, resulting in (loss) earnings per basic share of $0.00 and $0.01 for the six months ended June 30, 2002 and 2001, respectively, and $(0.86), $1.01 and $1.00 for the years ended December 31, 2001, 2000 and 1999, respectively. (Loss) earnings per diluted share on the same basis would be $0.00 and $0.01 for the six months ended June 30,</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659" w:right="1440" w:bottom="1440" w:gutter="0" w:footer="0" w:header="0"/>
        </w:sectPr>
      </w:pPr>
    </w:p>
    <w:bookmarkStart w:id="199" w:name="page200"/>
    <w:bookmarkEnd w:id="199"/>
    <w:p>
      <w:pPr>
        <w:ind w:right="2999"/>
        <w:spacing w:after="0" w:line="236" w:lineRule="auto"/>
        <w:rPr>
          <w:sz w:val="20"/>
          <w:szCs w:val="20"/>
          <w:color w:val="auto"/>
        </w:rPr>
      </w:pPr>
      <w:r>
        <w:rPr>
          <w:rFonts w:ascii="Courier New" w:cs="Courier New" w:eastAsia="Courier New" w:hAnsi="Courier New"/>
          <w:sz w:val="16"/>
          <w:szCs w:val="16"/>
          <w:color w:val="auto"/>
        </w:rPr>
        <w:t>2002 and 2001, respectively, and $(0.86), $1.00 and $0.99 for the years ended December 31, 2001, 2000 and 1999, respectively.</w:t>
      </w:r>
    </w:p>
    <w:p>
      <w:pPr>
        <w:spacing w:after="0" w:line="185" w:lineRule="exact"/>
        <w:rPr>
          <w:sz w:val="20"/>
          <w:szCs w:val="20"/>
          <w:color w:val="auto"/>
        </w:rPr>
      </w:pPr>
    </w:p>
    <w:p>
      <w:pPr>
        <w:ind w:right="2719" w:firstLine="465"/>
        <w:spacing w:after="0" w:line="238" w:lineRule="auto"/>
        <w:tabs>
          <w:tab w:leader="none" w:pos="844"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pending AT&amp;T Comcast transaction, AT&amp;T has filed a registration statement whereby AT&amp;T is offering to exchange certain Eligible AT&amp;T notes (as defined) for New AT&amp;T notes (as defined) that contain an interest rate adjustment in exchange for the consent of holders of those notes to an amendment of the related note agreements. The note amendment would clarify that the AT&amp;T Comcast transaction would not necessitate the notes being assumed by AT&amp;T Comcast as a successor entity and the New notes would remain obligations of AT&amp;T after completion of the AT&amp;T Comcast transaction. The income figures currently reflected do not contemplate the impact of the proposed exchange offer. For every $1 billion in principal amount of debt exchanged, a 0.25% increase in the interest rate would decrease annual net income by approximately $1.5 million. If all Eligible AT&amp;T notes were exchanged and received the interest rate adjustment, a 0.25% increase in the interest rate would decrease annual net income by approximately $8.5 million.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659" w:right="1440" w:bottom="1440" w:gutter="0" w:footer="0" w:header="0"/>
        </w:sectPr>
      </w:pPr>
    </w:p>
    <w:bookmarkStart w:id="200" w:name="page201"/>
    <w:bookmarkEnd w:id="200"/>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COMBINED STATEMENTS OF OPERATIONS</w:t>
      </w: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81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THREE MONTHS ENDED SIX MONTHS ENDED JUNE 30, JUNE</w:t>
      </w:r>
    </w:p>
    <w:p>
      <w:pPr>
        <w:jc w:val="center"/>
        <w:ind w:right="5259"/>
        <w:spacing w:after="0"/>
        <w:rPr>
          <w:sz w:val="20"/>
          <w:szCs w:val="20"/>
          <w:color w:val="auto"/>
        </w:rPr>
      </w:pPr>
      <w:r>
        <w:rPr>
          <w:rFonts w:ascii="Courier New" w:cs="Courier New" w:eastAsia="Courier New" w:hAnsi="Courier New"/>
          <w:sz w:val="16"/>
          <w:szCs w:val="16"/>
          <w:color w:val="auto"/>
        </w:rPr>
        <w:t>30, ------------------ ------------------ 2002 2001</w:t>
      </w:r>
    </w:p>
    <w:p>
      <w:pPr>
        <w:ind w:left="460"/>
        <w:spacing w:after="0" w:line="237" w:lineRule="auto"/>
        <w:rPr>
          <w:sz w:val="20"/>
          <w:szCs w:val="20"/>
          <w:color w:val="auto"/>
        </w:rPr>
      </w:pPr>
      <w:r>
        <w:rPr>
          <w:rFonts w:ascii="Courier New" w:cs="Courier New" w:eastAsia="Courier New" w:hAnsi="Courier New"/>
          <w:sz w:val="16"/>
          <w:szCs w:val="16"/>
          <w:color w:val="auto"/>
        </w:rPr>
        <w:t>2002 2001 -------- ------- -------- -------</w:t>
      </w:r>
    </w:p>
    <w:p>
      <w:pPr>
        <w:spacing w:after="0"/>
        <w:rPr>
          <w:sz w:val="20"/>
          <w:szCs w:val="20"/>
          <w:color w:val="auto"/>
        </w:rPr>
      </w:pPr>
      <w:r>
        <w:rPr>
          <w:rFonts w:ascii="Courier New" w:cs="Courier New" w:eastAsia="Courier New" w:hAnsi="Courier New"/>
          <w:sz w:val="16"/>
          <w:szCs w:val="16"/>
          <w:color w:val="auto"/>
        </w:rPr>
        <w:t>Revenue..............................................</w:t>
      </w:r>
    </w:p>
    <w:p>
      <w:pPr>
        <w:spacing w:after="0" w:line="4" w:lineRule="exact"/>
        <w:rPr>
          <w:sz w:val="20"/>
          <w:szCs w:val="20"/>
          <w:color w:val="auto"/>
        </w:rPr>
      </w:pPr>
    </w:p>
    <w:p>
      <w:pPr>
        <w:ind w:left="180" w:right="5339" w:hanging="92"/>
        <w:spacing w:after="0" w:line="254" w:lineRule="auto"/>
        <w:tabs>
          <w:tab w:leader="none" w:pos="274"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2,526 $ 2,669 $ 4,965 $ 5,256 Operating expenses: Cost of services (excluding depreciation of $541, $459, $1,065 and $921, included below)..........</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1,283 1,455 2,591 2,920 Selling, general and</w:t>
      </w:r>
    </w:p>
    <w:p>
      <w:pPr>
        <w:ind w:left="140"/>
        <w:spacing w:after="0" w:line="237" w:lineRule="auto"/>
        <w:rPr>
          <w:sz w:val="20"/>
          <w:szCs w:val="20"/>
          <w:color w:val="auto"/>
        </w:rPr>
      </w:pPr>
      <w:r>
        <w:rPr>
          <w:rFonts w:ascii="Courier New" w:cs="Courier New" w:eastAsia="Courier New" w:hAnsi="Courier New"/>
          <w:sz w:val="16"/>
          <w:szCs w:val="16"/>
          <w:color w:val="auto"/>
        </w:rPr>
        <w:t>administrative................ 717 645 1,342 1,343</w:t>
      </w:r>
    </w:p>
    <w:p>
      <w:pPr>
        <w:ind w:left="80"/>
        <w:spacing w:after="0"/>
        <w:rPr>
          <w:sz w:val="20"/>
          <w:szCs w:val="20"/>
          <w:color w:val="auto"/>
        </w:rPr>
      </w:pPr>
      <w:r>
        <w:rPr>
          <w:rFonts w:ascii="Courier New" w:cs="Courier New" w:eastAsia="Courier New" w:hAnsi="Courier New"/>
          <w:sz w:val="16"/>
          <w:szCs w:val="16"/>
          <w:color w:val="auto"/>
        </w:rPr>
        <w:t>Depreciation and amortization......................</w:t>
      </w:r>
    </w:p>
    <w:p>
      <w:pPr>
        <w:ind w:left="420"/>
        <w:spacing w:after="0" w:line="238" w:lineRule="auto"/>
        <w:rPr>
          <w:sz w:val="20"/>
          <w:szCs w:val="20"/>
          <w:color w:val="auto"/>
        </w:rPr>
      </w:pPr>
      <w:r>
        <w:rPr>
          <w:rFonts w:ascii="Courier New" w:cs="Courier New" w:eastAsia="Courier New" w:hAnsi="Courier New"/>
          <w:sz w:val="16"/>
          <w:szCs w:val="16"/>
          <w:color w:val="auto"/>
        </w:rPr>
        <w:t>746 1,209 1,466 2,492 Goodwill and franchise</w:t>
      </w:r>
    </w:p>
    <w:p>
      <w:pPr>
        <w:ind w:left="220"/>
        <w:spacing w:after="0"/>
        <w:rPr>
          <w:sz w:val="20"/>
          <w:szCs w:val="20"/>
          <w:color w:val="auto"/>
        </w:rPr>
      </w:pPr>
      <w:r>
        <w:rPr>
          <w:rFonts w:ascii="Courier New" w:cs="Courier New" w:eastAsia="Courier New" w:hAnsi="Courier New"/>
          <w:sz w:val="16"/>
          <w:szCs w:val="16"/>
          <w:color w:val="auto"/>
        </w:rPr>
        <w:t>impairment charges.......... 16,525 -- 16,525 --</w:t>
      </w:r>
    </w:p>
    <w:p>
      <w:pPr>
        <w:ind w:left="560"/>
        <w:spacing w:after="0" w:line="238" w:lineRule="auto"/>
        <w:rPr>
          <w:sz w:val="20"/>
          <w:szCs w:val="20"/>
          <w:color w:val="auto"/>
        </w:rPr>
      </w:pPr>
      <w:r>
        <w:rPr>
          <w:rFonts w:ascii="Courier New" w:cs="Courier New" w:eastAsia="Courier New" w:hAnsi="Courier New"/>
          <w:sz w:val="16"/>
          <w:szCs w:val="16"/>
          <w:color w:val="auto"/>
        </w:rPr>
        <w:t>Asset impairment, restructuring and other</w:t>
      </w:r>
    </w:p>
    <w:p>
      <w:pPr>
        <w:ind w:left="80"/>
        <w:spacing w:after="0"/>
        <w:rPr>
          <w:sz w:val="20"/>
          <w:szCs w:val="20"/>
          <w:color w:val="auto"/>
        </w:rPr>
      </w:pPr>
      <w:r>
        <w:rPr>
          <w:rFonts w:ascii="Courier New" w:cs="Courier New" w:eastAsia="Courier New" w:hAnsi="Courier New"/>
          <w:sz w:val="16"/>
          <w:szCs w:val="16"/>
          <w:color w:val="auto"/>
        </w:rPr>
        <w:t>charges......................................... --</w:t>
      </w:r>
    </w:p>
    <w:p>
      <w:pPr>
        <w:ind w:left="40"/>
        <w:spacing w:after="0" w:line="237" w:lineRule="auto"/>
        <w:rPr>
          <w:sz w:val="20"/>
          <w:szCs w:val="20"/>
          <w:color w:val="auto"/>
        </w:rPr>
      </w:pPr>
      <w:r>
        <w:rPr>
          <w:rFonts w:ascii="Courier New" w:cs="Courier New" w:eastAsia="Courier New" w:hAnsi="Courier New"/>
          <w:sz w:val="16"/>
          <w:szCs w:val="16"/>
          <w:color w:val="auto"/>
        </w:rPr>
        <w:t>287 56 1,095 -------- ------- -------- ------- Total</w:t>
      </w:r>
    </w:p>
    <w:p>
      <w:pPr>
        <w:ind w:left="280"/>
        <w:spacing w:after="0"/>
        <w:rPr>
          <w:sz w:val="20"/>
          <w:szCs w:val="20"/>
          <w:color w:val="auto"/>
        </w:rPr>
      </w:pPr>
      <w:r>
        <w:rPr>
          <w:rFonts w:ascii="Courier New" w:cs="Courier New" w:eastAsia="Courier New" w:hAnsi="Courier New"/>
          <w:sz w:val="16"/>
          <w:szCs w:val="16"/>
          <w:color w:val="auto"/>
        </w:rPr>
        <w:t>operating expenses.............................</w:t>
      </w:r>
    </w:p>
    <w:p>
      <w:pPr>
        <w:ind w:left="80"/>
        <w:spacing w:after="0" w:line="238" w:lineRule="auto"/>
        <w:rPr>
          <w:sz w:val="20"/>
          <w:szCs w:val="20"/>
          <w:color w:val="auto"/>
        </w:rPr>
      </w:pPr>
      <w:r>
        <w:rPr>
          <w:rFonts w:ascii="Courier New" w:cs="Courier New" w:eastAsia="Courier New" w:hAnsi="Courier New"/>
          <w:sz w:val="16"/>
          <w:szCs w:val="16"/>
          <w:color w:val="auto"/>
        </w:rPr>
        <w:t>19,271 3,596 21,980 7,850 -------- ------- --------</w:t>
      </w:r>
    </w:p>
    <w:p>
      <w:pPr>
        <w:ind w:left="1680"/>
        <w:spacing w:after="0"/>
        <w:rPr>
          <w:sz w:val="20"/>
          <w:szCs w:val="20"/>
          <w:color w:val="auto"/>
        </w:rPr>
      </w:pPr>
      <w:r>
        <w:rPr>
          <w:rFonts w:ascii="Courier New" w:cs="Courier New" w:eastAsia="Courier New" w:hAnsi="Courier New"/>
          <w:sz w:val="16"/>
          <w:szCs w:val="16"/>
          <w:color w:val="auto"/>
        </w:rPr>
        <w:t>------- Operating</w:t>
      </w:r>
    </w:p>
    <w:p>
      <w:pPr>
        <w:ind w:left="40"/>
        <w:spacing w:after="0" w:line="238" w:lineRule="auto"/>
        <w:rPr>
          <w:sz w:val="20"/>
          <w:szCs w:val="20"/>
          <w:color w:val="auto"/>
        </w:rPr>
      </w:pPr>
      <w:r>
        <w:rPr>
          <w:rFonts w:ascii="Courier New" w:cs="Courier New" w:eastAsia="Courier New" w:hAnsi="Courier New"/>
          <w:sz w:val="16"/>
          <w:szCs w:val="16"/>
          <w:color w:val="auto"/>
        </w:rPr>
        <w:t>loss....................................... (16,745)</w:t>
      </w:r>
    </w:p>
    <w:p>
      <w:pPr>
        <w:ind w:left="500"/>
        <w:spacing w:after="0"/>
        <w:rPr>
          <w:sz w:val="20"/>
          <w:szCs w:val="20"/>
          <w:color w:val="auto"/>
        </w:rPr>
      </w:pPr>
      <w:r>
        <w:rPr>
          <w:rFonts w:ascii="Courier New" w:cs="Courier New" w:eastAsia="Courier New" w:hAnsi="Courier New"/>
          <w:sz w:val="16"/>
          <w:szCs w:val="16"/>
          <w:color w:val="auto"/>
        </w:rPr>
        <w:t>(927) (17,015) (2,594) Investment expense,</w:t>
      </w:r>
    </w:p>
    <w:p>
      <w:pPr>
        <w:ind w:left="360"/>
        <w:spacing w:after="0" w:line="237" w:lineRule="auto"/>
        <w:rPr>
          <w:sz w:val="20"/>
          <w:szCs w:val="20"/>
          <w:color w:val="auto"/>
        </w:rPr>
      </w:pPr>
      <w:r>
        <w:rPr>
          <w:rFonts w:ascii="Courier New" w:cs="Courier New" w:eastAsia="Courier New" w:hAnsi="Courier New"/>
          <w:sz w:val="16"/>
          <w:szCs w:val="16"/>
          <w:color w:val="auto"/>
        </w:rPr>
        <w:t>net............................ (1,116) (914)</w:t>
      </w:r>
    </w:p>
    <w:p>
      <w:pPr>
        <w:ind w:left="740"/>
        <w:spacing w:after="0"/>
        <w:rPr>
          <w:sz w:val="20"/>
          <w:szCs w:val="20"/>
          <w:color w:val="auto"/>
        </w:rPr>
      </w:pPr>
      <w:r>
        <w:rPr>
          <w:rFonts w:ascii="Courier New" w:cs="Courier New" w:eastAsia="Courier New" w:hAnsi="Courier New"/>
          <w:sz w:val="16"/>
          <w:szCs w:val="16"/>
          <w:color w:val="auto"/>
        </w:rPr>
        <w:t>(1,217) (845) Other income (expense),</w:t>
      </w:r>
    </w:p>
    <w:p>
      <w:pPr>
        <w:ind w:left="220"/>
        <w:spacing w:after="0" w:line="238" w:lineRule="auto"/>
        <w:rPr>
          <w:sz w:val="20"/>
          <w:szCs w:val="20"/>
          <w:color w:val="auto"/>
        </w:rPr>
      </w:pPr>
      <w:r>
        <w:rPr>
          <w:rFonts w:ascii="Courier New" w:cs="Courier New" w:eastAsia="Courier New" w:hAnsi="Courier New"/>
          <w:sz w:val="16"/>
          <w:szCs w:val="16"/>
          <w:color w:val="auto"/>
        </w:rPr>
        <w:t>net........................ 332 (37) 331 (1,059)</w:t>
      </w:r>
    </w:p>
    <w:p>
      <w:pPr>
        <w:ind w:left="80"/>
        <w:spacing w:after="0"/>
        <w:rPr>
          <w:sz w:val="20"/>
          <w:szCs w:val="20"/>
          <w:color w:val="auto"/>
        </w:rPr>
      </w:pPr>
      <w:r>
        <w:rPr>
          <w:rFonts w:ascii="Courier New" w:cs="Courier New" w:eastAsia="Courier New" w:hAnsi="Courier New"/>
          <w:sz w:val="16"/>
          <w:szCs w:val="16"/>
          <w:color w:val="auto"/>
        </w:rPr>
        <w:t>Interest expense...................................</w:t>
      </w:r>
    </w:p>
    <w:p>
      <w:pPr>
        <w:ind w:left="40"/>
        <w:spacing w:after="0" w:line="238" w:lineRule="auto"/>
        <w:rPr>
          <w:sz w:val="20"/>
          <w:szCs w:val="20"/>
          <w:color w:val="auto"/>
        </w:rPr>
      </w:pPr>
      <w:r>
        <w:rPr>
          <w:rFonts w:ascii="Courier New" w:cs="Courier New" w:eastAsia="Courier New" w:hAnsi="Courier New"/>
          <w:sz w:val="16"/>
          <w:szCs w:val="16"/>
          <w:color w:val="auto"/>
        </w:rPr>
        <w:t>(366) (482) (732) (961) -------- ------- -------- --</w:t>
      </w:r>
    </w:p>
    <w:p>
      <w:pPr>
        <w:ind w:left="420"/>
        <w:spacing w:after="0"/>
        <w:rPr>
          <w:sz w:val="20"/>
          <w:szCs w:val="20"/>
          <w:color w:val="auto"/>
        </w:rPr>
      </w:pPr>
      <w:r>
        <w:rPr>
          <w:rFonts w:ascii="Courier New" w:cs="Courier New" w:eastAsia="Courier New" w:hAnsi="Courier New"/>
          <w:sz w:val="16"/>
          <w:szCs w:val="16"/>
          <w:color w:val="auto"/>
        </w:rPr>
        <w:t>----- Loss before income taxes, net (losses)</w:t>
      </w:r>
    </w:p>
    <w:p>
      <w:pPr>
        <w:jc w:val="center"/>
        <w:ind w:right="5259"/>
        <w:spacing w:after="0" w:line="237" w:lineRule="auto"/>
        <w:rPr>
          <w:sz w:val="20"/>
          <w:szCs w:val="20"/>
          <w:color w:val="auto"/>
        </w:rPr>
      </w:pPr>
      <w:r>
        <w:rPr>
          <w:rFonts w:ascii="Courier New" w:cs="Courier New" w:eastAsia="Courier New" w:hAnsi="Courier New"/>
          <w:sz w:val="16"/>
          <w:szCs w:val="16"/>
          <w:color w:val="auto"/>
        </w:rPr>
        <w:t>earnings related to equity investments, minority</w:t>
      </w:r>
    </w:p>
    <w:p>
      <w:pPr>
        <w:jc w:val="center"/>
        <w:ind w:right="5259"/>
        <w:spacing w:after="0"/>
        <w:rPr>
          <w:sz w:val="20"/>
          <w:szCs w:val="20"/>
          <w:color w:val="auto"/>
        </w:rPr>
      </w:pPr>
      <w:r>
        <w:rPr>
          <w:rFonts w:ascii="Courier New" w:cs="Courier New" w:eastAsia="Courier New" w:hAnsi="Courier New"/>
          <w:sz w:val="16"/>
          <w:szCs w:val="16"/>
          <w:color w:val="auto"/>
        </w:rPr>
        <w:t>interest and dividends on subsidiary preferred</w:t>
      </w:r>
    </w:p>
    <w:p>
      <w:pPr>
        <w:jc w:val="center"/>
        <w:ind w:right="5259"/>
        <w:spacing w:after="0" w:line="238" w:lineRule="auto"/>
        <w:rPr>
          <w:sz w:val="20"/>
          <w:szCs w:val="20"/>
          <w:color w:val="auto"/>
        </w:rPr>
      </w:pPr>
      <w:r>
        <w:rPr>
          <w:rFonts w:ascii="Courier New" w:cs="Courier New" w:eastAsia="Courier New" w:hAnsi="Courier New"/>
          <w:sz w:val="16"/>
          <w:szCs w:val="16"/>
          <w:color w:val="auto"/>
        </w:rPr>
        <w:t>stock, extraordinary gain and cumulative effect of</w:t>
      </w:r>
    </w:p>
    <w:p>
      <w:pPr>
        <w:jc w:val="center"/>
        <w:ind w:right="5259"/>
        <w:spacing w:after="0"/>
        <w:rPr>
          <w:sz w:val="20"/>
          <w:szCs w:val="20"/>
          <w:color w:val="auto"/>
        </w:rPr>
      </w:pPr>
      <w:r>
        <w:rPr>
          <w:rFonts w:ascii="Courier New" w:cs="Courier New" w:eastAsia="Courier New" w:hAnsi="Courier New"/>
          <w:sz w:val="16"/>
          <w:szCs w:val="16"/>
          <w:color w:val="auto"/>
        </w:rPr>
        <w:t>accounting changes.................................</w:t>
      </w:r>
    </w:p>
    <w:p>
      <w:pPr>
        <w:ind w:left="40"/>
        <w:spacing w:after="0" w:line="238" w:lineRule="auto"/>
        <w:rPr>
          <w:sz w:val="20"/>
          <w:szCs w:val="20"/>
          <w:color w:val="auto"/>
        </w:rPr>
      </w:pPr>
      <w:r>
        <w:rPr>
          <w:rFonts w:ascii="Courier New" w:cs="Courier New" w:eastAsia="Courier New" w:hAnsi="Courier New"/>
          <w:sz w:val="16"/>
          <w:szCs w:val="16"/>
          <w:color w:val="auto"/>
        </w:rPr>
        <w:t>(17,895) (2,360) (18,633) (5,459) Benefit for income</w:t>
      </w:r>
    </w:p>
    <w:tbl>
      <w:tblPr>
        <w:tblLayout w:type="fixed"/>
        <w:tblInd w:w="40" w:type="dxa"/>
        <w:tblCellMar>
          <w:top w:w="0" w:type="dxa"/>
          <w:left w:w="0" w:type="dxa"/>
          <w:bottom w:w="0" w:type="dxa"/>
          <w:right w:w="0" w:type="dxa"/>
        </w:tblCellMar>
      </w:tblP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w w:val="98"/>
              </w:rPr>
              <w:t>taxes.............................</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99"/>
              </w:rPr>
              <w:t>5,277 1,434 5,506</w:t>
            </w:r>
          </w:p>
        </w:tc>
      </w:tr>
    </w:tbl>
    <w:p>
      <w:pPr>
        <w:jc w:val="center"/>
        <w:ind w:right="5259"/>
        <w:spacing w:after="0"/>
        <w:rPr>
          <w:sz w:val="20"/>
          <w:szCs w:val="20"/>
          <w:color w:val="auto"/>
        </w:rPr>
      </w:pPr>
      <w:r>
        <w:rPr>
          <w:rFonts w:ascii="Courier New" w:cs="Courier New" w:eastAsia="Courier New" w:hAnsi="Courier New"/>
          <w:sz w:val="16"/>
          <w:szCs w:val="16"/>
          <w:color w:val="auto"/>
        </w:rPr>
        <w:t>2,178 Net (losses) earnings related to equity</w:t>
      </w:r>
    </w:p>
    <w:p>
      <w:pPr>
        <w:ind w:left="80"/>
        <w:spacing w:after="0" w:line="237" w:lineRule="auto"/>
        <w:rPr>
          <w:sz w:val="20"/>
          <w:szCs w:val="20"/>
          <w:color w:val="auto"/>
        </w:rPr>
      </w:pPr>
      <w:r>
        <w:rPr>
          <w:rFonts w:ascii="Courier New" w:cs="Courier New" w:eastAsia="Courier New" w:hAnsi="Courier New"/>
          <w:sz w:val="16"/>
          <w:szCs w:val="16"/>
          <w:color w:val="auto"/>
        </w:rPr>
        <w:t>investments........................................</w:t>
      </w:r>
    </w:p>
    <w:p>
      <w:pPr>
        <w:spacing w:after="0" w:line="5" w:lineRule="exact"/>
        <w:rPr>
          <w:sz w:val="20"/>
          <w:szCs w:val="20"/>
          <w:color w:val="auto"/>
        </w:rPr>
      </w:pPr>
    </w:p>
    <w:p>
      <w:pPr>
        <w:ind w:left="1400" w:right="5339" w:hanging="1313"/>
        <w:spacing w:after="0" w:line="236" w:lineRule="auto"/>
        <w:tabs>
          <w:tab w:leader="none" w:pos="649"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 (617) 16 Minority interest and dividends on subsidiary preferred</w:t>
      </w:r>
    </w:p>
    <w:p>
      <w:pPr>
        <w:jc w:val="center"/>
        <w:ind w:right="5259"/>
        <w:spacing w:after="0"/>
        <w:rPr>
          <w:sz w:val="20"/>
          <w:szCs w:val="20"/>
          <w:color w:val="auto"/>
        </w:rPr>
      </w:pPr>
      <w:r>
        <w:rPr>
          <w:rFonts w:ascii="Courier New" w:cs="Courier New" w:eastAsia="Courier New" w:hAnsi="Courier New"/>
          <w:sz w:val="16"/>
          <w:szCs w:val="16"/>
          <w:color w:val="auto"/>
        </w:rPr>
        <w:t>stock.................................... (63) 187</w:t>
      </w:r>
    </w:p>
    <w:p>
      <w:pPr>
        <w:jc w:val="center"/>
        <w:ind w:right="5259"/>
        <w:spacing w:after="0" w:line="237" w:lineRule="auto"/>
        <w:rPr>
          <w:sz w:val="20"/>
          <w:szCs w:val="20"/>
          <w:color w:val="auto"/>
        </w:rPr>
      </w:pPr>
      <w:r>
        <w:rPr>
          <w:rFonts w:ascii="Courier New" w:cs="Courier New" w:eastAsia="Courier New" w:hAnsi="Courier New"/>
          <w:sz w:val="16"/>
          <w:szCs w:val="16"/>
          <w:color w:val="auto"/>
        </w:rPr>
        <w:t>(140) 736 -------- ------- -------- ------- Loss</w:t>
      </w:r>
    </w:p>
    <w:p>
      <w:pPr>
        <w:jc w:val="center"/>
        <w:ind w:right="5259"/>
        <w:spacing w:after="0"/>
        <w:rPr>
          <w:sz w:val="20"/>
          <w:szCs w:val="20"/>
          <w:color w:val="auto"/>
        </w:rPr>
      </w:pPr>
      <w:r>
        <w:rPr>
          <w:rFonts w:ascii="Courier New" w:cs="Courier New" w:eastAsia="Courier New" w:hAnsi="Courier New"/>
          <w:sz w:val="16"/>
          <w:szCs w:val="16"/>
          <w:color w:val="auto"/>
        </w:rPr>
        <w:t>before extraordinary gain and cumulative effect of</w:t>
      </w:r>
    </w:p>
    <w:p>
      <w:pPr>
        <w:jc w:val="center"/>
        <w:ind w:right="5259"/>
        <w:spacing w:after="0" w:line="238" w:lineRule="auto"/>
        <w:rPr>
          <w:sz w:val="20"/>
          <w:szCs w:val="20"/>
          <w:color w:val="auto"/>
        </w:rPr>
      </w:pPr>
      <w:r>
        <w:rPr>
          <w:rFonts w:ascii="Courier New" w:cs="Courier New" w:eastAsia="Courier New" w:hAnsi="Courier New"/>
          <w:sz w:val="16"/>
          <w:szCs w:val="16"/>
          <w:color w:val="auto"/>
        </w:rPr>
        <w:t>accounting changes..............................</w:t>
      </w:r>
    </w:p>
    <w:p>
      <w:pPr>
        <w:ind w:left="140"/>
        <w:spacing w:after="0"/>
        <w:rPr>
          <w:sz w:val="20"/>
          <w:szCs w:val="20"/>
          <w:color w:val="auto"/>
        </w:rPr>
      </w:pPr>
      <w:r>
        <w:rPr>
          <w:rFonts w:ascii="Courier New" w:cs="Courier New" w:eastAsia="Courier New" w:hAnsi="Courier New"/>
          <w:sz w:val="16"/>
          <w:szCs w:val="16"/>
          <w:color w:val="auto"/>
        </w:rPr>
        <w:t>(13,278) (772) (13,884) (2,529) Extraordinary gain</w:t>
      </w:r>
    </w:p>
    <w:tbl>
      <w:tblPr>
        <w:tblLayout w:type="fixed"/>
        <w:tblInd w:w="4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jc w:val="center"/>
              <w:ind w:right="722"/>
              <w:spacing w:after="0" w:line="180" w:lineRule="exact"/>
              <w:rPr>
                <w:sz w:val="20"/>
                <w:szCs w:val="20"/>
                <w:color w:val="auto"/>
              </w:rPr>
            </w:pPr>
            <w:r>
              <w:rPr>
                <w:rFonts w:ascii="Courier New" w:cs="Courier New" w:eastAsia="Courier New" w:hAnsi="Courier New"/>
                <w:sz w:val="16"/>
                <w:szCs w:val="16"/>
                <w:color w:val="auto"/>
                <w:w w:val="97"/>
              </w:rPr>
              <w:t>(net of income taxes of $5 and</w:t>
            </w:r>
          </w:p>
        </w:tc>
      </w:tr>
      <w:tr>
        <w:trPr>
          <w:trHeight w:val="180"/>
        </w:trPr>
        <w:tc>
          <w:tcPr>
            <w:tcW w:w="80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4"/>
              </w:rPr>
              <w:t>$30)...............................................</w:t>
            </w:r>
          </w:p>
        </w:tc>
        <w:tc>
          <w:tcPr>
            <w:tcW w:w="4080" w:type="dxa"/>
            <w:vAlign w:val="bottom"/>
          </w:tcPr>
          <w:p>
            <w:pPr>
              <w:spacing w:after="0"/>
              <w:rPr>
                <w:sz w:val="15"/>
                <w:szCs w:val="15"/>
                <w:color w:val="auto"/>
              </w:rPr>
            </w:pPr>
          </w:p>
        </w:tc>
      </w:tr>
      <w:tr>
        <w:trPr>
          <w:trHeight w:val="180"/>
        </w:trPr>
        <w:tc>
          <w:tcPr>
            <w:tcW w:w="560" w:type="dxa"/>
            <w:vAlign w:val="bottom"/>
          </w:tcPr>
          <w:p>
            <w:pPr>
              <w:jc w:val="right"/>
              <w:ind w:right="57"/>
              <w:spacing w:after="0"/>
              <w:rPr>
                <w:sz w:val="20"/>
                <w:szCs w:val="20"/>
                <w:color w:val="auto"/>
              </w:rPr>
            </w:pPr>
            <w:r>
              <w:rPr>
                <w:rFonts w:ascii="Courier New" w:cs="Courier New" w:eastAsia="Courier New" w:hAnsi="Courier New"/>
                <w:sz w:val="16"/>
                <w:szCs w:val="16"/>
                <w:color w:val="auto"/>
              </w:rPr>
              <w:t>7 --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48</w:t>
            </w:r>
          </w:p>
        </w:tc>
        <w:tc>
          <w:tcPr>
            <w:tcW w:w="4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 Cumulative effect of accounting changes</w:t>
            </w:r>
          </w:p>
        </w:tc>
      </w:tr>
      <w:tr>
        <w:trPr>
          <w:trHeight w:val="180"/>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jc w:val="center"/>
              <w:ind w:right="722"/>
              <w:spacing w:after="0"/>
              <w:rPr>
                <w:sz w:val="20"/>
                <w:szCs w:val="20"/>
                <w:color w:val="auto"/>
              </w:rPr>
            </w:pPr>
            <w:r>
              <w:rPr>
                <w:rFonts w:ascii="Courier New" w:cs="Courier New" w:eastAsia="Courier New" w:hAnsi="Courier New"/>
                <w:sz w:val="16"/>
                <w:szCs w:val="16"/>
                <w:color w:val="auto"/>
                <w:w w:val="98"/>
              </w:rPr>
              <w:t>(net of income taxes of ($530) and</w:t>
            </w:r>
          </w:p>
        </w:tc>
      </w:tr>
      <w:tr>
        <w:trPr>
          <w:trHeight w:val="180"/>
        </w:trPr>
        <w:tc>
          <w:tcPr>
            <w:tcW w:w="8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$142)...................</w:t>
            </w:r>
          </w:p>
        </w:tc>
        <w:tc>
          <w:tcPr>
            <w:tcW w:w="4080" w:type="dxa"/>
            <w:vAlign w:val="bottom"/>
          </w:tcPr>
          <w:p>
            <w:pPr>
              <w:jc w:val="right"/>
              <w:spacing w:after="0"/>
              <w:rPr>
                <w:sz w:val="20"/>
                <w:szCs w:val="20"/>
                <w:color w:val="auto"/>
              </w:rPr>
            </w:pPr>
            <w:r>
              <w:rPr>
                <w:rFonts w:ascii="Courier New" w:cs="Courier New" w:eastAsia="Courier New" w:hAnsi="Courier New"/>
                <w:sz w:val="16"/>
                <w:szCs w:val="16"/>
                <w:color w:val="auto"/>
              </w:rPr>
              <w:t>-- -- (856) 229 -------- --</w:t>
            </w:r>
          </w:p>
        </w:tc>
      </w:tr>
      <w:tr>
        <w:trPr>
          <w:trHeight w:val="180"/>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jc w:val="center"/>
              <w:ind w:right="722"/>
              <w:spacing w:after="0"/>
              <w:rPr>
                <w:sz w:val="20"/>
                <w:szCs w:val="20"/>
                <w:color w:val="auto"/>
              </w:rPr>
            </w:pPr>
            <w:r>
              <w:rPr>
                <w:rFonts w:ascii="Courier New" w:cs="Courier New" w:eastAsia="Courier New" w:hAnsi="Courier New"/>
                <w:sz w:val="16"/>
                <w:szCs w:val="16"/>
                <w:color w:val="auto"/>
                <w:w w:val="97"/>
              </w:rPr>
              <w:t>----- -------- ------- Net</w:t>
            </w:r>
          </w:p>
        </w:tc>
      </w:tr>
    </w:tbl>
    <w:p>
      <w:pPr>
        <w:ind w:left="180"/>
        <w:spacing w:after="0"/>
        <w:rPr>
          <w:sz w:val="20"/>
          <w:szCs w:val="20"/>
          <w:color w:val="auto"/>
        </w:rPr>
      </w:pPr>
      <w:r>
        <w:rPr>
          <w:rFonts w:ascii="Courier New" w:cs="Courier New" w:eastAsia="Courier New" w:hAnsi="Courier New"/>
          <w:sz w:val="16"/>
          <w:szCs w:val="16"/>
          <w:color w:val="auto"/>
        </w:rPr>
        <w:t>loss.............................................</w:t>
      </w:r>
    </w:p>
    <w:p>
      <w:pPr>
        <w:jc w:val="center"/>
        <w:ind w:right="5259"/>
        <w:spacing w:after="0" w:line="237" w:lineRule="auto"/>
        <w:rPr>
          <w:sz w:val="20"/>
          <w:szCs w:val="20"/>
          <w:color w:val="auto"/>
        </w:rPr>
      </w:pPr>
      <w:r>
        <w:rPr>
          <w:rFonts w:ascii="Courier New" w:cs="Courier New" w:eastAsia="Courier New" w:hAnsi="Courier New"/>
          <w:sz w:val="16"/>
          <w:szCs w:val="16"/>
          <w:color w:val="auto"/>
        </w:rPr>
        <w:t>$(13,271) $ (772) $(14,692) $(2,300) ========</w:t>
      </w:r>
    </w:p>
    <w:p>
      <w:pPr>
        <w:jc w:val="center"/>
        <w:ind w:right="5259"/>
        <w:spacing w:after="0"/>
        <w:rPr>
          <w:sz w:val="20"/>
          <w:szCs w:val="20"/>
          <w:color w:val="auto"/>
        </w:rPr>
      </w:pPr>
      <w:r>
        <w:rPr>
          <w:rFonts w:ascii="Courier New" w:cs="Courier New" w:eastAsia="Courier New" w:hAnsi="Courier New"/>
          <w:sz w:val="16"/>
          <w:szCs w:val="16"/>
          <w:color w:val="auto"/>
        </w:rPr>
        <w:t>======= ======== =======</w:t>
      </w:r>
    </w:p>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654" w:right="1440" w:bottom="1440" w:gutter="0" w:footer="0" w:header="0"/>
        </w:sectPr>
      </w:pPr>
    </w:p>
    <w:bookmarkStart w:id="201" w:name="page202"/>
    <w:bookmarkEnd w:id="20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COMBINED BALANCE SHEETS</w:t>
      </w: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81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JUNE 30, DECEMBER 31, 2002 2001 -------- ------------</w:t>
      </w:r>
    </w:p>
    <w:p>
      <w:pPr>
        <w:jc w:val="center"/>
        <w:ind w:right="4599"/>
        <w:spacing w:after="0"/>
        <w:rPr>
          <w:sz w:val="20"/>
          <w:szCs w:val="20"/>
          <w:color w:val="auto"/>
        </w:rPr>
      </w:pPr>
      <w:r>
        <w:rPr>
          <w:rFonts w:ascii="Courier New" w:cs="Courier New" w:eastAsia="Courier New" w:hAnsi="Courier New"/>
          <w:sz w:val="16"/>
          <w:szCs w:val="16"/>
          <w:color w:val="auto"/>
        </w:rPr>
        <w:t>Assets Cash and cash</w:t>
      </w:r>
    </w:p>
    <w:p>
      <w:pPr>
        <w:jc w:val="center"/>
        <w:ind w:right="4599"/>
        <w:spacing w:after="0" w:line="237" w:lineRule="auto"/>
        <w:rPr>
          <w:sz w:val="20"/>
          <w:szCs w:val="20"/>
          <w:color w:val="auto"/>
        </w:rPr>
      </w:pPr>
      <w:r>
        <w:rPr>
          <w:rFonts w:ascii="Courier New" w:cs="Courier New" w:eastAsia="Courier New" w:hAnsi="Courier New"/>
          <w:sz w:val="16"/>
          <w:szCs w:val="16"/>
          <w:color w:val="auto"/>
        </w:rPr>
        <w:t>equivalents................................... $ -- $ --</w:t>
      </w:r>
    </w:p>
    <w:p>
      <w:pPr>
        <w:jc w:val="center"/>
        <w:ind w:right="4599"/>
        <w:spacing w:after="0"/>
        <w:rPr>
          <w:sz w:val="20"/>
          <w:szCs w:val="20"/>
          <w:color w:val="auto"/>
        </w:rPr>
      </w:pPr>
      <w:r>
        <w:rPr>
          <w:rFonts w:ascii="Courier New" w:cs="Courier New" w:eastAsia="Courier New" w:hAnsi="Courier New"/>
          <w:sz w:val="16"/>
          <w:szCs w:val="16"/>
          <w:color w:val="auto"/>
        </w:rPr>
        <w:t>Accounts receivable less allowances of $82 and</w:t>
      </w:r>
    </w:p>
    <w:p>
      <w:pPr>
        <w:jc w:val="center"/>
        <w:ind w:right="4599"/>
        <w:spacing w:after="0" w:line="238" w:lineRule="auto"/>
        <w:rPr>
          <w:sz w:val="20"/>
          <w:szCs w:val="20"/>
          <w:color w:val="auto"/>
        </w:rPr>
      </w:pPr>
      <w:r>
        <w:rPr>
          <w:rFonts w:ascii="Courier New" w:cs="Courier New" w:eastAsia="Courier New" w:hAnsi="Courier New"/>
          <w:sz w:val="16"/>
          <w:szCs w:val="16"/>
          <w:color w:val="auto"/>
        </w:rPr>
        <w:t>$73.......... 592 584 Other</w:t>
      </w:r>
    </w:p>
    <w:p>
      <w:pPr>
        <w:jc w:val="center"/>
        <w:ind w:right="4599"/>
        <w:spacing w:after="0"/>
        <w:rPr>
          <w:sz w:val="20"/>
          <w:szCs w:val="20"/>
          <w:color w:val="auto"/>
        </w:rPr>
      </w:pPr>
      <w:r>
        <w:rPr>
          <w:rFonts w:ascii="Courier New" w:cs="Courier New" w:eastAsia="Courier New" w:hAnsi="Courier New"/>
          <w:sz w:val="16"/>
          <w:szCs w:val="16"/>
          <w:color w:val="auto"/>
        </w:rPr>
        <w:t>receivables........................................... 158</w:t>
      </w:r>
    </w:p>
    <w:p>
      <w:pPr>
        <w:jc w:val="center"/>
        <w:ind w:right="4599"/>
        <w:spacing w:after="0" w:line="238" w:lineRule="auto"/>
        <w:rPr>
          <w:sz w:val="20"/>
          <w:szCs w:val="20"/>
          <w:color w:val="auto"/>
        </w:rPr>
      </w:pPr>
      <w:r>
        <w:rPr>
          <w:rFonts w:ascii="Courier New" w:cs="Courier New" w:eastAsia="Courier New" w:hAnsi="Courier New"/>
          <w:sz w:val="16"/>
          <w:szCs w:val="16"/>
          <w:color w:val="auto"/>
        </w:rPr>
        <w:t>214</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414 668 Other current</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assets........................................ 262 184 ----</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 Total current</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assets...................................... 1,426 1,650 --</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 Property, plant and equipment, net of</w:t>
      </w:r>
    </w:p>
    <w:p>
      <w:pPr>
        <w:jc w:val="center"/>
        <w:ind w:right="4599"/>
        <w:spacing w:after="0"/>
        <w:rPr>
          <w:sz w:val="20"/>
          <w:szCs w:val="20"/>
          <w:color w:val="auto"/>
        </w:rPr>
      </w:pPr>
      <w:r>
        <w:rPr>
          <w:rFonts w:ascii="Courier New" w:cs="Courier New" w:eastAsia="Courier New" w:hAnsi="Courier New"/>
          <w:sz w:val="16"/>
          <w:szCs w:val="16"/>
          <w:color w:val="auto"/>
        </w:rPr>
        <w:t>accumulated depreciation of $4,107 and</w:t>
      </w:r>
    </w:p>
    <w:p>
      <w:pPr>
        <w:jc w:val="center"/>
        <w:ind w:right="4599"/>
        <w:spacing w:after="0" w:line="237" w:lineRule="auto"/>
        <w:rPr>
          <w:sz w:val="20"/>
          <w:szCs w:val="20"/>
          <w:color w:val="auto"/>
        </w:rPr>
      </w:pPr>
      <w:r>
        <w:rPr>
          <w:rFonts w:ascii="Courier New" w:cs="Courier New" w:eastAsia="Courier New" w:hAnsi="Courier New"/>
          <w:sz w:val="16"/>
          <w:szCs w:val="16"/>
          <w:color w:val="auto"/>
        </w:rPr>
        <w:t>$2,958......................... 14,861 14,519 Franchise</w:t>
      </w:r>
    </w:p>
    <w:p>
      <w:pPr>
        <w:jc w:val="center"/>
        <w:ind w:right="4599"/>
        <w:spacing w:after="0"/>
        <w:rPr>
          <w:sz w:val="20"/>
          <w:szCs w:val="20"/>
          <w:color w:val="auto"/>
        </w:rPr>
      </w:pPr>
      <w:r>
        <w:rPr>
          <w:rFonts w:ascii="Courier New" w:cs="Courier New" w:eastAsia="Courier New" w:hAnsi="Courier New"/>
          <w:sz w:val="16"/>
          <w:szCs w:val="16"/>
          <w:color w:val="auto"/>
        </w:rPr>
        <w:t>costs, net of accumulated amortization of $2,501 in</w:t>
      </w:r>
    </w:p>
    <w:p>
      <w:pPr>
        <w:jc w:val="center"/>
        <w:ind w:right="4599"/>
        <w:spacing w:after="0" w:line="238" w:lineRule="auto"/>
        <w:rPr>
          <w:sz w:val="20"/>
          <w:szCs w:val="20"/>
          <w:color w:val="auto"/>
        </w:rPr>
      </w:pPr>
      <w:r>
        <w:rPr>
          <w:rFonts w:ascii="Courier New" w:cs="Courier New" w:eastAsia="Courier New" w:hAnsi="Courier New"/>
          <w:sz w:val="16"/>
          <w:szCs w:val="16"/>
          <w:color w:val="auto"/>
        </w:rPr>
        <w:t>2001...................................................</w:t>
      </w:r>
    </w:p>
    <w:p>
      <w:pPr>
        <w:jc w:val="center"/>
        <w:ind w:right="4599"/>
        <w:spacing w:after="0"/>
        <w:rPr>
          <w:sz w:val="20"/>
          <w:szCs w:val="20"/>
          <w:color w:val="auto"/>
        </w:rPr>
      </w:pPr>
      <w:r>
        <w:rPr>
          <w:rFonts w:ascii="Courier New" w:cs="Courier New" w:eastAsia="Courier New" w:hAnsi="Courier New"/>
          <w:sz w:val="16"/>
          <w:szCs w:val="16"/>
          <w:color w:val="auto"/>
        </w:rPr>
        <w:t>29,083 42,819 Goodwill, net of accumulated amortization of</w:t>
      </w:r>
    </w:p>
    <w:p>
      <w:pPr>
        <w:jc w:val="center"/>
        <w:ind w:right="4599"/>
        <w:spacing w:after="0" w:line="238" w:lineRule="auto"/>
        <w:rPr>
          <w:sz w:val="20"/>
          <w:szCs w:val="20"/>
          <w:color w:val="auto"/>
        </w:rPr>
      </w:pPr>
      <w:r>
        <w:rPr>
          <w:rFonts w:ascii="Courier New" w:cs="Courier New" w:eastAsia="Courier New" w:hAnsi="Courier New"/>
          <w:sz w:val="16"/>
          <w:szCs w:val="16"/>
          <w:color w:val="auto"/>
        </w:rPr>
        <w:t>$741 in 2001... 15,134 19,361 Other purchased intangible</w:t>
      </w:r>
    </w:p>
    <w:p>
      <w:pPr>
        <w:jc w:val="center"/>
        <w:ind w:right="4599"/>
        <w:spacing w:after="0"/>
        <w:rPr>
          <w:sz w:val="20"/>
          <w:szCs w:val="20"/>
          <w:color w:val="auto"/>
        </w:rPr>
      </w:pPr>
      <w:r>
        <w:rPr>
          <w:rFonts w:ascii="Courier New" w:cs="Courier New" w:eastAsia="Courier New" w:hAnsi="Courier New"/>
          <w:sz w:val="16"/>
          <w:szCs w:val="16"/>
          <w:color w:val="auto"/>
        </w:rPr>
        <w:t>assets, net of accumulated amortization of $554 and</w:t>
      </w:r>
    </w:p>
    <w:p>
      <w:pPr>
        <w:jc w:val="center"/>
        <w:ind w:right="4599"/>
        <w:spacing w:after="0" w:line="237" w:lineRule="auto"/>
        <w:rPr>
          <w:sz w:val="20"/>
          <w:szCs w:val="20"/>
          <w:color w:val="auto"/>
        </w:rPr>
      </w:pPr>
      <w:r>
        <w:rPr>
          <w:rFonts w:ascii="Courier New" w:cs="Courier New" w:eastAsia="Courier New" w:hAnsi="Courier New"/>
          <w:sz w:val="16"/>
          <w:szCs w:val="16"/>
          <w:color w:val="auto"/>
        </w:rPr>
        <w:t>$458............................. 1,465 1,561</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17,896 21,913 Other</w:t>
      </w:r>
    </w:p>
    <w:p>
      <w:pPr>
        <w:jc w:val="center"/>
        <w:ind w:right="4599"/>
        <w:spacing w:after="0"/>
        <w:rPr>
          <w:sz w:val="20"/>
          <w:szCs w:val="20"/>
          <w:color w:val="auto"/>
        </w:rPr>
      </w:pPr>
      <w:r>
        <w:rPr>
          <w:rFonts w:ascii="Courier New" w:cs="Courier New" w:eastAsia="Courier New" w:hAnsi="Courier New"/>
          <w:sz w:val="16"/>
          <w:szCs w:val="16"/>
          <w:color w:val="auto"/>
        </w:rPr>
        <w:t>assets................................................</w:t>
      </w:r>
    </w:p>
    <w:p>
      <w:pPr>
        <w:jc w:val="center"/>
        <w:ind w:right="4599"/>
        <w:spacing w:after="0" w:line="237" w:lineRule="auto"/>
        <w:rPr>
          <w:sz w:val="20"/>
          <w:szCs w:val="20"/>
          <w:color w:val="auto"/>
        </w:rPr>
      </w:pPr>
      <w:r>
        <w:rPr>
          <w:rFonts w:ascii="Courier New" w:cs="Courier New" w:eastAsia="Courier New" w:hAnsi="Courier New"/>
          <w:sz w:val="16"/>
          <w:szCs w:val="16"/>
          <w:color w:val="auto"/>
        </w:rPr>
        <w:t>1,975 1,364 ------- -------- Total</w:t>
      </w:r>
    </w:p>
    <w:p>
      <w:pPr>
        <w:jc w:val="center"/>
        <w:ind w:right="4599"/>
        <w:spacing w:after="0"/>
        <w:rPr>
          <w:sz w:val="20"/>
          <w:szCs w:val="20"/>
          <w:color w:val="auto"/>
        </w:rPr>
      </w:pPr>
      <w:r>
        <w:rPr>
          <w:rFonts w:ascii="Courier New" w:cs="Courier New" w:eastAsia="Courier New" w:hAnsi="Courier New"/>
          <w:sz w:val="16"/>
          <w:szCs w:val="16"/>
          <w:color w:val="auto"/>
        </w:rPr>
        <w:t>assets..............................................</w:t>
      </w:r>
    </w:p>
    <w:p>
      <w:pPr>
        <w:jc w:val="center"/>
        <w:ind w:right="4599"/>
        <w:spacing w:after="0" w:line="238" w:lineRule="auto"/>
        <w:rPr>
          <w:sz w:val="20"/>
          <w:szCs w:val="20"/>
          <w:color w:val="auto"/>
        </w:rPr>
      </w:pPr>
      <w:r>
        <w:rPr>
          <w:rFonts w:ascii="Courier New" w:cs="Courier New" w:eastAsia="Courier New" w:hAnsi="Courier New"/>
          <w:sz w:val="16"/>
          <w:szCs w:val="16"/>
          <w:color w:val="auto"/>
        </w:rPr>
        <w:t>$81,840 $103,187 ======= ======== Liabilities and Combined</w:t>
      </w:r>
    </w:p>
    <w:p>
      <w:pPr>
        <w:jc w:val="center"/>
        <w:ind w:right="4599"/>
        <w:spacing w:after="0"/>
        <w:rPr>
          <w:sz w:val="20"/>
          <w:szCs w:val="20"/>
          <w:color w:val="auto"/>
        </w:rPr>
      </w:pPr>
      <w:r>
        <w:rPr>
          <w:rFonts w:ascii="Courier New" w:cs="Courier New" w:eastAsia="Courier New" w:hAnsi="Courier New"/>
          <w:sz w:val="16"/>
          <w:szCs w:val="16"/>
          <w:color w:val="auto"/>
        </w:rPr>
        <w:t>Attributed Net Assets Accounts</w:t>
      </w:r>
    </w:p>
    <w:tbl>
      <w:tblPr>
        <w:tblLayout w:type="fixed"/>
        <w:tblInd w:w="40" w:type="dxa"/>
        <w:tblCellMar>
          <w:top w:w="0" w:type="dxa"/>
          <w:left w:w="0" w:type="dxa"/>
          <w:bottom w:w="0" w:type="dxa"/>
          <w:right w:w="0" w:type="dxa"/>
        </w:tblCellMar>
      </w:tblP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8"/>
                <w:szCs w:val="8"/>
                <w:color w:val="auto"/>
                <w:w w:val="77"/>
              </w:rPr>
              <w:t>payable............................................</w:t>
            </w:r>
          </w:p>
        </w:tc>
        <w:tc>
          <w:tcPr>
            <w:tcW w:w="3520" w:type="dxa"/>
            <w:vAlign w:val="bottom"/>
          </w:tcPr>
          <w:p>
            <w:pPr>
              <w:jc w:val="right"/>
              <w:ind w:right="22"/>
              <w:spacing w:after="0" w:line="180" w:lineRule="exact"/>
              <w:rPr>
                <w:sz w:val="20"/>
                <w:szCs w:val="20"/>
                <w:color w:val="auto"/>
              </w:rPr>
            </w:pPr>
            <w:r>
              <w:rPr>
                <w:rFonts w:ascii="Courier New" w:cs="Courier New" w:eastAsia="Courier New" w:hAnsi="Courier New"/>
                <w:sz w:val="16"/>
                <w:szCs w:val="16"/>
                <w:color w:val="auto"/>
              </w:rPr>
              <w:t>$ 712</w:t>
            </w:r>
          </w:p>
        </w:tc>
        <w:tc>
          <w:tcPr>
            <w:tcW w:w="10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w w:val="82"/>
              </w:rPr>
              <w:t>$</w:t>
            </w: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678 Payroll and benefit-related</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3"/>
                <w:szCs w:val="13"/>
                <w:color w:val="auto"/>
                <w:w w:val="76"/>
              </w:rPr>
              <w:t>liabilities.....................</w:t>
            </w:r>
          </w:p>
        </w:tc>
        <w:tc>
          <w:tcPr>
            <w:tcW w:w="3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369 478 Debt maturing</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9"/>
                <w:szCs w:val="9"/>
                <w:color w:val="auto"/>
                <w:w w:val="76"/>
              </w:rPr>
              <w:t>within one year...............................</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2,050 2,824</w:t>
            </w: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Short-term debt due to</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2"/>
                <w:szCs w:val="12"/>
                <w:color w:val="auto"/>
                <w:w w:val="71"/>
              </w:rPr>
              <w:t>AT&amp;T.................................</w:t>
            </w:r>
          </w:p>
        </w:tc>
        <w:tc>
          <w:tcPr>
            <w:tcW w:w="3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6,486 3,959 Other</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current liabilities...................................</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2,363 1,691 -------</w:t>
            </w:r>
          </w:p>
        </w:tc>
        <w:tc>
          <w:tcPr>
            <w:tcW w:w="3520" w:type="dxa"/>
            <w:vAlign w:val="bottom"/>
          </w:tcPr>
          <w:p>
            <w:pPr>
              <w:ind w:left="760"/>
              <w:spacing w:after="0"/>
              <w:rPr>
                <w:sz w:val="20"/>
                <w:szCs w:val="20"/>
                <w:color w:val="auto"/>
              </w:rPr>
            </w:pPr>
            <w:r>
              <w:rPr>
                <w:rFonts w:ascii="Courier New" w:cs="Courier New" w:eastAsia="Courier New" w:hAnsi="Courier New"/>
                <w:sz w:val="16"/>
                <w:szCs w:val="16"/>
                <w:color w:val="auto"/>
              </w:rPr>
              <w:t>-------- Total current</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0"/>
                <w:szCs w:val="10"/>
                <w:color w:val="auto"/>
                <w:w w:val="71"/>
              </w:rPr>
              <w:t>liabilities.................................</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11,980 9,630</w:t>
            </w:r>
          </w:p>
        </w:tc>
        <w:tc>
          <w:tcPr>
            <w:tcW w:w="100" w:type="dxa"/>
            <w:vAlign w:val="bottom"/>
          </w:tcPr>
          <w:p>
            <w:pPr>
              <w:spacing w:after="0"/>
              <w:rPr>
                <w:sz w:val="15"/>
                <w:szCs w:val="15"/>
                <w:color w:val="auto"/>
              </w:rPr>
            </w:pPr>
          </w:p>
        </w:tc>
      </w:tr>
      <w:tr>
        <w:trPr>
          <w:trHeight w:val="180"/>
        </w:trPr>
        <w:tc>
          <w:tcPr>
            <w:tcW w:w="1920" w:type="dxa"/>
            <w:vAlign w:val="bottom"/>
          </w:tcPr>
          <w:p>
            <w:pPr>
              <w:spacing w:after="0"/>
              <w:rPr>
                <w:sz w:val="15"/>
                <w:szCs w:val="15"/>
                <w:color w:val="auto"/>
              </w:rPr>
            </w:pPr>
          </w:p>
        </w:tc>
        <w:tc>
          <w:tcPr>
            <w:tcW w:w="3520" w:type="dxa"/>
            <w:vAlign w:val="bottom"/>
          </w:tcPr>
          <w:p>
            <w:pPr>
              <w:jc w:val="center"/>
              <w:ind w:right="1742"/>
              <w:spacing w:after="0"/>
              <w:rPr>
                <w:sz w:val="20"/>
                <w:szCs w:val="20"/>
                <w:color w:val="auto"/>
              </w:rPr>
            </w:pPr>
            <w:r>
              <w:rPr>
                <w:rFonts w:ascii="Courier New" w:cs="Courier New" w:eastAsia="Courier New" w:hAnsi="Courier New"/>
                <w:sz w:val="16"/>
                <w:szCs w:val="16"/>
                <w:color w:val="auto"/>
                <w:w w:val="99"/>
              </w:rPr>
              <w:t>Long-term</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9"/>
                <w:szCs w:val="9"/>
                <w:color w:val="auto"/>
                <w:w w:val="70"/>
              </w:rPr>
              <w:t>debt..............................................</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13,406</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16,502 Deferred income</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0"/>
                <w:szCs w:val="10"/>
                <w:color w:val="auto"/>
                <w:w w:val="71"/>
              </w:rPr>
              <w:t>taxes.......................................</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19,906 25,810</w:t>
            </w: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Other long-term liabilities and deferred</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credits............</w:t>
            </w:r>
          </w:p>
        </w:tc>
        <w:tc>
          <w:tcPr>
            <w:tcW w:w="35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836 1,059 ------- -------- Total</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9"/>
                <w:szCs w:val="9"/>
                <w:color w:val="auto"/>
                <w:w w:val="71"/>
              </w:rPr>
              <w:t>liabilities......................................</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46,128</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53,001 -------</w:t>
            </w:r>
          </w:p>
        </w:tc>
        <w:tc>
          <w:tcPr>
            <w:tcW w:w="3520" w:type="dxa"/>
            <w:vAlign w:val="bottom"/>
          </w:tcPr>
          <w:p>
            <w:pPr>
              <w:ind w:left="760"/>
              <w:spacing w:after="0"/>
              <w:rPr>
                <w:sz w:val="20"/>
                <w:szCs w:val="20"/>
                <w:color w:val="auto"/>
              </w:rPr>
            </w:pPr>
            <w:r>
              <w:rPr>
                <w:rFonts w:ascii="Courier New" w:cs="Courier New" w:eastAsia="Courier New" w:hAnsi="Courier New"/>
                <w:sz w:val="16"/>
                <w:szCs w:val="16"/>
                <w:color w:val="auto"/>
              </w:rPr>
              <w:t>-------- Minority</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8"/>
                <w:szCs w:val="8"/>
                <w:color w:val="auto"/>
                <w:w w:val="77"/>
              </w:rPr>
              <w:t>interest...........................................</w:t>
            </w:r>
          </w:p>
        </w:tc>
        <w:tc>
          <w:tcPr>
            <w:tcW w:w="3520" w:type="dxa"/>
            <w:vAlign w:val="bottom"/>
          </w:tcPr>
          <w:p>
            <w:pPr>
              <w:jc w:val="right"/>
              <w:spacing w:after="0"/>
              <w:rPr>
                <w:sz w:val="20"/>
                <w:szCs w:val="20"/>
                <w:color w:val="auto"/>
              </w:rPr>
            </w:pPr>
            <w:r>
              <w:rPr>
                <w:rFonts w:ascii="Courier New" w:cs="Courier New" w:eastAsia="Courier New" w:hAnsi="Courier New"/>
                <w:sz w:val="16"/>
                <w:szCs w:val="16"/>
                <w:color w:val="auto"/>
              </w:rPr>
              <w:t>1,210</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3,302 Company-Obligated Convertible Quarterly Income</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Preferred Securities of Subsidiary Trust Holding Solely</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Subordinated Debt Securities of</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1"/>
                <w:szCs w:val="11"/>
                <w:color w:val="auto"/>
                <w:w w:val="73"/>
              </w:rPr>
              <w:t>AT&amp;T...................................</w:t>
            </w:r>
          </w:p>
        </w:tc>
        <w:tc>
          <w:tcPr>
            <w:tcW w:w="3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4,725 4,720</w:t>
            </w:r>
          </w:p>
        </w:tc>
        <w:tc>
          <w:tcPr>
            <w:tcW w:w="100" w:type="dxa"/>
            <w:vAlign w:val="bottom"/>
          </w:tcPr>
          <w:p>
            <w:pPr>
              <w:spacing w:after="0"/>
              <w:rPr>
                <w:sz w:val="15"/>
                <w:szCs w:val="15"/>
                <w:color w:val="auto"/>
              </w:rPr>
            </w:pP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6"/>
              </w:rPr>
              <w:t>Combined attributed net</w:t>
            </w:r>
          </w:p>
        </w:tc>
        <w:tc>
          <w:tcPr>
            <w:tcW w:w="10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2"/>
                <w:szCs w:val="12"/>
                <w:color w:val="auto"/>
                <w:w w:val="73"/>
              </w:rPr>
              <w:t>assets..............................</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29,777 42,164 -------</w:t>
            </w:r>
          </w:p>
        </w:tc>
      </w:tr>
      <w:tr>
        <w:trPr>
          <w:trHeight w:val="180"/>
        </w:trPr>
        <w:tc>
          <w:tcPr>
            <w:tcW w:w="5440" w:type="dxa"/>
            <w:vAlign w:val="bottom"/>
            <w:gridSpan w:val="2"/>
          </w:tcPr>
          <w:p>
            <w:pPr>
              <w:jc w:val="center"/>
              <w:ind w:left="34"/>
              <w:spacing w:after="0"/>
              <w:rPr>
                <w:sz w:val="20"/>
                <w:szCs w:val="20"/>
                <w:color w:val="auto"/>
              </w:rPr>
            </w:pPr>
            <w:r>
              <w:rPr>
                <w:rFonts w:ascii="Courier New" w:cs="Courier New" w:eastAsia="Courier New" w:hAnsi="Courier New"/>
                <w:sz w:val="16"/>
                <w:szCs w:val="16"/>
                <w:color w:val="auto"/>
                <w:w w:val="97"/>
              </w:rPr>
              <w:t>-------- Total liabilities and combined attributed net</w:t>
            </w:r>
          </w:p>
        </w:tc>
        <w:tc>
          <w:tcPr>
            <w:tcW w:w="100" w:type="dxa"/>
            <w:vAlign w:val="bottom"/>
          </w:tcPr>
          <w:p>
            <w:pPr>
              <w:spacing w:after="0"/>
              <w:rPr>
                <w:sz w:val="15"/>
                <w:szCs w:val="15"/>
                <w:color w:val="auto"/>
              </w:rPr>
            </w:pPr>
          </w:p>
        </w:tc>
      </w:tr>
      <w:tr>
        <w:trPr>
          <w:trHeight w:val="180"/>
        </w:trPr>
        <w:tc>
          <w:tcPr>
            <w:tcW w:w="1920" w:type="dxa"/>
            <w:vAlign w:val="bottom"/>
          </w:tcPr>
          <w:p>
            <w:pPr>
              <w:jc w:val="right"/>
              <w:ind w:right="14"/>
              <w:spacing w:after="0"/>
              <w:rPr>
                <w:sz w:val="20"/>
                <w:szCs w:val="20"/>
                <w:color w:val="auto"/>
              </w:rPr>
            </w:pPr>
            <w:r>
              <w:rPr>
                <w:rFonts w:ascii="Courier New" w:cs="Courier New" w:eastAsia="Courier New" w:hAnsi="Courier New"/>
                <w:sz w:val="16"/>
                <w:szCs w:val="16"/>
                <w:color w:val="auto"/>
              </w:rPr>
              <w:t>assets........</w:t>
            </w:r>
          </w:p>
        </w:tc>
        <w:tc>
          <w:tcPr>
            <w:tcW w:w="352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$81,840 $103,187 ======= ========</w:t>
            </w:r>
          </w:p>
        </w:tc>
        <w:tc>
          <w:tcPr>
            <w:tcW w:w="100" w:type="dxa"/>
            <w:vAlign w:val="bottom"/>
          </w:tcPr>
          <w:p>
            <w:pPr>
              <w:spacing w:after="0"/>
              <w:rPr>
                <w:sz w:val="15"/>
                <w:szCs w:val="15"/>
                <w:color w:val="auto"/>
              </w:rPr>
            </w:pPr>
          </w:p>
        </w:tc>
      </w:tr>
    </w:tbl>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654" w:right="1440" w:bottom="1440" w:gutter="0" w:footer="0" w:header="0"/>
        </w:sectPr>
      </w:pPr>
    </w:p>
    <w:bookmarkStart w:id="202" w:name="page203"/>
    <w:bookmarkEnd w:id="202"/>
    <w:p>
      <w:pPr>
        <w:jc w:val="center"/>
        <w:ind w:right="2739"/>
        <w:spacing w:after="0"/>
        <w:rPr>
          <w:sz w:val="20"/>
          <w:szCs w:val="20"/>
          <w:color w:val="auto"/>
        </w:rPr>
      </w:pPr>
      <w:r>
        <w:rPr>
          <w:rFonts w:ascii="Courier New" w:cs="Courier New" w:eastAsia="Courier New" w:hAnsi="Courier New"/>
          <w:sz w:val="16"/>
          <w:szCs w:val="16"/>
          <w:color w:val="auto"/>
        </w:rPr>
        <w:t>AT&amp;T BROADBAND GROUP</w:t>
      </w:r>
    </w:p>
    <w:p>
      <w:pPr>
        <w:jc w:val="center"/>
        <w:ind w:right="273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COMBINED STATEMENTS OF CHANGES IN COMBINED ATTRIBUTED NET ASSETS</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(UNAUDITED)</w:t>
      </w: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SIX MONTHS ENDED JUNE 30, ------------------ 2002</w:t>
      </w:r>
    </w:p>
    <w:p>
      <w:pPr>
        <w:ind w:left="40"/>
        <w:spacing w:after="0"/>
        <w:rPr>
          <w:sz w:val="20"/>
          <w:szCs w:val="20"/>
          <w:color w:val="auto"/>
        </w:rPr>
      </w:pPr>
      <w:r>
        <w:rPr>
          <w:rFonts w:ascii="Courier New" w:cs="Courier New" w:eastAsia="Courier New" w:hAnsi="Courier New"/>
          <w:sz w:val="16"/>
          <w:szCs w:val="16"/>
          <w:color w:val="auto"/>
        </w:rPr>
        <w:t>2001 -------- ------- Combined attributed net assets:</w:t>
      </w:r>
    </w:p>
    <w:p>
      <w:pPr>
        <w:ind w:left="1440"/>
        <w:spacing w:after="0" w:line="237" w:lineRule="auto"/>
        <w:rPr>
          <w:sz w:val="20"/>
          <w:szCs w:val="20"/>
          <w:color w:val="auto"/>
        </w:rPr>
      </w:pPr>
      <w:r>
        <w:rPr>
          <w:rFonts w:ascii="Courier New" w:cs="Courier New" w:eastAsia="Courier New" w:hAnsi="Courier New"/>
          <w:sz w:val="16"/>
          <w:szCs w:val="16"/>
          <w:color w:val="auto"/>
        </w:rPr>
        <w:t>Balance at beginning of</w:t>
      </w:r>
    </w:p>
    <w:p>
      <w:pPr>
        <w:ind w:left="140"/>
        <w:spacing w:after="0"/>
        <w:rPr>
          <w:sz w:val="20"/>
          <w:szCs w:val="20"/>
          <w:color w:val="auto"/>
        </w:rPr>
      </w:pPr>
      <w:r>
        <w:rPr>
          <w:rFonts w:ascii="Courier New" w:cs="Courier New" w:eastAsia="Courier New" w:hAnsi="Courier New"/>
          <w:sz w:val="16"/>
          <w:szCs w:val="16"/>
          <w:color w:val="auto"/>
        </w:rPr>
        <w:t>period............................ $ 42,164 $43,317</w:t>
      </w:r>
    </w:p>
    <w:p>
      <w:pPr>
        <w:ind w:left="2380"/>
        <w:spacing w:after="0" w:line="238" w:lineRule="auto"/>
        <w:rPr>
          <w:sz w:val="20"/>
          <w:szCs w:val="20"/>
          <w:color w:val="auto"/>
        </w:rPr>
      </w:pPr>
      <w:r>
        <w:rPr>
          <w:rFonts w:ascii="Courier New" w:cs="Courier New" w:eastAsia="Courier New" w:hAnsi="Courier New"/>
          <w:sz w:val="16"/>
          <w:szCs w:val="16"/>
          <w:color w:val="auto"/>
        </w:rPr>
        <w:t>Net</w:t>
      </w:r>
    </w:p>
    <w:p>
      <w:pPr>
        <w:spacing w:after="0"/>
        <w:rPr>
          <w:sz w:val="20"/>
          <w:szCs w:val="20"/>
          <w:color w:val="auto"/>
        </w:rPr>
      </w:pPr>
      <w:r>
        <w:rPr>
          <w:rFonts w:ascii="Courier New" w:cs="Courier New" w:eastAsia="Courier New" w:hAnsi="Courier New"/>
          <w:sz w:val="16"/>
          <w:szCs w:val="16"/>
          <w:color w:val="auto"/>
        </w:rPr>
        <w:t>loss..................................................</w:t>
      </w:r>
    </w:p>
    <w:p>
      <w:pPr>
        <w:ind w:left="600"/>
        <w:spacing w:after="0" w:line="238" w:lineRule="auto"/>
        <w:rPr>
          <w:sz w:val="20"/>
          <w:szCs w:val="20"/>
          <w:color w:val="auto"/>
        </w:rPr>
      </w:pPr>
      <w:r>
        <w:rPr>
          <w:rFonts w:ascii="Courier New" w:cs="Courier New" w:eastAsia="Courier New" w:hAnsi="Courier New"/>
          <w:sz w:val="16"/>
          <w:szCs w:val="16"/>
          <w:color w:val="auto"/>
        </w:rPr>
        <w:t>(14,692) (2,300) Contributions from AT&amp;T,</w:t>
      </w:r>
    </w:p>
    <w:p>
      <w:pPr>
        <w:ind w:left="420"/>
        <w:spacing w:after="0"/>
        <w:rPr>
          <w:sz w:val="20"/>
          <w:szCs w:val="20"/>
          <w:color w:val="auto"/>
        </w:rPr>
      </w:pPr>
      <w:r>
        <w:rPr>
          <w:rFonts w:ascii="Courier New" w:cs="Courier New" w:eastAsia="Courier New" w:hAnsi="Courier New"/>
          <w:sz w:val="16"/>
          <w:szCs w:val="16"/>
          <w:color w:val="auto"/>
        </w:rPr>
        <w:t>net.............................. 2,048 2,235</w:t>
      </w:r>
    </w:p>
    <w:p>
      <w:pPr>
        <w:ind w:left="1260"/>
        <w:spacing w:after="0" w:line="237" w:lineRule="auto"/>
        <w:rPr>
          <w:sz w:val="20"/>
          <w:szCs w:val="20"/>
          <w:color w:val="auto"/>
        </w:rPr>
      </w:pPr>
      <w:r>
        <w:rPr>
          <w:rFonts w:ascii="Courier New" w:cs="Courier New" w:eastAsia="Courier New" w:hAnsi="Courier New"/>
          <w:sz w:val="16"/>
          <w:szCs w:val="16"/>
          <w:color w:val="auto"/>
        </w:rPr>
        <w:t>Issuance of common stock by</w:t>
      </w:r>
    </w:p>
    <w:p>
      <w:pPr>
        <w:ind w:left="80"/>
        <w:spacing w:after="0"/>
        <w:rPr>
          <w:sz w:val="20"/>
          <w:szCs w:val="20"/>
          <w:color w:val="auto"/>
        </w:rPr>
      </w:pPr>
      <w:r>
        <w:rPr>
          <w:rFonts w:ascii="Courier New" w:cs="Courier New" w:eastAsia="Courier New" w:hAnsi="Courier New"/>
          <w:sz w:val="16"/>
          <w:szCs w:val="16"/>
          <w:color w:val="auto"/>
        </w:rPr>
        <w:t>affiliates.................... -- 39 Net revaluation</w:t>
      </w:r>
    </w:p>
    <w:p>
      <w:pPr>
        <w:ind w:left="80"/>
        <w:spacing w:after="0" w:line="238" w:lineRule="auto"/>
        <w:rPr>
          <w:sz w:val="20"/>
          <w:szCs w:val="20"/>
          <w:color w:val="auto"/>
        </w:rPr>
      </w:pPr>
      <w:r>
        <w:rPr>
          <w:rFonts w:ascii="Courier New" w:cs="Courier New" w:eastAsia="Courier New" w:hAnsi="Courier New"/>
          <w:sz w:val="16"/>
          <w:szCs w:val="16"/>
          <w:color w:val="auto"/>
        </w:rPr>
        <w:t>of financial instruments.................. (514) (4)</w:t>
      </w:r>
    </w:p>
    <w:p>
      <w:pPr>
        <w:ind w:left="840"/>
        <w:spacing w:after="0"/>
        <w:rPr>
          <w:sz w:val="20"/>
          <w:szCs w:val="20"/>
          <w:color w:val="auto"/>
        </w:rPr>
      </w:pPr>
      <w:r>
        <w:rPr>
          <w:rFonts w:ascii="Courier New" w:cs="Courier New" w:eastAsia="Courier New" w:hAnsi="Courier New"/>
          <w:sz w:val="16"/>
          <w:szCs w:val="16"/>
          <w:color w:val="auto"/>
        </w:rPr>
        <w:t>Recognition of previously unrealized</w:t>
      </w:r>
    </w:p>
    <w:p>
      <w:pPr>
        <w:ind w:left="220"/>
        <w:spacing w:after="0" w:line="238" w:lineRule="auto"/>
        <w:rPr>
          <w:sz w:val="20"/>
          <w:szCs w:val="20"/>
          <w:color w:val="auto"/>
        </w:rPr>
      </w:pPr>
      <w:r>
        <w:rPr>
          <w:rFonts w:ascii="Courier New" w:cs="Courier New" w:eastAsia="Courier New" w:hAnsi="Courier New"/>
          <w:sz w:val="16"/>
          <w:szCs w:val="16"/>
          <w:color w:val="auto"/>
        </w:rPr>
        <w:t>losses............... 777 748 Other comprehensive</w:t>
      </w:r>
    </w:p>
    <w:p>
      <w:pPr>
        <w:ind w:left="40"/>
        <w:spacing w:after="0"/>
        <w:rPr>
          <w:sz w:val="20"/>
          <w:szCs w:val="20"/>
          <w:color w:val="auto"/>
        </w:rPr>
      </w:pPr>
      <w:r>
        <w:rPr>
          <w:rFonts w:ascii="Courier New" w:cs="Courier New" w:eastAsia="Courier New" w:hAnsi="Courier New"/>
          <w:sz w:val="16"/>
          <w:szCs w:val="16"/>
          <w:color w:val="auto"/>
        </w:rPr>
        <w:t>(loss) income......................... (6) 29 -------</w:t>
      </w:r>
    </w:p>
    <w:p>
      <w:pPr>
        <w:ind w:left="1260"/>
        <w:spacing w:after="0" w:line="237" w:lineRule="auto"/>
        <w:rPr>
          <w:sz w:val="20"/>
          <w:szCs w:val="20"/>
          <w:color w:val="auto"/>
        </w:rPr>
      </w:pPr>
      <w:r>
        <w:rPr>
          <w:rFonts w:ascii="Courier New" w:cs="Courier New" w:eastAsia="Courier New" w:hAnsi="Courier New"/>
          <w:sz w:val="16"/>
          <w:szCs w:val="16"/>
          <w:color w:val="auto"/>
        </w:rPr>
        <w:t>- ------- Balance at end of</w:t>
      </w:r>
    </w:p>
    <w:p>
      <w:pPr>
        <w:ind w:left="220"/>
        <w:spacing w:after="0"/>
        <w:rPr>
          <w:sz w:val="20"/>
          <w:szCs w:val="20"/>
          <w:color w:val="auto"/>
        </w:rPr>
      </w:pPr>
      <w:r>
        <w:rPr>
          <w:rFonts w:ascii="Courier New" w:cs="Courier New" w:eastAsia="Courier New" w:hAnsi="Courier New"/>
          <w:sz w:val="16"/>
          <w:szCs w:val="16"/>
          <w:color w:val="auto"/>
        </w:rPr>
        <w:t>period.................................. $ 29,777</w:t>
      </w:r>
    </w:p>
    <w:p>
      <w:pPr>
        <w:ind w:left="600"/>
        <w:spacing w:after="0" w:line="238" w:lineRule="auto"/>
        <w:rPr>
          <w:sz w:val="20"/>
          <w:szCs w:val="20"/>
          <w:color w:val="auto"/>
        </w:rPr>
      </w:pPr>
      <w:r>
        <w:rPr>
          <w:rFonts w:ascii="Courier New" w:cs="Courier New" w:eastAsia="Courier New" w:hAnsi="Courier New"/>
          <w:sz w:val="16"/>
          <w:szCs w:val="16"/>
          <w:color w:val="auto"/>
        </w:rPr>
        <w:t>$44,064 ======== ======= Summary of total</w:t>
      </w:r>
    </w:p>
    <w:p>
      <w:pPr>
        <w:ind w:left="1440"/>
        <w:spacing w:after="0"/>
        <w:rPr>
          <w:sz w:val="20"/>
          <w:szCs w:val="20"/>
          <w:color w:val="auto"/>
        </w:rPr>
      </w:pPr>
      <w:r>
        <w:rPr>
          <w:rFonts w:ascii="Courier New" w:cs="Courier New" w:eastAsia="Courier New" w:hAnsi="Courier New"/>
          <w:sz w:val="16"/>
          <w:szCs w:val="16"/>
          <w:color w:val="auto"/>
        </w:rPr>
        <w:t>comprehensive loss: Net</w:t>
      </w:r>
    </w:p>
    <w:p>
      <w:pPr>
        <w:spacing w:after="0" w:line="238" w:lineRule="auto"/>
        <w:rPr>
          <w:sz w:val="20"/>
          <w:szCs w:val="20"/>
          <w:color w:val="auto"/>
        </w:rPr>
      </w:pPr>
      <w:r>
        <w:rPr>
          <w:rFonts w:ascii="Courier New" w:cs="Courier New" w:eastAsia="Courier New" w:hAnsi="Courier New"/>
          <w:sz w:val="16"/>
          <w:szCs w:val="16"/>
          <w:color w:val="auto"/>
        </w:rPr>
        <w:t>loss..................................................</w:t>
      </w:r>
    </w:p>
    <w:p>
      <w:pPr>
        <w:ind w:left="320"/>
        <w:spacing w:after="0"/>
        <w:rPr>
          <w:sz w:val="20"/>
          <w:szCs w:val="20"/>
          <w:color w:val="auto"/>
        </w:rPr>
      </w:pPr>
      <w:r>
        <w:rPr>
          <w:rFonts w:ascii="Courier New" w:cs="Courier New" w:eastAsia="Courier New" w:hAnsi="Courier New"/>
          <w:sz w:val="16"/>
          <w:szCs w:val="16"/>
          <w:color w:val="auto"/>
        </w:rPr>
        <w:t>$(14,692) $(2,300) Net revaluation of financial</w:t>
      </w:r>
    </w:p>
    <w:p>
      <w:pPr>
        <w:ind w:left="460"/>
        <w:spacing w:after="0" w:line="237" w:lineRule="auto"/>
        <w:rPr>
          <w:sz w:val="20"/>
          <w:szCs w:val="20"/>
          <w:color w:val="auto"/>
        </w:rPr>
      </w:pPr>
      <w:r>
        <w:rPr>
          <w:rFonts w:ascii="Courier New" w:cs="Courier New" w:eastAsia="Courier New" w:hAnsi="Courier New"/>
          <w:sz w:val="16"/>
          <w:szCs w:val="16"/>
          <w:color w:val="auto"/>
        </w:rPr>
        <w:t>instruments (net of income taxes of $323 and</w:t>
      </w:r>
    </w:p>
    <w:p>
      <w:pPr>
        <w:ind w:left="320"/>
        <w:spacing w:after="0"/>
        <w:rPr>
          <w:sz w:val="20"/>
          <w:szCs w:val="20"/>
          <w:color w:val="auto"/>
        </w:rPr>
      </w:pPr>
      <w:r>
        <w:rPr>
          <w:rFonts w:ascii="Courier New" w:cs="Courier New" w:eastAsia="Courier New" w:hAnsi="Courier New"/>
          <w:sz w:val="16"/>
          <w:szCs w:val="16"/>
          <w:color w:val="auto"/>
        </w:rPr>
        <w:t>$3).................................. (514) (4)</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3660" w:type="dxa"/>
            <w:vAlign w:val="bottom"/>
          </w:tcPr>
          <w:p>
            <w:pPr>
              <w:ind w:left="320"/>
              <w:spacing w:after="0"/>
              <w:rPr>
                <w:sz w:val="20"/>
                <w:szCs w:val="20"/>
                <w:color w:val="auto"/>
              </w:rPr>
            </w:pPr>
            <w:r>
              <w:rPr>
                <w:rFonts w:ascii="Courier New" w:cs="Courier New" w:eastAsia="Courier New" w:hAnsi="Courier New"/>
                <w:sz w:val="16"/>
                <w:szCs w:val="16"/>
                <w:color w:val="auto"/>
              </w:rPr>
              <w:t>of income taxes of $488 and</w:t>
            </w:r>
          </w:p>
        </w:tc>
      </w:tr>
      <w:tr>
        <w:trPr>
          <w:trHeight w:val="180"/>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$471)</w:t>
            </w:r>
          </w:p>
        </w:tc>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 777 748 Other</w:t>
            </w:r>
          </w:p>
        </w:tc>
      </w:tr>
    </w:tbl>
    <w:p>
      <w:pPr>
        <w:jc w:val="center"/>
        <w:ind w:right="5159"/>
        <w:spacing w:after="0"/>
        <w:rPr>
          <w:sz w:val="20"/>
          <w:szCs w:val="20"/>
          <w:color w:val="auto"/>
        </w:rPr>
      </w:pPr>
      <w:r>
        <w:rPr>
          <w:rFonts w:ascii="Courier New" w:cs="Courier New" w:eastAsia="Courier New" w:hAnsi="Courier New"/>
          <w:sz w:val="16"/>
          <w:szCs w:val="16"/>
          <w:color w:val="auto"/>
        </w:rPr>
        <w:t>comprehensive (loss) income (net of income taxes of</w:t>
      </w:r>
    </w:p>
    <w:p>
      <w:pPr>
        <w:ind w:left="2160"/>
        <w:spacing w:after="0" w:line="237" w:lineRule="auto"/>
        <w:rPr>
          <w:sz w:val="20"/>
          <w:szCs w:val="20"/>
          <w:color w:val="auto"/>
        </w:rPr>
      </w:pPr>
      <w:r>
        <w:rPr>
          <w:rFonts w:ascii="Courier New" w:cs="Courier New" w:eastAsia="Courier New" w:hAnsi="Courier New"/>
          <w:sz w:val="16"/>
          <w:szCs w:val="16"/>
          <w:color w:val="auto"/>
        </w:rPr>
        <w:t>$(4) and</w:t>
      </w:r>
    </w:p>
    <w:p>
      <w:pPr>
        <w:ind w:left="40"/>
        <w:spacing w:after="0"/>
        <w:rPr>
          <w:sz w:val="20"/>
          <w:szCs w:val="20"/>
          <w:color w:val="auto"/>
        </w:rPr>
      </w:pPr>
      <w:r>
        <w:rPr>
          <w:rFonts w:ascii="Courier New" w:cs="Courier New" w:eastAsia="Courier New" w:hAnsi="Courier New"/>
          <w:sz w:val="16"/>
          <w:szCs w:val="16"/>
          <w:color w:val="auto"/>
        </w:rPr>
        <w:t>$7)........................................... (6) 29</w:t>
      </w:r>
    </w:p>
    <w:p>
      <w:pPr>
        <w:ind w:left="840"/>
        <w:spacing w:after="0" w:line="238" w:lineRule="auto"/>
        <w:rPr>
          <w:sz w:val="20"/>
          <w:szCs w:val="20"/>
          <w:color w:val="auto"/>
        </w:rPr>
      </w:pPr>
      <w:r>
        <w:rPr>
          <w:rFonts w:ascii="Courier New" w:cs="Courier New" w:eastAsia="Courier New" w:hAnsi="Courier New"/>
          <w:sz w:val="16"/>
          <w:szCs w:val="16"/>
          <w:color w:val="auto"/>
        </w:rPr>
        <w:t>-------- ------- Total comprehensive</w:t>
      </w:r>
    </w:p>
    <w:p>
      <w:pPr>
        <w:ind w:left="280"/>
        <w:spacing w:after="0"/>
        <w:rPr>
          <w:sz w:val="20"/>
          <w:szCs w:val="20"/>
          <w:color w:val="auto"/>
        </w:rPr>
      </w:pPr>
      <w:r>
        <w:rPr>
          <w:rFonts w:ascii="Courier New" w:cs="Courier New" w:eastAsia="Courier New" w:hAnsi="Courier New"/>
          <w:sz w:val="16"/>
          <w:szCs w:val="16"/>
          <w:color w:val="auto"/>
        </w:rPr>
        <w:t>loss.................................. $(14,435)</w:t>
      </w:r>
    </w:p>
    <w:p>
      <w:pPr>
        <w:ind w:left="1360"/>
        <w:spacing w:after="0" w:line="238" w:lineRule="auto"/>
        <w:rPr>
          <w:sz w:val="20"/>
          <w:szCs w:val="20"/>
          <w:color w:val="auto"/>
        </w:rPr>
      </w:pPr>
      <w:r>
        <w:rPr>
          <w:rFonts w:ascii="Courier New" w:cs="Courier New" w:eastAsia="Courier New" w:hAnsi="Courier New"/>
          <w:sz w:val="16"/>
          <w:szCs w:val="16"/>
          <w:color w:val="auto"/>
        </w:rPr>
        <w:t>$(1,527) ======== =======</w:t>
      </w:r>
    </w:p>
    <w:p>
      <w:pPr>
        <w:spacing w:after="0" w:line="360"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See Accompanying Notes to Combined Financial Statements.</w:t>
      </w:r>
    </w:p>
    <w:p>
      <w:pPr>
        <w:jc w:val="center"/>
        <w:ind w:right="2539"/>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654" w:right="1440" w:bottom="1440" w:gutter="0" w:footer="0" w:header="0"/>
        </w:sectPr>
      </w:pPr>
    </w:p>
    <w:bookmarkStart w:id="203" w:name="page204"/>
    <w:bookmarkEnd w:id="20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COMBINED STATEMENTS OF CASH FLOWS</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180"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SIX MONTHS ENDED JUNE 30, ------------------ 2002</w:t>
      </w:r>
    </w:p>
    <w:p>
      <w:pPr>
        <w:jc w:val="center"/>
        <w:ind w:right="5159"/>
        <w:spacing w:after="0"/>
        <w:rPr>
          <w:sz w:val="20"/>
          <w:szCs w:val="20"/>
          <w:color w:val="auto"/>
        </w:rPr>
      </w:pPr>
      <w:r>
        <w:rPr>
          <w:rFonts w:ascii="Courier New" w:cs="Courier New" w:eastAsia="Courier New" w:hAnsi="Courier New"/>
          <w:sz w:val="16"/>
          <w:szCs w:val="16"/>
          <w:color w:val="auto"/>
        </w:rPr>
        <w:t>2001 -------- ------- Operating activities: Net</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$(14,692) $(2,300) Adjustments to reconcile net loss</w:t>
      </w:r>
    </w:p>
    <w:p>
      <w:pPr>
        <w:jc w:val="center"/>
        <w:ind w:right="5159"/>
        <w:spacing w:after="0"/>
        <w:rPr>
          <w:sz w:val="20"/>
          <w:szCs w:val="20"/>
          <w:color w:val="auto"/>
        </w:rPr>
      </w:pPr>
      <w:r>
        <w:rPr>
          <w:rFonts w:ascii="Courier New" w:cs="Courier New" w:eastAsia="Courier New" w:hAnsi="Courier New"/>
          <w:sz w:val="16"/>
          <w:szCs w:val="16"/>
          <w:color w:val="auto"/>
        </w:rPr>
        <w:t>to net cash provided by (used in) operating</w:t>
      </w:r>
    </w:p>
    <w:p>
      <w:pPr>
        <w:jc w:val="center"/>
        <w:ind w:right="5159"/>
        <w:spacing w:after="0" w:line="237" w:lineRule="auto"/>
        <w:rPr>
          <w:sz w:val="20"/>
          <w:szCs w:val="20"/>
          <w:color w:val="auto"/>
        </w:rPr>
      </w:pPr>
      <w:r>
        <w:rPr>
          <w:rFonts w:ascii="Courier New" w:cs="Courier New" w:eastAsia="Courier New" w:hAnsi="Courier New"/>
          <w:sz w:val="16"/>
          <w:szCs w:val="16"/>
          <w:color w:val="auto"/>
        </w:rPr>
        <w:t>activities: Cumulative effect of accounting change,</w:t>
      </w:r>
    </w:p>
    <w:p>
      <w:pPr>
        <w:jc w:val="center"/>
        <w:ind w:right="5159"/>
        <w:spacing w:after="0"/>
        <w:rPr>
          <w:sz w:val="20"/>
          <w:szCs w:val="20"/>
          <w:color w:val="auto"/>
        </w:rPr>
      </w:pPr>
      <w:r>
        <w:rPr>
          <w:rFonts w:ascii="Courier New" w:cs="Courier New" w:eastAsia="Courier New" w:hAnsi="Courier New"/>
          <w:sz w:val="16"/>
          <w:szCs w:val="16"/>
          <w:color w:val="auto"/>
        </w:rPr>
        <w:t>net of income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taxes.................................................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856 (229) Extraordinary gain, net of income</w:t>
      </w:r>
    </w:p>
    <w:p>
      <w:pPr>
        <w:jc w:val="center"/>
        <w:ind w:right="5159"/>
        <w:spacing w:after="0"/>
        <w:rPr>
          <w:sz w:val="20"/>
          <w:szCs w:val="20"/>
          <w:color w:val="auto"/>
        </w:rPr>
      </w:pPr>
      <w:r>
        <w:rPr>
          <w:rFonts w:ascii="Courier New" w:cs="Courier New" w:eastAsia="Courier New" w:hAnsi="Courier New"/>
          <w:sz w:val="16"/>
          <w:szCs w:val="16"/>
          <w:color w:val="auto"/>
        </w:rPr>
        <w:t>taxes................ (48) -- Net losses on sales of</w:t>
      </w:r>
    </w:p>
    <w:p>
      <w:pPr>
        <w:jc w:val="center"/>
        <w:ind w:right="5159"/>
        <w:spacing w:after="0" w:line="237" w:lineRule="auto"/>
        <w:rPr>
          <w:sz w:val="20"/>
          <w:szCs w:val="20"/>
          <w:color w:val="auto"/>
        </w:rPr>
      </w:pPr>
      <w:r>
        <w:rPr>
          <w:rFonts w:ascii="Courier New" w:cs="Courier New" w:eastAsia="Courier New" w:hAnsi="Courier New"/>
          <w:sz w:val="16"/>
          <w:szCs w:val="16"/>
          <w:color w:val="auto"/>
        </w:rPr>
        <w:t>businesses and investments...... -- 11 Goodwill and</w:t>
      </w:r>
    </w:p>
    <w:p>
      <w:pPr>
        <w:jc w:val="center"/>
        <w:ind w:right="5159"/>
        <w:spacing w:after="0"/>
        <w:rPr>
          <w:sz w:val="20"/>
          <w:szCs w:val="20"/>
          <w:color w:val="auto"/>
        </w:rPr>
      </w:pPr>
      <w:r>
        <w:rPr>
          <w:rFonts w:ascii="Courier New" w:cs="Courier New" w:eastAsia="Courier New" w:hAnsi="Courier New"/>
          <w:sz w:val="16"/>
          <w:szCs w:val="16"/>
          <w:color w:val="auto"/>
        </w:rPr>
        <w:t>franchise impairment charges.............. 16,525 --</w:t>
      </w:r>
    </w:p>
    <w:p>
      <w:pPr>
        <w:jc w:val="center"/>
        <w:ind w:right="5159"/>
        <w:spacing w:after="0" w:line="238" w:lineRule="auto"/>
        <w:rPr>
          <w:sz w:val="20"/>
          <w:szCs w:val="20"/>
          <w:color w:val="auto"/>
        </w:rPr>
      </w:pPr>
      <w:r>
        <w:rPr>
          <w:rFonts w:ascii="Courier New" w:cs="Courier New" w:eastAsia="Courier New" w:hAnsi="Courier New"/>
          <w:sz w:val="16"/>
          <w:szCs w:val="16"/>
          <w:color w:val="auto"/>
        </w:rPr>
        <w:t>Asset impairment, restructuring and other charges,</w:t>
      </w:r>
    </w:p>
    <w:p>
      <w:pPr>
        <w:jc w:val="center"/>
        <w:ind w:right="5159"/>
        <w:spacing w:after="0"/>
        <w:rPr>
          <w:sz w:val="20"/>
          <w:szCs w:val="20"/>
          <w:color w:val="auto"/>
        </w:rPr>
      </w:pPr>
      <w:r>
        <w:rPr>
          <w:rFonts w:ascii="Courier New" w:cs="Courier New" w:eastAsia="Courier New" w:hAnsi="Courier New"/>
          <w:sz w:val="16"/>
          <w:szCs w:val="16"/>
          <w:color w:val="auto"/>
        </w:rPr>
        <w:t>net of cash</w:t>
      </w:r>
    </w:p>
    <w:p>
      <w:pPr>
        <w:jc w:val="center"/>
        <w:ind w:right="5159"/>
        <w:spacing w:after="0" w:line="238" w:lineRule="auto"/>
        <w:rPr>
          <w:sz w:val="20"/>
          <w:szCs w:val="20"/>
          <w:color w:val="auto"/>
        </w:rPr>
      </w:pPr>
      <w:r>
        <w:rPr>
          <w:rFonts w:ascii="Courier New" w:cs="Courier New" w:eastAsia="Courier New" w:hAnsi="Courier New"/>
          <w:sz w:val="16"/>
          <w:szCs w:val="16"/>
          <w:color w:val="auto"/>
        </w:rPr>
        <w:t>payments...................................... 39</w:t>
      </w:r>
    </w:p>
    <w:p>
      <w:pPr>
        <w:jc w:val="center"/>
        <w:ind w:right="5159"/>
        <w:spacing w:after="0"/>
        <w:rPr>
          <w:sz w:val="20"/>
          <w:szCs w:val="20"/>
          <w:color w:val="auto"/>
        </w:rPr>
      </w:pPr>
      <w:r>
        <w:rPr>
          <w:rFonts w:ascii="Courier New" w:cs="Courier New" w:eastAsia="Courier New" w:hAnsi="Courier New"/>
          <w:sz w:val="16"/>
          <w:szCs w:val="16"/>
          <w:color w:val="auto"/>
        </w:rPr>
        <w:t>1,009 Depreciation and</w:t>
      </w:r>
    </w:p>
    <w:p>
      <w:pPr>
        <w:jc w:val="center"/>
        <w:ind w:right="5159"/>
        <w:spacing w:after="0" w:line="237" w:lineRule="auto"/>
        <w:rPr>
          <w:sz w:val="20"/>
          <w:szCs w:val="20"/>
          <w:color w:val="auto"/>
        </w:rPr>
      </w:pPr>
      <w:r>
        <w:rPr>
          <w:rFonts w:ascii="Courier New" w:cs="Courier New" w:eastAsia="Courier New" w:hAnsi="Courier New"/>
          <w:sz w:val="16"/>
          <w:szCs w:val="16"/>
          <w:color w:val="auto"/>
        </w:rPr>
        <w:t>amortization.......................... 1,466 2,492</w:t>
      </w:r>
    </w:p>
    <w:p>
      <w:pPr>
        <w:jc w:val="center"/>
        <w:ind w:right="5159"/>
        <w:spacing w:after="0"/>
        <w:rPr>
          <w:sz w:val="20"/>
          <w:szCs w:val="20"/>
          <w:color w:val="auto"/>
        </w:rPr>
      </w:pPr>
      <w:r>
        <w:rPr>
          <w:rFonts w:ascii="Courier New" w:cs="Courier New" w:eastAsia="Courier New" w:hAnsi="Courier New"/>
          <w:sz w:val="16"/>
          <w:szCs w:val="16"/>
          <w:color w:val="auto"/>
        </w:rPr>
        <w:t>Provision for uncollectible</w:t>
      </w:r>
    </w:p>
    <w:p>
      <w:pPr>
        <w:jc w:val="center"/>
        <w:ind w:right="5159"/>
        <w:spacing w:after="0" w:line="238" w:lineRule="auto"/>
        <w:rPr>
          <w:sz w:val="20"/>
          <w:szCs w:val="20"/>
          <w:color w:val="auto"/>
        </w:rPr>
      </w:pPr>
      <w:r>
        <w:rPr>
          <w:rFonts w:ascii="Courier New" w:cs="Courier New" w:eastAsia="Courier New" w:hAnsi="Courier New"/>
          <w:sz w:val="16"/>
          <w:szCs w:val="16"/>
          <w:color w:val="auto"/>
        </w:rPr>
        <w:t>receivables................ 129 95 Net losses</w:t>
      </w:r>
    </w:p>
    <w:p>
      <w:pPr>
        <w:jc w:val="center"/>
        <w:ind w:right="5159"/>
        <w:spacing w:after="0"/>
        <w:rPr>
          <w:sz w:val="20"/>
          <w:szCs w:val="20"/>
          <w:color w:val="auto"/>
        </w:rPr>
      </w:pPr>
      <w:r>
        <w:rPr>
          <w:rFonts w:ascii="Courier New" w:cs="Courier New" w:eastAsia="Courier New" w:hAnsi="Courier New"/>
          <w:sz w:val="16"/>
          <w:szCs w:val="16"/>
          <w:color w:val="auto"/>
        </w:rPr>
        <w:t>(earnings) related to equity investments.... 1,004</w:t>
      </w:r>
    </w:p>
    <w:p>
      <w:pPr>
        <w:jc w:val="center"/>
        <w:ind w:right="5159"/>
        <w:spacing w:after="0" w:line="238" w:lineRule="auto"/>
        <w:rPr>
          <w:sz w:val="20"/>
          <w:szCs w:val="20"/>
          <w:color w:val="auto"/>
        </w:rPr>
      </w:pPr>
      <w:r>
        <w:rPr>
          <w:rFonts w:ascii="Courier New" w:cs="Courier New" w:eastAsia="Courier New" w:hAnsi="Courier New"/>
          <w:sz w:val="16"/>
          <w:szCs w:val="16"/>
          <w:color w:val="auto"/>
        </w:rPr>
        <w:t>(37) Deferred income</w:t>
      </w:r>
    </w:p>
    <w:p>
      <w:pPr>
        <w:jc w:val="center"/>
        <w:ind w:right="5159"/>
        <w:spacing w:after="0"/>
        <w:rPr>
          <w:sz w:val="20"/>
          <w:szCs w:val="20"/>
          <w:color w:val="auto"/>
        </w:rPr>
      </w:pPr>
      <w:r>
        <w:rPr>
          <w:rFonts w:ascii="Courier New" w:cs="Courier New" w:eastAsia="Courier New" w:hAnsi="Courier New"/>
          <w:sz w:val="16"/>
          <w:szCs w:val="16"/>
          <w:color w:val="auto"/>
        </w:rPr>
        <w:t>taxes.................................. (5,089)</w:t>
      </w:r>
    </w:p>
    <w:p>
      <w:pPr>
        <w:jc w:val="center"/>
        <w:ind w:right="5159"/>
        <w:spacing w:after="0" w:line="237" w:lineRule="auto"/>
        <w:rPr>
          <w:sz w:val="20"/>
          <w:szCs w:val="20"/>
          <w:color w:val="auto"/>
        </w:rPr>
      </w:pPr>
      <w:r>
        <w:rPr>
          <w:rFonts w:ascii="Courier New" w:cs="Courier New" w:eastAsia="Courier New" w:hAnsi="Courier New"/>
          <w:sz w:val="16"/>
          <w:szCs w:val="16"/>
          <w:color w:val="auto"/>
        </w:rPr>
        <w:t>(1,031) Investment impairment charges,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net..................... 1,276 65 Put option mark-to-</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market charge....................... -- 838 Minority</w:t>
      </w:r>
    </w:p>
    <w:p>
      <w:pPr>
        <w:jc w:val="center"/>
        <w:ind w:right="5159"/>
        <w:spacing w:after="0"/>
        <w:rPr>
          <w:sz w:val="20"/>
          <w:szCs w:val="20"/>
          <w:color w:val="auto"/>
        </w:rPr>
      </w:pPr>
      <w:r>
        <w:rPr>
          <w:rFonts w:ascii="Courier New" w:cs="Courier New" w:eastAsia="Courier New" w:hAnsi="Courier New"/>
          <w:sz w:val="16"/>
          <w:szCs w:val="16"/>
          <w:color w:val="auto"/>
        </w:rPr>
        <w:t>interest and dividends on subsidiary preferred</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132 (757) Net revaluation of certain financial</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instruments....... (290) 1,065 (Increase) decrease in</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accounts receivable............. (57) 145 Increase</w:t>
      </w:r>
    </w:p>
    <w:p>
      <w:pPr>
        <w:jc w:val="center"/>
        <w:ind w:right="5159"/>
        <w:spacing w:after="0"/>
        <w:rPr>
          <w:sz w:val="20"/>
          <w:szCs w:val="20"/>
          <w:color w:val="auto"/>
        </w:rPr>
      </w:pPr>
      <w:r>
        <w:rPr>
          <w:rFonts w:ascii="Courier New" w:cs="Courier New" w:eastAsia="Courier New" w:hAnsi="Courier New"/>
          <w:sz w:val="16"/>
          <w:szCs w:val="16"/>
          <w:color w:val="auto"/>
        </w:rPr>
        <w:t>(decrease) in accounts payable................ 91</w:t>
      </w:r>
    </w:p>
    <w:p>
      <w:pPr>
        <w:jc w:val="center"/>
        <w:ind w:right="5159"/>
        <w:spacing w:after="0" w:line="237" w:lineRule="auto"/>
        <w:rPr>
          <w:sz w:val="20"/>
          <w:szCs w:val="20"/>
          <w:color w:val="auto"/>
        </w:rPr>
      </w:pPr>
      <w:r>
        <w:rPr>
          <w:rFonts w:ascii="Courier New" w:cs="Courier New" w:eastAsia="Courier New" w:hAnsi="Courier New"/>
          <w:sz w:val="16"/>
          <w:szCs w:val="16"/>
          <w:color w:val="auto"/>
        </w:rPr>
        <w:t>(210) Net change in other operating assets and</w:t>
      </w:r>
    </w:p>
    <w:p>
      <w:pPr>
        <w:jc w:val="center"/>
        <w:ind w:right="5159"/>
        <w:spacing w:after="0"/>
        <w:rPr>
          <w:sz w:val="20"/>
          <w:szCs w:val="20"/>
          <w:color w:val="auto"/>
        </w:rPr>
      </w:pPr>
      <w:r>
        <w:rPr>
          <w:rFonts w:ascii="Courier New" w:cs="Courier New" w:eastAsia="Courier New" w:hAnsi="Courier New"/>
          <w:sz w:val="16"/>
          <w:szCs w:val="16"/>
          <w:color w:val="auto"/>
        </w:rPr>
        <w:t>liabilities... (149) (1,465) Other adjustments,</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net................................. 81 39 -------- -</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Net cash provided by (used in) operating</w:t>
      </w:r>
    </w:p>
    <w:p>
      <w:pPr>
        <w:jc w:val="center"/>
        <w:ind w:right="5159"/>
        <w:spacing w:after="0"/>
        <w:rPr>
          <w:sz w:val="20"/>
          <w:szCs w:val="20"/>
          <w:color w:val="auto"/>
        </w:rPr>
      </w:pPr>
      <w:r>
        <w:rPr>
          <w:rFonts w:ascii="Courier New" w:cs="Courier New" w:eastAsia="Courier New" w:hAnsi="Courier New"/>
          <w:sz w:val="16"/>
          <w:szCs w:val="16"/>
          <w:color w:val="auto"/>
        </w:rPr>
        <w:t>activities..........................................</w:t>
      </w:r>
    </w:p>
    <w:p>
      <w:pPr>
        <w:jc w:val="center"/>
        <w:ind w:right="5159"/>
        <w:spacing w:after="0" w:line="237" w:lineRule="auto"/>
        <w:rPr>
          <w:sz w:val="20"/>
          <w:szCs w:val="20"/>
          <w:color w:val="auto"/>
        </w:rPr>
      </w:pPr>
      <w:r>
        <w:rPr>
          <w:rFonts w:ascii="Courier New" w:cs="Courier New" w:eastAsia="Courier New" w:hAnsi="Courier New"/>
          <w:sz w:val="16"/>
          <w:szCs w:val="16"/>
          <w:color w:val="auto"/>
        </w:rPr>
        <w:t>1,274 (270) -------- ------- Investing activities:</w:t>
      </w:r>
    </w:p>
    <w:p>
      <w:pPr>
        <w:jc w:val="center"/>
        <w:ind w:right="5159"/>
        <w:spacing w:after="0"/>
        <w:rPr>
          <w:sz w:val="20"/>
          <w:szCs w:val="20"/>
          <w:color w:val="auto"/>
        </w:rPr>
      </w:pPr>
      <w:r>
        <w:rPr>
          <w:rFonts w:ascii="Courier New" w:cs="Courier New" w:eastAsia="Courier New" w:hAnsi="Courier New"/>
          <w:sz w:val="16"/>
          <w:szCs w:val="16"/>
          <w:color w:val="auto"/>
        </w:rPr>
        <w:t>Capital expended for property and equipment, net of</w:t>
      </w:r>
    </w:p>
    <w:p>
      <w:pPr>
        <w:jc w:val="center"/>
        <w:ind w:right="5159"/>
        <w:spacing w:after="0" w:line="238" w:lineRule="auto"/>
        <w:rPr>
          <w:sz w:val="20"/>
          <w:szCs w:val="20"/>
          <w:color w:val="auto"/>
        </w:rPr>
      </w:pPr>
      <w:r>
        <w:rPr>
          <w:rFonts w:ascii="Courier New" w:cs="Courier New" w:eastAsia="Courier New" w:hAnsi="Courier New"/>
          <w:sz w:val="16"/>
          <w:szCs w:val="16"/>
          <w:color w:val="auto"/>
        </w:rPr>
        <w:t>proceeds from</w:t>
      </w:r>
    </w:p>
    <w:p>
      <w:pPr>
        <w:jc w:val="center"/>
        <w:ind w:right="5159"/>
        <w:spacing w:after="0"/>
        <w:rPr>
          <w:sz w:val="20"/>
          <w:szCs w:val="20"/>
          <w:color w:val="auto"/>
        </w:rPr>
      </w:pPr>
      <w:r>
        <w:rPr>
          <w:rFonts w:ascii="Courier New" w:cs="Courier New" w:eastAsia="Courier New" w:hAnsi="Courier New"/>
          <w:sz w:val="16"/>
          <w:szCs w:val="16"/>
          <w:color w:val="auto"/>
        </w:rPr>
        <w:t>disposal................................. (1,687)</w:t>
      </w:r>
    </w:p>
    <w:p>
      <w:pPr>
        <w:jc w:val="center"/>
        <w:ind w:right="5159"/>
        <w:spacing w:after="0" w:line="238" w:lineRule="auto"/>
        <w:rPr>
          <w:sz w:val="20"/>
          <w:szCs w:val="20"/>
          <w:color w:val="auto"/>
        </w:rPr>
      </w:pPr>
      <w:r>
        <w:rPr>
          <w:rFonts w:ascii="Courier New" w:cs="Courier New" w:eastAsia="Courier New" w:hAnsi="Courier New"/>
          <w:sz w:val="16"/>
          <w:szCs w:val="16"/>
          <w:color w:val="auto"/>
        </w:rPr>
        <w:t>(1,775) Sales of marketable</w:t>
      </w:r>
    </w:p>
    <w:p>
      <w:pPr>
        <w:jc w:val="center"/>
        <w:ind w:right="5159"/>
        <w:spacing w:after="0"/>
        <w:rPr>
          <w:sz w:val="20"/>
          <w:szCs w:val="20"/>
          <w:color w:val="auto"/>
        </w:rPr>
      </w:pPr>
      <w:r>
        <w:rPr>
          <w:rFonts w:ascii="Courier New" w:cs="Courier New" w:eastAsia="Courier New" w:hAnsi="Courier New"/>
          <w:sz w:val="16"/>
          <w:szCs w:val="16"/>
          <w:color w:val="auto"/>
        </w:rPr>
        <w:t>securities............................ -- 94</w:t>
      </w:r>
    </w:p>
    <w:p>
      <w:pPr>
        <w:jc w:val="center"/>
        <w:ind w:right="5159"/>
        <w:spacing w:after="0" w:line="237" w:lineRule="auto"/>
        <w:rPr>
          <w:sz w:val="20"/>
          <w:szCs w:val="20"/>
          <w:color w:val="auto"/>
        </w:rPr>
      </w:pPr>
      <w:r>
        <w:rPr>
          <w:rFonts w:ascii="Courier New" w:cs="Courier New" w:eastAsia="Courier New" w:hAnsi="Courier New"/>
          <w:sz w:val="16"/>
          <w:szCs w:val="16"/>
          <w:color w:val="auto"/>
        </w:rPr>
        <w:t>Investment distributions and</w:t>
      </w:r>
    </w:p>
    <w:p>
      <w:pPr>
        <w:jc w:val="center"/>
        <w:ind w:right="5159"/>
        <w:spacing w:after="0"/>
        <w:rPr>
          <w:sz w:val="20"/>
          <w:szCs w:val="20"/>
          <w:color w:val="auto"/>
        </w:rPr>
      </w:pPr>
      <w:r>
        <w:rPr>
          <w:rFonts w:ascii="Courier New" w:cs="Courier New" w:eastAsia="Courier New" w:hAnsi="Courier New"/>
          <w:sz w:val="16"/>
          <w:szCs w:val="16"/>
          <w:color w:val="auto"/>
        </w:rPr>
        <w:t>sales........................ 16 167 Investment</w:t>
      </w:r>
    </w:p>
    <w:p>
      <w:pPr>
        <w:jc w:val="center"/>
        <w:ind w:right="5159"/>
        <w:spacing w:after="0" w:line="238" w:lineRule="auto"/>
        <w:rPr>
          <w:sz w:val="20"/>
          <w:szCs w:val="20"/>
          <w:color w:val="auto"/>
        </w:rPr>
      </w:pPr>
      <w:r>
        <w:rPr>
          <w:rFonts w:ascii="Courier New" w:cs="Courier New" w:eastAsia="Courier New" w:hAnsi="Courier New"/>
          <w:sz w:val="16"/>
          <w:szCs w:val="16"/>
          <w:color w:val="auto"/>
        </w:rPr>
        <w:t>contributions and purchases.................... (18)</w:t>
      </w:r>
    </w:p>
    <w:p>
      <w:pPr>
        <w:spacing w:after="0" w:line="4" w:lineRule="exact"/>
        <w:rPr>
          <w:sz w:val="20"/>
          <w:szCs w:val="20"/>
          <w:color w:val="auto"/>
        </w:rPr>
      </w:pPr>
    </w:p>
    <w:p>
      <w:pPr>
        <w:ind w:left="1820" w:right="5299" w:hanging="1685"/>
        <w:spacing w:after="0" w:line="236" w:lineRule="auto"/>
        <w:tabs>
          <w:tab w:leader="none" w:pos="694"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(paid) received for acquisitions and dispositions of</w:t>
      </w:r>
    </w:p>
    <w:p>
      <w:pPr>
        <w:ind w:left="80"/>
        <w:spacing w:after="0"/>
        <w:rPr>
          <w:sz w:val="20"/>
          <w:szCs w:val="20"/>
          <w:color w:val="auto"/>
        </w:rPr>
      </w:pPr>
      <w:r>
        <w:rPr>
          <w:rFonts w:ascii="Courier New" w:cs="Courier New" w:eastAsia="Courier New" w:hAnsi="Courier New"/>
          <w:sz w:val="16"/>
          <w:szCs w:val="16"/>
          <w:color w:val="auto"/>
        </w:rPr>
        <w:t>businesses..........................................</w:t>
      </w:r>
    </w:p>
    <w:p>
      <w:pPr>
        <w:ind w:left="800"/>
        <w:spacing w:after="0" w:line="237" w:lineRule="auto"/>
        <w:rPr>
          <w:sz w:val="20"/>
          <w:szCs w:val="20"/>
          <w:color w:val="auto"/>
        </w:rPr>
      </w:pPr>
      <w:r>
        <w:rPr>
          <w:rFonts w:ascii="Courier New" w:cs="Courier New" w:eastAsia="Courier New" w:hAnsi="Courier New"/>
          <w:sz w:val="16"/>
          <w:szCs w:val="16"/>
          <w:color w:val="auto"/>
        </w:rPr>
        <w:t>(1) 3,105 Other investing activities,</w:t>
      </w:r>
    </w:p>
    <w:tbl>
      <w:tblPr>
        <w:tblLayout w:type="fixed"/>
        <w:tblInd w:w="40" w:type="dxa"/>
        <w:tblCellMar>
          <w:top w:w="0" w:type="dxa"/>
          <w:left w:w="0" w:type="dxa"/>
          <w:bottom w:w="0" w:type="dxa"/>
          <w:right w:w="0" w:type="dxa"/>
        </w:tblCellMar>
      </w:tblP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net...........................</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w w:val="97"/>
              </w:rPr>
              <w:t>(128) (114) -------- -</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 Net cash (used in) provided by investing</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activities..........................................</w:t>
            </w:r>
          </w:p>
        </w:tc>
      </w:tr>
      <w:tr>
        <w:trPr>
          <w:trHeight w:val="180"/>
        </w:trPr>
        <w:tc>
          <w:tcPr>
            <w:tcW w:w="2900" w:type="dxa"/>
            <w:vAlign w:val="bottom"/>
          </w:tcPr>
          <w:p>
            <w:pPr>
              <w:jc w:val="center"/>
              <w:spacing w:after="0"/>
              <w:rPr>
                <w:sz w:val="20"/>
                <w:szCs w:val="20"/>
                <w:color w:val="auto"/>
              </w:rPr>
            </w:pPr>
            <w:r>
              <w:rPr>
                <w:rFonts w:ascii="Courier New" w:cs="Courier New" w:eastAsia="Courier New" w:hAnsi="Courier New"/>
                <w:sz w:val="16"/>
                <w:szCs w:val="16"/>
                <w:color w:val="auto"/>
                <w:w w:val="97"/>
              </w:rPr>
              <w:t>(1,818) 1,209 -------- -------</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w w:val="99"/>
              </w:rPr>
              <w:t>Financing activities:</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Proceeds from long-term debt</w:t>
            </w:r>
          </w:p>
        </w:tc>
      </w:tr>
      <w:tr>
        <w:trPr>
          <w:trHeight w:val="180"/>
        </w:trPr>
        <w:tc>
          <w:tcPr>
            <w:tcW w:w="2900" w:type="dxa"/>
            <w:vAlign w:val="bottom"/>
          </w:tcPr>
          <w:p>
            <w:pPr>
              <w:ind w:left="180"/>
              <w:spacing w:after="0"/>
              <w:rPr>
                <w:sz w:val="20"/>
                <w:szCs w:val="20"/>
                <w:color w:val="auto"/>
              </w:rPr>
            </w:pPr>
            <w:r>
              <w:rPr>
                <w:rFonts w:ascii="Courier New" w:cs="Courier New" w:eastAsia="Courier New" w:hAnsi="Courier New"/>
                <w:sz w:val="16"/>
                <w:szCs w:val="16"/>
                <w:color w:val="auto"/>
                <w:w w:val="96"/>
              </w:rPr>
              <w:t>issuances....................</w:t>
            </w:r>
          </w:p>
        </w:tc>
        <w:tc>
          <w:tcPr>
            <w:tcW w:w="2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 98 Retirement of</w:t>
            </w:r>
          </w:p>
        </w:tc>
      </w:tr>
      <w:tr>
        <w:trPr>
          <w:trHeight w:val="180"/>
        </w:trPr>
        <w:tc>
          <w:tcPr>
            <w:tcW w:w="2900" w:type="dxa"/>
            <w:vAlign w:val="bottom"/>
          </w:tcPr>
          <w:p>
            <w:pPr>
              <w:jc w:val="center"/>
              <w:spacing w:after="0"/>
              <w:rPr>
                <w:sz w:val="20"/>
                <w:szCs w:val="20"/>
                <w:color w:val="auto"/>
              </w:rPr>
            </w:pPr>
            <w:r>
              <w:rPr>
                <w:rFonts w:ascii="Courier New" w:cs="Courier New" w:eastAsia="Courier New" w:hAnsi="Courier New"/>
                <w:sz w:val="15"/>
                <w:szCs w:val="15"/>
                <w:color w:val="auto"/>
                <w:w w:val="72"/>
              </w:rPr>
              <w:t>long-term debt..............................</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(1,959)</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(135) Dividends paid on preferred</w:t>
            </w:r>
          </w:p>
        </w:tc>
      </w:tr>
      <w:tr>
        <w:trPr>
          <w:trHeight w:val="180"/>
        </w:trPr>
        <w:tc>
          <w:tcPr>
            <w:tcW w:w="2900" w:type="dxa"/>
            <w:vAlign w:val="bottom"/>
          </w:tcPr>
          <w:p>
            <w:pPr>
              <w:jc w:val="center"/>
              <w:spacing w:after="0"/>
              <w:rPr>
                <w:sz w:val="20"/>
                <w:szCs w:val="20"/>
                <w:color w:val="auto"/>
              </w:rPr>
            </w:pPr>
            <w:r>
              <w:rPr>
                <w:rFonts w:ascii="Courier New" w:cs="Courier New" w:eastAsia="Courier New" w:hAnsi="Courier New"/>
                <w:sz w:val="16"/>
                <w:szCs w:val="16"/>
                <w:color w:val="auto"/>
                <w:w w:val="97"/>
              </w:rPr>
              <w:t>securities....................</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w w:val="99"/>
              </w:rPr>
              <w:t>(108) (105) Change in</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short-term debt due to AT&amp;T.....................</w:t>
            </w:r>
          </w:p>
        </w:tc>
      </w:tr>
      <w:tr>
        <w:trPr>
          <w:trHeight w:val="180"/>
        </w:trPr>
        <w:tc>
          <w:tcPr>
            <w:tcW w:w="4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2,519 (480) Transfers from (to) AT&amp;T,</w:t>
            </w:r>
          </w:p>
        </w:tc>
      </w:tr>
      <w:tr>
        <w:trPr>
          <w:trHeight w:val="180"/>
        </w:trPr>
        <w:tc>
          <w:tcPr>
            <w:tcW w:w="2900" w:type="dxa"/>
            <w:vAlign w:val="bottom"/>
          </w:tcPr>
          <w:p>
            <w:pPr>
              <w:jc w:val="center"/>
              <w:spacing w:after="0"/>
              <w:rPr>
                <w:sz w:val="20"/>
                <w:szCs w:val="20"/>
                <w:color w:val="auto"/>
              </w:rPr>
            </w:pPr>
            <w:r>
              <w:rPr>
                <w:rFonts w:ascii="Courier New" w:cs="Courier New" w:eastAsia="Courier New" w:hAnsi="Courier New"/>
                <w:sz w:val="16"/>
                <w:szCs w:val="16"/>
                <w:color w:val="auto"/>
                <w:w w:val="94"/>
              </w:rPr>
              <w:t>net.............................</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43 (58) -------- ---</w:t>
            </w:r>
          </w:p>
        </w:tc>
      </w:tr>
    </w:tbl>
    <w:p>
      <w:pPr>
        <w:spacing w:after="0" w:line="4" w:lineRule="exact"/>
        <w:rPr>
          <w:sz w:val="20"/>
          <w:szCs w:val="20"/>
          <w:color w:val="auto"/>
        </w:rPr>
      </w:pPr>
    </w:p>
    <w:p>
      <w:pPr>
        <w:ind w:left="80" w:right="5259" w:firstLine="337"/>
        <w:spacing w:after="0" w:line="254" w:lineRule="auto"/>
        <w:tabs>
          <w:tab w:leader="none" w:pos="87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provided by (used in) financing activities..........................................</w:t>
      </w:r>
    </w:p>
    <w:p>
      <w:pPr>
        <w:jc w:val="center"/>
        <w:ind w:right="5159"/>
        <w:spacing w:after="0" w:line="234" w:lineRule="auto"/>
        <w:rPr>
          <w:sz w:val="20"/>
          <w:szCs w:val="20"/>
          <w:color w:val="auto"/>
        </w:rPr>
      </w:pPr>
      <w:r>
        <w:rPr>
          <w:rFonts w:ascii="Courier New" w:cs="Courier New" w:eastAsia="Courier New" w:hAnsi="Courier New"/>
          <w:sz w:val="16"/>
          <w:szCs w:val="16"/>
          <w:color w:val="auto"/>
        </w:rPr>
        <w:t>544 (680) -------- ------- Net change in cash and</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cash equivalents..................... -- 259 Cash and</w:t>
      </w:r>
    </w:p>
    <w:p>
      <w:pPr>
        <w:spacing w:after="0" w:line="10"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cash equivalents at beginning of period............ -</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- 61 -------- ------- Cash and cash equivalents at</w:t>
      </w:r>
    </w:p>
    <w:p>
      <w:pPr>
        <w:jc w:val="center"/>
        <w:ind w:right="5159"/>
        <w:spacing w:after="0"/>
        <w:rPr>
          <w:sz w:val="20"/>
          <w:szCs w:val="20"/>
          <w:color w:val="auto"/>
        </w:rPr>
      </w:pPr>
      <w:r>
        <w:rPr>
          <w:rFonts w:ascii="Courier New" w:cs="Courier New" w:eastAsia="Courier New" w:hAnsi="Courier New"/>
          <w:sz w:val="16"/>
          <w:szCs w:val="16"/>
          <w:color w:val="auto"/>
        </w:rPr>
        <w:t>end of period.................. $ -- $ 320 ========</w:t>
      </w:r>
    </w:p>
    <w:p>
      <w:pPr>
        <w:jc w:val="center"/>
        <w:ind w:right="5159"/>
        <w:spacing w:after="0" w:line="237" w:lineRule="auto"/>
        <w:rPr>
          <w:sz w:val="20"/>
          <w:szCs w:val="20"/>
          <w:color w:val="auto"/>
        </w:rPr>
      </w:pPr>
      <w:r>
        <w:rPr>
          <w:rFonts w:ascii="Courier New" w:cs="Courier New" w:eastAsia="Courier New" w:hAnsi="Courier New"/>
          <w:sz w:val="16"/>
          <w:szCs w:val="16"/>
          <w:color w:val="auto"/>
        </w:rPr>
        <w:t>=======</w:t>
      </w:r>
    </w:p>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See Accompanying Notes to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654" w:right="1440" w:bottom="1440" w:gutter="0" w:footer="0" w:header="0"/>
        </w:sectPr>
      </w:pPr>
    </w:p>
    <w:bookmarkStart w:id="204" w:name="page205"/>
    <w:bookmarkEnd w:id="20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NOTES TO COMBINED FINANCIAL STATEMENTS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Broadband Group is an integrated business of AT&amp;T Corp. ("AT&amp;T") and not a stand-alone entity. AT&amp;T Broadband Group consists primarily of the assets, liabilities and business of AT&amp;T Broadband, LLC (formerly Tele-Communications, Inc. ("TCI")), and MediaOne Group, Inc. ("MediaOne").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company for AT&amp;T's broadband business, which will be subsequently merged with Comcast Corporation ("Comcast") as discussed below.</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and AT&amp;T have agreed to a combination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9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Comcast will issue shares of AT&amp;T Comcast common stock to the AT&amp;T shareholders who received shares of AT&amp;T Broadband Corp. common stock in the AT&amp;T Broadband Spin-off. AT&amp;T Broadband Corp. shareholders will receive approximately 0.32 of a share of AT&amp;T Comcast for each share they own of AT&amp;T Broadband Corp., based on calculations as of June 30, 2002.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AT&amp;T Broadband Corp. and AT&amp;T Comcast, as co-borrowers, entered into definitive credit agreements with a syndicate of lenders for an aggregate of approximately $12.8 billion in order to obtain the financing necessary to complete the AT&amp;T Comcast Merger. Under the terms of the new credit facilities, the obligations of the lenders to provide the financing upon completion of the AT&amp;T Comcast Merger are subject to a number of conditions, including the condition that AT&amp;T Comcast obtain an investment-grade credit rating. Accordingly, there can be no assurance that AT&amp;T Broadband Corp. and AT&amp;T Comcast will be able to obtain the financing necessary to complete the AT&amp;T Comcast transaction.</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654" w:right="1440" w:bottom="1440" w:gutter="0" w:footer="0" w:header="0"/>
        </w:sectPr>
      </w:pPr>
    </w:p>
    <w:bookmarkStart w:id="205" w:name="page206"/>
    <w:bookmarkEnd w:id="20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July 10, 2002, shareholders of AT&amp;T and Comcast approved the AT&amp;T Comcast Merger. The AT&amp;T Comcast Merger still remains subject to certain governmental reviews and certain other conditions. As a result, there can be no assurance that the AT&amp;T Comcast Merger will be consummated, or if the AT&amp;T Comcast Merger is consummated, as to the date of such consummation.</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combined financial statements of AT&amp;T Broadband Group are prepared in accordance with generally accepted accounting principles and in management's opinion, include all adjustments necessary for a fair presentation of combined operations, financial position and statement of cash flows for the periods presented. The combined financial statements of AT&amp;T Broadband Group reflect the assets, liabilities, revenue and expenses directly attributable to AT&amp;T Broadband Group, as well as allocations deemed reasonable by management, to present the results of operations, financial position,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In addition, the combined results for interim periods presented are not necessarily indicative of results for the full year. Earnings per share disclosure has not been presented as AT&amp;T Broadband Group is a business unit of AT&amp;T and earnings per share data is not considered meaningful. The combined financial statements of AT&amp;T Broadband Group should be read in conjunction with AT&amp;T's Form 10-K/A for the year ended December 31, 2001, AT&amp;T's Form 10-Q for the quarter ended June 30, 2002, and AT&amp;T Broadband Group combined financial statements for the year ended December 31, 2001.</w:t>
      </w:r>
    </w:p>
    <w:p>
      <w:pPr>
        <w:spacing w:after="0" w:line="19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proceeds, if any, that may result from the restructuring of AT&amp;T Broadband Group's investment in Time Warner Entertainment ("TWE") and continued evaluation and sale of non-strategic cable systems. See Note 11.</w:t>
      </w:r>
    </w:p>
    <w:p>
      <w:pPr>
        <w:spacing w:after="0" w:line="19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473" w:right="1440" w:bottom="1440" w:gutter="0" w:footer="0" w:header="0"/>
        </w:sectPr>
      </w:pPr>
    </w:p>
    <w:bookmarkStart w:id="206" w:name="page207"/>
    <w:bookmarkEnd w:id="206"/>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performs cash management functions on behalf of the AT&amp;T Broadband Group. Substantially all of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 In addition, certain transactions in which AT&amp;T has issued AT&amp;T common stock in exchange for net assets and obligations attributed to AT&amp;T Broadband Group have been treated as noncash transactions.</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General corporate overhead related to AT&amp;T's corporate headquarters and common support divisions has been allocated to AT&amp;T Broadband Group as it was not deemed practicable to specifically identify such common costs to AT&amp;T Broadband Group. The allocation of corporate overhead is divided into an allocation of shared services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(2)SIGNIFICANT ACCOUNTING POLICIES</w:t>
      </w:r>
    </w:p>
    <w:p>
      <w:pPr>
        <w:spacing w:after="0" w:line="185" w:lineRule="exact"/>
        <w:rPr>
          <w:sz w:val="20"/>
          <w:szCs w:val="20"/>
          <w:color w:val="auto"/>
        </w:rPr>
      </w:pPr>
    </w:p>
    <w:p>
      <w:pPr>
        <w:ind w:left="100" w:right="3099"/>
        <w:spacing w:after="0" w:line="236" w:lineRule="auto"/>
        <w:rPr>
          <w:sz w:val="20"/>
          <w:szCs w:val="20"/>
          <w:color w:val="auto"/>
        </w:rPr>
      </w:pPr>
      <w:r>
        <w:rPr>
          <w:rFonts w:ascii="Courier New" w:cs="Courier New" w:eastAsia="Courier New" w:hAnsi="Courier New"/>
          <w:sz w:val="16"/>
          <w:szCs w:val="16"/>
          <w:color w:val="auto"/>
        </w:rPr>
        <w:t>STATEMENT OF FINANCIAL ACCOUNTING STANDARDS ("SFAS") NO. 142, "GOODWILL AND OTHER INTANGIBLE ASSETS"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Effective January 1, 2002, AT&amp;T Broadband Group adopted SFAS No. 142 "Goodwill and Other Intangible Assets" ("SFAS 142"). SFAS 142 requires that goodwill and indefinite-lived intangible assets no longer be amortized, but instead be tested for impairment at least annually. Intangible assets that have finite useful lives will continue to be amortized over their useful lives. In addition, the amortization period of intangible assets with finite lives will no longer be limited to 40 years. AT&amp;T Broadband Group has determined that franchise costs are indefinite-lived assets, as defined in SFAS 142, and therefore are not subject to amortization beginning in 2002. In accordance with SFAS 142, goodwill was tested for impairment by comparing the fair value of the reporting units to its carrying value. As of January 1, 2002, the fair value of the reporting unit's goodwill exceeded its carrying value, and therefore no impairment loss was recognized upon adoption. Franchise costs were tested for impairment as of January 1, 2002, by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473" w:right="1440" w:bottom="1440" w:gutter="0" w:footer="0" w:header="0"/>
        </w:sectPr>
      </w:pPr>
    </w:p>
    <w:bookmarkStart w:id="207" w:name="page208"/>
    <w:bookmarkEnd w:id="207"/>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(DOLLARS IN MILLIONS,</w:t>
      </w:r>
    </w:p>
    <w:p>
      <w:pPr>
        <w:jc w:val="center"/>
        <w:ind w:right="2715"/>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8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comparing the fair value to the carrying value (at the market level). An impairment loss of $856, net of taxes of $530, was recorded in the first quarter of 2002 and included in the cumulative effect of accounting changes in the accompanying combined statement of operations. (See Note 4 for interim testing of goodwill and franchise costs.)</w:t>
      </w:r>
    </w:p>
    <w:p>
      <w:pPr>
        <w:spacing w:after="0" w:line="187"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following table presents the impact of amortization under SFAS 142 on net loss had the standard been in effect for the three and six months ended June 30, 2001.</w:t>
      </w:r>
    </w:p>
    <w:p>
      <w:pPr>
        <w:spacing w:after="0" w:line="180"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6"/>
          <w:szCs w:val="16"/>
          <w:color w:val="auto"/>
        </w:rPr>
        <w:t>THREE MONTHS ENDED SIX MONTHS ENDED JUNE</w:t>
      </w:r>
    </w:p>
    <w:p>
      <w:pPr>
        <w:spacing w:after="0" w:line="4"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5"/>
          <w:szCs w:val="15"/>
          <w:color w:val="auto"/>
        </w:rPr>
        <w:t>30, JUNE 30, ------------------ -----------</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------- 2002 2001 2002 2001 --------- -----</w:t>
      </w:r>
    </w:p>
    <w:p>
      <w:pPr>
        <w:ind w:left="224"/>
        <w:spacing w:after="0"/>
        <w:rPr>
          <w:sz w:val="20"/>
          <w:szCs w:val="20"/>
          <w:color w:val="auto"/>
        </w:rPr>
      </w:pPr>
      <w:r>
        <w:rPr>
          <w:rFonts w:ascii="Courier New" w:cs="Courier New" w:eastAsia="Courier New" w:hAnsi="Courier New"/>
          <w:sz w:val="16"/>
          <w:szCs w:val="16"/>
          <w:color w:val="auto"/>
        </w:rPr>
        <w:t>- -------- ------- Reported loss before</w:t>
      </w:r>
    </w:p>
    <w:p>
      <w:pPr>
        <w:spacing w:after="0" w:line="3"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5"/>
          <w:szCs w:val="15"/>
          <w:color w:val="auto"/>
        </w:rPr>
        <w:t>extraordinary gain and cumulative effect of</w:t>
      </w:r>
    </w:p>
    <w:p>
      <w:pPr>
        <w:spacing w:after="0" w:line="5"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accounting changes..... $(13,278) $(772)</w:t>
      </w:r>
    </w:p>
    <w:p>
      <w:pPr>
        <w:ind w:left="144"/>
        <w:spacing w:after="0"/>
        <w:rPr>
          <w:sz w:val="20"/>
          <w:szCs w:val="20"/>
          <w:color w:val="auto"/>
        </w:rPr>
      </w:pPr>
      <w:r>
        <w:rPr>
          <w:rFonts w:ascii="Courier New" w:cs="Courier New" w:eastAsia="Courier New" w:hAnsi="Courier New"/>
          <w:sz w:val="16"/>
          <w:szCs w:val="16"/>
          <w:color w:val="auto"/>
        </w:rPr>
        <w:t>$(13,884) $(2,529) Add back amortization,</w:t>
      </w:r>
    </w:p>
    <w:p>
      <w:pPr>
        <w:ind w:left="1544"/>
        <w:spacing w:after="0" w:line="237" w:lineRule="auto"/>
        <w:rPr>
          <w:sz w:val="20"/>
          <w:szCs w:val="20"/>
          <w:color w:val="auto"/>
        </w:rPr>
      </w:pPr>
      <w:r>
        <w:rPr>
          <w:rFonts w:ascii="Courier New" w:cs="Courier New" w:eastAsia="Courier New" w:hAnsi="Courier New"/>
          <w:sz w:val="16"/>
          <w:szCs w:val="16"/>
          <w:color w:val="auto"/>
        </w:rPr>
        <w:t>net of tax:</w:t>
      </w:r>
    </w:p>
    <w:p>
      <w:pPr>
        <w:ind w:left="4"/>
        <w:spacing w:after="0"/>
        <w:rPr>
          <w:sz w:val="20"/>
          <w:szCs w:val="20"/>
          <w:color w:val="auto"/>
        </w:rPr>
      </w:pPr>
      <w:r>
        <w:rPr>
          <w:rFonts w:ascii="Courier New" w:cs="Courier New" w:eastAsia="Courier New" w:hAnsi="Courier New"/>
          <w:sz w:val="16"/>
          <w:szCs w:val="16"/>
          <w:color w:val="auto"/>
        </w:rPr>
        <w:t>Goodwill*...................................</w:t>
      </w:r>
    </w:p>
    <w:p>
      <w:pPr>
        <w:ind w:left="464"/>
        <w:spacing w:after="0" w:line="238" w:lineRule="auto"/>
        <w:rPr>
          <w:sz w:val="20"/>
          <w:szCs w:val="20"/>
          <w:color w:val="auto"/>
        </w:rPr>
      </w:pPr>
      <w:r>
        <w:rPr>
          <w:rFonts w:ascii="Courier New" w:cs="Courier New" w:eastAsia="Courier New" w:hAnsi="Courier New"/>
          <w:sz w:val="16"/>
          <w:szCs w:val="16"/>
          <w:color w:val="auto"/>
        </w:rPr>
        <w:t>-- 148 -- 318 Equity method excess</w:t>
      </w:r>
    </w:p>
    <w:p>
      <w:pPr>
        <w:ind w:left="424"/>
        <w:spacing w:after="0"/>
        <w:rPr>
          <w:sz w:val="20"/>
          <w:szCs w:val="20"/>
          <w:color w:val="auto"/>
        </w:rPr>
      </w:pPr>
      <w:r>
        <w:rPr>
          <w:rFonts w:ascii="Courier New" w:cs="Courier New" w:eastAsia="Courier New" w:hAnsi="Courier New"/>
          <w:sz w:val="16"/>
          <w:szCs w:val="16"/>
          <w:color w:val="auto"/>
        </w:rPr>
        <w:t>basis.................. -- 29 -- 62</w:t>
      </w:r>
    </w:p>
    <w:p>
      <w:pPr>
        <w:ind w:left="1644"/>
        <w:spacing w:after="0" w:line="238" w:lineRule="auto"/>
        <w:rPr>
          <w:sz w:val="20"/>
          <w:szCs w:val="20"/>
          <w:color w:val="auto"/>
        </w:rPr>
      </w:pPr>
      <w:r>
        <w:rPr>
          <w:rFonts w:ascii="Courier New" w:cs="Courier New" w:eastAsia="Courier New" w:hAnsi="Courier New"/>
          <w:sz w:val="16"/>
          <w:szCs w:val="16"/>
          <w:color w:val="auto"/>
        </w:rPr>
        <w:t>Franchise</w:t>
      </w:r>
    </w:p>
    <w:p>
      <w:pPr>
        <w:ind w:left="44"/>
        <w:spacing w:after="0"/>
        <w:rPr>
          <w:sz w:val="20"/>
          <w:szCs w:val="20"/>
          <w:color w:val="auto"/>
        </w:rPr>
      </w:pPr>
      <w:r>
        <w:rPr>
          <w:rFonts w:ascii="Courier New" w:cs="Courier New" w:eastAsia="Courier New" w:hAnsi="Courier New"/>
          <w:sz w:val="16"/>
          <w:szCs w:val="16"/>
          <w:color w:val="auto"/>
        </w:rPr>
        <w:t>costs............................. -- 192 -</w:t>
      </w:r>
    </w:p>
    <w:p>
      <w:pPr>
        <w:ind w:left="324"/>
        <w:spacing w:after="0" w:line="237" w:lineRule="auto"/>
        <w:rPr>
          <w:sz w:val="20"/>
          <w:szCs w:val="20"/>
          <w:color w:val="auto"/>
        </w:rPr>
      </w:pPr>
      <w:r>
        <w:rPr>
          <w:rFonts w:ascii="Courier New" w:cs="Courier New" w:eastAsia="Courier New" w:hAnsi="Courier New"/>
          <w:sz w:val="16"/>
          <w:szCs w:val="16"/>
          <w:color w:val="auto"/>
        </w:rPr>
        <w:t>- 391 -------- ----- -------- -------</w:t>
      </w:r>
    </w:p>
    <w:p>
      <w:pPr>
        <w:spacing w:after="0" w:line="5"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5"/>
          <w:szCs w:val="15"/>
          <w:color w:val="auto"/>
        </w:rPr>
        <w:t>Adjusted reported loss before extraordinary</w:t>
      </w:r>
    </w:p>
    <w:p>
      <w:pPr>
        <w:spacing w:after="0" w:line="5" w:lineRule="exact"/>
        <w:rPr>
          <w:sz w:val="20"/>
          <w:szCs w:val="20"/>
          <w:color w:val="auto"/>
        </w:rPr>
      </w:pPr>
    </w:p>
    <w:p>
      <w:pPr>
        <w:jc w:val="center"/>
        <w:ind w:right="6095"/>
        <w:spacing w:after="0"/>
        <w:rPr>
          <w:sz w:val="20"/>
          <w:szCs w:val="20"/>
          <w:color w:val="auto"/>
        </w:rPr>
      </w:pPr>
      <w:r>
        <w:rPr>
          <w:rFonts w:ascii="Courier New" w:cs="Courier New" w:eastAsia="Courier New" w:hAnsi="Courier New"/>
          <w:sz w:val="16"/>
          <w:szCs w:val="16"/>
          <w:color w:val="auto"/>
        </w:rPr>
        <w:t>gain and cumulative effect of accounting</w:t>
      </w:r>
    </w:p>
    <w:p>
      <w:pPr>
        <w:ind w:left="4"/>
        <w:spacing w:after="0"/>
        <w:rPr>
          <w:sz w:val="20"/>
          <w:szCs w:val="20"/>
          <w:color w:val="auto"/>
        </w:rPr>
      </w:pPr>
      <w:r>
        <w:rPr>
          <w:rFonts w:ascii="Courier New" w:cs="Courier New" w:eastAsia="Courier New" w:hAnsi="Courier New"/>
          <w:sz w:val="16"/>
          <w:szCs w:val="16"/>
          <w:color w:val="auto"/>
        </w:rPr>
        <w:t>changes.....................................</w:t>
      </w:r>
    </w:p>
    <w:p>
      <w:pPr>
        <w:ind w:left="604"/>
        <w:spacing w:after="0" w:line="237" w:lineRule="auto"/>
        <w:rPr>
          <w:sz w:val="20"/>
          <w:szCs w:val="20"/>
          <w:color w:val="auto"/>
        </w:rPr>
      </w:pPr>
      <w:r>
        <w:rPr>
          <w:rFonts w:ascii="Courier New" w:cs="Courier New" w:eastAsia="Courier New" w:hAnsi="Courier New"/>
          <w:sz w:val="16"/>
          <w:szCs w:val="16"/>
          <w:color w:val="auto"/>
        </w:rPr>
        <w:t>(13,278) (403) (13,884) (1,758)</w:t>
      </w:r>
    </w:p>
    <w:p>
      <w:pPr>
        <w:ind w:left="524"/>
        <w:spacing w:after="0"/>
        <w:rPr>
          <w:sz w:val="20"/>
          <w:szCs w:val="20"/>
          <w:color w:val="auto"/>
        </w:rPr>
      </w:pPr>
      <w:r>
        <w:rPr>
          <w:rFonts w:ascii="Courier New" w:cs="Courier New" w:eastAsia="Courier New" w:hAnsi="Courier New"/>
          <w:sz w:val="16"/>
          <w:szCs w:val="16"/>
          <w:color w:val="auto"/>
        </w:rPr>
        <w:t>Extraordinary gain, net of income</w:t>
      </w:r>
    </w:p>
    <w:p>
      <w:pPr>
        <w:ind w:left="84"/>
        <w:spacing w:after="0" w:line="238" w:lineRule="auto"/>
        <w:rPr>
          <w:sz w:val="20"/>
          <w:szCs w:val="20"/>
          <w:color w:val="auto"/>
        </w:rPr>
      </w:pPr>
      <w:r>
        <w:rPr>
          <w:rFonts w:ascii="Courier New" w:cs="Courier New" w:eastAsia="Courier New" w:hAnsi="Courier New"/>
          <w:sz w:val="16"/>
          <w:szCs w:val="16"/>
          <w:color w:val="auto"/>
        </w:rPr>
        <w:t>taxes..... 7 -- 48 -- Cumulative effect of</w:t>
      </w:r>
    </w:p>
    <w:p>
      <w:pPr>
        <w:ind w:left="524"/>
        <w:spacing w:after="0"/>
        <w:rPr>
          <w:sz w:val="20"/>
          <w:szCs w:val="20"/>
          <w:color w:val="auto"/>
        </w:rPr>
      </w:pPr>
      <w:r>
        <w:rPr>
          <w:rFonts w:ascii="Courier New" w:cs="Courier New" w:eastAsia="Courier New" w:hAnsi="Courier New"/>
          <w:sz w:val="16"/>
          <w:szCs w:val="16"/>
          <w:color w:val="auto"/>
        </w:rPr>
        <w:t>accounting changes, net of income</w:t>
      </w:r>
    </w:p>
    <w:p>
      <w:pPr>
        <w:ind w:left="44"/>
        <w:spacing w:after="0" w:line="238" w:lineRule="auto"/>
        <w:rPr>
          <w:sz w:val="20"/>
          <w:szCs w:val="20"/>
          <w:color w:val="auto"/>
        </w:rPr>
      </w:pPr>
      <w:r>
        <w:rPr>
          <w:rFonts w:ascii="Courier New" w:cs="Courier New" w:eastAsia="Courier New" w:hAnsi="Courier New"/>
          <w:sz w:val="16"/>
          <w:szCs w:val="16"/>
          <w:color w:val="auto"/>
        </w:rPr>
        <w:t>taxes.......................... -- -- (856)</w:t>
      </w:r>
    </w:p>
    <w:p>
      <w:pPr>
        <w:ind w:left="424"/>
        <w:spacing w:after="0"/>
        <w:rPr>
          <w:sz w:val="20"/>
          <w:szCs w:val="20"/>
          <w:color w:val="auto"/>
        </w:rPr>
      </w:pPr>
      <w:r>
        <w:rPr>
          <w:rFonts w:ascii="Courier New" w:cs="Courier New" w:eastAsia="Courier New" w:hAnsi="Courier New"/>
          <w:sz w:val="16"/>
          <w:szCs w:val="16"/>
          <w:color w:val="auto"/>
        </w:rPr>
        <w:t>229 -------- ----- -------- -------</w:t>
      </w:r>
    </w:p>
    <w:p>
      <w:pPr>
        <w:ind w:left="1504"/>
        <w:spacing w:after="0" w:line="237" w:lineRule="auto"/>
        <w:rPr>
          <w:sz w:val="20"/>
          <w:szCs w:val="20"/>
          <w:color w:val="auto"/>
        </w:rPr>
      </w:pPr>
      <w:r>
        <w:rPr>
          <w:rFonts w:ascii="Courier New" w:cs="Courier New" w:eastAsia="Courier New" w:hAnsi="Courier New"/>
          <w:sz w:val="16"/>
          <w:szCs w:val="16"/>
          <w:color w:val="auto"/>
        </w:rPr>
        <w:t>Adjusted net</w:t>
      </w:r>
    </w:p>
    <w:p>
      <w:pPr>
        <w:ind w:left="44"/>
        <w:spacing w:after="0"/>
        <w:rPr>
          <w:sz w:val="20"/>
          <w:szCs w:val="20"/>
          <w:color w:val="auto"/>
        </w:rPr>
      </w:pPr>
      <w:r>
        <w:rPr>
          <w:rFonts w:ascii="Courier New" w:cs="Courier New" w:eastAsia="Courier New" w:hAnsi="Courier New"/>
          <w:sz w:val="16"/>
          <w:szCs w:val="16"/>
          <w:color w:val="auto"/>
        </w:rPr>
        <w:t>loss............................. $(13,271)</w:t>
      </w:r>
    </w:p>
    <w:p>
      <w:pPr>
        <w:ind w:left="44"/>
        <w:spacing w:after="0" w:line="238" w:lineRule="auto"/>
        <w:rPr>
          <w:sz w:val="20"/>
          <w:szCs w:val="20"/>
          <w:color w:val="auto"/>
        </w:rPr>
      </w:pPr>
      <w:r>
        <w:rPr>
          <w:rFonts w:ascii="Courier New" w:cs="Courier New" w:eastAsia="Courier New" w:hAnsi="Courier New"/>
          <w:sz w:val="16"/>
          <w:szCs w:val="16"/>
          <w:color w:val="auto"/>
        </w:rPr>
        <w:t>$(403) $(14,692) $(1,529) -------- ----- --</w:t>
      </w:r>
    </w:p>
    <w:p>
      <w:pPr>
        <w:ind w:left="1404"/>
        <w:spacing w:after="0"/>
        <w:rPr>
          <w:sz w:val="20"/>
          <w:szCs w:val="20"/>
          <w:color w:val="auto"/>
        </w:rPr>
      </w:pPr>
      <w:r>
        <w:rPr>
          <w:rFonts w:ascii="Courier New" w:cs="Courier New" w:eastAsia="Courier New" w:hAnsi="Courier New"/>
          <w:sz w:val="16"/>
          <w:szCs w:val="16"/>
          <w:color w:val="auto"/>
        </w:rPr>
        <w:t>------ -------</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184" w:right="3379" w:hanging="184"/>
        <w:spacing w:after="0" w:line="236" w:lineRule="auto"/>
        <w:tabs>
          <w:tab w:leader="none" w:pos="184"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amortization is net of the At Home Corporation ("Excite@Home") minority interest impact on goodwill.</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As of June 30, 2002, goodwill was $15.1 billion representing a decline of</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$4.2 billion compared with December 31, 2001 primarily as a result of impairment</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losses recorded in the second quarter of 2002 (see Note 4).</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Other purchased intangible assets consist primarily of customer lists. The amortization expense associated with other purchased intangible assets for the three and six months ended June 30, 2002 was $50 and $99, respectively. Annual amortization expense for other purchased intangible assets is estimated to be $196 for the years 2002 through 2006.</w:t>
      </w:r>
    </w:p>
    <w:p>
      <w:pPr>
        <w:spacing w:after="0" w:line="187" w:lineRule="exact"/>
        <w:rPr>
          <w:sz w:val="20"/>
          <w:szCs w:val="20"/>
          <w:color w:val="auto"/>
        </w:rPr>
      </w:pPr>
    </w:p>
    <w:p>
      <w:pPr>
        <w:ind w:left="184"/>
        <w:spacing w:after="0"/>
        <w:rPr>
          <w:sz w:val="20"/>
          <w:szCs w:val="20"/>
          <w:color w:val="auto"/>
        </w:rPr>
      </w:pPr>
      <w:r>
        <w:rPr>
          <w:rFonts w:ascii="Courier New" w:cs="Courier New" w:eastAsia="Courier New" w:hAnsi="Courier New"/>
          <w:sz w:val="15"/>
          <w:szCs w:val="15"/>
          <w:color w:val="auto"/>
        </w:rPr>
        <w:t>SFAS NO. 144, "ACCOUNTING FOR THE IMPAIRMENT OR DISPOSAL OF LONG-LIVED ASSETS"</w:t>
      </w:r>
    </w:p>
    <w:p>
      <w:pPr>
        <w:spacing w:after="0" w:line="191"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January 1, 2002, AT&amp;T Broadband Group adopted SFAS No. 144, "Accounting for the Impairment or Disposal of Long-Lived Assets" ("SFAS 144"), which supercedes SFAS No. 121, "Accounting for the Impairment of Long-Lived Assets and for Long-Lived Assets to Be Disposed Of" ("SFAS 121"). SFAS 144 applies to all long-lived assets, including discontinued operations, and consequently amends Accounting Principles Board ("APB") Opinion No. 30, "Reporting the Results of Operations-Reporting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w:t>
      </w:r>
    </w:p>
    <w:p>
      <w:pPr>
        <w:spacing w:after="0" w:line="18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23"/>
          </w:cols>
          <w:pgMar w:left="236" w:top="473" w:right="1440" w:bottom="1440" w:gutter="0" w:footer="0" w:header="0"/>
        </w:sectPr>
      </w:pPr>
    </w:p>
    <w:bookmarkStart w:id="208" w:name="page209"/>
    <w:bookmarkEnd w:id="208"/>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(DOLLARS IN MILLIONS,</w:t>
      </w:r>
    </w:p>
    <w:p>
      <w:pPr>
        <w:jc w:val="center"/>
        <w:ind w:right="2715"/>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8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measured at the lower of book value or fair value less cost to sell. Additionally, SFAS 144 expands the scope of discontinued operations to include all components of an entity with operations that (1) can be distinguished from the rest of the entity and (2) will be eliminated from the ongoing operations of the entity in a disposal transaction. SFAS 144 also amends Accounting Research Bulletin No. 51, "Consolidated Financial Statements" to eliminate the exception to consolidation for a subsidiary for which control is likely to be temporary. The adoption of SFAS 144 had no impact on AT&amp;T Broadband Group's results of operations, financial position or cash flows.</w:t>
      </w:r>
    </w:p>
    <w:p>
      <w:pPr>
        <w:spacing w:after="0" w:line="18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For a detailed discussion of significant accounting policies, please refer to AT&amp;T Broadband's Group's combined financial statements for the year ended December 31, 2001.</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(3) SUMMARY OF RECOGNITION OF PREVIOUSLY UNREALIZED LOSSES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AT&amp;T Broadband Group has investment holdings classified as "available-for-sale" under the scope of SFAS No. 115, "Accounting for Certain Investments in Debt and Equity Securities" ("SFAS 115"). These securities are carried at fair value with any unrealized gains or losses, net of income taxes, included within other comprehensive income as a component of combined attributed net assets. Under SFAS 115, when the "available-for-sale" securities are sold or when management of AT&amp;T Broadband Group believes a decline in the investment value is other-than-temporary, the previously unrealized gains or losses shall be recognized in earnings. AT&amp;T Broadband Group recognizes such gains or losses through investment expense in the accompanying combined statement of operations. In addition, upon the adoption in January 2001, of SFAS No. 133, "Accounting for Derivative Instruments and Hedging Activities," ("SFAS 133") AT&amp;T Broadband Group reclassified certain securities to "trading", resulting in the recognition in earnings of previously unrealized losses through other income (expense). Following is a summary of the recognition of previously unrealized losses on "available-for-sale" securities:</w:t>
      </w:r>
    </w:p>
    <w:p>
      <w:pPr>
        <w:spacing w:after="0" w:line="185"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SIX MONTHS ENDED JUNE 30, --------------- 2002 2001 -----</w:t>
      </w:r>
    </w:p>
    <w:p>
      <w:pPr>
        <w:spacing w:after="0" w:line="4" w:lineRule="exact"/>
        <w:rPr>
          <w:sz w:val="20"/>
          <w:szCs w:val="20"/>
          <w:color w:val="auto"/>
        </w:rPr>
      </w:pPr>
    </w:p>
    <w:p>
      <w:pPr>
        <w:ind w:left="1224" w:right="4839" w:hanging="1180"/>
        <w:spacing w:after="0" w:line="236" w:lineRule="auto"/>
        <w:tabs>
          <w:tab w:leader="none" w:pos="239"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than temporary investment impairments, net (net of income taxes of $488 and</w:t>
      </w:r>
    </w:p>
    <w:p>
      <w:pPr>
        <w:jc w:val="center"/>
        <w:ind w:right="4775"/>
        <w:spacing w:after="0"/>
        <w:rPr>
          <w:sz w:val="20"/>
          <w:szCs w:val="20"/>
          <w:color w:val="auto"/>
        </w:rPr>
      </w:pPr>
      <w:r>
        <w:rPr>
          <w:rFonts w:ascii="Courier New" w:cs="Courier New" w:eastAsia="Courier New" w:hAnsi="Courier New"/>
          <w:sz w:val="16"/>
          <w:szCs w:val="16"/>
          <w:color w:val="auto"/>
        </w:rPr>
        <w:t>$25)............................. $777 $ 40</w:t>
      </w:r>
    </w:p>
    <w:p>
      <w:pPr>
        <w:jc w:val="center"/>
        <w:ind w:right="4775"/>
        <w:spacing w:after="0" w:line="237" w:lineRule="auto"/>
        <w:rPr>
          <w:sz w:val="20"/>
          <w:szCs w:val="20"/>
          <w:color w:val="auto"/>
        </w:rPr>
      </w:pPr>
      <w:r>
        <w:rPr>
          <w:rFonts w:ascii="Courier New" w:cs="Courier New" w:eastAsia="Courier New" w:hAnsi="Courier New"/>
          <w:sz w:val="16"/>
          <w:szCs w:val="16"/>
          <w:color w:val="auto"/>
        </w:rPr>
        <w:t>Reclassification of securities to "trading" in</w:t>
      </w:r>
    </w:p>
    <w:p>
      <w:pPr>
        <w:jc w:val="center"/>
        <w:ind w:right="4775"/>
        <w:spacing w:after="0"/>
        <w:rPr>
          <w:sz w:val="20"/>
          <w:szCs w:val="20"/>
          <w:color w:val="auto"/>
        </w:rPr>
      </w:pPr>
      <w:r>
        <w:rPr>
          <w:rFonts w:ascii="Courier New" w:cs="Courier New" w:eastAsia="Courier New" w:hAnsi="Courier New"/>
          <w:sz w:val="16"/>
          <w:szCs w:val="16"/>
          <w:color w:val="auto"/>
        </w:rPr>
        <w:t>conjunction with the adoption of SFAS 133 (net of income</w:t>
      </w:r>
    </w:p>
    <w:p>
      <w:pPr>
        <w:jc w:val="center"/>
        <w:ind w:right="4775"/>
        <w:spacing w:after="0" w:line="238" w:lineRule="auto"/>
        <w:rPr>
          <w:sz w:val="20"/>
          <w:szCs w:val="20"/>
          <w:color w:val="auto"/>
        </w:rPr>
      </w:pPr>
      <w:r>
        <w:rPr>
          <w:rFonts w:ascii="Courier New" w:cs="Courier New" w:eastAsia="Courier New" w:hAnsi="Courier New"/>
          <w:sz w:val="16"/>
          <w:szCs w:val="16"/>
          <w:color w:val="auto"/>
        </w:rPr>
        <w:t>taxes of</w:t>
      </w:r>
    </w:p>
    <w:p>
      <w:pPr>
        <w:spacing w:after="0" w:line="5" w:lineRule="exact"/>
        <w:rPr>
          <w:sz w:val="20"/>
          <w:szCs w:val="20"/>
          <w:color w:val="auto"/>
        </w:rPr>
      </w:pPr>
    </w:p>
    <w:p>
      <w:pPr>
        <w:jc w:val="center"/>
        <w:ind w:right="4775"/>
        <w:spacing w:after="0"/>
        <w:rPr>
          <w:sz w:val="20"/>
          <w:szCs w:val="20"/>
          <w:color w:val="auto"/>
        </w:rPr>
      </w:pPr>
      <w:r>
        <w:rPr>
          <w:rFonts w:ascii="Courier New" w:cs="Courier New" w:eastAsia="Courier New" w:hAnsi="Courier New"/>
          <w:sz w:val="15"/>
          <w:szCs w:val="15"/>
          <w:color w:val="auto"/>
        </w:rPr>
        <w:t>$446).....................................................</w:t>
      </w:r>
    </w:p>
    <w:p>
      <w:pPr>
        <w:spacing w:after="0" w:line="10" w:lineRule="exact"/>
        <w:rPr>
          <w:sz w:val="20"/>
          <w:szCs w:val="20"/>
          <w:color w:val="auto"/>
        </w:rPr>
      </w:pPr>
    </w:p>
    <w:p>
      <w:pPr>
        <w:ind w:left="704" w:right="5259" w:hanging="237"/>
        <w:spacing w:after="0" w:line="263" w:lineRule="auto"/>
        <w:tabs>
          <w:tab w:leader="none" w:pos="751"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708 ---- ---- Total recognition of previously unrealized losses...... $777 $748 ==== ====</w:t>
      </w:r>
    </w:p>
    <w:p>
      <w:pPr>
        <w:spacing w:after="0" w:line="344"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CHARGES</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GOODWILL AND FRANCHISE IMPAIRMENT CHARGES</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SFAS 142 requires that intangible assets not subject to amortization and goodwill shall be tested for impairment annually, or more frequently if events or changes in circumstances indicate that the asset might be impaired. The impairment test shall consist of a comparison of the fair value of the intangible asset/goodwill with its carrying amount.</w:t>
      </w:r>
    </w:p>
    <w:p>
      <w:pPr>
        <w:spacing w:after="0" w:line="187" w:lineRule="exact"/>
        <w:rPr>
          <w:sz w:val="20"/>
          <w:szCs w:val="20"/>
          <w:color w:val="auto"/>
        </w:rPr>
      </w:pPr>
    </w:p>
    <w:p>
      <w:pPr>
        <w:ind w:left="4" w:right="2899" w:firstLine="469"/>
        <w:spacing w:after="0" w:line="257" w:lineRule="auto"/>
        <w:rPr>
          <w:sz w:val="20"/>
          <w:szCs w:val="20"/>
          <w:color w:val="auto"/>
        </w:rPr>
      </w:pPr>
      <w:r>
        <w:rPr>
          <w:rFonts w:ascii="Courier New" w:cs="Courier New" w:eastAsia="Courier New" w:hAnsi="Courier New"/>
          <w:sz w:val="15"/>
          <w:szCs w:val="15"/>
          <w:color w:val="auto"/>
        </w:rPr>
        <w:t>In the second quarter of 2002, AT&amp;T Broadband Group noted significant changes in the general business climate as evidenced by the severe downward movement in the U.S. stock market (including the decline in values of publicly traded cable industry stocks). At June 30, 2002, five cable competitors as a</w:t>
      </w:r>
    </w:p>
    <w:p>
      <w:pPr>
        <w:spacing w:after="0" w:line="16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23"/>
          </w:cols>
          <w:pgMar w:left="236" w:top="473" w:right="1440" w:bottom="1440" w:gutter="0" w:footer="0" w:header="0"/>
        </w:sectPr>
      </w:pPr>
    </w:p>
    <w:bookmarkStart w:id="209" w:name="page210"/>
    <w:bookmarkEnd w:id="209"/>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84"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group experienced an average decline in total market capitalization of over 20% since January 1, 2002. AT&amp;T Broadband Group has also witnessed corporate bankruptcies. AT&amp;T Broadband Group believes these factors coupled with the pending AT&amp;T Comcast Merger (which was approved by Comcast and AT&amp;T shareholders on July 10, 2002) created a "trigger event" which necessitated the testing of goodwill and franchise costs for impairment as of the end of the second quarter.</w:t>
      </w:r>
    </w:p>
    <w:p>
      <w:pPr>
        <w:spacing w:after="0" w:line="17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Broadband Group assessed impairment on the same principles employed during the initial adoption of SFAS 142. Such testing resulted in the recognition of a $12,298 franchise cost impairment charge and a $4,227 goodwill impairment charge (aggregating to $11,781 after-tax) recorded in goodwill and franchise impairment charges in the accompanying combined statement of operations.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 IMPAIRMENT CHARGES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accordance with SFAS 115 and APB Opinion No. 18 "The Equity Method of Accounting for Investments in Common Stock," ("APB 18"), AT&amp;T Broadband Group evaluated its portfolio of investments as of June 30, 2002 for potential impairments. SFAS 115 and APB 18 both require the recognition in earnings of declines in value of cost and equity method securities which are other than temporary.</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Given the significant decline in stock prices in the last six months, the</w:t>
      </w:r>
    </w:p>
    <w:p>
      <w:pPr>
        <w:spacing w:after="0"/>
        <w:rPr>
          <w:sz w:val="20"/>
          <w:szCs w:val="20"/>
          <w:color w:val="auto"/>
        </w:rPr>
      </w:pPr>
      <w:r>
        <w:rPr>
          <w:rFonts w:ascii="Courier New" w:cs="Courier New" w:eastAsia="Courier New" w:hAnsi="Courier New"/>
          <w:sz w:val="16"/>
          <w:szCs w:val="16"/>
          <w:color w:val="auto"/>
        </w:rPr>
        <w:t>length of time these investments have been below market and industry specific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issues, AT&amp;T Broadband Group believes that certain investments would not recover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cost basis in the foreseeable future. Accordingly, AT&amp;T Broadband Group</w:t>
      </w:r>
    </w:p>
    <w:p>
      <w:pPr>
        <w:spacing w:after="0"/>
        <w:rPr>
          <w:sz w:val="20"/>
          <w:szCs w:val="20"/>
          <w:color w:val="auto"/>
        </w:rPr>
      </w:pPr>
      <w:r>
        <w:rPr>
          <w:rFonts w:ascii="Courier New" w:cs="Courier New" w:eastAsia="Courier New" w:hAnsi="Courier New"/>
          <w:sz w:val="16"/>
          <w:szCs w:val="16"/>
          <w:color w:val="auto"/>
        </w:rPr>
        <w:t>believes the declines in value are other than temporary and, as a result, AT&amp;T</w:t>
      </w:r>
    </w:p>
    <w:p>
      <w:pPr>
        <w:spacing w:after="0" w:line="237" w:lineRule="auto"/>
        <w:rPr>
          <w:sz w:val="20"/>
          <w:szCs w:val="20"/>
          <w:color w:val="auto"/>
        </w:rPr>
      </w:pPr>
      <w:r>
        <w:rPr>
          <w:rFonts w:ascii="Courier New" w:cs="Courier New" w:eastAsia="Courier New" w:hAnsi="Courier New"/>
          <w:sz w:val="16"/>
          <w:szCs w:val="16"/>
          <w:color w:val="auto"/>
        </w:rPr>
        <w:t>Broadband Group recorded total net investment impairments of $2,129 pretax</w:t>
      </w:r>
    </w:p>
    <w:p>
      <w:pPr>
        <w:spacing w:after="0"/>
        <w:rPr>
          <w:sz w:val="20"/>
          <w:szCs w:val="20"/>
          <w:color w:val="auto"/>
        </w:rPr>
      </w:pPr>
      <w:r>
        <w:rPr>
          <w:rFonts w:ascii="Courier New" w:cs="Courier New" w:eastAsia="Courier New" w:hAnsi="Courier New"/>
          <w:sz w:val="16"/>
          <w:szCs w:val="16"/>
          <w:color w:val="auto"/>
        </w:rPr>
        <w:t>($1,308 after tax). The following is a breakout of the investment impairment</w:t>
      </w:r>
    </w:p>
    <w:p>
      <w:pPr>
        <w:spacing w:after="0" w:line="238" w:lineRule="auto"/>
        <w:rPr>
          <w:sz w:val="20"/>
          <w:szCs w:val="20"/>
          <w:color w:val="auto"/>
        </w:rPr>
      </w:pPr>
      <w:r>
        <w:rPr>
          <w:rFonts w:ascii="Courier New" w:cs="Courier New" w:eastAsia="Courier New" w:hAnsi="Courier New"/>
          <w:sz w:val="16"/>
          <w:szCs w:val="16"/>
          <w:color w:val="auto"/>
        </w:rPr>
        <w:t>charges recorded in the second quarter by type of investment.</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COST METHOD INVESTMENTS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second quarter of 2002, AT&amp;T Broadband Group recorded net investment impairment charges on cost method investments of $1,140 pretax ($700 after tax), within investment expense, net in the accompanying combined statement of operations. These charges primarily relate to securities that are classified as "available-for-sale" and were marked-to-market through other comprehensive income as a component of combined attributed net assets. These charges primarily consisted of impairments on investments in Cablevision Systems Corporation ("Cablevision") ($608 pretax, $374 after-tax), Comcast ($278 pretax, $171 after-tax) and Microsoft Corporation ($158 pretax, $97 after-tax). In the first half of 2002, AT&amp;T Broadband Group recorded impairment charges on cost method investments of $1,276 on a pretax basis.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Group's investment in Cablevision stock is monetized by debt which is indexed to the value of Cablevision shares. The debt contains an embedded derivative which is designated as a cash-flow hedge under the provisions of SFAS 133 and is marked-to-market through other comprehensive income. At the time AT&amp;T Broadband Group recognized the other than temporary decline in the value of the Cablevision stock as an expense, AT&amp;T Broadband Group also recognized, in investment expense, net in the accompanying combined statement of operations, the unrealized gain on the embedded derivative that was previously recorded in other comprehensive income, resulting in the $608 pretax impairment discussed above, as permitted by SFAS 133.</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19"/>
          </w:cols>
          <w:pgMar w:left="240" w:top="473" w:right="1440" w:bottom="1440" w:gutter="0" w:footer="0" w:header="0"/>
        </w:sectPr>
      </w:pPr>
    </w:p>
    <w:bookmarkStart w:id="210" w:name="page211"/>
    <w:bookmarkEnd w:id="210"/>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EQUITY METHOD INVESTMENTS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the second quarter of 2002, AT&amp;T Broadband Group recorded investment impairment charges on equity method investments of $989 pretax ($608 after-tax) within net (losses) earnings related to equity investments in the accompanying combined statement of operations. These charges consisted of impairments of cable partnerships, primarily Texas Cable Partners, LP ($398 pretax, $245 after-tax), Insight Midwest LP ($162 pretax, $99 after-tax), Kansas City Cable Partners ($157 pretax, $96 after-tax), Parnassos Communications, LP ($132 pretax, $81 after-tax) and Century-TCI California Communications, LP ($101 pretax, $62 after-tax). Parnassos Communications, LP and Century-TCI California Communications, LP represent the only partnership investments AT&amp;T Broadband Group has with Adelphia Communications Corporation. Adelphia Communications Corporation and subsidiaries (including Parnassos Communications, LP and Century-TCI California Communications, LP) filed for Chapter 11 bankruptcy on June 25, 2002.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ASSET IMPAIRMENT, RESTRUCTURING AND OTHER CHARGES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the three months ended June 30, 2002, AT&amp;T Broadband Group had no asset impairment, restructuring and other charges. For the six months ended June 30, 2002, AT&amp;T Broadband Group recorded $56 of asset impairment, restructuring and other charges associated with efforts to reorganize and streamline certain centralized and field functions. The $56 includes headcount reductions of $42 associated with employee separation costs resulting from this exit plan, $27 in connection with facility closings and $4 for other charges. These charges were partially offset by the reversal of $17 related to the business restructuring plan from the second quarter of 2001 which was due to the redeployment of certain employees to different functions within AT&amp;T Broadband Group. Approximately 900 employees will be involuntarily separated in conjunction with this exit plan. Approximately 75% of the affected employees are management employees and 25% are non-management employees. Approximately 75% of the affected employees have left their positions as of June 30, 2002 with the remaining reductions expected to occur throughout the remainder of 2002. More than $32 of termination benefits were paid to employees during the first half of 2002 related to this exit plan.</w:t>
      </w:r>
    </w:p>
    <w:p>
      <w:pPr>
        <w:spacing w:after="0" w:line="191"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 from January 1, 2002 to June 30, 2002.</w:t>
      </w:r>
    </w:p>
    <w:p>
      <w:pPr>
        <w:spacing w:after="0" w:line="180"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JANUARY 1, JUNE 30, 2002 2002 TYPE OF COST</w:t>
      </w:r>
    </w:p>
    <w:p>
      <w:pPr>
        <w:spacing w:after="0" w:line="4"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BALANCE ADDITIONS DEDUCTIONS BALANCE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tbl>
      <w:tblPr>
        <w:tblLayout w:type="fixed"/>
        <w:tblInd w:w="0" w:type="dxa"/>
        <w:tblCellMar>
          <w:top w:w="0" w:type="dxa"/>
          <w:left w:w="0" w:type="dxa"/>
          <w:bottom w:w="0" w:type="dxa"/>
          <w:right w:w="0" w:type="dxa"/>
        </w:tblCellMar>
      </w:tblPr>
      <w:tr>
        <w:trPr>
          <w:trHeight w:val="180"/>
        </w:trPr>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 Employee</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25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2"/>
              </w:rPr>
              <w:t>separations..........................</w:t>
            </w:r>
          </w:p>
        </w:tc>
        <w:tc>
          <w:tcPr>
            <w:tcW w:w="7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0"/>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c>
          <w:tcPr>
            <w:tcW w:w="25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$10 Facility closings and</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lease</w:t>
            </w:r>
          </w:p>
        </w:tc>
        <w:tc>
          <w:tcPr>
            <w:tcW w:w="320" w:type="dxa"/>
            <w:vAlign w:val="bottom"/>
          </w:tcPr>
          <w:p>
            <w:pPr>
              <w:spacing w:after="0"/>
              <w:rPr>
                <w:sz w:val="15"/>
                <w:szCs w:val="15"/>
                <w:color w:val="auto"/>
              </w:rPr>
            </w:pPr>
          </w:p>
        </w:tc>
      </w:tr>
      <w:tr>
        <w:trPr>
          <w:trHeight w:val="180"/>
        </w:trPr>
        <w:tc>
          <w:tcPr>
            <w:tcW w:w="780" w:type="dxa"/>
            <w:vAlign w:val="bottom"/>
          </w:tcPr>
          <w:p>
            <w:pPr>
              <w:spacing w:after="0"/>
              <w:rPr>
                <w:sz w:val="15"/>
                <w:szCs w:val="15"/>
                <w:color w:val="auto"/>
              </w:rPr>
            </w:pPr>
          </w:p>
        </w:tc>
        <w:tc>
          <w:tcPr>
            <w:tcW w:w="18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terminations......</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12 27 9</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320" w:type="dxa"/>
            <w:vAlign w:val="bottom"/>
          </w:tcPr>
          <w:p>
            <w:pPr>
              <w:spacing w:after="0"/>
              <w:rPr>
                <w:sz w:val="15"/>
                <w:szCs w:val="15"/>
                <w:color w:val="auto"/>
              </w:rPr>
            </w:pPr>
          </w:p>
        </w:tc>
      </w:tr>
      <w:tr>
        <w:trPr>
          <w:trHeight w:val="180"/>
        </w:trPr>
        <w:tc>
          <w:tcPr>
            <w:tcW w:w="14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Other.........................................</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78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-- 4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4 -- --- ---</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14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Total.........................................</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14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$34 $73</w:t>
            </w:r>
          </w:p>
        </w:tc>
        <w:tc>
          <w:tcPr>
            <w:tcW w:w="18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6"/>
              </w:rPr>
              <w:t>$67 $40 === === ===</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r>
    </w:tbl>
    <w:p>
      <w:pPr>
        <w:spacing w:after="0" w:line="36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Total deductions included cash payments of $50 related to employee separations and facility closings and a reversal of $17 related to the second quarter 2001 business restructuring plan.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During the second quarter of 2001, AT&amp;T Broadband Group recorded $287 of asset impairment, restructuring and other charges, including $187 of charges from Excite@Home. The charge included $56 of asset impairment charges related to Excite@Home and $231 for restructuring and exit costs, which</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473" w:right="1440" w:bottom="1440" w:gutter="0" w:footer="0" w:header="0"/>
        </w:sectPr>
      </w:pPr>
    </w:p>
    <w:bookmarkStart w:id="211" w:name="page212"/>
    <w:bookmarkEnd w:id="21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84"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consisted of $88 for severance costs and $136 for facility closings and $7 for termination costs of contractual obligations.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severance cost, for approximately 4,500 employees, primarily resulted from Excite@Home and synergies created by the MediaOne merger. Approximately 27% of the affected employees were management and 73% were non-management employees. The business restructuring plan was substantially complete by March 31, 2002.</w:t>
      </w:r>
    </w:p>
    <w:p>
      <w:pPr>
        <w:spacing w:after="0" w:line="17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For the six months ended June 30, 2001, AT&amp;T Broadband recorded $1,095 of asset impairment, restructuring and other charges, including $939 of charges from Excite@Home. The charge included $795 of asset impairment charges related to Excite@Home and $300 for restructuring and exit costs, which consisted of $147 for severance costs, $142 for facility closings and $11 primarily related to the termination of contractual obligations.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asset impairment charges included $656 recorded by Excite@Home associated with the write-down of goodwill and other intangible assets, warrants granted in connection with distributing the @Home service, and property, plant and equipment of Excite@Home.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In addition, AT&amp;T Broadband Group, recorded a related goodwill impairment charge of $139 associated with its acquisition goodwill of Excite@Home. Since AT&amp;T Broadband Group, through ATTBLLC, consolidated Excite@Home but only owned approximately 23% of Excite@Home, 77% of the charge recorded by Excite@Home is not included as an increase in AT&amp;T Broadband Group's net loss, but rather is eliminated in the statement of operations as a component of minority interest and dividends on subsidiary preferred stock.</w:t>
      </w:r>
    </w:p>
    <w:p>
      <w:pPr>
        <w:spacing w:after="0" w:line="19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severance costs, for approximately 6,900 employees, resulted primarily from Excite@Home and synergies created by the MediaOne merger. Approximately 21% of the affected employees were management employees and 79% were non-management employees. This business restructuring plan was substantially completed by March 31, 2002.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DEBT OBLIGATIONS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the first half of 2002, AT&amp;T Broadband Group called $1,516 of TCI Communications Financing I, II and IV, MediaOne Financing Trust A and B and MediaOne Finance II Trust Preferred Securities for early redemption. This redemption resulted in a gain on early extinguishment of debt recorded as an extraordinary gain of $7, net of tax ($12 pretax) and $48, net of tax ($78 pretax) for the three and six months ended June 30, 2002, respectively. The gain represents the difference between the carrying value of the debt and the cash paid to extinguish the debt.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MINORITY INTEREST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Pursuant to the AT&amp;T Comcast Merger agreement, AT&amp;T was required to redeem the outstanding TCI Pacific Communications, Inc. 5% Class A Senior Cumulative Exchangeable Preferred Stock ("TCI Pacific Preferred Stock") for AT&amp;T common stock. Each share of TCI Pacific Preferred Stock was exchangeable at the option of the holder for 8.365 shares of AT&amp;T common stock. As of June 30, 2002, all outstanding (approximately 6.2 million) shares of TCI Pacific preferred Stock with a carrying value of</w:t>
      </w:r>
    </w:p>
    <w:p>
      <w:pPr>
        <w:ind w:left="366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473" w:right="1440" w:bottom="1440" w:gutter="0" w:footer="0" w:header="0"/>
        </w:sectPr>
      </w:pPr>
    </w:p>
    <w:bookmarkStart w:id="212" w:name="page213"/>
    <w:bookmarkEnd w:id="21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$2.1 billion had either been exchanged or redeemed for approximately 51.8 million shares of AT&amp;T common stock. The value of these shares of AT&amp;T common stock were contributed to AT&amp;T Broadband Group by AT&amp;T and are reflected in combined attributed net assets. The TCI Pacific Preferred Stock was reflected in minority interest in the accompanying combined balance sheets prior to its exchange. No gain or loss was recorded on the exchange/redemption of the TCI Pacific Preferred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RELATED PARTY TRANSACTIONS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combined attributed net assets. Short-term debt due to AT&amp;T and interest was assumed based upon the methodology outlined in Note 1. Intercompany debt was $6,486 and $3,959 at June 30, 2002 and December 31, 2001, respectively. Intercompany interest expense was $91 and $99 for the three months ended June 30, 2002 and 2001, respectively, and $155 and $204 for the six months ended June 30, 2002 and 2001, respectively.</w:t>
      </w:r>
    </w:p>
    <w:p>
      <w:pPr>
        <w:spacing w:after="0" w:line="187"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AT&amp;T Consumer Services Group provides AT&amp;T Broadband Group with sales support and customer care services at cost based prices. For the three months ended June 30, 2002 and 2001, such amounts totaled $40 and $49, respectively, and for the six months ended June 30, 2002 and 2001, such amounts totaled $83 and $96, respectively, and are included in selling, general and administrative expenses in the accompanying combined statements of operations.</w:t>
      </w:r>
    </w:p>
    <w:p>
      <w:pPr>
        <w:spacing w:after="0" w:line="17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AT&amp;T Business Services Group provides AT&amp;T Broadband Group with wireline communication and other services. For the three months ended June 30, 2002 and 2001, such amounts totaled $89 and $53, respectively, and for the six months ended June 30, 2002 and 2001, charges for such services totaled $171 and $110, respectively, and are included in costs of services in the accompanying combined statements of operations.</w:t>
      </w:r>
    </w:p>
    <w:p>
      <w:pPr>
        <w:spacing w:after="0" w:line="189" w:lineRule="exact"/>
        <w:rPr>
          <w:sz w:val="20"/>
          <w:szCs w:val="20"/>
          <w:color w:val="auto"/>
        </w:rPr>
      </w:pPr>
    </w:p>
    <w:p>
      <w:pPr>
        <w:ind w:right="2999" w:firstLine="469"/>
        <w:spacing w:after="0" w:line="255" w:lineRule="auto"/>
        <w:rPr>
          <w:sz w:val="20"/>
          <w:szCs w:val="20"/>
          <w:color w:val="auto"/>
        </w:rPr>
      </w:pPr>
      <w:r>
        <w:rPr>
          <w:rFonts w:ascii="Courier New" w:cs="Courier New" w:eastAsia="Courier New" w:hAnsi="Courier New"/>
          <w:sz w:val="15"/>
          <w:szCs w:val="15"/>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$29 and $46 for the three months ended June 30, 2002 and 2001, respectively and $62 and $86 for the six months ended June 30, 2002 and 2001, respectively. These amounts are included in selling, general and administrative expenses in the accompanying combined statements of operations and were determined based on the methodology described in note 1.</w:t>
      </w:r>
    </w:p>
    <w:p>
      <w:pPr>
        <w:spacing w:after="0" w:line="17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During 2001, AT&amp;T Broadband Group had related party transactions with a Liberty Media Group ("LMG") subsidiary. Included in cost of services in the accompanying combined statement of operations were programming expenses related to such LMG subsidiary of $91 and $172 for the three and six months ended June 30, 2001, respectively.</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transferred $628 of marketable securities and equity investments and $180 of related deferred tax liabilities to AT&amp;T through combined attributed net assets during the first quarter of 2001. No gain or loss was recorded in this transaction.</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473" w:right="1440" w:bottom="1440" w:gutter="0" w:footer="0" w:header="0"/>
        </w:sectPr>
      </w:pPr>
    </w:p>
    <w:bookmarkStart w:id="213" w:name="page214"/>
    <w:bookmarkEnd w:id="21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NEW ACCOUNTING PRONOUNCEMENTS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August 2001, the Financial Accounting Standards Board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future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For AT&amp;T Broadband Group, this means that the standard will be adopted on January 1, 2003. AT&amp;T Broadband Group does not expect that the adoption of this statement will have a material impact on AT&amp;T Broadband Group's results of operations, financial position or cash flows.</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April 30, 2002 the FASB issued SFAS No. 145, "Rescission of FASB Statements No. 4, 44, and 64, Amendment of FASB Statement No. 13 and Technical Corrections" ("SFAS 145"). SFAS 145 eliminates the requirement that gains and losses from the extinguishments of debt be aggregated and classified as an extraordinary item, net of the related income tax. An entity is not prohibited from classifying such gains and losses as extraordinary items, as long as they meet the criteria in paragraph 20 of APB No. 30, "Reporting the Results of Operations-Reporting the Effects of Disposal of a Segment of a Business, and Extraordinary, Unusual and Infrequently Occurring Events and Transactions." In addition, SFAS 145 requires that capital leases that are modified so that the resulting lease agreement is classified as an operating lease be accounted for in the same manner as sale-leaseback transactions. The rescission of SFAS No. 4, "Reporting Gains and Losses from Extinguishment of Debt" is effective for fiscal years beginning after May 15, 2002, which for AT&amp;T Broadband Group means January 1, 2003. Earlier application is encouraged. Any gain or loss on extinguishment of debt that was previously classified as an extraordinary item would be reclassified to other income (expense). The remainder of the statement is generally effective for transactions occurring after May 15, 2002. AT&amp;T Broadband Group does not expect that the adoption of SFAS No. 145 will have a material impact on AT&amp;T Broadband Group's results of operations, financial position or cash flows.</w:t>
      </w:r>
    </w:p>
    <w:p>
      <w:pPr>
        <w:spacing w:after="0" w:line="19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June 28, 2002, the FASB issued SFAS No. 146, "Accounting for Exit or Disposal Activities ("SFAS 146"). This statement addresses the recognition, measurement and reporting of costs that are associated with exit and disposal activities. This statement includes the restructuring activities that are currently accounted for pursuant to the guidance set forth in Emerging Issues Task Force ("EITF") 94-3, "Liability Recognition for Certain Employee Termination Benefits and Other Costs to exit an Activity (including Certain Costs incurred in a Restructuring)" ("EITF 94-3"), costs related to terminating a contract that is not a capital lease and one-time benefit arrangements received by employees who are involuntarily terminated -- nullifying the guidance under EITF 94-3. Under SFAS 146 the cost associated with an exit or disposal activity is recognized in the periods in which it is incurred rather than at the date the company committed to the exit plan. This statement is effective for exit or disposal activities initiated after December 31, 2002 with earlier application encouraged. Previously issued financial statements will not be restated. The provisions of EITF 94-3 shall continue to apply for exit plans initiated prior to the adoption of SFAS 146. Accordingly, the initial adoption of SFAS 146 will not have an effect on AT&amp;T Broadband Group's results of operations, financial position or cash flows. However, liabilities associated with future exit and disposal activities will not be recognized until actually incurred.</w:t>
      </w: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473" w:right="1440" w:bottom="1440" w:gutter="0" w:footer="0" w:header="0"/>
        </w:sectPr>
      </w:pPr>
    </w:p>
    <w:bookmarkStart w:id="214" w:name="page215"/>
    <w:bookmarkEnd w:id="21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COMMITMENT AND CONTINGENCIES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June 30, 2002. These matters could affect the operating results of any one quarter when resolved in future periods. However, management believes after final disposition, any monetary liability or financial impact to AT&amp;T Broadband Group beyond that provided for at June 30, 2002 would not be material to AT&amp;T Broadband Group's annual combined financial statements.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party to an agreement under which it purchases certain customer care and billing services from CSG Systems, Inc. ("CSG"). On May 10, 2002, AT&amp;T Broadband Group filed a demand for arbitration against CSG before the American Arbitration Association. On May 30, 2002, CSG answered AT&amp;T Broadband Group's arbitration demand and asserted various counterclaims against AT&amp;T Broadband Group. On June 21, 2002, CSG filed a lawsuit against Comcast Corporation in federal court located in Denver, Colorado asserting claims related to the agreement with CSG and the pending arbitration. In the event that this process results in the termination of our agreement with CSG, AT&amp;T Broadband Group may incur significant costs in connection with its replacement of these customer care and billing services and may experience temporary disruption to its operations.</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June 7, 2002, AT&amp;T Broadband Group announced that Motorola, Inc. ("Motorola") had notified AT&amp;T Broadband of a potential safety hazard, discovered by its factory quality control tests, in a limited number of DCT-2000 digital cable set top boxes installed after April 1, 2002. In response to the notice from Motorola, AT&amp;T Broadband Group has further reviewed the number of potentially affected set-top boxes either installed in customers' homes or in inventory. Based on the information currently available, AT&amp;T Broadband Group does not expect any material financial impact or short-term provisioning delays resulting from this situation.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SUBSEQUENT EVENTS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August 11, 2002, US Airways Group Inc. ("US Airways") filed for Chapter 11 bankruptcy protection. AT&amp;T Broadband Group leases airplanes under leveraged leases to US Airways. Under a leveraged lease, the assets are secured with debt, which is non-recourse to AT&amp;T Broadband Group. In connection with the bankruptcy filing, US Airways can reject or reaffirm its leases. AT&amp;T Broadband Group does not know if the leases will be rejected or affirmed. If the leases are rejected and the non-recourse debtholder forecloses on the assets, AT&amp;T Broadband Group could incur an after-tax loss of approximately $35 to $45 (based on June 30, 2002 balances).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August 12, 2002, in connection with the proposed AT&amp;T Comcast Merger, AT&amp;T filed a preliminary prospectus contemplating a potential offer to exchange an aggregate of $11.8 billion of AT&amp;T's existing debt securities. The exchange offer involves two types of transactions. The first, which is expected to be subject to proration, involves an exchange of certain series of AT&amp;T notes for new notes that would ultimately become obligations of AT&amp;T Broadband Corp. AT&amp;T Comcast and certain of its subsidiaries would guarantee these obligations upon completion of the AT&amp;T Comcast Merger. The second, which is not expected to be subject to proration, involves an exchange of other series of AT&amp;T notes for new notes that would remain obligations of AT&amp;T.</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473" w:right="1440" w:bottom="1440" w:gutter="0" w:footer="0" w:header="0"/>
        </w:sectPr>
      </w:pPr>
    </w:p>
    <w:bookmarkStart w:id="215" w:name="page216"/>
    <w:bookmarkEnd w:id="21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(DOLLARS IN MILLIONS,</w:t>
      </w:r>
    </w:p>
    <w:p>
      <w:pPr>
        <w:jc w:val="center"/>
        <w:ind w:right="2719"/>
        <w:spacing w:after="0"/>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84"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Neither AT&amp;T, AT&amp;T Broadband Group, nor any other entity would receive any proceeds from the issuance of the new notes in the exchange offer. The new notes would represent a new offering with respect to those notes that ultimately become obligations of AT&amp;T Broadband Corp. and would reduce the amount that AT&amp;T Broadband Group would otherwise be required to pay to AT&amp;T upon completion of the AT&amp;T Comcast Merger. The new notes would represent a refinancing with respect to those notes that remain obligations of AT&amp;T after the merger.</w:t>
      </w:r>
    </w:p>
    <w:p>
      <w:pPr>
        <w:spacing w:after="0" w:line="17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exchange offer would be subject to various conditions as described in the prospectus. A decision to proceed with the exchange offer will be based on market and business conditions over the next several months, finalization of the exchange offer on terms that are mutually acceptable to AT&amp;T and Comcast, and other factors. Terms of the exchange offer have not yet been determined and will be announced upon launch.</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August 21, 2002, AT&amp;T, Comcast and AOL Time Warner ("AOL") announced that they had reached an agreement to restructure the TWE partnership. Under the agreement, in exchange for AT&amp;T Broadband Group's 27.64% interest in TWE, AT&amp;T Broadband Group will receive $2.1 billion in cash, $1.5 billion in common stock of AOL, valued as of the time of closing, and a 21% percent equity interest (with less than five percent voting power in the election of directors) in a new cable company serving approximately 10.8 million subscribers. The restructuring agreement is subject to certain regulatory approvals and is expected to close in 2003.</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Additionally, AT&amp;T Broadband, Comcast and AOL have reached a three year non-exclusive agreement under which AOL's high speed broadband service would be made available on AT&amp;T Comcast cable systems which pass approximately 10 million homes.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473" w:right="1440" w:bottom="1440" w:gutter="0" w:footer="0" w:header="0"/>
        </w:sectPr>
      </w:pPr>
    </w:p>
    <w:bookmarkStart w:id="216" w:name="page217"/>
    <w:bookmarkEnd w:id="216"/>
    <w:p>
      <w:pPr>
        <w:ind w:left="216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Shareowners of AT&amp;T Corp.:</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March 25, 2002</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654" w:right="1440" w:bottom="1440" w:gutter="0" w:footer="0" w:header="0"/>
        </w:sectPr>
      </w:pPr>
    </w:p>
    <w:bookmarkStart w:id="217" w:name="page218"/>
    <w:bookmarkEnd w:id="217"/>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ind w:left="196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COMBINED STATEMENTS OF OPERATIONS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rPr>
          <w:sz w:val="20"/>
          <w:szCs w:val="20"/>
          <w:color w:val="auto"/>
        </w:rPr>
      </w:pPr>
      <w:r>
        <w:rPr>
          <w:rFonts w:ascii="Courier New" w:cs="Courier New" w:eastAsia="Courier New" w:hAnsi="Courier New"/>
          <w:sz w:val="16"/>
          <w:szCs w:val="16"/>
          <w:color w:val="auto"/>
        </w:rPr>
        <w:t>----- DECEMBER 31, 2001 2000 1999 ------------ ------- ---</w:t>
      </w:r>
    </w:p>
    <w:p>
      <w:pPr>
        <w:jc w:val="center"/>
        <w:ind w:right="4699"/>
        <w:spacing w:after="0" w:line="237" w:lineRule="auto"/>
        <w:rPr>
          <w:sz w:val="20"/>
          <w:szCs w:val="20"/>
          <w:color w:val="auto"/>
        </w:rPr>
      </w:pPr>
      <w:r>
        <w:rPr>
          <w:rFonts w:ascii="Courier New" w:cs="Courier New" w:eastAsia="Courier New" w:hAnsi="Courier New"/>
          <w:sz w:val="16"/>
          <w:szCs w:val="16"/>
          <w:color w:val="auto"/>
        </w:rPr>
        <w:t>--------- (DOLLARS IN MILLIONS)</w:t>
      </w:r>
    </w:p>
    <w:p>
      <w:pPr>
        <w:spacing w:after="0" w:line="5"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$10,132 $ 8,445 $5,080 Operating expenses: Cost of</w:t>
      </w:r>
    </w:p>
    <w:p>
      <w:pPr>
        <w:jc w:val="center"/>
        <w:ind w:right="4699"/>
        <w:spacing w:after="0"/>
        <w:rPr>
          <w:sz w:val="20"/>
          <w:szCs w:val="20"/>
          <w:color w:val="auto"/>
        </w:rPr>
      </w:pPr>
      <w:r>
        <w:rPr>
          <w:rFonts w:ascii="Courier New" w:cs="Courier New" w:eastAsia="Courier New" w:hAnsi="Courier New"/>
          <w:sz w:val="16"/>
          <w:szCs w:val="16"/>
          <w:color w:val="auto"/>
        </w:rPr>
        <w:t>services (excluding depreciation of $1,881, $1,291 and</w:t>
      </w:r>
    </w:p>
    <w:p>
      <w:pPr>
        <w:jc w:val="center"/>
        <w:ind w:right="4699"/>
        <w:spacing w:after="0" w:line="237" w:lineRule="auto"/>
        <w:rPr>
          <w:sz w:val="20"/>
          <w:szCs w:val="20"/>
          <w:color w:val="auto"/>
        </w:rPr>
      </w:pPr>
      <w:r>
        <w:rPr>
          <w:rFonts w:ascii="Courier New" w:cs="Courier New" w:eastAsia="Courier New" w:hAnsi="Courier New"/>
          <w:sz w:val="16"/>
          <w:szCs w:val="16"/>
          <w:color w:val="auto"/>
        </w:rPr>
        <w:t>$663 for 2001, 2000 and 1999, respectively, included</w:t>
      </w:r>
    </w:p>
    <w:p>
      <w:pPr>
        <w:jc w:val="center"/>
        <w:ind w:right="4699"/>
        <w:spacing w:after="0"/>
        <w:rPr>
          <w:sz w:val="20"/>
          <w:szCs w:val="20"/>
          <w:color w:val="auto"/>
        </w:rPr>
      </w:pPr>
      <w:r>
        <w:rPr>
          <w:rFonts w:ascii="Courier New" w:cs="Courier New" w:eastAsia="Courier New" w:hAnsi="Courier New"/>
          <w:sz w:val="16"/>
          <w:szCs w:val="16"/>
          <w:color w:val="auto"/>
        </w:rPr>
        <w:t>below)....................................... 5,459 4,600</w:t>
      </w:r>
    </w:p>
    <w:p>
      <w:pPr>
        <w:jc w:val="center"/>
        <w:ind w:right="4699"/>
        <w:spacing w:after="0" w:line="238" w:lineRule="auto"/>
        <w:rPr>
          <w:sz w:val="20"/>
          <w:szCs w:val="20"/>
          <w:color w:val="auto"/>
        </w:rPr>
      </w:pPr>
      <w:r>
        <w:rPr>
          <w:rFonts w:ascii="Courier New" w:cs="Courier New" w:eastAsia="Courier New" w:hAnsi="Courier New"/>
          <w:sz w:val="16"/>
          <w:szCs w:val="16"/>
          <w:color w:val="auto"/>
        </w:rPr>
        <w:t>2,686 Selling, general and</w:t>
      </w:r>
    </w:p>
    <w:p>
      <w:pPr>
        <w:jc w:val="center"/>
        <w:ind w:right="4699"/>
        <w:spacing w:after="0"/>
        <w:rPr>
          <w:sz w:val="20"/>
          <w:szCs w:val="20"/>
          <w:color w:val="auto"/>
        </w:rPr>
      </w:pPr>
      <w:r>
        <w:rPr>
          <w:rFonts w:ascii="Courier New" w:cs="Courier New" w:eastAsia="Courier New" w:hAnsi="Courier New"/>
          <w:sz w:val="16"/>
          <w:szCs w:val="16"/>
          <w:color w:val="auto"/>
        </w:rPr>
        <w:t>administrative...................... 2,582 2,180 1,253</w:t>
      </w:r>
    </w:p>
    <w:p>
      <w:pPr>
        <w:ind w:left="80"/>
        <w:spacing w:after="0" w:line="238" w:lineRule="auto"/>
        <w:rPr>
          <w:sz w:val="20"/>
          <w:szCs w:val="20"/>
          <w:color w:val="auto"/>
        </w:rPr>
      </w:pPr>
      <w:r>
        <w:rPr>
          <w:rFonts w:ascii="Courier New" w:cs="Courier New" w:eastAsia="Courier New" w:hAnsi="Courier New"/>
          <w:sz w:val="16"/>
          <w:szCs w:val="16"/>
          <w:color w:val="auto"/>
        </w:rPr>
        <w:t>Depreciation and other amortization......................</w:t>
      </w:r>
    </w:p>
    <w:p>
      <w:pPr>
        <w:jc w:val="center"/>
        <w:ind w:right="4699"/>
        <w:spacing w:after="0"/>
        <w:rPr>
          <w:sz w:val="20"/>
          <w:szCs w:val="20"/>
          <w:color w:val="auto"/>
        </w:rPr>
      </w:pPr>
      <w:r>
        <w:rPr>
          <w:rFonts w:ascii="Courier New" w:cs="Courier New" w:eastAsia="Courier New" w:hAnsi="Courier New"/>
          <w:sz w:val="16"/>
          <w:szCs w:val="16"/>
          <w:color w:val="auto"/>
        </w:rPr>
        <w:t>2,626 1,674 805 Amortization of goodwill, franchise costs</w:t>
      </w:r>
    </w:p>
    <w:p>
      <w:pPr>
        <w:jc w:val="center"/>
        <w:ind w:right="4699"/>
        <w:spacing w:after="0" w:line="237" w:lineRule="auto"/>
        <w:rPr>
          <w:sz w:val="20"/>
          <w:szCs w:val="20"/>
          <w:color w:val="auto"/>
        </w:rPr>
      </w:pPr>
      <w:r>
        <w:rPr>
          <w:rFonts w:ascii="Courier New" w:cs="Courier New" w:eastAsia="Courier New" w:hAnsi="Courier New"/>
          <w:sz w:val="16"/>
          <w:szCs w:val="16"/>
          <w:color w:val="auto"/>
        </w:rPr>
        <w:t>and other purchased</w:t>
      </w:r>
    </w:p>
    <w:p>
      <w:pPr>
        <w:jc w:val="center"/>
        <w:ind w:right="4699"/>
        <w:spacing w:after="0"/>
        <w:rPr>
          <w:sz w:val="20"/>
          <w:szCs w:val="20"/>
          <w:color w:val="auto"/>
        </w:rPr>
      </w:pPr>
      <w:r>
        <w:rPr>
          <w:rFonts w:ascii="Courier New" w:cs="Courier New" w:eastAsia="Courier New" w:hAnsi="Courier New"/>
          <w:sz w:val="16"/>
          <w:szCs w:val="16"/>
          <w:color w:val="auto"/>
        </w:rPr>
        <w:t>intangibles................................. 2,154 2,377</w:t>
      </w:r>
    </w:p>
    <w:p>
      <w:pPr>
        <w:jc w:val="center"/>
        <w:ind w:right="4699"/>
        <w:spacing w:after="0" w:line="238" w:lineRule="auto"/>
        <w:rPr>
          <w:sz w:val="20"/>
          <w:szCs w:val="20"/>
          <w:color w:val="auto"/>
        </w:rPr>
      </w:pPr>
      <w:r>
        <w:rPr>
          <w:rFonts w:ascii="Courier New" w:cs="Courier New" w:eastAsia="Courier New" w:hAnsi="Courier New"/>
          <w:sz w:val="16"/>
          <w:szCs w:val="16"/>
          <w:color w:val="auto"/>
        </w:rPr>
        <w:t>869 Asset impairment, restructuring and other</w:t>
      </w:r>
    </w:p>
    <w:p>
      <w:pPr>
        <w:jc w:val="center"/>
        <w:ind w:right="4699"/>
        <w:spacing w:after="0"/>
        <w:rPr>
          <w:sz w:val="20"/>
          <w:szCs w:val="20"/>
          <w:color w:val="auto"/>
        </w:rPr>
      </w:pPr>
      <w:r>
        <w:rPr>
          <w:rFonts w:ascii="Courier New" w:cs="Courier New" w:eastAsia="Courier New" w:hAnsi="Courier New"/>
          <w:sz w:val="16"/>
          <w:szCs w:val="16"/>
          <w:color w:val="auto"/>
        </w:rPr>
        <w:t>charges........ 1,494 6,270 644 ------- ------- ------</w:t>
      </w:r>
    </w:p>
    <w:p>
      <w:pPr>
        <w:jc w:val="center"/>
        <w:ind w:right="4699"/>
        <w:spacing w:after="0" w:line="238" w:lineRule="auto"/>
        <w:rPr>
          <w:sz w:val="20"/>
          <w:szCs w:val="20"/>
          <w:color w:val="auto"/>
        </w:rPr>
      </w:pPr>
      <w:r>
        <w:rPr>
          <w:rFonts w:ascii="Courier New" w:cs="Courier New" w:eastAsia="Courier New" w:hAnsi="Courier New"/>
          <w:sz w:val="16"/>
          <w:szCs w:val="16"/>
          <w:color w:val="auto"/>
        </w:rPr>
        <w:t>Total operating</w:t>
      </w:r>
    </w:p>
    <w:p>
      <w:pPr>
        <w:jc w:val="center"/>
        <w:ind w:right="4699"/>
        <w:spacing w:after="0"/>
        <w:rPr>
          <w:sz w:val="20"/>
          <w:szCs w:val="20"/>
          <w:color w:val="auto"/>
        </w:rPr>
      </w:pPr>
      <w:r>
        <w:rPr>
          <w:rFonts w:ascii="Courier New" w:cs="Courier New" w:eastAsia="Courier New" w:hAnsi="Courier New"/>
          <w:sz w:val="16"/>
          <w:szCs w:val="16"/>
          <w:color w:val="auto"/>
        </w:rPr>
        <w:t>expenses................................... 14,315 17,101</w:t>
      </w:r>
    </w:p>
    <w:p>
      <w:pPr>
        <w:jc w:val="center"/>
        <w:ind w:right="4699"/>
        <w:spacing w:after="0" w:line="237" w:lineRule="auto"/>
        <w:rPr>
          <w:sz w:val="20"/>
          <w:szCs w:val="20"/>
          <w:color w:val="auto"/>
        </w:rPr>
      </w:pPr>
      <w:r>
        <w:rPr>
          <w:rFonts w:ascii="Courier New" w:cs="Courier New" w:eastAsia="Courier New" w:hAnsi="Courier New"/>
          <w:sz w:val="16"/>
          <w:szCs w:val="16"/>
          <w:color w:val="auto"/>
        </w:rPr>
        <w:t>6,257 ------- ------- ------ Operating</w:t>
      </w:r>
    </w:p>
    <w:p>
      <w:pPr>
        <w:jc w:val="center"/>
        <w:ind w:right="4699"/>
        <w:spacing w:after="0"/>
        <w:rPr>
          <w:sz w:val="20"/>
          <w:szCs w:val="20"/>
          <w:color w:val="auto"/>
        </w:rPr>
      </w:pPr>
      <w:r>
        <w:rPr>
          <w:rFonts w:ascii="Courier New" w:cs="Courier New" w:eastAsia="Courier New" w:hAnsi="Courier New"/>
          <w:sz w:val="16"/>
          <w:szCs w:val="16"/>
          <w:color w:val="auto"/>
        </w:rPr>
        <w:t>loss............................................. 4,183</w:t>
      </w:r>
    </w:p>
    <w:p>
      <w:pPr>
        <w:jc w:val="center"/>
        <w:ind w:right="4699"/>
        <w:spacing w:after="0" w:line="238" w:lineRule="auto"/>
        <w:rPr>
          <w:sz w:val="20"/>
          <w:szCs w:val="20"/>
          <w:color w:val="auto"/>
        </w:rPr>
      </w:pPr>
      <w:r>
        <w:rPr>
          <w:rFonts w:ascii="Courier New" w:cs="Courier New" w:eastAsia="Courier New" w:hAnsi="Courier New"/>
          <w:sz w:val="16"/>
          <w:szCs w:val="16"/>
          <w:color w:val="auto"/>
        </w:rPr>
        <w:t>8,656 1,177 Investment (expense)</w:t>
      </w:r>
    </w:p>
    <w:p>
      <w:pPr>
        <w:spacing w:after="0" w:line="4"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income.............................. (1,947) (84) 47 Other</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(expense) income................................... (927)</w:t>
      </w:r>
    </w:p>
    <w:p>
      <w:pPr>
        <w:jc w:val="center"/>
        <w:ind w:right="4699"/>
        <w:spacing w:after="0"/>
        <w:rPr>
          <w:sz w:val="20"/>
          <w:szCs w:val="20"/>
          <w:color w:val="auto"/>
        </w:rPr>
      </w:pPr>
      <w:r>
        <w:rPr>
          <w:rFonts w:ascii="Courier New" w:cs="Courier New" w:eastAsia="Courier New" w:hAnsi="Courier New"/>
          <w:sz w:val="16"/>
          <w:szCs w:val="16"/>
          <w:color w:val="auto"/>
        </w:rPr>
        <w:t>45 3 Interest</w:t>
      </w:r>
    </w:p>
    <w:p>
      <w:pPr>
        <w:jc w:val="center"/>
        <w:ind w:right="4699"/>
        <w:spacing w:after="0" w:line="237" w:lineRule="auto"/>
        <w:rPr>
          <w:sz w:val="20"/>
          <w:szCs w:val="20"/>
          <w:color w:val="auto"/>
        </w:rPr>
      </w:pPr>
      <w:r>
        <w:rPr>
          <w:rFonts w:ascii="Courier New" w:cs="Courier New" w:eastAsia="Courier New" w:hAnsi="Courier New"/>
          <w:sz w:val="16"/>
          <w:szCs w:val="16"/>
          <w:color w:val="auto"/>
        </w:rPr>
        <w:t>expense......................................... 1,735</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1,323 705 ------- ------- ------ Loss before income taxes,</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losses from equity investments, minority interest and</w:t>
      </w:r>
    </w:p>
    <w:p>
      <w:pPr>
        <w:jc w:val="center"/>
        <w:ind w:right="4699"/>
        <w:spacing w:after="0"/>
        <w:rPr>
          <w:sz w:val="20"/>
          <w:szCs w:val="20"/>
          <w:color w:val="auto"/>
        </w:rPr>
      </w:pPr>
      <w:r>
        <w:rPr>
          <w:rFonts w:ascii="Courier New" w:cs="Courier New" w:eastAsia="Courier New" w:hAnsi="Courier New"/>
          <w:sz w:val="16"/>
          <w:szCs w:val="16"/>
          <w:color w:val="auto"/>
        </w:rPr>
        <w:t>cumulative effect of accounting</w:t>
      </w:r>
    </w:p>
    <w:p>
      <w:pPr>
        <w:jc w:val="center"/>
        <w:ind w:right="4699"/>
        <w:spacing w:after="0" w:line="237" w:lineRule="auto"/>
        <w:rPr>
          <w:sz w:val="20"/>
          <w:szCs w:val="20"/>
          <w:color w:val="auto"/>
        </w:rPr>
      </w:pPr>
      <w:r>
        <w:rPr>
          <w:rFonts w:ascii="Courier New" w:cs="Courier New" w:eastAsia="Courier New" w:hAnsi="Courier New"/>
          <w:sz w:val="16"/>
          <w:szCs w:val="16"/>
          <w:color w:val="auto"/>
        </w:rPr>
        <w:t>change........................................ 8,792</w:t>
      </w:r>
    </w:p>
    <w:p>
      <w:pPr>
        <w:jc w:val="center"/>
        <w:ind w:right="4699"/>
        <w:spacing w:after="0"/>
        <w:rPr>
          <w:sz w:val="20"/>
          <w:szCs w:val="20"/>
          <w:color w:val="auto"/>
        </w:rPr>
      </w:pPr>
      <w:r>
        <w:rPr>
          <w:rFonts w:ascii="Courier New" w:cs="Courier New" w:eastAsia="Courier New" w:hAnsi="Courier New"/>
          <w:sz w:val="16"/>
          <w:szCs w:val="16"/>
          <w:color w:val="auto"/>
        </w:rPr>
        <w:t>10,018 1,832 Benefit for income</w:t>
      </w:r>
    </w:p>
    <w:p>
      <w:pPr>
        <w:jc w:val="center"/>
        <w:ind w:right="4699"/>
        <w:spacing w:after="0" w:line="238" w:lineRule="auto"/>
        <w:rPr>
          <w:sz w:val="20"/>
          <w:szCs w:val="20"/>
          <w:color w:val="auto"/>
        </w:rPr>
      </w:pPr>
      <w:r>
        <w:rPr>
          <w:rFonts w:ascii="Courier New" w:cs="Courier New" w:eastAsia="Courier New" w:hAnsi="Courier New"/>
          <w:sz w:val="16"/>
          <w:szCs w:val="16"/>
          <w:color w:val="auto"/>
        </w:rPr>
        <w:t>taxes................................... 3,857 1,183 465</w:t>
      </w:r>
    </w:p>
    <w:p>
      <w:pPr>
        <w:jc w:val="center"/>
        <w:ind w:right="4699"/>
        <w:spacing w:after="0"/>
        <w:rPr>
          <w:sz w:val="20"/>
          <w:szCs w:val="20"/>
          <w:color w:val="auto"/>
        </w:rPr>
      </w:pPr>
      <w:r>
        <w:rPr>
          <w:rFonts w:ascii="Courier New" w:cs="Courier New" w:eastAsia="Courier New" w:hAnsi="Courier New"/>
          <w:sz w:val="16"/>
          <w:szCs w:val="16"/>
          <w:color w:val="auto"/>
        </w:rPr>
        <w:t>Net losses from equity</w:t>
      </w:r>
    </w:p>
    <w:p>
      <w:pPr>
        <w:jc w:val="center"/>
        <w:ind w:right="4699"/>
        <w:spacing w:after="0" w:line="238" w:lineRule="auto"/>
        <w:rPr>
          <w:sz w:val="20"/>
          <w:szCs w:val="20"/>
          <w:color w:val="auto"/>
        </w:rPr>
      </w:pPr>
      <w:r>
        <w:rPr>
          <w:rFonts w:ascii="Courier New" w:cs="Courier New" w:eastAsia="Courier New" w:hAnsi="Courier New"/>
          <w:sz w:val="16"/>
          <w:szCs w:val="16"/>
          <w:color w:val="auto"/>
        </w:rPr>
        <w:t>investments......................... 69 597 707 Minority</w:t>
      </w:r>
    </w:p>
    <w:p>
      <w:pPr>
        <w:jc w:val="center"/>
        <w:ind w:right="4699"/>
        <w:spacing w:after="0"/>
        <w:rPr>
          <w:sz w:val="20"/>
          <w:szCs w:val="20"/>
          <w:color w:val="auto"/>
        </w:rPr>
      </w:pPr>
      <w:r>
        <w:rPr>
          <w:rFonts w:ascii="Courier New" w:cs="Courier New" w:eastAsia="Courier New" w:hAnsi="Courier New"/>
          <w:sz w:val="16"/>
          <w:szCs w:val="16"/>
          <w:color w:val="auto"/>
        </w:rPr>
        <w:t>interest income (expense)......................... 833</w:t>
      </w:r>
    </w:p>
    <w:p>
      <w:pPr>
        <w:jc w:val="center"/>
        <w:ind w:right="4699"/>
        <w:spacing w:after="0" w:line="237" w:lineRule="auto"/>
        <w:rPr>
          <w:sz w:val="20"/>
          <w:szCs w:val="20"/>
          <w:color w:val="auto"/>
        </w:rPr>
      </w:pPr>
      <w:r>
        <w:rPr>
          <w:rFonts w:ascii="Courier New" w:cs="Courier New" w:eastAsia="Courier New" w:hAnsi="Courier New"/>
          <w:sz w:val="16"/>
          <w:szCs w:val="16"/>
          <w:color w:val="auto"/>
        </w:rPr>
        <w:t>4,062 (126) ------- ------- ------ Loss before cumulative</w:t>
      </w:r>
    </w:p>
    <w:p>
      <w:pPr>
        <w:jc w:val="center"/>
        <w:ind w:right="4699"/>
        <w:spacing w:after="0"/>
        <w:rPr>
          <w:sz w:val="20"/>
          <w:szCs w:val="20"/>
          <w:color w:val="auto"/>
        </w:rPr>
      </w:pPr>
      <w:r>
        <w:rPr>
          <w:rFonts w:ascii="Courier New" w:cs="Courier New" w:eastAsia="Courier New" w:hAnsi="Courier New"/>
          <w:sz w:val="16"/>
          <w:szCs w:val="16"/>
          <w:color w:val="auto"/>
        </w:rPr>
        <w:t>effect of accounting change......... 4,171 5,370 2,200</w:t>
      </w:r>
    </w:p>
    <w:p>
      <w:pPr>
        <w:jc w:val="center"/>
        <w:ind w:right="4699"/>
        <w:spacing w:after="0" w:line="238" w:lineRule="auto"/>
        <w:rPr>
          <w:sz w:val="20"/>
          <w:szCs w:val="20"/>
          <w:color w:val="auto"/>
        </w:rPr>
      </w:pPr>
      <w:r>
        <w:rPr>
          <w:rFonts w:ascii="Courier New" w:cs="Courier New" w:eastAsia="Courier New" w:hAnsi="Courier New"/>
          <w:sz w:val="16"/>
          <w:szCs w:val="16"/>
          <w:color w:val="auto"/>
        </w:rPr>
        <w:t>Cumulative effect of accounting change (net of income</w:t>
      </w:r>
    </w:p>
    <w:p>
      <w:pPr>
        <w:jc w:val="center"/>
        <w:ind w:right="4699"/>
        <w:spacing w:after="0"/>
        <w:rPr>
          <w:sz w:val="20"/>
          <w:szCs w:val="20"/>
          <w:color w:val="auto"/>
        </w:rPr>
      </w:pPr>
      <w:r>
        <w:rPr>
          <w:rFonts w:ascii="Courier New" w:cs="Courier New" w:eastAsia="Courier New" w:hAnsi="Courier New"/>
          <w:sz w:val="16"/>
          <w:szCs w:val="16"/>
          <w:color w:val="auto"/>
        </w:rPr>
        <w:t>taxes of</w:t>
      </w:r>
    </w:p>
    <w:p>
      <w:pPr>
        <w:spacing w:after="0" w:line="4"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$142)................................................. 229</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 ------- ------- ------ Net</w:t>
      </w:r>
    </w:p>
    <w:p>
      <w:pPr>
        <w:jc w:val="center"/>
        <w:ind w:right="4699"/>
        <w:spacing w:after="0"/>
        <w:rPr>
          <w:sz w:val="20"/>
          <w:szCs w:val="20"/>
          <w:color w:val="auto"/>
        </w:rPr>
      </w:pPr>
      <w:r>
        <w:rPr>
          <w:rFonts w:ascii="Courier New" w:cs="Courier New" w:eastAsia="Courier New" w:hAnsi="Courier New"/>
          <w:sz w:val="16"/>
          <w:szCs w:val="16"/>
          <w:color w:val="auto"/>
        </w:rPr>
        <w:t>loss................................................... $</w:t>
      </w:r>
    </w:p>
    <w:p>
      <w:pPr>
        <w:jc w:val="center"/>
        <w:ind w:right="4699"/>
        <w:spacing w:after="0" w:line="237" w:lineRule="auto"/>
        <w:rPr>
          <w:sz w:val="20"/>
          <w:szCs w:val="20"/>
          <w:color w:val="auto"/>
        </w:rPr>
      </w:pPr>
      <w:r>
        <w:rPr>
          <w:rFonts w:ascii="Courier New" w:cs="Courier New" w:eastAsia="Courier New" w:hAnsi="Courier New"/>
          <w:sz w:val="16"/>
          <w:szCs w:val="16"/>
          <w:color w:val="auto"/>
        </w:rPr>
        <w:t>3,942 $ 5,370 $2,200 ======= ======= ======</w:t>
      </w:r>
    </w:p>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654" w:right="1440" w:bottom="1440" w:gutter="0" w:footer="0" w:header="0"/>
        </w:sectPr>
      </w:pPr>
    </w:p>
    <w:bookmarkStart w:id="218" w:name="page219"/>
    <w:bookmarkEnd w:id="218"/>
    <w:tbl>
      <w:tblPr>
        <w:tblLayout w:type="fixed"/>
        <w:tblInd w:w="1960" w:type="dxa"/>
        <w:tblCellMar>
          <w:top w:w="0" w:type="dxa"/>
          <w:left w:w="0" w:type="dxa"/>
          <w:bottom w:w="0" w:type="dxa"/>
          <w:right w:w="0" w:type="dxa"/>
        </w:tblCellMar>
      </w:tblPr>
      <w:tr>
        <w:trPr>
          <w:trHeight w:val="181"/>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AT&amp;T BROADBAND</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GROUP</w:t>
            </w:r>
          </w:p>
        </w:tc>
      </w:tr>
      <w:tr>
        <w:trPr>
          <w:trHeight w:val="180"/>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w w:val="96"/>
              </w:rPr>
              <w:t>(AN INTEGRATED BUSINESS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w w:val="96"/>
              </w:rPr>
              <w:t>OF AT&amp;T CORP.)</w:t>
            </w:r>
          </w:p>
        </w:tc>
      </w:tr>
      <w:tr>
        <w:trPr>
          <w:trHeight w:val="361"/>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COMBINED BALANCE</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SHEETS</w:t>
            </w:r>
          </w:p>
        </w:tc>
      </w:tr>
    </w:tbl>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560"/>
        <w:spacing w:after="0"/>
        <w:rPr>
          <w:sz w:val="20"/>
          <w:szCs w:val="20"/>
          <w:color w:val="auto"/>
        </w:rPr>
      </w:pPr>
      <w:r>
        <w:rPr>
          <w:rFonts w:ascii="Courier New" w:cs="Courier New" w:eastAsia="Courier New" w:hAnsi="Courier New"/>
          <w:sz w:val="16"/>
          <w:szCs w:val="16"/>
          <w:color w:val="auto"/>
        </w:rPr>
        <w:t>----- (DOLLARS IN MILLIONS) ASSETS Cash and cash</w:t>
      </w:r>
    </w:p>
    <w:p>
      <w:pPr>
        <w:ind w:left="180"/>
        <w:spacing w:after="0" w:line="237" w:lineRule="auto"/>
        <w:rPr>
          <w:sz w:val="20"/>
          <w:szCs w:val="20"/>
          <w:color w:val="auto"/>
        </w:rPr>
      </w:pPr>
      <w:r>
        <w:rPr>
          <w:rFonts w:ascii="Courier New" w:cs="Courier New" w:eastAsia="Courier New" w:hAnsi="Courier New"/>
          <w:sz w:val="16"/>
          <w:szCs w:val="16"/>
          <w:color w:val="auto"/>
        </w:rPr>
        <w:t>equivalents................................... $ -- $ 61</w:t>
      </w:r>
    </w:p>
    <w:p>
      <w:pPr>
        <w:ind w:left="600"/>
        <w:spacing w:after="0"/>
        <w:rPr>
          <w:sz w:val="20"/>
          <w:szCs w:val="20"/>
          <w:color w:val="auto"/>
        </w:rPr>
      </w:pPr>
      <w:r>
        <w:rPr>
          <w:rFonts w:ascii="Courier New" w:cs="Courier New" w:eastAsia="Courier New" w:hAnsi="Courier New"/>
          <w:sz w:val="16"/>
          <w:szCs w:val="16"/>
          <w:color w:val="auto"/>
        </w:rPr>
        <w:t>Accounts receivable, less allowances of $73 and</w:t>
      </w:r>
    </w:p>
    <w:p>
      <w:pPr>
        <w:ind w:left="1600"/>
        <w:spacing w:after="0" w:line="238" w:lineRule="auto"/>
        <w:rPr>
          <w:sz w:val="20"/>
          <w:szCs w:val="20"/>
          <w:color w:val="auto"/>
        </w:rPr>
      </w:pPr>
      <w:r>
        <w:rPr>
          <w:rFonts w:ascii="Courier New" w:cs="Courier New" w:eastAsia="Courier New" w:hAnsi="Courier New"/>
          <w:sz w:val="16"/>
          <w:szCs w:val="16"/>
          <w:color w:val="auto"/>
        </w:rPr>
        <w:t>$74......... 584 774 Other</w:t>
      </w:r>
    </w:p>
    <w:p>
      <w:pPr>
        <w:ind w:left="80"/>
        <w:spacing w:after="0"/>
        <w:rPr>
          <w:sz w:val="20"/>
          <w:szCs w:val="20"/>
          <w:color w:val="auto"/>
        </w:rPr>
      </w:pPr>
      <w:r>
        <w:rPr>
          <w:rFonts w:ascii="Courier New" w:cs="Courier New" w:eastAsia="Courier New" w:hAnsi="Courier New"/>
          <w:sz w:val="16"/>
          <w:szCs w:val="16"/>
          <w:color w:val="auto"/>
        </w:rPr>
        <w:t>receivables........................................... 214</w:t>
      </w:r>
    </w:p>
    <w:p>
      <w:pPr>
        <w:ind w:left="2660"/>
        <w:spacing w:after="0" w:line="238" w:lineRule="auto"/>
        <w:rPr>
          <w:sz w:val="20"/>
          <w:szCs w:val="20"/>
          <w:color w:val="auto"/>
        </w:rPr>
      </w:pPr>
      <w:r>
        <w:rPr>
          <w:rFonts w:ascii="Courier New" w:cs="Courier New" w:eastAsia="Courier New" w:hAnsi="Courier New"/>
          <w:sz w:val="16"/>
          <w:szCs w:val="16"/>
          <w:color w:val="auto"/>
        </w:rPr>
        <w:t>267</w:t>
      </w:r>
    </w:p>
    <w:p>
      <w:pPr>
        <w:spacing w:after="0"/>
        <w:rPr>
          <w:sz w:val="20"/>
          <w:szCs w:val="20"/>
          <w:color w:val="auto"/>
        </w:rPr>
      </w:pPr>
      <w:r>
        <w:rPr>
          <w:rFonts w:ascii="Courier New" w:cs="Courier New" w:eastAsia="Courier New" w:hAnsi="Courier New"/>
          <w:sz w:val="16"/>
          <w:szCs w:val="16"/>
          <w:color w:val="auto"/>
        </w:rPr>
        <w:t>Investments.................................................</w:t>
      </w:r>
    </w:p>
    <w:p>
      <w:pPr>
        <w:ind w:left="1740"/>
        <w:spacing w:after="0" w:line="237" w:lineRule="auto"/>
        <w:rPr>
          <w:sz w:val="20"/>
          <w:szCs w:val="20"/>
          <w:color w:val="auto"/>
        </w:rPr>
      </w:pPr>
      <w:r>
        <w:rPr>
          <w:rFonts w:ascii="Courier New" w:cs="Courier New" w:eastAsia="Courier New" w:hAnsi="Courier New"/>
          <w:sz w:val="16"/>
          <w:szCs w:val="16"/>
          <w:color w:val="auto"/>
        </w:rPr>
        <w:t>668 2,204 Other current</w:t>
      </w:r>
    </w:p>
    <w:p>
      <w:pPr>
        <w:ind w:left="40"/>
        <w:spacing w:after="0"/>
        <w:rPr>
          <w:sz w:val="20"/>
          <w:szCs w:val="20"/>
          <w:color w:val="auto"/>
        </w:rPr>
      </w:pPr>
      <w:r>
        <w:rPr>
          <w:rFonts w:ascii="Courier New" w:cs="Courier New" w:eastAsia="Courier New" w:hAnsi="Courier New"/>
          <w:sz w:val="16"/>
          <w:szCs w:val="16"/>
          <w:color w:val="auto"/>
        </w:rPr>
        <w:t>assets........................................ 184 200 ----</w:t>
      </w:r>
    </w:p>
    <w:p>
      <w:pPr>
        <w:ind w:left="1540"/>
        <w:spacing w:after="0" w:line="238" w:lineRule="auto"/>
        <w:rPr>
          <w:sz w:val="20"/>
          <w:szCs w:val="20"/>
          <w:color w:val="auto"/>
        </w:rPr>
      </w:pPr>
      <w:r>
        <w:rPr>
          <w:rFonts w:ascii="Courier New" w:cs="Courier New" w:eastAsia="Courier New" w:hAnsi="Courier New"/>
          <w:sz w:val="16"/>
          <w:szCs w:val="16"/>
          <w:color w:val="auto"/>
        </w:rPr>
        <w:t>---- -------- Total current</w:t>
      </w:r>
    </w:p>
    <w:p>
      <w:pPr>
        <w:ind w:left="320"/>
        <w:spacing w:after="0"/>
        <w:rPr>
          <w:sz w:val="20"/>
          <w:szCs w:val="20"/>
          <w:color w:val="auto"/>
        </w:rPr>
      </w:pPr>
      <w:r>
        <w:rPr>
          <w:rFonts w:ascii="Courier New" w:cs="Courier New" w:eastAsia="Courier New" w:hAnsi="Courier New"/>
          <w:sz w:val="16"/>
          <w:szCs w:val="16"/>
          <w:color w:val="auto"/>
        </w:rPr>
        <w:t>assets................................... 1,650 3,506</w:t>
      </w:r>
    </w:p>
    <w:p>
      <w:pPr>
        <w:ind w:left="1400"/>
        <w:spacing w:after="0" w:line="238" w:lineRule="auto"/>
        <w:rPr>
          <w:sz w:val="20"/>
          <w:szCs w:val="20"/>
          <w:color w:val="auto"/>
        </w:rPr>
      </w:pPr>
      <w:r>
        <w:rPr>
          <w:rFonts w:ascii="Courier New" w:cs="Courier New" w:eastAsia="Courier New" w:hAnsi="Courier New"/>
          <w:sz w:val="16"/>
          <w:szCs w:val="16"/>
          <w:color w:val="auto"/>
        </w:rPr>
        <w:t>Property, plant and equipment,</w:t>
      </w:r>
    </w:p>
    <w:p>
      <w:pPr>
        <w:ind w:left="320"/>
        <w:spacing w:after="0"/>
        <w:rPr>
          <w:sz w:val="20"/>
          <w:szCs w:val="20"/>
          <w:color w:val="auto"/>
        </w:rPr>
      </w:pPr>
      <w:r>
        <w:rPr>
          <w:rFonts w:ascii="Courier New" w:cs="Courier New" w:eastAsia="Courier New" w:hAnsi="Courier New"/>
          <w:sz w:val="16"/>
          <w:szCs w:val="16"/>
          <w:color w:val="auto"/>
        </w:rPr>
        <w:t>net.......................... 14,519 15,187 Franchise</w:t>
      </w:r>
    </w:p>
    <w:p>
      <w:pPr>
        <w:jc w:val="center"/>
        <w:ind w:right="4599"/>
        <w:spacing w:after="0" w:line="237" w:lineRule="auto"/>
        <w:rPr>
          <w:sz w:val="20"/>
          <w:szCs w:val="20"/>
          <w:color w:val="auto"/>
        </w:rPr>
      </w:pPr>
      <w:r>
        <w:rPr>
          <w:rFonts w:ascii="Courier New" w:cs="Courier New" w:eastAsia="Courier New" w:hAnsi="Courier New"/>
          <w:sz w:val="16"/>
          <w:szCs w:val="16"/>
          <w:color w:val="auto"/>
        </w:rPr>
        <w:t>costs, net of accumulated amortization of $2,501 and</w:t>
      </w:r>
    </w:p>
    <w:p>
      <w:pPr>
        <w:jc w:val="center"/>
        <w:ind w:right="4599"/>
        <w:spacing w:after="0"/>
        <w:rPr>
          <w:sz w:val="20"/>
          <w:szCs w:val="20"/>
          <w:color w:val="auto"/>
        </w:rPr>
      </w:pPr>
      <w:r>
        <w:rPr>
          <w:rFonts w:ascii="Courier New" w:cs="Courier New" w:eastAsia="Courier New" w:hAnsi="Courier New"/>
          <w:sz w:val="16"/>
          <w:szCs w:val="16"/>
          <w:color w:val="auto"/>
        </w:rPr>
        <w:t>$1,664................................................</w:t>
      </w:r>
    </w:p>
    <w:p>
      <w:pPr>
        <w:jc w:val="center"/>
        <w:ind w:right="4599"/>
        <w:spacing w:after="0" w:line="238" w:lineRule="auto"/>
        <w:rPr>
          <w:sz w:val="20"/>
          <w:szCs w:val="20"/>
          <w:color w:val="auto"/>
        </w:rPr>
      </w:pPr>
      <w:r>
        <w:rPr>
          <w:rFonts w:ascii="Courier New" w:cs="Courier New" w:eastAsia="Courier New" w:hAnsi="Courier New"/>
          <w:sz w:val="16"/>
          <w:szCs w:val="16"/>
          <w:color w:val="auto"/>
        </w:rPr>
        <w:t>42,819 48,218 Goodwill, net of accumulated amortization of</w:t>
      </w:r>
    </w:p>
    <w:p>
      <w:pPr>
        <w:jc w:val="center"/>
        <w:ind w:right="4599"/>
        <w:spacing w:after="0"/>
        <w:rPr>
          <w:sz w:val="20"/>
          <w:szCs w:val="20"/>
          <w:color w:val="auto"/>
        </w:rPr>
      </w:pPr>
      <w:r>
        <w:rPr>
          <w:rFonts w:ascii="Courier New" w:cs="Courier New" w:eastAsia="Courier New" w:hAnsi="Courier New"/>
          <w:sz w:val="16"/>
          <w:szCs w:val="16"/>
          <w:color w:val="auto"/>
        </w:rPr>
        <w:t>$741 and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$240......................................................</w:t>
            </w:r>
          </w:p>
        </w:tc>
      </w:tr>
      <w:tr>
        <w:trPr>
          <w:trHeight w:val="180"/>
        </w:trPr>
        <w:tc>
          <w:tcPr>
            <w:tcW w:w="2860" w:type="dxa"/>
            <w:vAlign w:val="bottom"/>
          </w:tcPr>
          <w:p>
            <w:pPr>
              <w:jc w:val="right"/>
              <w:ind w:right="29"/>
              <w:spacing w:after="0"/>
              <w:rPr>
                <w:sz w:val="20"/>
                <w:szCs w:val="20"/>
                <w:color w:val="auto"/>
              </w:rPr>
            </w:pPr>
            <w:r>
              <w:rPr>
                <w:rFonts w:ascii="Courier New" w:cs="Courier New" w:eastAsia="Courier New" w:hAnsi="Courier New"/>
                <w:sz w:val="16"/>
                <w:szCs w:val="16"/>
                <w:color w:val="auto"/>
              </w:rPr>
              <w:t>19,361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21,139</w:t>
            </w:r>
          </w:p>
        </w:tc>
      </w:tr>
      <w:tr>
        <w:trPr>
          <w:trHeight w:val="180"/>
        </w:trPr>
        <w:tc>
          <w:tcPr>
            <w:tcW w:w="3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Investments.................................................</w:t>
            </w:r>
          </w:p>
        </w:tc>
      </w:tr>
    </w:tbl>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21,913 25,045 Other assets, net of accumulated amortization</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of $563 and</w:t>
      </w:r>
    </w:p>
    <w:p>
      <w:pPr>
        <w:ind w:left="80"/>
        <w:spacing w:after="0"/>
        <w:rPr>
          <w:sz w:val="20"/>
          <w:szCs w:val="20"/>
          <w:color w:val="auto"/>
        </w:rPr>
      </w:pPr>
      <w:r>
        <w:rPr>
          <w:rFonts w:ascii="Courier New" w:cs="Courier New" w:eastAsia="Courier New" w:hAnsi="Courier New"/>
          <w:sz w:val="16"/>
          <w:szCs w:val="16"/>
          <w:color w:val="auto"/>
        </w:rPr>
        <w:t>$578......................................................</w:t>
      </w:r>
    </w:p>
    <w:p>
      <w:pPr>
        <w:ind w:left="1160"/>
        <w:spacing w:after="0" w:line="237" w:lineRule="auto"/>
        <w:rPr>
          <w:sz w:val="20"/>
          <w:szCs w:val="20"/>
          <w:color w:val="auto"/>
        </w:rPr>
      </w:pPr>
      <w:r>
        <w:rPr>
          <w:rFonts w:ascii="Courier New" w:cs="Courier New" w:eastAsia="Courier New" w:hAnsi="Courier New"/>
          <w:sz w:val="16"/>
          <w:szCs w:val="16"/>
          <w:color w:val="auto"/>
        </w:rPr>
        <w:t>2,925 4,439 -------- -------- Total</w:t>
      </w:r>
    </w:p>
    <w:p>
      <w:pPr>
        <w:ind w:left="80"/>
        <w:spacing w:after="0"/>
        <w:rPr>
          <w:sz w:val="20"/>
          <w:szCs w:val="20"/>
          <w:color w:val="auto"/>
        </w:rPr>
      </w:pPr>
      <w:r>
        <w:rPr>
          <w:rFonts w:ascii="Courier New" w:cs="Courier New" w:eastAsia="Courier New" w:hAnsi="Courier New"/>
          <w:sz w:val="16"/>
          <w:szCs w:val="16"/>
          <w:color w:val="auto"/>
        </w:rPr>
        <w:t>assets........................................... $103,187</w:t>
      </w:r>
    </w:p>
    <w:p>
      <w:pPr>
        <w:ind w:left="420"/>
        <w:spacing w:after="0" w:line="238" w:lineRule="auto"/>
        <w:rPr>
          <w:sz w:val="20"/>
          <w:szCs w:val="20"/>
          <w:color w:val="auto"/>
        </w:rPr>
      </w:pPr>
      <w:r>
        <w:rPr>
          <w:rFonts w:ascii="Courier New" w:cs="Courier New" w:eastAsia="Courier New" w:hAnsi="Courier New"/>
          <w:sz w:val="16"/>
          <w:szCs w:val="16"/>
          <w:color w:val="auto"/>
        </w:rPr>
        <w:t>$117,534 ======== ======== LIABILITIES AND COMBINED</w:t>
      </w:r>
    </w:p>
    <w:p>
      <w:pPr>
        <w:ind w:left="1400"/>
        <w:spacing w:after="0"/>
        <w:rPr>
          <w:sz w:val="20"/>
          <w:szCs w:val="20"/>
          <w:color w:val="auto"/>
        </w:rPr>
      </w:pPr>
      <w:r>
        <w:rPr>
          <w:rFonts w:ascii="Courier New" w:cs="Courier New" w:eastAsia="Courier New" w:hAnsi="Courier New"/>
          <w:sz w:val="16"/>
          <w:szCs w:val="16"/>
          <w:color w:val="auto"/>
        </w:rPr>
        <w:t>ATTRIBUTED NET ASSETS Accounts</w:t>
      </w:r>
    </w:p>
    <w:p>
      <w:pPr>
        <w:ind w:left="40"/>
        <w:spacing w:after="0" w:line="238" w:lineRule="auto"/>
        <w:rPr>
          <w:sz w:val="20"/>
          <w:szCs w:val="20"/>
          <w:color w:val="auto"/>
        </w:rPr>
      </w:pPr>
      <w:r>
        <w:rPr>
          <w:rFonts w:ascii="Courier New" w:cs="Courier New" w:eastAsia="Courier New" w:hAnsi="Courier New"/>
          <w:sz w:val="16"/>
          <w:szCs w:val="16"/>
          <w:color w:val="auto"/>
        </w:rPr>
        <w:t>payable............................................ $ 678 $</w:t>
      </w:r>
    </w:p>
    <w:p>
      <w:pPr>
        <w:ind w:left="1260"/>
        <w:spacing w:after="0"/>
        <w:rPr>
          <w:sz w:val="20"/>
          <w:szCs w:val="20"/>
          <w:color w:val="auto"/>
        </w:rPr>
      </w:pPr>
      <w:r>
        <w:rPr>
          <w:rFonts w:ascii="Courier New" w:cs="Courier New" w:eastAsia="Courier New" w:hAnsi="Courier New"/>
          <w:sz w:val="16"/>
          <w:szCs w:val="16"/>
          <w:color w:val="auto"/>
        </w:rPr>
        <w:t>1,250 Payroll and benefit-related</w:t>
      </w:r>
    </w:p>
    <w:p>
      <w:pPr>
        <w:ind w:left="280"/>
        <w:spacing w:after="0" w:line="237" w:lineRule="auto"/>
        <w:rPr>
          <w:sz w:val="20"/>
          <w:szCs w:val="20"/>
          <w:color w:val="auto"/>
        </w:rPr>
      </w:pPr>
      <w:r>
        <w:rPr>
          <w:rFonts w:ascii="Courier New" w:cs="Courier New" w:eastAsia="Courier New" w:hAnsi="Courier New"/>
          <w:sz w:val="16"/>
          <w:szCs w:val="16"/>
          <w:color w:val="auto"/>
        </w:rPr>
        <w:t>liabilities..................... 478 570 Debt maturing</w:t>
      </w:r>
    </w:p>
    <w:p>
      <w:pPr>
        <w:ind w:left="80"/>
        <w:spacing w:after="0"/>
        <w:rPr>
          <w:sz w:val="20"/>
          <w:szCs w:val="20"/>
          <w:color w:val="auto"/>
        </w:rPr>
      </w:pPr>
      <w:r>
        <w:rPr>
          <w:rFonts w:ascii="Courier New" w:cs="Courier New" w:eastAsia="Courier New" w:hAnsi="Courier New"/>
          <w:sz w:val="16"/>
          <w:szCs w:val="16"/>
          <w:color w:val="auto"/>
        </w:rPr>
        <w:t>within one year............................... 2,824 3,073</w:t>
      </w:r>
    </w:p>
    <w:p>
      <w:pPr>
        <w:ind w:left="1780"/>
        <w:spacing w:after="0" w:line="238" w:lineRule="auto"/>
        <w:rPr>
          <w:sz w:val="20"/>
          <w:szCs w:val="20"/>
          <w:color w:val="auto"/>
        </w:rPr>
      </w:pPr>
      <w:r>
        <w:rPr>
          <w:rFonts w:ascii="Courier New" w:cs="Courier New" w:eastAsia="Courier New" w:hAnsi="Courier New"/>
          <w:sz w:val="16"/>
          <w:szCs w:val="16"/>
          <w:color w:val="auto"/>
        </w:rPr>
        <w:t>Short-term debt due to</w:t>
      </w:r>
    </w:p>
    <w:p>
      <w:pPr>
        <w:ind w:left="80"/>
        <w:spacing w:after="0"/>
        <w:rPr>
          <w:sz w:val="20"/>
          <w:szCs w:val="20"/>
          <w:color w:val="auto"/>
        </w:rPr>
      </w:pPr>
      <w:r>
        <w:rPr>
          <w:rFonts w:ascii="Courier New" w:cs="Courier New" w:eastAsia="Courier New" w:hAnsi="Courier New"/>
          <w:sz w:val="16"/>
          <w:szCs w:val="16"/>
          <w:color w:val="auto"/>
        </w:rPr>
        <w:t>AT&amp;T................................. 3,959 5,830 Deferred</w:t>
      </w:r>
    </w:p>
    <w:p>
      <w:pPr>
        <w:ind w:left="80"/>
        <w:spacing w:after="0" w:line="238" w:lineRule="auto"/>
        <w:rPr>
          <w:sz w:val="20"/>
          <w:szCs w:val="20"/>
          <w:color w:val="auto"/>
        </w:rPr>
      </w:pPr>
      <w:r>
        <w:rPr>
          <w:rFonts w:ascii="Courier New" w:cs="Courier New" w:eastAsia="Courier New" w:hAnsi="Courier New"/>
          <w:sz w:val="16"/>
          <w:szCs w:val="16"/>
          <w:color w:val="auto"/>
        </w:rPr>
        <w:t>income tax liability............................... -- 486</w:t>
      </w:r>
    </w:p>
    <w:p>
      <w:pPr>
        <w:ind w:left="1920"/>
        <w:spacing w:after="0"/>
        <w:rPr>
          <w:sz w:val="20"/>
          <w:szCs w:val="20"/>
          <w:color w:val="auto"/>
        </w:rPr>
      </w:pPr>
      <w:r>
        <w:rPr>
          <w:rFonts w:ascii="Courier New" w:cs="Courier New" w:eastAsia="Courier New" w:hAnsi="Courier New"/>
          <w:sz w:val="16"/>
          <w:szCs w:val="16"/>
          <w:color w:val="auto"/>
        </w:rPr>
        <w:t>Liability under put</w:t>
      </w:r>
    </w:p>
    <w:p>
      <w:pPr>
        <w:ind w:left="240"/>
        <w:spacing w:after="0" w:line="237" w:lineRule="auto"/>
        <w:rPr>
          <w:sz w:val="20"/>
          <w:szCs w:val="20"/>
          <w:color w:val="auto"/>
        </w:rPr>
      </w:pPr>
      <w:r>
        <w:rPr>
          <w:rFonts w:ascii="Courier New" w:cs="Courier New" w:eastAsia="Courier New" w:hAnsi="Courier New"/>
          <w:sz w:val="16"/>
          <w:szCs w:val="16"/>
          <w:color w:val="auto"/>
        </w:rPr>
        <w:t>options................................. -- 2,564 Other</w:t>
      </w:r>
    </w:p>
    <w:p>
      <w:pPr>
        <w:ind w:left="280"/>
        <w:spacing w:after="0"/>
        <w:rPr>
          <w:sz w:val="20"/>
          <w:szCs w:val="20"/>
          <w:color w:val="auto"/>
        </w:rPr>
      </w:pPr>
      <w:r>
        <w:rPr>
          <w:rFonts w:ascii="Courier New" w:cs="Courier New" w:eastAsia="Courier New" w:hAnsi="Courier New"/>
          <w:sz w:val="16"/>
          <w:szCs w:val="16"/>
          <w:color w:val="auto"/>
        </w:rPr>
        <w:t>current liabilities...................................</w:t>
      </w:r>
    </w:p>
    <w:p>
      <w:pPr>
        <w:ind w:left="800"/>
        <w:spacing w:after="0" w:line="238" w:lineRule="auto"/>
        <w:rPr>
          <w:sz w:val="20"/>
          <w:szCs w:val="20"/>
          <w:color w:val="auto"/>
        </w:rPr>
      </w:pPr>
      <w:r>
        <w:rPr>
          <w:rFonts w:ascii="Courier New" w:cs="Courier New" w:eastAsia="Courier New" w:hAnsi="Courier New"/>
          <w:sz w:val="16"/>
          <w:szCs w:val="16"/>
          <w:color w:val="auto"/>
        </w:rPr>
        <w:t>1,691 2,177 -------- -------- Total current</w:t>
      </w:r>
    </w:p>
    <w:p>
      <w:pPr>
        <w:ind w:left="280"/>
        <w:spacing w:after="0"/>
        <w:rPr>
          <w:sz w:val="20"/>
          <w:szCs w:val="20"/>
          <w:color w:val="auto"/>
        </w:rPr>
      </w:pPr>
      <w:r>
        <w:rPr>
          <w:rFonts w:ascii="Courier New" w:cs="Courier New" w:eastAsia="Courier New" w:hAnsi="Courier New"/>
          <w:sz w:val="16"/>
          <w:szCs w:val="16"/>
          <w:color w:val="auto"/>
        </w:rPr>
        <w:t>liabilities.............................. 9,630 15,950</w:t>
      </w:r>
    </w:p>
    <w:p>
      <w:pPr>
        <w:ind w:left="2380"/>
        <w:spacing w:after="0" w:line="238" w:lineRule="auto"/>
        <w:rPr>
          <w:sz w:val="20"/>
          <w:szCs w:val="20"/>
          <w:color w:val="auto"/>
        </w:rPr>
      </w:pPr>
      <w:r>
        <w:rPr>
          <w:rFonts w:ascii="Courier New" w:cs="Courier New" w:eastAsia="Courier New" w:hAnsi="Courier New"/>
          <w:sz w:val="16"/>
          <w:szCs w:val="16"/>
          <w:color w:val="auto"/>
        </w:rPr>
        <w:t>Long-term</w:t>
      </w:r>
    </w:p>
    <w:p>
      <w:pPr>
        <w:ind w:left="140"/>
        <w:spacing w:after="0"/>
        <w:rPr>
          <w:sz w:val="20"/>
          <w:szCs w:val="20"/>
          <w:color w:val="auto"/>
        </w:rPr>
      </w:pPr>
      <w:r>
        <w:rPr>
          <w:rFonts w:ascii="Courier New" w:cs="Courier New" w:eastAsia="Courier New" w:hAnsi="Courier New"/>
          <w:sz w:val="16"/>
          <w:szCs w:val="16"/>
          <w:color w:val="auto"/>
        </w:rPr>
        <w:t>debt.............................................. 16,502</w:t>
      </w:r>
    </w:p>
    <w:p>
      <w:pPr>
        <w:ind w:left="1780"/>
        <w:spacing w:after="0" w:line="237" w:lineRule="auto"/>
        <w:rPr>
          <w:sz w:val="20"/>
          <w:szCs w:val="20"/>
          <w:color w:val="auto"/>
        </w:rPr>
      </w:pPr>
      <w:r>
        <w:rPr>
          <w:rFonts w:ascii="Courier New" w:cs="Courier New" w:eastAsia="Courier New" w:hAnsi="Courier New"/>
          <w:sz w:val="16"/>
          <w:szCs w:val="16"/>
          <w:color w:val="auto"/>
        </w:rPr>
        <w:t>19,517 Deferred income</w:t>
      </w:r>
    </w:p>
    <w:p>
      <w:pPr>
        <w:ind w:left="80"/>
        <w:spacing w:after="0"/>
        <w:rPr>
          <w:sz w:val="20"/>
          <w:szCs w:val="20"/>
          <w:color w:val="auto"/>
        </w:rPr>
      </w:pPr>
      <w:r>
        <w:rPr>
          <w:rFonts w:ascii="Courier New" w:cs="Courier New" w:eastAsia="Courier New" w:hAnsi="Courier New"/>
          <w:sz w:val="16"/>
          <w:szCs w:val="16"/>
          <w:color w:val="auto"/>
        </w:rPr>
        <w:t>taxes....................................... 25,810 28,550</w:t>
      </w:r>
    </w:p>
    <w:p>
      <w:pPr>
        <w:ind w:left="940"/>
        <w:spacing w:after="0" w:line="238" w:lineRule="auto"/>
        <w:rPr>
          <w:sz w:val="20"/>
          <w:szCs w:val="20"/>
          <w:color w:val="auto"/>
        </w:rPr>
      </w:pPr>
      <w:r>
        <w:rPr>
          <w:rFonts w:ascii="Courier New" w:cs="Courier New" w:eastAsia="Courier New" w:hAnsi="Courier New"/>
          <w:sz w:val="16"/>
          <w:szCs w:val="16"/>
          <w:color w:val="auto"/>
        </w:rPr>
        <w:t>Other long-term liabilities and deferred</w:t>
      </w:r>
    </w:p>
    <w:p>
      <w:pPr>
        <w:ind w:left="240"/>
        <w:spacing w:after="0"/>
        <w:rPr>
          <w:sz w:val="20"/>
          <w:szCs w:val="20"/>
          <w:color w:val="auto"/>
        </w:rPr>
      </w:pPr>
      <w:r>
        <w:rPr>
          <w:rFonts w:ascii="Courier New" w:cs="Courier New" w:eastAsia="Courier New" w:hAnsi="Courier New"/>
          <w:sz w:val="16"/>
          <w:szCs w:val="16"/>
          <w:color w:val="auto"/>
        </w:rPr>
        <w:t>credits............ 1,059 1,069 -------- -------- Total</w:t>
      </w:r>
    </w:p>
    <w:p>
      <w:pPr>
        <w:ind w:left="180"/>
        <w:spacing w:after="0" w:line="238" w:lineRule="auto"/>
        <w:rPr>
          <w:sz w:val="20"/>
          <w:szCs w:val="20"/>
          <w:color w:val="auto"/>
        </w:rPr>
      </w:pPr>
      <w:r>
        <w:rPr>
          <w:rFonts w:ascii="Courier New" w:cs="Courier New" w:eastAsia="Courier New" w:hAnsi="Courier New"/>
          <w:sz w:val="16"/>
          <w:szCs w:val="16"/>
          <w:color w:val="auto"/>
        </w:rPr>
        <w:t>liabilities...................................... 53,001</w:t>
      </w:r>
    </w:p>
    <w:p>
      <w:pPr>
        <w:ind w:left="2100"/>
        <w:spacing w:after="0"/>
        <w:rPr>
          <w:sz w:val="20"/>
          <w:szCs w:val="20"/>
          <w:color w:val="auto"/>
        </w:rPr>
      </w:pPr>
      <w:r>
        <w:rPr>
          <w:rFonts w:ascii="Courier New" w:cs="Courier New" w:eastAsia="Courier New" w:hAnsi="Courier New"/>
          <w:sz w:val="16"/>
          <w:szCs w:val="16"/>
          <w:color w:val="auto"/>
        </w:rPr>
        <w:t>65,086 Minority</w:t>
      </w:r>
    </w:p>
    <w:p>
      <w:pPr>
        <w:ind w:left="140"/>
        <w:spacing w:after="0" w:line="237" w:lineRule="auto"/>
        <w:rPr>
          <w:sz w:val="20"/>
          <w:szCs w:val="20"/>
          <w:color w:val="auto"/>
        </w:rPr>
      </w:pPr>
      <w:r>
        <w:rPr>
          <w:rFonts w:ascii="Courier New" w:cs="Courier New" w:eastAsia="Courier New" w:hAnsi="Courier New"/>
          <w:sz w:val="16"/>
          <w:szCs w:val="16"/>
          <w:color w:val="auto"/>
        </w:rPr>
        <w:t>interest........................................... 3,302</w:t>
      </w:r>
    </w:p>
    <w:p>
      <w:pPr>
        <w:ind w:left="380"/>
        <w:spacing w:after="0"/>
        <w:rPr>
          <w:sz w:val="20"/>
          <w:szCs w:val="20"/>
          <w:color w:val="auto"/>
        </w:rPr>
      </w:pPr>
      <w:r>
        <w:rPr>
          <w:rFonts w:ascii="Courier New" w:cs="Courier New" w:eastAsia="Courier New" w:hAnsi="Courier New"/>
          <w:sz w:val="16"/>
          <w:szCs w:val="16"/>
          <w:color w:val="auto"/>
        </w:rPr>
        <w:t>4,421 Company-Obligated Convertible Quarterly Income</w:t>
      </w:r>
    </w:p>
    <w:p>
      <w:pPr>
        <w:ind w:left="240"/>
        <w:spacing w:after="0" w:line="238" w:lineRule="auto"/>
        <w:rPr>
          <w:sz w:val="20"/>
          <w:szCs w:val="20"/>
          <w:color w:val="auto"/>
        </w:rPr>
      </w:pPr>
      <w:r>
        <w:rPr>
          <w:rFonts w:ascii="Courier New" w:cs="Courier New" w:eastAsia="Courier New" w:hAnsi="Courier New"/>
          <w:sz w:val="16"/>
          <w:szCs w:val="16"/>
          <w:color w:val="auto"/>
        </w:rPr>
        <w:t>Preferred Securities of Subsidiary Trust Holding Solely</w:t>
      </w:r>
    </w:p>
    <w:p>
      <w:pPr>
        <w:ind w:left="1360"/>
        <w:spacing w:after="0"/>
        <w:rPr>
          <w:sz w:val="20"/>
          <w:szCs w:val="20"/>
          <w:color w:val="auto"/>
        </w:rPr>
      </w:pPr>
      <w:r>
        <w:rPr>
          <w:rFonts w:ascii="Courier New" w:cs="Courier New" w:eastAsia="Courier New" w:hAnsi="Courier New"/>
          <w:sz w:val="16"/>
          <w:szCs w:val="16"/>
          <w:color w:val="auto"/>
        </w:rPr>
        <w:t>Subordinated Debt Securities of</w:t>
      </w:r>
    </w:p>
    <w:p>
      <w:pPr>
        <w:ind w:left="420"/>
        <w:spacing w:after="0" w:line="238" w:lineRule="auto"/>
        <w:rPr>
          <w:sz w:val="20"/>
          <w:szCs w:val="20"/>
          <w:color w:val="auto"/>
        </w:rPr>
      </w:pPr>
      <w:r>
        <w:rPr>
          <w:rFonts w:ascii="Courier New" w:cs="Courier New" w:eastAsia="Courier New" w:hAnsi="Courier New"/>
          <w:sz w:val="16"/>
          <w:szCs w:val="16"/>
          <w:color w:val="auto"/>
        </w:rPr>
        <w:t>AT&amp;T................................... 4,720 4,710</w:t>
      </w:r>
    </w:p>
    <w:p>
      <w:pPr>
        <w:ind w:left="1740"/>
        <w:spacing w:after="0"/>
        <w:rPr>
          <w:sz w:val="20"/>
          <w:szCs w:val="20"/>
          <w:color w:val="auto"/>
        </w:rPr>
      </w:pPr>
      <w:r>
        <w:rPr>
          <w:rFonts w:ascii="Courier New" w:cs="Courier New" w:eastAsia="Courier New" w:hAnsi="Courier New"/>
          <w:sz w:val="16"/>
          <w:szCs w:val="16"/>
          <w:color w:val="auto"/>
        </w:rPr>
        <w:t>Combined attributed net</w:t>
      </w:r>
    </w:p>
    <w:p>
      <w:pPr>
        <w:ind w:left="40"/>
        <w:spacing w:after="0" w:line="237" w:lineRule="auto"/>
        <w:rPr>
          <w:sz w:val="20"/>
          <w:szCs w:val="20"/>
          <w:color w:val="auto"/>
        </w:rPr>
      </w:pPr>
      <w:r>
        <w:rPr>
          <w:rFonts w:ascii="Courier New" w:cs="Courier New" w:eastAsia="Courier New" w:hAnsi="Courier New"/>
          <w:sz w:val="16"/>
          <w:szCs w:val="16"/>
          <w:color w:val="auto"/>
        </w:rPr>
        <w:t>assets.............................. 42,164 43,317 --------</w:t>
      </w:r>
    </w:p>
    <w:p>
      <w:pPr>
        <w:ind w:left="280"/>
        <w:spacing w:after="0"/>
        <w:rPr>
          <w:sz w:val="20"/>
          <w:szCs w:val="20"/>
          <w:color w:val="auto"/>
        </w:rPr>
      </w:pPr>
      <w:r>
        <w:rPr>
          <w:rFonts w:ascii="Courier New" w:cs="Courier New" w:eastAsia="Courier New" w:hAnsi="Courier New"/>
          <w:sz w:val="16"/>
          <w:szCs w:val="16"/>
          <w:color w:val="auto"/>
        </w:rPr>
        <w:t>-------- Total liabilities and combined attributed net</w:t>
      </w:r>
    </w:p>
    <w:p>
      <w:pPr>
        <w:ind w:left="460"/>
        <w:spacing w:after="0" w:line="238" w:lineRule="auto"/>
        <w:rPr>
          <w:sz w:val="20"/>
          <w:szCs w:val="20"/>
          <w:color w:val="auto"/>
        </w:rPr>
      </w:pPr>
      <w:r>
        <w:rPr>
          <w:rFonts w:ascii="Courier New" w:cs="Courier New" w:eastAsia="Courier New" w:hAnsi="Courier New"/>
          <w:sz w:val="16"/>
          <w:szCs w:val="16"/>
          <w:color w:val="auto"/>
        </w:rPr>
        <w:t>assets........ $103,187 $117,534 ======== ========</w:t>
      </w:r>
    </w:p>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654" w:right="1440" w:bottom="1440" w:gutter="0" w:footer="0" w:header="0"/>
        </w:sectPr>
      </w:pPr>
    </w:p>
    <w:bookmarkStart w:id="219" w:name="page220"/>
    <w:bookmarkEnd w:id="219"/>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COMBINED STATEMENTS OF CHANGES IN COMBINED ATTRIBUTED NET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YEAR ENDED TEN MONTHS DECEMBER 31, ENDED ------------</w:t>
            </w:r>
          </w:p>
        </w:tc>
      </w:tr>
      <w:tr>
        <w:trPr>
          <w:trHeight w:val="180"/>
        </w:trPr>
        <w:tc>
          <w:tcPr>
            <w:tcW w:w="50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 DECEMBER 31, 2001 2000 1999 ------- ------- ---</w:t>
            </w: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 (DOLLARS IN MILLIONS) COMBINED ATTRIBUTED</w:t>
            </w: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44"/>
              <w:spacing w:after="0"/>
              <w:rPr>
                <w:sz w:val="20"/>
                <w:szCs w:val="20"/>
                <w:color w:val="auto"/>
              </w:rPr>
            </w:pPr>
            <w:r>
              <w:rPr>
                <w:rFonts w:ascii="Courier New" w:cs="Courier New" w:eastAsia="Courier New" w:hAnsi="Courier New"/>
                <w:sz w:val="16"/>
                <w:szCs w:val="16"/>
                <w:color w:val="auto"/>
                <w:w w:val="97"/>
              </w:rPr>
              <w:t>NET ASSETS: Balance at beginning of</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period............................</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$43,317 $14,889</w:t>
            </w:r>
          </w:p>
        </w:tc>
        <w:tc>
          <w:tcPr>
            <w:tcW w:w="10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3520" w:type="dxa"/>
            <w:vAlign w:val="bottom"/>
            <w:gridSpan w:val="2"/>
          </w:tcPr>
          <w:p>
            <w:pPr>
              <w:jc w:val="center"/>
              <w:ind w:right="1182"/>
              <w:spacing w:after="0"/>
              <w:rPr>
                <w:sz w:val="20"/>
                <w:szCs w:val="20"/>
                <w:color w:val="auto"/>
              </w:rPr>
            </w:pPr>
            <w:r>
              <w:rPr>
                <w:rFonts w:ascii="Courier New" w:cs="Courier New" w:eastAsia="Courier New" w:hAnsi="Courier New"/>
                <w:sz w:val="16"/>
                <w:szCs w:val="16"/>
                <w:color w:val="auto"/>
                <w:w w:val="96"/>
              </w:rPr>
              <w:t>$14,377 Net</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loss..................................................</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3,942 5,370 2,200 Contributions from AT&amp;T,</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net..............................</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1,928 35,101 2,128</w:t>
            </w: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Issuance of common stock by</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affiliates....................</w:t>
            </w:r>
          </w:p>
        </w:tc>
        <w:tc>
          <w:tcPr>
            <w:tcW w:w="2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 (54) 515 Net</w:t>
            </w:r>
          </w:p>
        </w:tc>
        <w:tc>
          <w:tcPr>
            <w:tcW w:w="10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3520" w:type="dxa"/>
            <w:vAlign w:val="bottom"/>
            <w:gridSpan w:val="2"/>
          </w:tcPr>
          <w:p>
            <w:pPr>
              <w:jc w:val="center"/>
              <w:ind w:right="1182"/>
              <w:spacing w:after="0"/>
              <w:rPr>
                <w:sz w:val="20"/>
                <w:szCs w:val="20"/>
                <w:color w:val="auto"/>
              </w:rPr>
            </w:pPr>
            <w:r>
              <w:rPr>
                <w:rFonts w:ascii="Courier New" w:cs="Courier New" w:eastAsia="Courier New" w:hAnsi="Courier New"/>
                <w:sz w:val="16"/>
                <w:szCs w:val="16"/>
                <w:color w:val="auto"/>
                <w:w w:val="98"/>
              </w:rPr>
              <w:t>revaluation of financial</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instruments..................</w:t>
            </w:r>
          </w:p>
        </w:tc>
        <w:tc>
          <w:tcPr>
            <w:tcW w:w="23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(599) (1,402) 69</w:t>
            </w: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8"/>
              </w:rPr>
              <w:t>Reclassification of previously unrealized</w:t>
            </w:r>
          </w:p>
        </w:tc>
        <w:tc>
          <w:tcPr>
            <w:tcW w:w="100" w:type="dxa"/>
            <w:vAlign w:val="bottom"/>
          </w:tcPr>
          <w:p>
            <w:pPr>
              <w:spacing w:after="0"/>
              <w:rPr>
                <w:sz w:val="15"/>
                <w:szCs w:val="15"/>
                <w:color w:val="auto"/>
              </w:rPr>
            </w:pP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w w:val="89"/>
              </w:rPr>
              <w:t>losses..........</w:t>
            </w:r>
          </w:p>
        </w:tc>
        <w:tc>
          <w:tcPr>
            <w:tcW w:w="35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1,414 146 -- Net minimum pension</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liability adjustment..................</w:t>
            </w:r>
          </w:p>
        </w:tc>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 -- --</w:t>
            </w:r>
          </w:p>
        </w:tc>
        <w:tc>
          <w:tcPr>
            <w:tcW w:w="10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3520" w:type="dxa"/>
            <w:vAlign w:val="bottom"/>
            <w:gridSpan w:val="2"/>
          </w:tcPr>
          <w:p>
            <w:pPr>
              <w:jc w:val="center"/>
              <w:ind w:right="1182"/>
              <w:spacing w:after="0"/>
              <w:rPr>
                <w:sz w:val="20"/>
                <w:szCs w:val="20"/>
                <w:color w:val="auto"/>
              </w:rPr>
            </w:pPr>
            <w:r>
              <w:rPr>
                <w:rFonts w:ascii="Courier New" w:cs="Courier New" w:eastAsia="Courier New" w:hAnsi="Courier New"/>
                <w:sz w:val="16"/>
                <w:szCs w:val="16"/>
                <w:color w:val="auto"/>
                <w:w w:val="97"/>
              </w:rPr>
              <w:t>Other comprehensive</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income................................</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 7 -- ------</w:t>
            </w:r>
          </w:p>
        </w:tc>
      </w:tr>
      <w:tr>
        <w:trPr>
          <w:trHeight w:val="180"/>
        </w:trPr>
        <w:tc>
          <w:tcPr>
            <w:tcW w:w="25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 -------</w:t>
            </w:r>
          </w:p>
        </w:tc>
        <w:tc>
          <w:tcPr>
            <w:tcW w:w="2340" w:type="dxa"/>
            <w:vAlign w:val="bottom"/>
          </w:tcPr>
          <w:p>
            <w:pPr>
              <w:jc w:val="right"/>
              <w:ind w:right="682"/>
              <w:spacing w:after="0"/>
              <w:rPr>
                <w:sz w:val="20"/>
                <w:szCs w:val="20"/>
                <w:color w:val="auto"/>
              </w:rPr>
            </w:pPr>
            <w:r>
              <w:rPr>
                <w:rFonts w:ascii="Courier New" w:cs="Courier New" w:eastAsia="Courier New" w:hAnsi="Courier New"/>
                <w:sz w:val="16"/>
                <w:szCs w:val="16"/>
                <w:color w:val="auto"/>
                <w:w w:val="95"/>
              </w:rPr>
              <w:t>Balance at end of</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period..................................</w:t>
            </w:r>
          </w:p>
        </w:tc>
        <w:tc>
          <w:tcPr>
            <w:tcW w:w="23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$42,164</w:t>
            </w: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$43,317 $14,889 ======= ======= ======= SUMMARY OF</w:t>
            </w:r>
          </w:p>
        </w:tc>
        <w:tc>
          <w:tcPr>
            <w:tcW w:w="100" w:type="dxa"/>
            <w:vAlign w:val="bottom"/>
          </w:tcPr>
          <w:p>
            <w:pPr>
              <w:spacing w:after="0"/>
              <w:rPr>
                <w:sz w:val="15"/>
                <w:szCs w:val="15"/>
                <w:color w:val="auto"/>
              </w:rPr>
            </w:pP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TOTAL COMPREHENSIVE LOSS: Loss before cumulative</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effect of accounting change........</w:t>
            </w:r>
          </w:p>
        </w:tc>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$ 4,171 $ 5,370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92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7"/>
              </w:rPr>
              <w:t>2,200 Cumulative effect of accounting</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change....................</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229 -- -- ------- -------</w:t>
            </w:r>
          </w:p>
        </w:tc>
      </w:tr>
      <w:tr>
        <w:trPr>
          <w:trHeight w:val="180"/>
        </w:trPr>
        <w:tc>
          <w:tcPr>
            <w:tcW w:w="1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802"/>
              <w:spacing w:after="0"/>
              <w:rPr>
                <w:sz w:val="20"/>
                <w:szCs w:val="20"/>
                <w:color w:val="auto"/>
              </w:rPr>
            </w:pPr>
            <w:r>
              <w:rPr>
                <w:rFonts w:ascii="Courier New" w:cs="Courier New" w:eastAsia="Courier New" w:hAnsi="Courier New"/>
                <w:sz w:val="16"/>
                <w:szCs w:val="16"/>
                <w:color w:val="auto"/>
              </w:rPr>
              <w:t>Net</w:t>
            </w:r>
          </w:p>
        </w:tc>
        <w:tc>
          <w:tcPr>
            <w:tcW w:w="10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loss..................................................</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3,942 $ 5,370</w:t>
            </w:r>
          </w:p>
        </w:tc>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$ 2,200 Net revaluation of financial</w:t>
            </w:r>
          </w:p>
        </w:tc>
        <w:tc>
          <w:tcPr>
            <w:tcW w:w="100" w:type="dxa"/>
            <w:vAlign w:val="bottom"/>
          </w:tcPr>
          <w:p>
            <w:pPr>
              <w:spacing w:after="0"/>
              <w:rPr>
                <w:sz w:val="15"/>
                <w:szCs w:val="15"/>
                <w:color w:val="auto"/>
              </w:rPr>
            </w:pPr>
          </w:p>
        </w:tc>
      </w:tr>
    </w:tbl>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instruments (net of income tax (provision) benefit of</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$375, $778 and $(36))....... (599) (1,402) 69</w:t>
      </w:r>
    </w:p>
    <w:p>
      <w:pPr>
        <w:ind w:left="140"/>
        <w:spacing w:after="0"/>
        <w:rPr>
          <w:sz w:val="20"/>
          <w:szCs w:val="20"/>
          <w:color w:val="auto"/>
        </w:rPr>
      </w:pPr>
      <w:r>
        <w:rPr>
          <w:rFonts w:ascii="Courier New" w:cs="Courier New" w:eastAsia="Courier New" w:hAnsi="Courier New"/>
          <w:sz w:val="16"/>
          <w:szCs w:val="16"/>
          <w:color w:val="auto"/>
        </w:rPr>
        <w:t>Recognition of previously unrealized losses (net of</w:t>
      </w:r>
    </w:p>
    <w:p>
      <w:pPr>
        <w:ind w:left="880"/>
        <w:spacing w:after="0" w:line="237" w:lineRule="auto"/>
        <w:rPr>
          <w:sz w:val="20"/>
          <w:szCs w:val="20"/>
          <w:color w:val="auto"/>
        </w:rPr>
      </w:pPr>
      <w:r>
        <w:rPr>
          <w:rFonts w:ascii="Courier New" w:cs="Courier New" w:eastAsia="Courier New" w:hAnsi="Courier New"/>
          <w:sz w:val="16"/>
          <w:szCs w:val="16"/>
          <w:color w:val="auto"/>
        </w:rPr>
        <w:t>income tax benefit of $891, $29 and</w:t>
      </w:r>
    </w:p>
    <w:p>
      <w:pPr>
        <w:ind w:left="140"/>
        <w:spacing w:after="0"/>
        <w:rPr>
          <w:sz w:val="20"/>
          <w:szCs w:val="20"/>
          <w:color w:val="auto"/>
        </w:rPr>
      </w:pPr>
      <w:r>
        <w:rPr>
          <w:rFonts w:ascii="Courier New" w:cs="Courier New" w:eastAsia="Courier New" w:hAnsi="Courier New"/>
          <w:sz w:val="16"/>
          <w:szCs w:val="16"/>
          <w:color w:val="auto"/>
        </w:rPr>
        <w:t>$0)....................... 1,414 146 -- Net minimum</w:t>
      </w:r>
    </w:p>
    <w:p>
      <w:pPr>
        <w:ind w:left="80"/>
        <w:spacing w:after="0" w:line="238" w:lineRule="auto"/>
        <w:rPr>
          <w:sz w:val="20"/>
          <w:szCs w:val="20"/>
          <w:color w:val="auto"/>
        </w:rPr>
      </w:pPr>
      <w:r>
        <w:rPr>
          <w:rFonts w:ascii="Courier New" w:cs="Courier New" w:eastAsia="Courier New" w:hAnsi="Courier New"/>
          <w:sz w:val="16"/>
          <w:szCs w:val="16"/>
          <w:color w:val="auto"/>
        </w:rPr>
        <w:t>pension liability adjustment (net of income taxes of</w:t>
      </w:r>
    </w:p>
    <w:tbl>
      <w:tblPr>
        <w:tblLayout w:type="fixed"/>
        <w:tblInd w:w="40" w:type="dxa"/>
        <w:tblCellMar>
          <w:top w:w="0" w:type="dxa"/>
          <w:left w:w="0" w:type="dxa"/>
          <w:bottom w:w="0" w:type="dxa"/>
          <w:right w:w="0" w:type="dxa"/>
        </w:tblCellMar>
      </w:tblPr>
      <w:tr>
        <w:trPr>
          <w:trHeight w:val="181"/>
        </w:trPr>
        <w:tc>
          <w:tcPr>
            <w:tcW w:w="4360" w:type="dxa"/>
            <w:vAlign w:val="bottom"/>
          </w:tcPr>
          <w:p>
            <w:pPr>
              <w:spacing w:after="0"/>
              <w:rPr>
                <w:sz w:val="20"/>
                <w:szCs w:val="20"/>
                <w:color w:val="auto"/>
              </w:rPr>
            </w:pPr>
            <w:r>
              <w:rPr>
                <w:rFonts w:ascii="Courier New" w:cs="Courier New" w:eastAsia="Courier New" w:hAnsi="Courier New"/>
                <w:sz w:val="16"/>
                <w:szCs w:val="16"/>
                <w:color w:val="auto"/>
                <w:w w:val="98"/>
              </w:rPr>
              <w:t>$16, $0 and $0)...............................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(22) -</w:t>
            </w:r>
          </w:p>
        </w:tc>
      </w:tr>
    </w:tbl>
    <w:p>
      <w:pPr>
        <w:spacing w:after="0" w:line="4" w:lineRule="exact"/>
        <w:rPr>
          <w:sz w:val="20"/>
          <w:szCs w:val="20"/>
          <w:color w:val="auto"/>
        </w:rPr>
      </w:pPr>
    </w:p>
    <w:p>
      <w:pPr>
        <w:ind w:left="1920" w:right="5259" w:hanging="1832"/>
        <w:spacing w:after="0" w:line="236" w:lineRule="auto"/>
        <w:tabs>
          <w:tab w:leader="none" w:pos="278"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comprehensive income (net of income taxes of $7, $0 and</w:t>
      </w:r>
    </w:p>
    <w:tbl>
      <w:tblPr>
        <w:tblLayout w:type="fixed"/>
        <w:tblInd w:w="40" w:type="dxa"/>
        <w:tblCellMar>
          <w:top w:w="0" w:type="dxa"/>
          <w:left w:w="0" w:type="dxa"/>
          <w:bottom w:w="0" w:type="dxa"/>
          <w:right w:w="0" w:type="dxa"/>
        </w:tblCellMar>
      </w:tblPr>
      <w:tr>
        <w:trPr>
          <w:trHeight w:val="181"/>
        </w:trPr>
        <w:tc>
          <w:tcPr>
            <w:tcW w:w="40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0"/>
              </w:rPr>
              <w:t>$0)................................................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w w:val="74"/>
              </w:rPr>
              <w:t>29 7 -- -------</w:t>
            </w:r>
          </w:p>
        </w:tc>
        <w:tc>
          <w:tcPr>
            <w:tcW w:w="3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Total comprehensive</w:t>
            </w:r>
          </w:p>
        </w:tc>
        <w:tc>
          <w:tcPr>
            <w:tcW w:w="100" w:type="dxa"/>
            <w:vAlign w:val="bottom"/>
          </w:tcPr>
          <w:p>
            <w:pPr>
              <w:spacing w:after="0"/>
              <w:rPr>
                <w:sz w:val="15"/>
                <w:szCs w:val="15"/>
                <w:color w:val="auto"/>
              </w:rPr>
            </w:pPr>
          </w:p>
        </w:tc>
      </w:tr>
      <w:tr>
        <w:trPr>
          <w:trHeight w:val="180"/>
        </w:trPr>
        <w:tc>
          <w:tcPr>
            <w:tcW w:w="1120" w:type="dxa"/>
            <w:vAlign w:val="bottom"/>
          </w:tcPr>
          <w:p>
            <w:pPr>
              <w:spacing w:after="0"/>
              <w:rPr>
                <w:sz w:val="20"/>
                <w:szCs w:val="20"/>
                <w:color w:val="auto"/>
              </w:rPr>
            </w:pPr>
            <w:r>
              <w:rPr>
                <w:rFonts w:ascii="Courier New" w:cs="Courier New" w:eastAsia="Courier New" w:hAnsi="Courier New"/>
                <w:sz w:val="7"/>
                <w:szCs w:val="7"/>
                <w:color w:val="auto"/>
                <w:w w:val="74"/>
              </w:rPr>
              <w:t>loss...............................</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$ 3,120</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$ 6,619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1120" w:type="dxa"/>
            <w:vAlign w:val="bottom"/>
          </w:tcPr>
          <w:p>
            <w:pPr>
              <w:spacing w:after="0"/>
              <w:rPr>
                <w:sz w:val="15"/>
                <w:szCs w:val="15"/>
                <w:color w:val="auto"/>
              </w:rPr>
            </w:pPr>
          </w:p>
        </w:tc>
        <w:tc>
          <w:tcPr>
            <w:tcW w:w="29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2,131 ======= ======= =======</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654" w:right="1440" w:bottom="1440" w:gutter="0" w:footer="0" w:header="0"/>
        </w:sectPr>
      </w:pPr>
    </w:p>
    <w:bookmarkStart w:id="220" w:name="page221"/>
    <w:bookmarkEnd w:id="220"/>
    <w:p>
      <w:pPr>
        <w:spacing w:after="0" w:line="7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rPr>
          <w:sz w:val="20"/>
          <w:szCs w:val="20"/>
          <w:color w:val="auto"/>
        </w:rPr>
      </w:pPr>
      <w:r>
        <w:rPr>
          <w:rFonts w:ascii="Courier New" w:cs="Courier New" w:eastAsia="Courier New" w:hAnsi="Courier New"/>
          <w:sz w:val="16"/>
          <w:szCs w:val="16"/>
          <w:color w:val="auto"/>
        </w:rPr>
        <w:t>----- DECEMBER 31, 2001 2000 1999 ------- ------- ---</w:t>
      </w:r>
    </w:p>
    <w:p>
      <w:pPr>
        <w:ind w:left="40"/>
        <w:spacing w:after="0" w:line="237" w:lineRule="auto"/>
        <w:rPr>
          <w:sz w:val="20"/>
          <w:szCs w:val="20"/>
          <w:color w:val="auto"/>
        </w:rPr>
      </w:pPr>
      <w:r>
        <w:rPr>
          <w:rFonts w:ascii="Courier New" w:cs="Courier New" w:eastAsia="Courier New" w:hAnsi="Courier New"/>
          <w:sz w:val="16"/>
          <w:szCs w:val="16"/>
          <w:color w:val="auto"/>
        </w:rPr>
        <w:t>--------- (DOLLARS IN MILLIONS) OPERATING ACTIVITIES:</w:t>
      </w:r>
    </w:p>
    <w:p>
      <w:pPr>
        <w:jc w:val="center"/>
        <w:ind w:right="5159"/>
        <w:spacing w:after="0"/>
        <w:rPr>
          <w:sz w:val="20"/>
          <w:szCs w:val="20"/>
          <w:color w:val="auto"/>
        </w:rPr>
      </w:pPr>
      <w:r>
        <w:rPr>
          <w:rFonts w:ascii="Courier New" w:cs="Courier New" w:eastAsia="Courier New" w:hAnsi="Courier New"/>
          <w:sz w:val="16"/>
          <w:szCs w:val="16"/>
          <w:color w:val="auto"/>
        </w:rPr>
        <w:t>Net</w:t>
      </w:r>
    </w:p>
    <w:p>
      <w:pPr>
        <w:spacing w:after="0" w:line="238" w:lineRule="auto"/>
        <w:rPr>
          <w:sz w:val="20"/>
          <w:szCs w:val="20"/>
          <w:color w:val="auto"/>
        </w:rPr>
      </w:pPr>
      <w:r>
        <w:rPr>
          <w:rFonts w:ascii="Courier New" w:cs="Courier New" w:eastAsia="Courier New" w:hAnsi="Courier New"/>
          <w:sz w:val="16"/>
          <w:szCs w:val="16"/>
          <w:color w:val="auto"/>
        </w:rPr>
        <w:t>loss..................................................</w:t>
      </w:r>
    </w:p>
    <w:p>
      <w:pPr>
        <w:jc w:val="center"/>
        <w:ind w:right="5159"/>
        <w:spacing w:after="0"/>
        <w:rPr>
          <w:sz w:val="20"/>
          <w:szCs w:val="20"/>
          <w:color w:val="auto"/>
        </w:rPr>
      </w:pPr>
      <w:r>
        <w:rPr>
          <w:rFonts w:ascii="Courier New" w:cs="Courier New" w:eastAsia="Courier New" w:hAnsi="Courier New"/>
          <w:sz w:val="16"/>
          <w:szCs w:val="16"/>
          <w:color w:val="auto"/>
        </w:rPr>
        <w:t>$(3,942) $(5,370) $(2,200) Adjustments to reconcile</w:t>
      </w:r>
    </w:p>
    <w:p>
      <w:pPr>
        <w:jc w:val="center"/>
        <w:ind w:right="5159"/>
        <w:spacing w:after="0" w:line="238" w:lineRule="auto"/>
        <w:rPr>
          <w:sz w:val="20"/>
          <w:szCs w:val="20"/>
          <w:color w:val="auto"/>
        </w:rPr>
      </w:pPr>
      <w:r>
        <w:rPr>
          <w:rFonts w:ascii="Courier New" w:cs="Courier New" w:eastAsia="Courier New" w:hAnsi="Courier New"/>
          <w:sz w:val="16"/>
          <w:szCs w:val="16"/>
          <w:color w:val="auto"/>
        </w:rPr>
        <w:t>net loss to net cash (used in) provided by operating</w:t>
      </w:r>
    </w:p>
    <w:p>
      <w:pPr>
        <w:jc w:val="center"/>
        <w:ind w:right="5159"/>
        <w:spacing w:after="0"/>
        <w:rPr>
          <w:sz w:val="20"/>
          <w:szCs w:val="20"/>
          <w:color w:val="auto"/>
        </w:rPr>
      </w:pPr>
      <w:r>
        <w:rPr>
          <w:rFonts w:ascii="Courier New" w:cs="Courier New" w:eastAsia="Courier New" w:hAnsi="Courier New"/>
          <w:sz w:val="16"/>
          <w:szCs w:val="16"/>
          <w:color w:val="auto"/>
        </w:rPr>
        <w:t>activities: Cumulative effect of accounting change,</w:t>
      </w:r>
    </w:p>
    <w:p>
      <w:pPr>
        <w:jc w:val="center"/>
        <w:ind w:right="5159"/>
        <w:spacing w:after="0" w:line="237" w:lineRule="auto"/>
        <w:rPr>
          <w:sz w:val="20"/>
          <w:szCs w:val="20"/>
          <w:color w:val="auto"/>
        </w:rPr>
      </w:pPr>
      <w:r>
        <w:rPr>
          <w:rFonts w:ascii="Courier New" w:cs="Courier New" w:eastAsia="Courier New" w:hAnsi="Courier New"/>
          <w:sz w:val="16"/>
          <w:szCs w:val="16"/>
          <w:color w:val="auto"/>
        </w:rPr>
        <w:t>net of income</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taxes.................................................</w:t>
      </w:r>
    </w:p>
    <w:p>
      <w:pPr>
        <w:spacing w:after="0" w:line="10" w:lineRule="exact"/>
        <w:rPr>
          <w:sz w:val="20"/>
          <w:szCs w:val="20"/>
          <w:color w:val="auto"/>
        </w:rPr>
      </w:pPr>
    </w:p>
    <w:p>
      <w:pPr>
        <w:ind w:left="2380" w:right="5199" w:hanging="2338"/>
        <w:spacing w:after="0" w:line="236" w:lineRule="auto"/>
        <w:tabs>
          <w:tab w:leader="none" w:pos="598"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losses (gains) on sales of businesses and</w:t>
      </w:r>
    </w:p>
    <w:p>
      <w:pPr>
        <w:spacing w:after="0"/>
        <w:rPr>
          <w:sz w:val="20"/>
          <w:szCs w:val="20"/>
          <w:color w:val="auto"/>
        </w:rPr>
      </w:pPr>
      <w:r>
        <w:rPr>
          <w:rFonts w:ascii="Courier New" w:cs="Courier New" w:eastAsia="Courier New" w:hAnsi="Courier New"/>
          <w:sz w:val="16"/>
          <w:szCs w:val="16"/>
          <w:color w:val="auto"/>
        </w:rPr>
        <w:t>investments...........................................</w:t>
      </w:r>
    </w:p>
    <w:p>
      <w:pPr>
        <w:ind w:left="180"/>
        <w:spacing w:after="0" w:line="237" w:lineRule="auto"/>
        <w:rPr>
          <w:sz w:val="20"/>
          <w:szCs w:val="20"/>
          <w:color w:val="auto"/>
        </w:rPr>
      </w:pPr>
      <w:r>
        <w:rPr>
          <w:rFonts w:ascii="Courier New" w:cs="Courier New" w:eastAsia="Courier New" w:hAnsi="Courier New"/>
          <w:sz w:val="16"/>
          <w:szCs w:val="16"/>
          <w:color w:val="auto"/>
        </w:rPr>
        <w:t>710 (616) (39) Asset impairment, restructuring and</w:t>
      </w:r>
    </w:p>
    <w:tbl>
      <w:tblPr>
        <w:tblLayout w:type="fixed"/>
        <w:tblInd w:w="40" w:type="dxa"/>
        <w:tblCellMar>
          <w:top w:w="0" w:type="dxa"/>
          <w:left w:w="0" w:type="dxa"/>
          <w:bottom w:w="0" w:type="dxa"/>
          <w:right w:w="0" w:type="dxa"/>
        </w:tblCellMar>
      </w:tblPr>
      <w:tr>
        <w:trPr>
          <w:trHeight w:val="181"/>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other charges, net of cash</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payments......................................</w:t>
            </w: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1,370</w:t>
            </w:r>
          </w:p>
        </w:tc>
      </w:tr>
      <w:tr>
        <w:trPr>
          <w:trHeight w:val="180"/>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6,216 594 Depreciation and</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amortization...........................</w:t>
            </w:r>
          </w:p>
        </w:tc>
        <w:tc>
          <w:tcPr>
            <w:tcW w:w="1600" w:type="dxa"/>
            <w:vAlign w:val="bottom"/>
          </w:tcPr>
          <w:p>
            <w:pPr>
              <w:spacing w:after="0"/>
              <w:rPr>
                <w:sz w:val="15"/>
                <w:szCs w:val="15"/>
                <w:color w:val="auto"/>
              </w:rPr>
            </w:pPr>
          </w:p>
        </w:tc>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4,780 4,051</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1,674 Provision for uncollectible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receivables.................</w:t>
            </w:r>
          </w:p>
        </w:tc>
        <w:tc>
          <w:tcPr>
            <w:tcW w:w="310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246 154 75 Net losses</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from equity investments......................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106 967</w:t>
            </w:r>
          </w:p>
        </w:tc>
      </w:tr>
      <w:tr>
        <w:trPr>
          <w:trHeight w:val="180"/>
        </w:trPr>
        <w:tc>
          <w:tcPr>
            <w:tcW w:w="150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1,145 Deferred income</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taxes...................................</w:t>
            </w:r>
          </w:p>
        </w:tc>
        <w:tc>
          <w:tcPr>
            <w:tcW w:w="1600" w:type="dxa"/>
            <w:vAlign w:val="bottom"/>
          </w:tcPr>
          <w:p>
            <w:pPr>
              <w:spacing w:after="0"/>
              <w:rPr>
                <w:sz w:val="15"/>
                <w:szCs w:val="15"/>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(3,579)</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(880) (422) Impairment of</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investments...............................</w:t>
            </w:r>
          </w:p>
        </w:tc>
        <w:tc>
          <w:tcPr>
            <w:tcW w:w="16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539 240 --</w:t>
            </w: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Put option settlement and mark-to-market</w:t>
            </w:r>
          </w:p>
        </w:tc>
      </w:tr>
      <w:tr>
        <w:trPr>
          <w:trHeight w:val="180"/>
        </w:trPr>
        <w:tc>
          <w:tcPr>
            <w:tcW w:w="1500" w:type="dxa"/>
            <w:vAlign w:val="bottom"/>
          </w:tcPr>
          <w:p>
            <w:pPr>
              <w:spacing w:after="0"/>
              <w:rPr>
                <w:sz w:val="20"/>
                <w:szCs w:val="20"/>
                <w:color w:val="auto"/>
              </w:rPr>
            </w:pPr>
            <w:r>
              <w:rPr>
                <w:rFonts w:ascii="Courier New" w:cs="Courier New" w:eastAsia="Courier New" w:hAnsi="Courier New"/>
                <w:sz w:val="16"/>
                <w:szCs w:val="16"/>
                <w:color w:val="auto"/>
              </w:rPr>
              <w:t>charge.........</w:t>
            </w:r>
          </w:p>
        </w:tc>
        <w:tc>
          <w:tcPr>
            <w:tcW w:w="34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7"/>
              </w:rPr>
              <w:t>838 537 -- Minority interest (income)</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expense......................</w:t>
            </w:r>
          </w:p>
        </w:tc>
        <w:tc>
          <w:tcPr>
            <w:tcW w:w="31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(872) (4,039) 180 Net</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revaluation of certain financial instruments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18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959 -- --</w:t>
            </w:r>
          </w:p>
        </w:tc>
        <w:tc>
          <w:tcPr>
            <w:tcW w:w="23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8"/>
              </w:rPr>
              <w:t>Decrease (increase) in</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receivables......................</w:t>
            </w:r>
          </w:p>
        </w:tc>
        <w:tc>
          <w:tcPr>
            <w:tcW w:w="310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57 (263) (116)</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(Decrease) increase in accounts</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payable.................</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(515) (90) 447 Net change in</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other operating assets and liabilities....</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(635)</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(298) 143 Other adjustments,</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net..................................</w:t>
            </w:r>
          </w:p>
        </w:tc>
        <w:tc>
          <w:tcPr>
            <w:tcW w:w="16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64 193 (101) --</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 ------- -------</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Net cash (used in) provided by</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operating activities</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 (103) 802 1,380 ------- -----</w:t>
            </w: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 ------- INVESTING ACTIVITIES: Capital expended for</w:t>
            </w: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property and equipment, net of proceeds from</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disposal..................................</w:t>
            </w: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(3,413)</w:t>
            </w:r>
          </w:p>
        </w:tc>
      </w:tr>
      <w:tr>
        <w:trPr>
          <w:trHeight w:val="180"/>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(4,426) (3,161) Sales of marketable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securities............................</w:t>
            </w:r>
          </w:p>
        </w:tc>
        <w:tc>
          <w:tcPr>
            <w:tcW w:w="1600" w:type="dxa"/>
            <w:vAlign w:val="bottom"/>
          </w:tcPr>
          <w:p>
            <w:pPr>
              <w:spacing w:after="0"/>
              <w:rPr>
                <w:sz w:val="15"/>
                <w:szCs w:val="15"/>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102 96 --</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Purchase of marketable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securities.........................</w:t>
            </w:r>
          </w:p>
        </w:tc>
        <w:tc>
          <w:tcPr>
            <w:tcW w:w="1600" w:type="dxa"/>
            <w:vAlign w:val="bottom"/>
          </w:tcPr>
          <w:p>
            <w:pPr>
              <w:spacing w:after="0"/>
              <w:rPr>
                <w:sz w:val="15"/>
                <w:szCs w:val="15"/>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(18) (14) --</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Investment distributions and</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sales........................</w:t>
            </w:r>
          </w:p>
        </w:tc>
        <w:tc>
          <w:tcPr>
            <w:tcW w:w="3100" w:type="dxa"/>
            <w:vAlign w:val="bottom"/>
            <w:gridSpan w:val="3"/>
          </w:tcPr>
          <w:p>
            <w:pPr>
              <w:jc w:val="right"/>
              <w:ind w:right="402"/>
              <w:spacing w:after="0"/>
              <w:rPr>
                <w:sz w:val="20"/>
                <w:szCs w:val="20"/>
                <w:color w:val="auto"/>
              </w:rPr>
            </w:pPr>
            <w:r>
              <w:rPr>
                <w:rFonts w:ascii="Courier New" w:cs="Courier New" w:eastAsia="Courier New" w:hAnsi="Courier New"/>
                <w:sz w:val="16"/>
                <w:szCs w:val="16"/>
                <w:color w:val="auto"/>
              </w:rPr>
              <w:t>1,429 578 817</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Investment contributions and</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purchases....................</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(276) (593) (1,308) Net</w:t>
            </w: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cash received (paid) for acquisitions and</w:t>
            </w:r>
          </w:p>
        </w:tc>
      </w:tr>
      <w:tr>
        <w:trPr>
          <w:trHeight w:val="180"/>
        </w:trPr>
        <w:tc>
          <w:tcPr>
            <w:tcW w:w="150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dispositions of</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businesses...........................................</w:t>
            </w: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9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7"/>
              </w:rPr>
              <w:t>4,898 (71) 740 Other investing activities,</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9"/>
              </w:rPr>
              <w:t>net...........................</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(179) (81) (3) -------</w:t>
            </w: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48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rPr>
              <w:t>Net cash provided by (used in)</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investing activities</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 2,543 (4,511) (2,915) -------</w:t>
            </w: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48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9"/>
              </w:rPr>
              <w:t>FINANCING ACTIVITIES: Proceeds from</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long-term debt issuances....................</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1,025</w:t>
            </w:r>
          </w:p>
        </w:tc>
      </w:tr>
      <w:tr>
        <w:trPr>
          <w:trHeight w:val="180"/>
        </w:trPr>
        <w:tc>
          <w:tcPr>
            <w:tcW w:w="1500" w:type="dxa"/>
            <w:vAlign w:val="bottom"/>
          </w:tcPr>
          <w:p>
            <w:pPr>
              <w:ind w:left="980"/>
              <w:spacing w:after="0"/>
              <w:rPr>
                <w:sz w:val="20"/>
                <w:szCs w:val="20"/>
                <w:color w:val="auto"/>
              </w:rPr>
            </w:pPr>
            <w:r>
              <w:rPr>
                <w:rFonts w:ascii="Courier New" w:cs="Courier New" w:eastAsia="Courier New" w:hAnsi="Courier New"/>
                <w:sz w:val="16"/>
                <w:szCs w:val="16"/>
                <w:color w:val="auto"/>
              </w:rPr>
              <w:t>3,862</w:t>
            </w:r>
          </w:p>
        </w:tc>
        <w:tc>
          <w:tcPr>
            <w:tcW w:w="268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w w:val="98"/>
              </w:rPr>
              <w:t>-- Issuance of convertible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securities........................</w:t>
            </w:r>
          </w:p>
        </w:tc>
        <w:tc>
          <w:tcPr>
            <w:tcW w:w="1600" w:type="dxa"/>
            <w:vAlign w:val="bottom"/>
          </w:tcPr>
          <w:p>
            <w:pPr>
              <w:spacing w:after="0"/>
              <w:rPr>
                <w:sz w:val="15"/>
                <w:szCs w:val="15"/>
                <w:color w:val="auto"/>
              </w:rPr>
            </w:pPr>
          </w:p>
        </w:tc>
        <w:tc>
          <w:tcPr>
            <w:tcW w:w="15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 -- 4,638</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8"/>
              </w:rPr>
              <w:t>Retirements of long-term</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debt.............................</w:t>
            </w:r>
          </w:p>
        </w:tc>
        <w:tc>
          <w:tcPr>
            <w:tcW w:w="1600" w:type="dxa"/>
            <w:vAlign w:val="bottom"/>
          </w:tcPr>
          <w:p>
            <w:pPr>
              <w:spacing w:after="0"/>
              <w:rPr>
                <w:sz w:val="15"/>
                <w:szCs w:val="15"/>
                <w:color w:val="auto"/>
              </w:rPr>
            </w:pP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6"/>
              </w:rPr>
              <w:t>(938) (1,429)</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(2,031) Retirements of redeemable</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securities......................</w:t>
            </w:r>
          </w:p>
        </w:tc>
        <w:tc>
          <w:tcPr>
            <w:tcW w:w="1600" w:type="dxa"/>
            <w:vAlign w:val="bottom"/>
          </w:tcPr>
          <w:p>
            <w:pPr>
              <w:spacing w:after="0"/>
              <w:rPr>
                <w:sz w:val="15"/>
                <w:szCs w:val="15"/>
                <w:color w:val="auto"/>
              </w:rPr>
            </w:pPr>
          </w:p>
        </w:tc>
        <w:tc>
          <w:tcPr>
            <w:tcW w:w="1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(152) --</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Dividends paid on preferred</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9"/>
              </w:rPr>
              <w:t>securities....................</w:t>
            </w:r>
          </w:p>
        </w:tc>
        <w:tc>
          <w:tcPr>
            <w:tcW w:w="310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(336) (294) (135)</w:t>
            </w:r>
          </w:p>
        </w:tc>
      </w:tr>
      <w:tr>
        <w:trPr>
          <w:trHeight w:val="180"/>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Change in short-term debt due to</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AT&amp;T.....................</w:t>
            </w:r>
          </w:p>
        </w:tc>
        <w:tc>
          <w:tcPr>
            <w:tcW w:w="310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(2,252) 1,533 4,297</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Transfers from (to) AT&amp;T,</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net.............................</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-- 765 (5,234) Other</w:t>
            </w:r>
          </w:p>
        </w:tc>
      </w:tr>
      <w:tr>
        <w:trPr>
          <w:trHeight w:val="180"/>
        </w:trPr>
        <w:tc>
          <w:tcPr>
            <w:tcW w:w="41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3"/>
              </w:rPr>
              <w:t>financing activities, net...........................</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(515) -- -------</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Net cash (used</w:t>
            </w:r>
          </w:p>
        </w:tc>
      </w:tr>
      <w:tr>
        <w:trPr>
          <w:trHeight w:val="180"/>
        </w:trPr>
        <w:tc>
          <w:tcPr>
            <w:tcW w:w="3480" w:type="dxa"/>
            <w:vAlign w:val="bottom"/>
            <w:gridSpan w:val="3"/>
          </w:tcPr>
          <w:p>
            <w:pPr>
              <w:spacing w:after="0"/>
              <w:rPr>
                <w:sz w:val="20"/>
                <w:szCs w:val="20"/>
                <w:color w:val="auto"/>
              </w:rPr>
            </w:pPr>
            <w:r>
              <w:rPr>
                <w:rFonts w:ascii="Courier New" w:cs="Courier New" w:eastAsia="Courier New" w:hAnsi="Courier New"/>
                <w:sz w:val="16"/>
                <w:szCs w:val="16"/>
                <w:color w:val="auto"/>
                <w:w w:val="92"/>
              </w:rPr>
              <w:t>in) provided by financing activities...</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(2,501) 3,770</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1,535 ------- -------</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Net change in cash and</w:t>
            </w: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cash equivalents.....................</w:t>
            </w:r>
          </w:p>
        </w:tc>
        <w:tc>
          <w:tcPr>
            <w:tcW w:w="16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(61) 61 -- Cash</w:t>
            </w:r>
          </w:p>
        </w:tc>
      </w:tr>
      <w:tr>
        <w:trPr>
          <w:trHeight w:val="180"/>
        </w:trPr>
        <w:tc>
          <w:tcPr>
            <w:tcW w:w="4180" w:type="dxa"/>
            <w:vAlign w:val="bottom"/>
            <w:gridSpan w:val="4"/>
          </w:tcPr>
          <w:p>
            <w:pPr>
              <w:jc w:val="center"/>
              <w:ind w:left="728"/>
              <w:spacing w:after="0"/>
              <w:rPr>
                <w:sz w:val="20"/>
                <w:szCs w:val="20"/>
                <w:color w:val="auto"/>
              </w:rPr>
            </w:pPr>
            <w:r>
              <w:rPr>
                <w:rFonts w:ascii="Courier New" w:cs="Courier New" w:eastAsia="Courier New" w:hAnsi="Courier New"/>
                <w:sz w:val="16"/>
                <w:szCs w:val="16"/>
                <w:color w:val="auto"/>
                <w:w w:val="97"/>
              </w:rPr>
              <w:t>and cash equivalents at beginning of</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period............</w:t>
            </w:r>
          </w:p>
        </w:tc>
        <w:tc>
          <w:tcPr>
            <w:tcW w:w="31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61 -- -- ------- ------- -------</w:t>
            </w:r>
          </w:p>
        </w:tc>
      </w:tr>
      <w:tr>
        <w:trPr>
          <w:trHeight w:val="180"/>
        </w:trPr>
        <w:tc>
          <w:tcPr>
            <w:tcW w:w="4180" w:type="dxa"/>
            <w:vAlign w:val="bottom"/>
            <w:gridSpan w:val="4"/>
          </w:tcPr>
          <w:p>
            <w:pPr>
              <w:jc w:val="center"/>
              <w:ind w:left="708"/>
              <w:spacing w:after="0"/>
              <w:rPr>
                <w:sz w:val="20"/>
                <w:szCs w:val="20"/>
                <w:color w:val="auto"/>
              </w:rPr>
            </w:pPr>
            <w:r>
              <w:rPr>
                <w:rFonts w:ascii="Courier New" w:cs="Courier New" w:eastAsia="Courier New" w:hAnsi="Courier New"/>
                <w:sz w:val="16"/>
                <w:szCs w:val="16"/>
                <w:color w:val="auto"/>
                <w:w w:val="97"/>
              </w:rPr>
              <w:t>Cash and cash equivalents at end of</w:t>
            </w:r>
          </w:p>
        </w:tc>
        <w:tc>
          <w:tcPr>
            <w:tcW w:w="800" w:type="dxa"/>
            <w:vAlign w:val="bottom"/>
          </w:tcPr>
          <w:p>
            <w:pPr>
              <w:spacing w:after="0"/>
              <w:rPr>
                <w:sz w:val="15"/>
                <w:szCs w:val="15"/>
                <w:color w:val="auto"/>
              </w:rPr>
            </w:pPr>
          </w:p>
        </w:tc>
      </w:tr>
      <w:tr>
        <w:trPr>
          <w:trHeight w:val="180"/>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period..................</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 $ 61</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 =======</w:t>
            </w:r>
          </w:p>
        </w:tc>
      </w:tr>
      <w:tr>
        <w:trPr>
          <w:trHeight w:val="180"/>
        </w:trPr>
        <w:tc>
          <w:tcPr>
            <w:tcW w:w="150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 =======</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F-33</w:t>
      </w:r>
    </w:p>
    <w:p>
      <w:pPr>
        <w:sectPr>
          <w:pgSz w:w="11900" w:h="16908" w:orient="portrait"/>
          <w:cols w:equalWidth="0" w:num="1">
            <w:col w:w="10219"/>
          </w:cols>
          <w:pgMar w:left="240" w:top="654" w:right="1440" w:bottom="0" w:gutter="0" w:footer="0" w:header="0"/>
        </w:sectPr>
      </w:pPr>
    </w:p>
    <w:bookmarkStart w:id="221" w:name="page222"/>
    <w:bookmarkEnd w:id="22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COMBINED FINANCIAL STATEMENTS</w:t>
      </w:r>
    </w:p>
    <w:p>
      <w:pPr>
        <w:jc w:val="center"/>
        <w:ind w:right="2719"/>
        <w:spacing w:after="0"/>
        <w:rPr>
          <w:sz w:val="20"/>
          <w:szCs w:val="20"/>
          <w:color w:val="auto"/>
        </w:rPr>
      </w:pPr>
      <w:r>
        <w:rPr>
          <w:rFonts w:ascii="Courier New" w:cs="Courier New" w:eastAsia="Courier New" w:hAnsi="Courier New"/>
          <w:sz w:val="16"/>
          <w:szCs w:val="16"/>
          <w:color w:val="auto"/>
        </w:rPr>
        <w:t>(DOLLARS IN MILLIONS, EXCEPT PER SHARE AMOUNTS AND UNLESS OTHERWISE NOTED)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9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654" w:right="1440" w:bottom="1440" w:gutter="0" w:footer="0" w:header="0"/>
        </w:sectPr>
      </w:pPr>
    </w:p>
    <w:bookmarkStart w:id="222" w:name="page223"/>
    <w:bookmarkEnd w:id="22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termination fee in cash if the Merger Agreement is terminated because the Comcast shareholders fail to approve the AT&amp;T Comcast Merger.</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 for the year ended December 31, 2001.</w:t>
      </w:r>
    </w:p>
    <w:p>
      <w:pPr>
        <w:spacing w:after="0" w:line="17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19"/>
          </w:cols>
          <w:pgMar w:left="240" w:top="473" w:right="1440" w:bottom="1440" w:gutter="0" w:footer="0" w:header="0"/>
        </w:sectPr>
      </w:pPr>
    </w:p>
    <w:bookmarkStart w:id="223" w:name="page224"/>
    <w:bookmarkEnd w:id="223"/>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3559"/>
        <w:spacing w:after="0" w:line="237" w:lineRule="auto"/>
        <w:rPr>
          <w:sz w:val="20"/>
          <w:szCs w:val="20"/>
          <w:color w:val="auto"/>
        </w:rPr>
      </w:pPr>
      <w:r>
        <w:rPr>
          <w:rFonts w:ascii="Courier New" w:cs="Courier New" w:eastAsia="Courier New" w:hAnsi="Courier New"/>
          <w:sz w:val="16"/>
          <w:szCs w:val="16"/>
          <w:color w:val="auto"/>
        </w:rPr>
        <w:t>not be limited to, proceeds that may result from the exercise of AT&amp;T's registration rights in Time Warner Entertainment ("TWE") and continued evaluation and sale of non-strategic cable systems.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186"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189"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178" w:lineRule="exact"/>
        <w:rPr>
          <w:sz w:val="20"/>
          <w:szCs w:val="20"/>
          <w:color w:val="auto"/>
        </w:rPr>
      </w:pPr>
    </w:p>
    <w:p>
      <w:pPr>
        <w:ind w:left="184" w:right="5899" w:hanging="184"/>
        <w:spacing w:after="0" w:line="471" w:lineRule="auto"/>
        <w:tabs>
          <w:tab w:leader="none" w:pos="371"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REVENUE RECOGNITION</w:t>
      </w:r>
    </w:p>
    <w:p>
      <w:pPr>
        <w:spacing w:after="0" w:line="10"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23"/>
          </w:cols>
          <w:pgMar w:left="236" w:top="473" w:right="1440" w:bottom="1440" w:gutter="0" w:footer="0" w:header="0"/>
        </w:sectPr>
      </w:pPr>
    </w:p>
    <w:bookmarkStart w:id="224" w:name="page225"/>
    <w:bookmarkEnd w:id="22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ADVERTISING AND PROMOTIONAL COSTS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All highly liquid investments with original maturities of three months or less are considered to be cash equivalents.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F-37</w:t>
      </w:r>
    </w:p>
    <w:p>
      <w:pPr>
        <w:sectPr>
          <w:pgSz w:w="11900" w:h="16838" w:orient="portrait"/>
          <w:cols w:equalWidth="0" w:num="1">
            <w:col w:w="10219"/>
          </w:cols>
          <w:pgMar w:left="240" w:top="473" w:right="1440" w:bottom="1440" w:gutter="0" w:footer="0" w:header="0"/>
        </w:sectPr>
      </w:pPr>
    </w:p>
    <w:bookmarkStart w:id="225" w:name="page226"/>
    <w:bookmarkEnd w:id="22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Broadband Group recognizes impairment charges on investment holdings in the combined statement of operations when management believes the decline in the investment value is other-than-temporary.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PLANT AND EQUIPMENT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35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FRANCHISE COSTS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SOFTWARE CAPITALIZATION</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6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473" w:right="1440" w:bottom="1440" w:gutter="0" w:footer="0" w:header="0"/>
        </w:sectPr>
      </w:pPr>
    </w:p>
    <w:bookmarkStart w:id="226" w:name="page227"/>
    <w:bookmarkEnd w:id="226"/>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FINANCIAL INSTRUMENTS AND HEDGING ACTIVITIES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187"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changes in fair value of undesignated hedges are recorded in other (expense) income in the combined statements of operations along with the change in fair value of the related asset or liability.</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AT&amp;T Broadband Group currently does not have any net investment hedges in a foreign operation.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F-39</w:t>
      </w:r>
    </w:p>
    <w:p>
      <w:pPr>
        <w:sectPr>
          <w:pgSz w:w="11900" w:h="16838" w:orient="portrait"/>
          <w:cols w:equalWidth="0" w:num="1">
            <w:col w:w="10219"/>
          </w:cols>
          <w:pgMar w:left="240" w:top="473" w:right="1440" w:bottom="1440" w:gutter="0" w:footer="0" w:header="0"/>
        </w:sectPr>
      </w:pPr>
    </w:p>
    <w:bookmarkStart w:id="227" w:name="page228"/>
    <w:bookmarkEnd w:id="227"/>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FLOWS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CONCENTRATIONS</w:t>
      </w:r>
    </w:p>
    <w:p>
      <w:pPr>
        <w:spacing w:after="0" w:line="185" w:lineRule="exact"/>
        <w:rPr>
          <w:sz w:val="20"/>
          <w:szCs w:val="20"/>
          <w:color w:val="auto"/>
        </w:rPr>
      </w:pPr>
    </w:p>
    <w:p>
      <w:pPr>
        <w:ind w:right="2999" w:firstLine="469"/>
        <w:spacing w:after="0" w:line="256" w:lineRule="auto"/>
        <w:rPr>
          <w:sz w:val="20"/>
          <w:szCs w:val="20"/>
          <w:color w:val="auto"/>
        </w:rPr>
      </w:pPr>
      <w:r>
        <w:rPr>
          <w:rFonts w:ascii="Courier New" w:cs="Courier New" w:eastAsia="Courier New" w:hAnsi="Courier New"/>
          <w:sz w:val="15"/>
          <w:szCs w:val="15"/>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17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F-40</w:t>
      </w:r>
    </w:p>
    <w:p>
      <w:pPr>
        <w:sectPr>
          <w:pgSz w:w="11900" w:h="16838" w:orient="portrait"/>
          <w:cols w:equalWidth="0" w:num="1">
            <w:col w:w="10219"/>
          </w:cols>
          <w:pgMar w:left="240" w:top="473" w:right="1440" w:bottom="1440" w:gutter="0" w:footer="0" w:header="0"/>
        </w:sectPr>
      </w:pPr>
    </w:p>
    <w:bookmarkStart w:id="228" w:name="page229"/>
    <w:bookmarkEnd w:id="228"/>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ISSUANCE OF COMMON STOCK BY AFFILIATES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18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RECOGNITION OF GAINS ON ASSET DISPOSITIONS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RECLASSIFICATIONS</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Certain amounts in previous years have been reclassified to conform to the 2001 presentation.</w:t>
      </w:r>
    </w:p>
    <w:p>
      <w:pPr>
        <w:spacing w:after="0" w:line="185" w:lineRule="exact"/>
        <w:rPr>
          <w:sz w:val="20"/>
          <w:szCs w:val="20"/>
          <w:color w:val="auto"/>
        </w:rPr>
      </w:pPr>
    </w:p>
    <w:p>
      <w:pPr>
        <w:ind w:left="184" w:right="5439" w:hanging="184"/>
        <w:spacing w:after="0" w:line="509" w:lineRule="auto"/>
        <w:tabs>
          <w:tab w:leader="none" w:pos="371"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FINANCIAL INFORMATION SUPPLEMENTARY STATEMENT OF OPERATIONS INFORMATION</w:t>
      </w:r>
    </w:p>
    <w:p>
      <w:pPr>
        <w:ind w:left="44"/>
        <w:spacing w:after="0" w:line="234" w:lineRule="auto"/>
        <w:rPr>
          <w:sz w:val="20"/>
          <w:szCs w:val="20"/>
          <w:color w:val="auto"/>
        </w:rPr>
      </w:pPr>
      <w:r>
        <w:rPr>
          <w:rFonts w:ascii="Courier New" w:cs="Courier New" w:eastAsia="Courier New" w:hAnsi="Courier New"/>
          <w:sz w:val="16"/>
          <w:szCs w:val="16"/>
          <w:color w:val="auto"/>
        </w:rPr>
        <w:t>YEAR ENDED TEN MONTHS DECEMBER 31, ENDED ------------</w:t>
      </w:r>
    </w:p>
    <w:p>
      <w:pPr>
        <w:ind w:left="324" w:hanging="278"/>
        <w:spacing w:after="0"/>
        <w:tabs>
          <w:tab w:leader="none" w:pos="324"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 2001 2000 1999 ------- ---- ---------</w:t>
      </w:r>
    </w:p>
    <w:p>
      <w:pPr>
        <w:spacing w:after="0" w:line="3" w:lineRule="exact"/>
        <w:rPr>
          <w:rFonts w:ascii="Courier New" w:cs="Courier New" w:eastAsia="Courier New" w:hAnsi="Courier New"/>
          <w:sz w:val="16"/>
          <w:szCs w:val="16"/>
          <w:color w:val="auto"/>
        </w:rPr>
      </w:pPr>
    </w:p>
    <w:p>
      <w:pPr>
        <w:ind w:left="1024" w:right="5399" w:hanging="791"/>
        <w:spacing w:after="0" w:line="254" w:lineRule="auto"/>
        <w:tabs>
          <w:tab w:leader="none" w:pos="602"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(EXPENSE) INCOME, NET Net (losses) gains on sales of businesses and</w:t>
      </w:r>
    </w:p>
    <w:p>
      <w:pPr>
        <w:ind w:left="44"/>
        <w:spacing w:after="0" w:line="234" w:lineRule="auto"/>
        <w:rPr>
          <w:sz w:val="20"/>
          <w:szCs w:val="20"/>
          <w:color w:val="auto"/>
        </w:rPr>
      </w:pPr>
      <w:r>
        <w:rPr>
          <w:rFonts w:ascii="Courier New" w:cs="Courier New" w:eastAsia="Courier New" w:hAnsi="Courier New"/>
          <w:sz w:val="16"/>
          <w:szCs w:val="16"/>
          <w:color w:val="auto"/>
        </w:rPr>
        <w:t>investments........................................ $</w:t>
      </w:r>
    </w:p>
    <w:p>
      <w:pPr>
        <w:ind w:left="844"/>
        <w:spacing w:after="0"/>
        <w:rPr>
          <w:sz w:val="20"/>
          <w:szCs w:val="20"/>
          <w:color w:val="auto"/>
        </w:rPr>
      </w:pPr>
      <w:r>
        <w:rPr>
          <w:rFonts w:ascii="Courier New" w:cs="Courier New" w:eastAsia="Courier New" w:hAnsi="Courier New"/>
          <w:sz w:val="16"/>
          <w:szCs w:val="16"/>
          <w:color w:val="auto"/>
        </w:rPr>
        <w:t>(318) $616 $39 Investment impairment</w:t>
      </w:r>
    </w:p>
    <w:p>
      <w:pPr>
        <w:ind w:left="324"/>
        <w:spacing w:after="0" w:line="238" w:lineRule="auto"/>
        <w:rPr>
          <w:sz w:val="20"/>
          <w:szCs w:val="20"/>
          <w:color w:val="auto"/>
        </w:rPr>
      </w:pPr>
      <w:r>
        <w:rPr>
          <w:rFonts w:ascii="Courier New" w:cs="Courier New" w:eastAsia="Courier New" w:hAnsi="Courier New"/>
          <w:sz w:val="16"/>
          <w:szCs w:val="16"/>
          <w:color w:val="auto"/>
        </w:rPr>
        <w:t>charges......................... (539) (240) --</w:t>
      </w:r>
    </w:p>
    <w:p>
      <w:pPr>
        <w:ind w:left="1544"/>
        <w:spacing w:after="0"/>
        <w:rPr>
          <w:sz w:val="20"/>
          <w:szCs w:val="20"/>
          <w:color w:val="auto"/>
        </w:rPr>
      </w:pPr>
      <w:r>
        <w:rPr>
          <w:rFonts w:ascii="Courier New" w:cs="Courier New" w:eastAsia="Courier New" w:hAnsi="Courier New"/>
          <w:sz w:val="16"/>
          <w:szCs w:val="16"/>
          <w:color w:val="auto"/>
        </w:rPr>
        <w:t>Interest and dividend</w:t>
      </w:r>
    </w:p>
    <w:p>
      <w:pPr>
        <w:ind w:left="84"/>
        <w:spacing w:after="0" w:line="238" w:lineRule="auto"/>
        <w:rPr>
          <w:sz w:val="20"/>
          <w:szCs w:val="20"/>
          <w:color w:val="auto"/>
        </w:rPr>
      </w:pPr>
      <w:r>
        <w:rPr>
          <w:rFonts w:ascii="Courier New" w:cs="Courier New" w:eastAsia="Courier New" w:hAnsi="Courier New"/>
          <w:sz w:val="16"/>
          <w:szCs w:val="16"/>
          <w:color w:val="auto"/>
        </w:rPr>
        <w:t>income.......................... 140 77 8 Settlement</w:t>
      </w:r>
    </w:p>
    <w:p>
      <w:pPr>
        <w:ind w:left="804"/>
        <w:spacing w:after="0"/>
        <w:rPr>
          <w:sz w:val="20"/>
          <w:szCs w:val="20"/>
          <w:color w:val="auto"/>
        </w:rPr>
      </w:pPr>
      <w:r>
        <w:rPr>
          <w:rFonts w:ascii="Courier New" w:cs="Courier New" w:eastAsia="Courier New" w:hAnsi="Courier New"/>
          <w:sz w:val="16"/>
          <w:szCs w:val="16"/>
          <w:color w:val="auto"/>
        </w:rPr>
        <w:t>loss and mark-to-market charge on put</w:t>
      </w:r>
    </w:p>
    <w:p>
      <w:pPr>
        <w:ind w:left="144"/>
        <w:spacing w:after="0" w:line="237" w:lineRule="auto"/>
        <w:rPr>
          <w:sz w:val="20"/>
          <w:szCs w:val="20"/>
          <w:color w:val="auto"/>
        </w:rPr>
      </w:pPr>
      <w:r>
        <w:rPr>
          <w:rFonts w:ascii="Courier New" w:cs="Courier New" w:eastAsia="Courier New" w:hAnsi="Courier New"/>
          <w:sz w:val="16"/>
          <w:szCs w:val="16"/>
          <w:color w:val="auto"/>
        </w:rPr>
        <w:t>options............................................</w:t>
      </w:r>
    </w:p>
    <w:p>
      <w:pPr>
        <w:ind w:left="224"/>
        <w:spacing w:after="0"/>
        <w:rPr>
          <w:sz w:val="20"/>
          <w:szCs w:val="20"/>
          <w:color w:val="auto"/>
        </w:rPr>
      </w:pPr>
      <w:r>
        <w:rPr>
          <w:rFonts w:ascii="Courier New" w:cs="Courier New" w:eastAsia="Courier New" w:hAnsi="Courier New"/>
          <w:sz w:val="16"/>
          <w:szCs w:val="16"/>
          <w:color w:val="auto"/>
        </w:rPr>
        <w:t>(838) (537) -- Loss on settlement of exchangeable</w:t>
      </w:r>
    </w:p>
    <w:p>
      <w:pPr>
        <w:ind w:left="284"/>
        <w:spacing w:after="0" w:line="238" w:lineRule="auto"/>
        <w:rPr>
          <w:sz w:val="20"/>
          <w:szCs w:val="20"/>
          <w:color w:val="auto"/>
        </w:rPr>
      </w:pPr>
      <w:r>
        <w:rPr>
          <w:rFonts w:ascii="Courier New" w:cs="Courier New" w:eastAsia="Courier New" w:hAnsi="Courier New"/>
          <w:sz w:val="16"/>
          <w:szCs w:val="16"/>
          <w:color w:val="auto"/>
        </w:rPr>
        <w:t>notes.............. (392) -- -- ------- ---- ---</w:t>
      </w:r>
    </w:p>
    <w:p>
      <w:pPr>
        <w:ind w:left="144"/>
        <w:spacing w:after="0"/>
        <w:rPr>
          <w:sz w:val="20"/>
          <w:szCs w:val="20"/>
          <w:color w:val="auto"/>
        </w:rPr>
      </w:pPr>
      <w:r>
        <w:rPr>
          <w:rFonts w:ascii="Courier New" w:cs="Courier New" w:eastAsia="Courier New" w:hAnsi="Courier New"/>
          <w:sz w:val="16"/>
          <w:szCs w:val="16"/>
          <w:color w:val="auto"/>
        </w:rPr>
        <w:t>Investment (expense) income, net...................</w:t>
      </w:r>
    </w:p>
    <w:p>
      <w:pPr>
        <w:ind w:left="144"/>
        <w:spacing w:after="0" w:line="238" w:lineRule="auto"/>
        <w:rPr>
          <w:sz w:val="20"/>
          <w:szCs w:val="20"/>
          <w:color w:val="auto"/>
        </w:rPr>
      </w:pPr>
      <w:r>
        <w:rPr>
          <w:rFonts w:ascii="Courier New" w:cs="Courier New" w:eastAsia="Courier New" w:hAnsi="Courier New"/>
          <w:sz w:val="16"/>
          <w:szCs w:val="16"/>
          <w:color w:val="auto"/>
        </w:rPr>
        <w:t>$(1,947) $(84) $47 ======= ==== === OTHER (EXPENSE)</w:t>
      </w:r>
    </w:p>
    <w:p>
      <w:pPr>
        <w:ind w:left="424"/>
        <w:spacing w:after="0"/>
        <w:rPr>
          <w:sz w:val="20"/>
          <w:szCs w:val="20"/>
          <w:color w:val="auto"/>
        </w:rPr>
      </w:pPr>
      <w:r>
        <w:rPr>
          <w:rFonts w:ascii="Courier New" w:cs="Courier New" w:eastAsia="Courier New" w:hAnsi="Courier New"/>
          <w:sz w:val="16"/>
          <w:szCs w:val="16"/>
          <w:color w:val="auto"/>
        </w:rPr>
        <w:t>INCOME, NET Reclassification of securities to</w:t>
      </w:r>
    </w:p>
    <w:p>
      <w:pPr>
        <w:ind w:left="224"/>
        <w:spacing w:after="0" w:line="237" w:lineRule="auto"/>
        <w:rPr>
          <w:sz w:val="20"/>
          <w:szCs w:val="20"/>
          <w:color w:val="auto"/>
        </w:rPr>
      </w:pPr>
      <w:r>
        <w:rPr>
          <w:rFonts w:ascii="Courier New" w:cs="Courier New" w:eastAsia="Courier New" w:hAnsi="Courier New"/>
          <w:sz w:val="16"/>
          <w:szCs w:val="16"/>
          <w:color w:val="auto"/>
        </w:rPr>
        <w:t>"trading" in connection with the adoption of SFAS</w:t>
      </w:r>
    </w:p>
    <w:p>
      <w:pPr>
        <w:ind w:left="524"/>
        <w:spacing w:after="0"/>
        <w:rPr>
          <w:sz w:val="20"/>
          <w:szCs w:val="20"/>
          <w:color w:val="auto"/>
        </w:rPr>
      </w:pPr>
      <w:r>
        <w:rPr>
          <w:rFonts w:ascii="Courier New" w:cs="Courier New" w:eastAsia="Courier New" w:hAnsi="Courier New"/>
          <w:sz w:val="16"/>
          <w:szCs w:val="16"/>
          <w:color w:val="auto"/>
        </w:rPr>
        <w:t>133........... $(1,154) $ -- $-- Fair value</w:t>
      </w:r>
    </w:p>
    <w:p>
      <w:pPr>
        <w:ind w:left="664"/>
        <w:spacing w:after="0" w:line="238" w:lineRule="auto"/>
        <w:rPr>
          <w:sz w:val="20"/>
          <w:szCs w:val="20"/>
          <w:color w:val="auto"/>
        </w:rPr>
      </w:pPr>
      <w:r>
        <w:rPr>
          <w:rFonts w:ascii="Courier New" w:cs="Courier New" w:eastAsia="Courier New" w:hAnsi="Courier New"/>
          <w:sz w:val="16"/>
          <w:szCs w:val="16"/>
          <w:color w:val="auto"/>
        </w:rPr>
        <w:t>adjustments of derivatives and "trading"</w:t>
      </w:r>
    </w:p>
    <w:p>
      <w:pPr>
        <w:ind w:left="144"/>
        <w:spacing w:after="0"/>
        <w:rPr>
          <w:sz w:val="20"/>
          <w:szCs w:val="20"/>
          <w:color w:val="auto"/>
        </w:rPr>
      </w:pPr>
      <w:r>
        <w:rPr>
          <w:rFonts w:ascii="Courier New" w:cs="Courier New" w:eastAsia="Courier New" w:hAnsi="Courier New"/>
          <w:sz w:val="16"/>
          <w:szCs w:val="16"/>
          <w:color w:val="auto"/>
        </w:rPr>
        <w:t>securities.........................................</w:t>
      </w:r>
    </w:p>
    <w:p>
      <w:pPr>
        <w:ind w:left="2104"/>
        <w:spacing w:after="0" w:line="238" w:lineRule="auto"/>
        <w:rPr>
          <w:sz w:val="20"/>
          <w:szCs w:val="20"/>
          <w:color w:val="auto"/>
        </w:rPr>
      </w:pPr>
      <w:r>
        <w:rPr>
          <w:rFonts w:ascii="Courier New" w:cs="Courier New" w:eastAsia="Courier New" w:hAnsi="Courier New"/>
          <w:sz w:val="16"/>
          <w:szCs w:val="16"/>
          <w:color w:val="auto"/>
        </w:rPr>
        <w:t>195 -- --</w:t>
      </w:r>
    </w:p>
    <w:p>
      <w:pPr>
        <w:ind w:left="4"/>
        <w:spacing w:after="0"/>
        <w:rPr>
          <w:sz w:val="20"/>
          <w:szCs w:val="20"/>
          <w:color w:val="auto"/>
        </w:rPr>
      </w:pPr>
      <w:r>
        <w:rPr>
          <w:rFonts w:ascii="Courier New" w:cs="Courier New" w:eastAsia="Courier New" w:hAnsi="Courier New"/>
          <w:sz w:val="16"/>
          <w:szCs w:val="16"/>
          <w:color w:val="auto"/>
        </w:rPr>
        <w:t>Other.................................................</w:t>
      </w:r>
    </w:p>
    <w:p>
      <w:pPr>
        <w:ind w:left="664"/>
        <w:spacing w:after="0" w:line="237" w:lineRule="auto"/>
        <w:rPr>
          <w:sz w:val="20"/>
          <w:szCs w:val="20"/>
          <w:color w:val="auto"/>
        </w:rPr>
      </w:pPr>
      <w:r>
        <w:rPr>
          <w:rFonts w:ascii="Courier New" w:cs="Courier New" w:eastAsia="Courier New" w:hAnsi="Courier New"/>
          <w:sz w:val="16"/>
          <w:szCs w:val="16"/>
          <w:color w:val="auto"/>
        </w:rPr>
        <w:t>32 45 3 ------- ---- --- Other (expense)</w:t>
      </w:r>
    </w:p>
    <w:p>
      <w:pPr>
        <w:ind w:left="84"/>
        <w:spacing w:after="0"/>
        <w:rPr>
          <w:sz w:val="20"/>
          <w:szCs w:val="20"/>
          <w:color w:val="auto"/>
        </w:rPr>
      </w:pPr>
      <w:r>
        <w:rPr>
          <w:rFonts w:ascii="Courier New" w:cs="Courier New" w:eastAsia="Courier New" w:hAnsi="Courier New"/>
          <w:sz w:val="16"/>
          <w:szCs w:val="16"/>
          <w:color w:val="auto"/>
        </w:rPr>
        <w:t>income............................. $ (927) $ 45 $ 3</w:t>
      </w:r>
    </w:p>
    <w:p>
      <w:pPr>
        <w:ind w:left="1784"/>
        <w:spacing w:after="0" w:line="238" w:lineRule="auto"/>
        <w:rPr>
          <w:sz w:val="20"/>
          <w:szCs w:val="20"/>
          <w:color w:val="auto"/>
        </w:rPr>
      </w:pPr>
      <w:r>
        <w:rPr>
          <w:rFonts w:ascii="Courier New" w:cs="Courier New" w:eastAsia="Courier New" w:hAnsi="Courier New"/>
          <w:sz w:val="16"/>
          <w:szCs w:val="16"/>
          <w:color w:val="auto"/>
        </w:rPr>
        <w:t>======= ==== ===</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F-41</w:t>
      </w:r>
    </w:p>
    <w:p>
      <w:pPr>
        <w:sectPr>
          <w:pgSz w:w="11900" w:h="16838" w:orient="portrait"/>
          <w:cols w:equalWidth="0" w:num="1">
            <w:col w:w="10223"/>
          </w:cols>
          <w:pgMar w:left="236" w:top="473" w:right="1440" w:bottom="1440" w:gutter="0" w:footer="0" w:header="0"/>
        </w:sectPr>
      </w:pPr>
    </w:p>
    <w:bookmarkStart w:id="229" w:name="page230"/>
    <w:bookmarkEnd w:id="229"/>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SUPPLEMENTARY BALANCE SHEET INFORMATION</w:t>
      </w:r>
    </w:p>
    <w:p>
      <w:pPr>
        <w:spacing w:after="0" w:line="17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DECEMBER 31, ----------------- 2001 2000 -------</w:t>
      </w:r>
    </w:p>
    <w:p>
      <w:pPr>
        <w:ind w:left="144"/>
        <w:spacing w:after="0"/>
        <w:rPr>
          <w:sz w:val="20"/>
          <w:szCs w:val="20"/>
          <w:color w:val="auto"/>
        </w:rPr>
      </w:pPr>
      <w:r>
        <w:rPr>
          <w:rFonts w:ascii="Courier New" w:cs="Courier New" w:eastAsia="Courier New" w:hAnsi="Courier New"/>
          <w:sz w:val="16"/>
          <w:szCs w:val="16"/>
          <w:color w:val="auto"/>
        </w:rPr>
        <w:t>------- PROPERTY, PLANT AND EQUIPMENT Land and</w:t>
      </w:r>
    </w:p>
    <w:p>
      <w:pPr>
        <w:ind w:left="4"/>
        <w:spacing w:after="0" w:line="237" w:lineRule="auto"/>
        <w:rPr>
          <w:sz w:val="20"/>
          <w:szCs w:val="20"/>
          <w:color w:val="auto"/>
        </w:rPr>
      </w:pPr>
      <w:r>
        <w:rPr>
          <w:rFonts w:ascii="Courier New" w:cs="Courier New" w:eastAsia="Courier New" w:hAnsi="Courier New"/>
          <w:sz w:val="16"/>
          <w:szCs w:val="16"/>
          <w:color w:val="auto"/>
        </w:rPr>
        <w:t>improvements.....................................</w:t>
      </w:r>
    </w:p>
    <w:p>
      <w:pPr>
        <w:ind w:left="1164"/>
        <w:spacing w:after="0"/>
        <w:rPr>
          <w:sz w:val="20"/>
          <w:szCs w:val="20"/>
          <w:color w:val="auto"/>
        </w:rPr>
      </w:pPr>
      <w:r>
        <w:rPr>
          <w:rFonts w:ascii="Courier New" w:cs="Courier New" w:eastAsia="Courier New" w:hAnsi="Courier New"/>
          <w:sz w:val="16"/>
          <w:szCs w:val="16"/>
          <w:color w:val="auto"/>
        </w:rPr>
        <w:t>$ 115 $ 135 Distribution</w:t>
      </w:r>
    </w:p>
    <w:p>
      <w:pPr>
        <w:ind w:left="184"/>
        <w:spacing w:after="0" w:line="238" w:lineRule="auto"/>
        <w:rPr>
          <w:sz w:val="20"/>
          <w:szCs w:val="20"/>
          <w:color w:val="auto"/>
        </w:rPr>
      </w:pPr>
      <w:r>
        <w:rPr>
          <w:rFonts w:ascii="Courier New" w:cs="Courier New" w:eastAsia="Courier New" w:hAnsi="Courier New"/>
          <w:sz w:val="16"/>
          <w:szCs w:val="16"/>
          <w:color w:val="auto"/>
        </w:rPr>
        <w:t>systems......................................</w:t>
      </w:r>
    </w:p>
    <w:p>
      <w:pPr>
        <w:ind w:left="664"/>
        <w:spacing w:after="0"/>
        <w:rPr>
          <w:sz w:val="20"/>
          <w:szCs w:val="20"/>
          <w:color w:val="auto"/>
        </w:rPr>
      </w:pPr>
      <w:r>
        <w:rPr>
          <w:rFonts w:ascii="Courier New" w:cs="Courier New" w:eastAsia="Courier New" w:hAnsi="Courier New"/>
          <w:sz w:val="16"/>
          <w:szCs w:val="16"/>
          <w:color w:val="auto"/>
        </w:rPr>
        <w:t>14,186 13,187 Support equipment and</w:t>
      </w:r>
    </w:p>
    <w:p>
      <w:pPr>
        <w:ind w:left="44"/>
        <w:spacing w:after="0" w:line="238" w:lineRule="auto"/>
        <w:rPr>
          <w:sz w:val="20"/>
          <w:szCs w:val="20"/>
          <w:color w:val="auto"/>
        </w:rPr>
      </w:pPr>
      <w:r>
        <w:rPr>
          <w:rFonts w:ascii="Courier New" w:cs="Courier New" w:eastAsia="Courier New" w:hAnsi="Courier New"/>
          <w:sz w:val="16"/>
          <w:szCs w:val="16"/>
          <w:color w:val="auto"/>
        </w:rPr>
        <w:t>buildings........................... 2,382 2,526</w:t>
      </w:r>
    </w:p>
    <w:p>
      <w:pPr>
        <w:ind w:left="1584"/>
        <w:spacing w:after="0"/>
        <w:rPr>
          <w:sz w:val="20"/>
          <w:szCs w:val="20"/>
          <w:color w:val="auto"/>
        </w:rPr>
      </w:pPr>
      <w:r>
        <w:rPr>
          <w:rFonts w:ascii="Courier New" w:cs="Courier New" w:eastAsia="Courier New" w:hAnsi="Courier New"/>
          <w:sz w:val="16"/>
          <w:szCs w:val="16"/>
          <w:color w:val="auto"/>
        </w:rPr>
        <w:t>Construction in</w:t>
      </w:r>
    </w:p>
    <w:p>
      <w:pPr>
        <w:ind w:left="144"/>
        <w:spacing w:after="0" w:line="237" w:lineRule="auto"/>
        <w:rPr>
          <w:sz w:val="20"/>
          <w:szCs w:val="20"/>
          <w:color w:val="auto"/>
        </w:rPr>
      </w:pPr>
      <w:r>
        <w:rPr>
          <w:rFonts w:ascii="Courier New" w:cs="Courier New" w:eastAsia="Courier New" w:hAnsi="Courier New"/>
          <w:sz w:val="16"/>
          <w:szCs w:val="16"/>
          <w:color w:val="auto"/>
        </w:rPr>
        <w:t>progress.................................. 794</w:t>
      </w:r>
    </w:p>
    <w:p>
      <w:pPr>
        <w:ind w:left="1504"/>
        <w:spacing w:after="0"/>
        <w:rPr>
          <w:sz w:val="20"/>
          <w:szCs w:val="20"/>
          <w:color w:val="auto"/>
        </w:rPr>
      </w:pPr>
      <w:r>
        <w:rPr>
          <w:rFonts w:ascii="Courier New" w:cs="Courier New" w:eastAsia="Courier New" w:hAnsi="Courier New"/>
          <w:sz w:val="16"/>
          <w:szCs w:val="16"/>
          <w:color w:val="auto"/>
        </w:rPr>
        <w:t>1,417 Accumulated</w:t>
      </w:r>
    </w:p>
    <w:p>
      <w:pPr>
        <w:ind w:left="144"/>
        <w:spacing w:after="0" w:line="238" w:lineRule="auto"/>
        <w:rPr>
          <w:sz w:val="20"/>
          <w:szCs w:val="20"/>
          <w:color w:val="auto"/>
        </w:rPr>
      </w:pPr>
      <w:r>
        <w:rPr>
          <w:rFonts w:ascii="Courier New" w:cs="Courier New" w:eastAsia="Courier New" w:hAnsi="Courier New"/>
          <w:sz w:val="16"/>
          <w:szCs w:val="16"/>
          <w:color w:val="auto"/>
        </w:rPr>
        <w:t>depreciation..................................</w:t>
      </w:r>
    </w:p>
    <w:p>
      <w:pPr>
        <w:ind w:left="84"/>
        <w:spacing w:after="0"/>
        <w:rPr>
          <w:sz w:val="20"/>
          <w:szCs w:val="20"/>
          <w:color w:val="auto"/>
        </w:rPr>
      </w:pPr>
      <w:r>
        <w:rPr>
          <w:rFonts w:ascii="Courier New" w:cs="Courier New" w:eastAsia="Courier New" w:hAnsi="Courier New"/>
          <w:sz w:val="16"/>
          <w:szCs w:val="16"/>
          <w:color w:val="auto"/>
        </w:rPr>
        <w:t>(2,958) (2,078) ------- ------- Property, plant</w:t>
      </w:r>
    </w:p>
    <w:p>
      <w:pPr>
        <w:ind w:left="84"/>
        <w:spacing w:after="0" w:line="238" w:lineRule="auto"/>
        <w:rPr>
          <w:sz w:val="20"/>
          <w:szCs w:val="20"/>
          <w:color w:val="auto"/>
        </w:rPr>
      </w:pPr>
      <w:r>
        <w:rPr>
          <w:rFonts w:ascii="Courier New" w:cs="Courier New" w:eastAsia="Courier New" w:hAnsi="Courier New"/>
          <w:sz w:val="16"/>
          <w:szCs w:val="16"/>
          <w:color w:val="auto"/>
        </w:rPr>
        <w:t>and equipment, net..................... $14,519</w:t>
      </w:r>
    </w:p>
    <w:p>
      <w:pPr>
        <w:ind w:left="1224"/>
        <w:spacing w:after="0"/>
        <w:rPr>
          <w:sz w:val="20"/>
          <w:szCs w:val="20"/>
          <w:color w:val="auto"/>
        </w:rPr>
      </w:pPr>
      <w:r>
        <w:rPr>
          <w:rFonts w:ascii="Courier New" w:cs="Courier New" w:eastAsia="Courier New" w:hAnsi="Courier New"/>
          <w:sz w:val="16"/>
          <w:szCs w:val="16"/>
          <w:color w:val="auto"/>
        </w:rPr>
        <w:t>$15,187 ======= =======</w:t>
      </w:r>
    </w:p>
    <w:p>
      <w:pPr>
        <w:spacing w:after="0" w:line="35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LEVERAGED LEASES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71" w:lineRule="exact"/>
        <w:rPr>
          <w:sz w:val="20"/>
          <w:szCs w:val="20"/>
          <w:color w:val="auto"/>
        </w:rPr>
      </w:pPr>
    </w:p>
    <w:p>
      <w:pPr>
        <w:ind w:left="144"/>
        <w:spacing w:after="0"/>
        <w:rPr>
          <w:sz w:val="20"/>
          <w:szCs w:val="20"/>
          <w:color w:val="auto"/>
        </w:rPr>
      </w:pPr>
      <w:r>
        <w:rPr>
          <w:rFonts w:ascii="Courier New" w:cs="Courier New" w:eastAsia="Courier New" w:hAnsi="Courier New"/>
          <w:sz w:val="16"/>
          <w:szCs w:val="16"/>
          <w:color w:val="auto"/>
        </w:rPr>
        <w:t>DECEMBER 31, ------------- 2001 2000 ----- -----</w:t>
      </w:r>
    </w:p>
    <w:p>
      <w:pPr>
        <w:jc w:val="center"/>
        <w:ind w:right="5455"/>
        <w:spacing w:after="0"/>
        <w:rPr>
          <w:sz w:val="20"/>
          <w:szCs w:val="20"/>
          <w:color w:val="auto"/>
        </w:rPr>
      </w:pPr>
      <w:r>
        <w:rPr>
          <w:rFonts w:ascii="Courier New" w:cs="Courier New" w:eastAsia="Courier New" w:hAnsi="Courier New"/>
          <w:sz w:val="16"/>
          <w:szCs w:val="16"/>
          <w:color w:val="auto"/>
        </w:rPr>
        <w:t>Rentals receivable (net of nonrecourse</w:t>
      </w:r>
    </w:p>
    <w:p>
      <w:pPr>
        <w:jc w:val="center"/>
        <w:ind w:right="5435"/>
        <w:spacing w:after="0" w:line="237" w:lineRule="auto"/>
        <w:rPr>
          <w:sz w:val="20"/>
          <w:szCs w:val="20"/>
          <w:color w:val="auto"/>
        </w:rPr>
      </w:pPr>
      <w:r>
        <w:rPr>
          <w:rFonts w:ascii="Courier New" w:cs="Courier New" w:eastAsia="Courier New" w:hAnsi="Courier New"/>
          <w:sz w:val="16"/>
          <w:szCs w:val="16"/>
          <w:color w:val="auto"/>
        </w:rPr>
        <w:t>debt*)............... $ 606 $ 616 Estimated</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5"/>
          <w:szCs w:val="15"/>
          <w:color w:val="auto"/>
        </w:rPr>
        <w:t>unguaranteed residual values......................</w:t>
      </w:r>
    </w:p>
    <w:p>
      <w:pPr>
        <w:spacing w:after="0" w:line="5"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6"/>
          <w:szCs w:val="16"/>
          <w:color w:val="auto"/>
        </w:rPr>
        <w:t>244 244 Unearned</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(656) (685) Allowance for credit</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losses................................. (3) (3) --</w:t>
      </w:r>
    </w:p>
    <w:p>
      <w:pPr>
        <w:spacing w:after="0" w:line="10"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5"/>
          <w:szCs w:val="15"/>
          <w:color w:val="auto"/>
        </w:rPr>
        <w:t>--- ----- Investment in leveraged leases (included</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in other assets)... 191 172 Deferred</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taxes..............................................</w:t>
      </w:r>
    </w:p>
    <w:p>
      <w:pPr>
        <w:spacing w:after="0" w:line="5" w:lineRule="exact"/>
        <w:rPr>
          <w:sz w:val="20"/>
          <w:szCs w:val="20"/>
          <w:color w:val="auto"/>
        </w:rPr>
      </w:pPr>
    </w:p>
    <w:p>
      <w:pPr>
        <w:jc w:val="center"/>
        <w:ind w:right="5455"/>
        <w:spacing w:after="0"/>
        <w:rPr>
          <w:sz w:val="20"/>
          <w:szCs w:val="20"/>
          <w:color w:val="auto"/>
        </w:rPr>
      </w:pPr>
      <w:r>
        <w:rPr>
          <w:rFonts w:ascii="Courier New" w:cs="Courier New" w:eastAsia="Courier New" w:hAnsi="Courier New"/>
          <w:sz w:val="16"/>
          <w:szCs w:val="16"/>
          <w:color w:val="auto"/>
        </w:rPr>
        <w:t>41 19 ----- ----- Net investment in leveraged</w:t>
      </w:r>
    </w:p>
    <w:p>
      <w:pPr>
        <w:spacing w:after="0" w:line="4"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5"/>
          <w:szCs w:val="15"/>
          <w:color w:val="auto"/>
        </w:rPr>
        <w:t>leases.......................... $ 150 $ 153 =====</w:t>
      </w:r>
    </w:p>
    <w:p>
      <w:pPr>
        <w:spacing w:after="0" w:line="5" w:lineRule="exact"/>
        <w:rPr>
          <w:sz w:val="20"/>
          <w:szCs w:val="20"/>
          <w:color w:val="auto"/>
        </w:rPr>
      </w:pPr>
    </w:p>
    <w:p>
      <w:pPr>
        <w:jc w:val="center"/>
        <w:ind w:right="5435"/>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184" w:right="2999" w:hanging="184"/>
        <w:spacing w:after="0" w:line="236" w:lineRule="auto"/>
        <w:tabs>
          <w:tab w:leader="none" w:pos="18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rentals receivable are net of nonrecourse debt of $1.2 billion and $1.3 billion at December 31, 2001 and 2000, respectively.</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F-42</w:t>
      </w:r>
    </w:p>
    <w:p>
      <w:pPr>
        <w:sectPr>
          <w:pgSz w:w="11900" w:h="16838" w:orient="portrait"/>
          <w:cols w:equalWidth="0" w:num="1">
            <w:col w:w="10223"/>
          </w:cols>
          <w:pgMar w:left="236" w:top="473" w:right="1440" w:bottom="1440" w:gutter="0" w:footer="0" w:header="0"/>
        </w:sectPr>
      </w:pPr>
    </w:p>
    <w:bookmarkStart w:id="230" w:name="page231"/>
    <w:bookmarkEnd w:id="230"/>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3659" w:firstLine="188"/>
        <w:spacing w:after="0" w:line="236" w:lineRule="auto"/>
        <w:rPr>
          <w:sz w:val="20"/>
          <w:szCs w:val="20"/>
          <w:color w:val="auto"/>
        </w:rPr>
      </w:pPr>
      <w:r>
        <w:rPr>
          <w:rFonts w:ascii="Courier New" w:cs="Courier New" w:eastAsia="Courier New" w:hAnsi="Courier New"/>
          <w:sz w:val="16"/>
          <w:szCs w:val="16"/>
          <w:color w:val="auto"/>
        </w:rPr>
        <w:t>SUPPLEMENTARY STATEMENT OF CHANGES IN COMBINED ATTRIBUTED NET ASSETS INFORMATION</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 ENDED TEN MONTHS DECEMBER 31, ENDED -------------</w:t>
      </w:r>
    </w:p>
    <w:p>
      <w:pPr>
        <w:ind w:left="144"/>
        <w:spacing w:after="0"/>
        <w:rPr>
          <w:sz w:val="20"/>
          <w:szCs w:val="20"/>
          <w:color w:val="auto"/>
        </w:rPr>
      </w:pPr>
      <w:r>
        <w:rPr>
          <w:rFonts w:ascii="Courier New" w:cs="Courier New" w:eastAsia="Courier New" w:hAnsi="Courier New"/>
          <w:sz w:val="16"/>
          <w:szCs w:val="16"/>
          <w:color w:val="auto"/>
        </w:rPr>
        <w:t>DECEMBER 31, 2001 2000 1999 ------ ---- ------------</w:t>
      </w:r>
    </w:p>
    <w:p>
      <w:pPr>
        <w:jc w:val="center"/>
        <w:ind w:right="5055"/>
        <w:spacing w:after="0" w:line="237" w:lineRule="auto"/>
        <w:rPr>
          <w:sz w:val="20"/>
          <w:szCs w:val="20"/>
          <w:color w:val="auto"/>
        </w:rPr>
      </w:pPr>
      <w:r>
        <w:rPr>
          <w:rFonts w:ascii="Courier New" w:cs="Courier New" w:eastAsia="Courier New" w:hAnsi="Courier New"/>
          <w:sz w:val="16"/>
          <w:szCs w:val="16"/>
          <w:color w:val="auto"/>
        </w:rPr>
        <w:t>Reclassification of securities to "trading" in</w:t>
      </w:r>
    </w:p>
    <w:p>
      <w:pPr>
        <w:jc w:val="center"/>
        <w:ind w:right="5055"/>
        <w:spacing w:after="0"/>
        <w:rPr>
          <w:sz w:val="20"/>
          <w:szCs w:val="20"/>
          <w:color w:val="auto"/>
        </w:rPr>
      </w:pPr>
      <w:r>
        <w:rPr>
          <w:rFonts w:ascii="Courier New" w:cs="Courier New" w:eastAsia="Courier New" w:hAnsi="Courier New"/>
          <w:sz w:val="16"/>
          <w:szCs w:val="16"/>
          <w:color w:val="auto"/>
        </w:rPr>
        <w:t>conjunction with the adoption of SFAS 133 (net of</w:t>
      </w:r>
    </w:p>
    <w:p>
      <w:pPr>
        <w:jc w:val="center"/>
        <w:ind w:right="5055"/>
        <w:spacing w:after="0" w:line="238" w:lineRule="auto"/>
        <w:rPr>
          <w:sz w:val="20"/>
          <w:szCs w:val="20"/>
          <w:color w:val="auto"/>
        </w:rPr>
      </w:pPr>
      <w:r>
        <w:rPr>
          <w:rFonts w:ascii="Courier New" w:cs="Courier New" w:eastAsia="Courier New" w:hAnsi="Courier New"/>
          <w:sz w:val="16"/>
          <w:szCs w:val="16"/>
          <w:color w:val="auto"/>
        </w:rPr>
        <w:t>income taxes of $446)</w:t>
      </w:r>
    </w:p>
    <w:p>
      <w:pPr>
        <w:jc w:val="center"/>
        <w:ind w:right="5055"/>
        <w:spacing w:after="0"/>
        <w:rPr>
          <w:sz w:val="20"/>
          <w:szCs w:val="20"/>
          <w:color w:val="auto"/>
        </w:rPr>
      </w:pPr>
      <w:r>
        <w:rPr>
          <w:rFonts w:ascii="Courier New" w:cs="Courier New" w:eastAsia="Courier New" w:hAnsi="Courier New"/>
          <w:sz w:val="16"/>
          <w:szCs w:val="16"/>
          <w:color w:val="auto"/>
        </w:rPr>
        <w:t>(a)............................... $ 708 $ -- $ --</w:t>
      </w:r>
    </w:p>
    <w:p>
      <w:pPr>
        <w:spacing w:after="0" w:line="179" w:lineRule="exact"/>
        <w:rPr>
          <w:sz w:val="20"/>
          <w:szCs w:val="20"/>
          <w:color w:val="auto"/>
        </w:rPr>
      </w:pPr>
    </w:p>
    <w:tbl>
      <w:tblPr>
        <w:tblLayout w:type="fixed"/>
        <w:tblInd w:w="44"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4780" w:type="dxa"/>
            <w:vAlign w:val="bottom"/>
          </w:tcPr>
          <w:p>
            <w:pPr>
              <w:jc w:val="right"/>
              <w:ind w:right="2062"/>
              <w:spacing w:after="0"/>
              <w:rPr>
                <w:sz w:val="20"/>
                <w:szCs w:val="20"/>
                <w:color w:val="auto"/>
              </w:rPr>
            </w:pPr>
            <w:r>
              <w:rPr>
                <w:rFonts w:ascii="Courier New" w:cs="Courier New" w:eastAsia="Courier New" w:hAnsi="Courier New"/>
                <w:sz w:val="16"/>
                <w:szCs w:val="16"/>
                <w:color w:val="auto"/>
              </w:rPr>
              <w:t>of $152)</w:t>
            </w:r>
          </w:p>
        </w:tc>
      </w:tr>
      <w:tr>
        <w:trPr>
          <w:trHeight w:val="180"/>
        </w:trPr>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(b)</w:t>
            </w:r>
          </w:p>
        </w:tc>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w w:val="97"/>
              </w:rPr>
              <w:t>............................................... 240</w:t>
            </w:r>
          </w:p>
        </w:tc>
      </w:tr>
    </w:tbl>
    <w:p>
      <w:pPr>
        <w:spacing w:after="0" w:line="4" w:lineRule="exact"/>
        <w:rPr>
          <w:sz w:val="20"/>
          <w:szCs w:val="20"/>
          <w:color w:val="auto"/>
        </w:rPr>
      </w:pPr>
    </w:p>
    <w:p>
      <w:pPr>
        <w:ind w:left="1164" w:right="5259" w:hanging="976"/>
        <w:spacing w:after="0" w:line="236" w:lineRule="auto"/>
        <w:tabs>
          <w:tab w:leader="none" w:pos="46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Sale of various securities (net of income tax benefit (provision) of $63 and</w:t>
      </w:r>
    </w:p>
    <w:p>
      <w:pPr>
        <w:ind w:left="244"/>
        <w:spacing w:after="0"/>
        <w:rPr>
          <w:sz w:val="20"/>
          <w:szCs w:val="20"/>
          <w:color w:val="auto"/>
        </w:rPr>
      </w:pPr>
      <w:r>
        <w:rPr>
          <w:rFonts w:ascii="Courier New" w:cs="Courier New" w:eastAsia="Courier New" w:hAnsi="Courier New"/>
          <w:sz w:val="16"/>
          <w:szCs w:val="16"/>
          <w:color w:val="auto"/>
        </w:rPr>
        <w:t>$(16)).......................... 100 (27) -- Other</w:t>
      </w:r>
    </w:p>
    <w:p>
      <w:pPr>
        <w:ind w:left="144"/>
        <w:spacing w:after="0" w:line="237" w:lineRule="auto"/>
        <w:rPr>
          <w:sz w:val="20"/>
          <w:szCs w:val="20"/>
          <w:color w:val="auto"/>
        </w:rPr>
      </w:pPr>
      <w:r>
        <w:rPr>
          <w:rFonts w:ascii="Courier New" w:cs="Courier New" w:eastAsia="Courier New" w:hAnsi="Courier New"/>
          <w:sz w:val="16"/>
          <w:szCs w:val="16"/>
          <w:color w:val="auto"/>
        </w:rPr>
        <w:t>than temporary investment impairments (net of income</w:t>
      </w:r>
    </w:p>
    <w:p>
      <w:pPr>
        <w:jc w:val="center"/>
        <w:ind w:right="5055"/>
        <w:spacing w:after="0"/>
        <w:rPr>
          <w:sz w:val="20"/>
          <w:szCs w:val="20"/>
          <w:color w:val="auto"/>
        </w:rPr>
      </w:pPr>
      <w:r>
        <w:rPr>
          <w:rFonts w:ascii="Courier New" w:cs="Courier New" w:eastAsia="Courier New" w:hAnsi="Courier New"/>
          <w:sz w:val="16"/>
          <w:szCs w:val="16"/>
          <w:color w:val="auto"/>
        </w:rPr>
        <w:t>taxes of $197 and $45).......................... 314</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173 -- Revaluation of derivatives (net of income taxes</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52 -- -- ------ ---- ----- Total recognition of</w:t>
      </w:r>
    </w:p>
    <w:p>
      <w:pPr>
        <w:jc w:val="center"/>
        <w:ind w:right="5055"/>
        <w:spacing w:after="0"/>
        <w:rPr>
          <w:sz w:val="20"/>
          <w:szCs w:val="20"/>
          <w:color w:val="auto"/>
        </w:rPr>
      </w:pPr>
      <w:r>
        <w:rPr>
          <w:rFonts w:ascii="Courier New" w:cs="Courier New" w:eastAsia="Courier New" w:hAnsi="Courier New"/>
          <w:sz w:val="16"/>
          <w:szCs w:val="16"/>
          <w:color w:val="auto"/>
        </w:rPr>
        <w:t>previously unrealized losses........ $1,414 $146 $ --</w:t>
      </w:r>
    </w:p>
    <w:p>
      <w:pPr>
        <w:jc w:val="center"/>
        <w:ind w:right="5055"/>
        <w:spacing w:after="0" w:line="237" w:lineRule="auto"/>
        <w:rPr>
          <w:sz w:val="20"/>
          <w:szCs w:val="20"/>
          <w:color w:val="auto"/>
        </w:rPr>
      </w:pPr>
      <w:r>
        <w:rPr>
          <w:rFonts w:ascii="Courier New" w:cs="Courier New" w:eastAsia="Courier New" w:hAnsi="Courier New"/>
          <w:sz w:val="16"/>
          <w:szCs w:val="16"/>
          <w:color w:val="auto"/>
        </w:rPr>
        <w:t>====== ==== =====</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384" w:hanging="384"/>
        <w:spacing w:after="0"/>
        <w:tabs>
          <w:tab w:leader="none" w:pos="384"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10 for further discussion.</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7 for further discussion.</w:t>
      </w:r>
    </w:p>
    <w:p>
      <w:pPr>
        <w:spacing w:after="0" w:line="179" w:lineRule="exact"/>
        <w:rPr>
          <w:rFonts w:ascii="Courier New" w:cs="Courier New" w:eastAsia="Courier New" w:hAnsi="Courier New"/>
          <w:sz w:val="16"/>
          <w:szCs w:val="16"/>
          <w:color w:val="auto"/>
        </w:rPr>
      </w:pP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CASH FLOW INFORMATION</w:t>
      </w:r>
    </w:p>
    <w:p>
      <w:pPr>
        <w:spacing w:after="0" w:line="179" w:lineRule="exact"/>
        <w:rPr>
          <w:sz w:val="20"/>
          <w:szCs w:val="20"/>
          <w:color w:val="auto"/>
        </w:rPr>
      </w:pPr>
    </w:p>
    <w:p>
      <w:pPr>
        <w:jc w:val="center"/>
        <w:ind w:right="7035"/>
        <w:spacing w:after="0"/>
        <w:rPr>
          <w:sz w:val="20"/>
          <w:szCs w:val="20"/>
          <w:color w:val="auto"/>
        </w:rPr>
      </w:pPr>
      <w:r>
        <w:rPr>
          <w:rFonts w:ascii="Courier New" w:cs="Courier New" w:eastAsia="Courier New" w:hAnsi="Courier New"/>
          <w:sz w:val="16"/>
          <w:szCs w:val="16"/>
          <w:color w:val="auto"/>
        </w:rPr>
        <w:t>YEAR ENDED TEN MONTHS DECEMBER</w:t>
      </w:r>
    </w:p>
    <w:p>
      <w:pPr>
        <w:ind w:left="424"/>
        <w:spacing w:after="0"/>
        <w:rPr>
          <w:sz w:val="20"/>
          <w:szCs w:val="20"/>
          <w:color w:val="auto"/>
        </w:rPr>
      </w:pPr>
      <w:r>
        <w:rPr>
          <w:rFonts w:ascii="Courier New" w:cs="Courier New" w:eastAsia="Courier New" w:hAnsi="Courier New"/>
          <w:sz w:val="16"/>
          <w:szCs w:val="16"/>
          <w:color w:val="auto"/>
        </w:rPr>
        <w:t>31, ENDED ---------------</w:t>
      </w:r>
    </w:p>
    <w:p>
      <w:pPr>
        <w:ind w:left="44"/>
        <w:spacing w:after="0" w:line="237" w:lineRule="auto"/>
        <w:rPr>
          <w:sz w:val="20"/>
          <w:szCs w:val="20"/>
          <w:color w:val="auto"/>
        </w:rPr>
      </w:pPr>
      <w:r>
        <w:rPr>
          <w:rFonts w:ascii="Courier New" w:cs="Courier New" w:eastAsia="Courier New" w:hAnsi="Courier New"/>
          <w:sz w:val="16"/>
          <w:szCs w:val="16"/>
          <w:color w:val="auto"/>
        </w:rPr>
        <w:t>DECEMBER 31, 2001 2000 1999 -----</w:t>
      </w:r>
    </w:p>
    <w:p>
      <w:pPr>
        <w:ind w:left="184"/>
        <w:spacing w:after="0"/>
        <w:rPr>
          <w:sz w:val="20"/>
          <w:szCs w:val="20"/>
          <w:color w:val="auto"/>
        </w:rPr>
      </w:pPr>
      <w:r>
        <w:rPr>
          <w:rFonts w:ascii="Courier New" w:cs="Courier New" w:eastAsia="Courier New" w:hAnsi="Courier New"/>
          <w:sz w:val="16"/>
          <w:szCs w:val="16"/>
          <w:color w:val="auto"/>
        </w:rPr>
        <w:t>- ------ ------------ Interest</w:t>
      </w:r>
    </w:p>
    <w:p>
      <w:pPr>
        <w:jc w:val="center"/>
        <w:ind w:right="7035"/>
        <w:spacing w:after="0" w:line="238" w:lineRule="auto"/>
        <w:rPr>
          <w:sz w:val="20"/>
          <w:szCs w:val="20"/>
          <w:color w:val="auto"/>
        </w:rPr>
      </w:pPr>
      <w:r>
        <w:rPr>
          <w:rFonts w:ascii="Courier New" w:cs="Courier New" w:eastAsia="Courier New" w:hAnsi="Courier New"/>
          <w:sz w:val="16"/>
          <w:szCs w:val="16"/>
          <w:color w:val="auto"/>
        </w:rPr>
        <w:t>payments, net of amounts</w:t>
      </w:r>
    </w:p>
    <w:p>
      <w:pPr>
        <w:ind w:left="284"/>
        <w:spacing w:after="0"/>
        <w:rPr>
          <w:sz w:val="20"/>
          <w:szCs w:val="20"/>
          <w:color w:val="auto"/>
        </w:rPr>
      </w:pPr>
      <w:r>
        <w:rPr>
          <w:rFonts w:ascii="Courier New" w:cs="Courier New" w:eastAsia="Courier New" w:hAnsi="Courier New"/>
          <w:sz w:val="16"/>
          <w:szCs w:val="16"/>
          <w:color w:val="auto"/>
        </w:rPr>
        <w:t>capitalized.......... $1,555</w:t>
      </w:r>
    </w:p>
    <w:p>
      <w:pPr>
        <w:jc w:val="center"/>
        <w:ind w:right="7035"/>
        <w:spacing w:after="0" w:line="238" w:lineRule="auto"/>
        <w:rPr>
          <w:sz w:val="20"/>
          <w:szCs w:val="20"/>
          <w:color w:val="auto"/>
        </w:rPr>
      </w:pPr>
      <w:r>
        <w:rPr>
          <w:rFonts w:ascii="Courier New" w:cs="Courier New" w:eastAsia="Courier New" w:hAnsi="Courier New"/>
          <w:sz w:val="16"/>
          <w:szCs w:val="16"/>
          <w:color w:val="auto"/>
        </w:rPr>
        <w:t>$1,016 $488 ====== ====== ====</w:t>
      </w:r>
    </w:p>
    <w:p>
      <w:pPr>
        <w:jc w:val="center"/>
        <w:ind w:right="7035"/>
        <w:spacing w:after="0"/>
        <w:rPr>
          <w:sz w:val="20"/>
          <w:szCs w:val="20"/>
          <w:color w:val="auto"/>
        </w:rPr>
      </w:pPr>
      <w:r>
        <w:rPr>
          <w:rFonts w:ascii="Courier New" w:cs="Courier New" w:eastAsia="Courier New" w:hAnsi="Courier New"/>
          <w:sz w:val="16"/>
          <w:szCs w:val="16"/>
          <w:color w:val="auto"/>
        </w:rPr>
        <w:t>Income tax (refunds)</w:t>
      </w:r>
    </w:p>
    <w:p>
      <w:pPr>
        <w:ind w:left="4"/>
        <w:spacing w:after="0" w:line="237" w:lineRule="auto"/>
        <w:rPr>
          <w:sz w:val="20"/>
          <w:szCs w:val="20"/>
          <w:color w:val="auto"/>
        </w:rPr>
      </w:pPr>
      <w:r>
        <w:rPr>
          <w:rFonts w:ascii="Courier New" w:cs="Courier New" w:eastAsia="Courier New" w:hAnsi="Courier New"/>
          <w:sz w:val="16"/>
          <w:szCs w:val="16"/>
          <w:color w:val="auto"/>
        </w:rPr>
        <w:t>payments..........................</w:t>
      </w:r>
    </w:p>
    <w:p>
      <w:pPr>
        <w:ind w:left="384" w:hanging="197"/>
        <w:spacing w:after="0"/>
        <w:tabs>
          <w:tab w:leader="none" w:pos="384"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(442) $ 62 $ 8 ====== ======</w:t>
      </w:r>
    </w:p>
    <w:p>
      <w:pPr>
        <w:ind w:left="14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184" w:right="4319" w:hanging="184"/>
        <w:spacing w:after="0" w:line="471" w:lineRule="auto"/>
        <w:tabs>
          <w:tab w:leader="none" w:pos="371"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ACQUISITIONS, VENTURES, DISPOSITIONS AND EXCHANGES MERGER WITH TELE-COMMUNICATIONS, INC.</w:t>
      </w:r>
    </w:p>
    <w:p>
      <w:pPr>
        <w:spacing w:after="0" w:line="10"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pacing w:after="0" w:line="17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F-43</w:t>
      </w:r>
    </w:p>
    <w:p>
      <w:pPr>
        <w:sectPr>
          <w:pgSz w:w="11900" w:h="16838" w:orient="portrait"/>
          <w:cols w:equalWidth="0" w:num="1">
            <w:col w:w="10223"/>
          </w:cols>
          <w:pgMar w:left="236" w:top="473" w:right="1440" w:bottom="1440" w:gutter="0" w:footer="0" w:header="0"/>
        </w:sectPr>
      </w:pPr>
    </w:p>
    <w:bookmarkStart w:id="231" w:name="page232"/>
    <w:bookmarkEnd w:id="23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5"/>
          <w:szCs w:val="15"/>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MERGER WITH MEDIAONE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190"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 FORMA RESULTS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Following is a summary of the pro forma results of AT&amp;T Broadband Group as if the MediaOne Merger had closed effective March 1, 1999:</w:t>
      </w:r>
    </w:p>
    <w:p>
      <w:pPr>
        <w:spacing w:after="0" w:line="180"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TEN MONTHS YEAR ENDED ENDED DECEMBER 31, DECEMBER 31, 2000</w:t>
      </w:r>
    </w:p>
    <w:p>
      <w:pPr>
        <w:jc w:val="center"/>
        <w:ind w:right="4599"/>
        <w:spacing w:after="0"/>
        <w:rPr>
          <w:sz w:val="20"/>
          <w:szCs w:val="20"/>
          <w:color w:val="auto"/>
        </w:rPr>
      </w:pPr>
      <w:r>
        <w:rPr>
          <w:rFonts w:ascii="Courier New" w:cs="Courier New" w:eastAsia="Courier New" w:hAnsi="Courier New"/>
          <w:sz w:val="16"/>
          <w:szCs w:val="16"/>
          <w:color w:val="auto"/>
        </w:rPr>
        <w:t>1999 ------------ ------------ (UNAUDITED)</w:t>
      </w:r>
    </w:p>
    <w:p>
      <w:pPr>
        <w:spacing w:after="0" w:line="3"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Revenue.....................................................</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$ 9,770 $7,326 Operating</w:t>
      </w:r>
    </w:p>
    <w:p>
      <w:pPr>
        <w:jc w:val="center"/>
        <w:ind w:right="4599"/>
        <w:spacing w:after="0"/>
        <w:rPr>
          <w:sz w:val="20"/>
          <w:szCs w:val="20"/>
          <w:color w:val="auto"/>
        </w:rPr>
      </w:pPr>
      <w:r>
        <w:rPr>
          <w:rFonts w:ascii="Courier New" w:cs="Courier New" w:eastAsia="Courier New" w:hAnsi="Courier New"/>
          <w:sz w:val="16"/>
          <w:szCs w:val="16"/>
          <w:color w:val="auto"/>
        </w:rPr>
        <w:t>loss.............................................. $ 9,089</w:t>
      </w:r>
    </w:p>
    <w:p>
      <w:pPr>
        <w:jc w:val="center"/>
        <w:ind w:right="4599"/>
        <w:spacing w:after="0" w:line="237" w:lineRule="auto"/>
        <w:rPr>
          <w:sz w:val="20"/>
          <w:szCs w:val="20"/>
          <w:color w:val="auto"/>
        </w:rPr>
      </w:pPr>
      <w:r>
        <w:rPr>
          <w:rFonts w:ascii="Courier New" w:cs="Courier New" w:eastAsia="Courier New" w:hAnsi="Courier New"/>
          <w:sz w:val="16"/>
          <w:szCs w:val="16"/>
          <w:color w:val="auto"/>
        </w:rPr>
        <w:t>$1,832 Net (loss)</w:t>
      </w:r>
    </w:p>
    <w:p>
      <w:pPr>
        <w:jc w:val="center"/>
        <w:ind w:right="4599"/>
        <w:spacing w:after="0"/>
        <w:rPr>
          <w:sz w:val="20"/>
          <w:szCs w:val="20"/>
          <w:color w:val="auto"/>
        </w:rPr>
      </w:pPr>
      <w:r>
        <w:rPr>
          <w:rFonts w:ascii="Courier New" w:cs="Courier New" w:eastAsia="Courier New" w:hAnsi="Courier New"/>
          <w:sz w:val="16"/>
          <w:szCs w:val="16"/>
          <w:color w:val="auto"/>
        </w:rPr>
        <w:t>income........................................... $(4,422)</w:t>
      </w:r>
    </w:p>
    <w:p>
      <w:pPr>
        <w:jc w:val="center"/>
        <w:ind w:right="4599"/>
        <w:spacing w:after="0" w:line="238" w:lineRule="auto"/>
        <w:rPr>
          <w:sz w:val="20"/>
          <w:szCs w:val="20"/>
          <w:color w:val="auto"/>
        </w:rPr>
      </w:pPr>
      <w:r>
        <w:rPr>
          <w:rFonts w:ascii="Courier New" w:cs="Courier New" w:eastAsia="Courier New" w:hAnsi="Courier New"/>
          <w:sz w:val="16"/>
          <w:szCs w:val="16"/>
          <w:color w:val="auto"/>
        </w:rPr>
        <w:t>$1,047</w:t>
      </w:r>
    </w:p>
    <w:p>
      <w:pPr>
        <w:spacing w:after="0" w:line="36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Pro forma data may not be indicative of the results that would have been obtained had the events actually occurred at the beginning of the periods presented, nor does it intend to be a projection of future results.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CABLEVISION SYSTEMS CORPORATION ("CABLEVISION") AND RAINBOW MEDIA GROUP</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F-44</w:t>
      </w:r>
    </w:p>
    <w:p>
      <w:pPr>
        <w:sectPr>
          <w:pgSz w:w="11900" w:h="16838" w:orient="portrait"/>
          <w:cols w:equalWidth="0" w:num="1">
            <w:col w:w="10219"/>
          </w:cols>
          <w:pgMar w:left="240" w:top="473" w:right="1440" w:bottom="1440" w:gutter="0" w:footer="0" w:header="0"/>
        </w:sectPr>
      </w:pPr>
    </w:p>
    <w:bookmarkStart w:id="232" w:name="page233"/>
    <w:bookmarkEnd w:id="23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17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CORPORATION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35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F-45</w:t>
      </w:r>
    </w:p>
    <w:p>
      <w:pPr>
        <w:sectPr>
          <w:pgSz w:w="11900" w:h="16838" w:orient="portrait"/>
          <w:cols w:equalWidth="0" w:num="1">
            <w:col w:w="10219"/>
          </w:cols>
          <w:pgMar w:left="240" w:top="473" w:right="1440" w:bottom="1440" w:gutter="0" w:footer="0" w:header="0"/>
        </w:sectPr>
      </w:pPr>
    </w:p>
    <w:bookmarkStart w:id="233" w:name="page234"/>
    <w:bookmarkEnd w:id="23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AND COMCAST AGREEMENT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 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INSIGHT COMMUNICATIONS COMPANY LP</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KEARNS-TRIBUNE, LLC</w:t>
      </w:r>
    </w:p>
    <w:p>
      <w:pPr>
        <w:spacing w:after="0" w:line="185" w:lineRule="exact"/>
        <w:rPr>
          <w:sz w:val="20"/>
          <w:szCs w:val="20"/>
          <w:color w:val="auto"/>
        </w:rPr>
      </w:pPr>
    </w:p>
    <w:p>
      <w:pPr>
        <w:ind w:right="2719" w:firstLine="469"/>
        <w:spacing w:after="0"/>
        <w:rPr>
          <w:sz w:val="20"/>
          <w:szCs w:val="20"/>
          <w:color w:val="auto"/>
        </w:rPr>
      </w:pPr>
      <w:r>
        <w:rPr>
          <w:rFonts w:ascii="Courier New" w:cs="Courier New" w:eastAsia="Courier New" w:hAnsi="Courier New"/>
          <w:sz w:val="16"/>
          <w:szCs w:val="16"/>
          <w:color w:val="auto"/>
        </w:rPr>
        <w:t>On January 2, 2001, AT&amp;T, through ATTBLLC, completed the sale of Kearns-Tribune, LLC to MediaNews Group for $200 in cash. The transaction resulted in a pretax gain of approximately $117 recorded in investment (expense) income.</w:t>
      </w:r>
    </w:p>
    <w:p>
      <w:pPr>
        <w:spacing w:after="0" w:line="35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COMCAST</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MEDIACOM COMMUNICATIONS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F-46</w:t>
      </w:r>
    </w:p>
    <w:p>
      <w:pPr>
        <w:sectPr>
          <w:pgSz w:w="11900" w:h="16838" w:orient="portrait"/>
          <w:cols w:equalWidth="0" w:num="1">
            <w:col w:w="10219"/>
          </w:cols>
          <w:pgMar w:left="240" w:top="473" w:right="1440" w:bottom="1440" w:gutter="0" w:footer="0" w:header="0"/>
        </w:sectPr>
      </w:pPr>
    </w:p>
    <w:bookmarkStart w:id="234" w:name="page235"/>
    <w:bookmarkEnd w:id="23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July 18, 2001, subsidiaries of AT&amp;T sold to MediaCom cable systems</w:t>
      </w:r>
    </w:p>
    <w:p>
      <w:pPr>
        <w:spacing w:after="0"/>
        <w:rPr>
          <w:sz w:val="20"/>
          <w:szCs w:val="20"/>
          <w:color w:val="auto"/>
        </w:rPr>
      </w:pPr>
      <w:r>
        <w:rPr>
          <w:rFonts w:ascii="Courier New" w:cs="Courier New" w:eastAsia="Courier New" w:hAnsi="Courier New"/>
          <w:sz w:val="16"/>
          <w:szCs w:val="16"/>
          <w:color w:val="auto"/>
        </w:rPr>
        <w:t>attributed to AT&amp;T Broadband Group serving approximately 710,000 customers</w:t>
      </w:r>
    </w:p>
    <w:p>
      <w:pPr>
        <w:spacing w:after="0" w:line="237" w:lineRule="auto"/>
        <w:rPr>
          <w:sz w:val="20"/>
          <w:szCs w:val="20"/>
          <w:color w:val="auto"/>
        </w:rPr>
      </w:pPr>
      <w:r>
        <w:rPr>
          <w:rFonts w:ascii="Courier New" w:cs="Courier New" w:eastAsia="Courier New" w:hAnsi="Courier New"/>
          <w:sz w:val="16"/>
          <w:szCs w:val="16"/>
          <w:color w:val="auto"/>
        </w:rPr>
        <w:t>located primarily in Georgia, Iowa and Southern Illinois for approximately</w:t>
      </w:r>
    </w:p>
    <w:p>
      <w:pPr>
        <w:spacing w:after="0"/>
        <w:rPr>
          <w:sz w:val="20"/>
          <w:szCs w:val="20"/>
          <w:color w:val="auto"/>
        </w:rPr>
      </w:pPr>
      <w:r>
        <w:rPr>
          <w:rFonts w:ascii="Courier New" w:cs="Courier New" w:eastAsia="Courier New" w:hAnsi="Courier New"/>
          <w:sz w:val="16"/>
          <w:szCs w:val="16"/>
          <w:color w:val="auto"/>
        </w:rPr>
        <w:t>$1,724 in net cash proceeds. The transaction resulted in a pretax loss of $93</w:t>
      </w:r>
    </w:p>
    <w:p>
      <w:pPr>
        <w:spacing w:after="0" w:line="238" w:lineRule="auto"/>
        <w:rPr>
          <w:sz w:val="20"/>
          <w:szCs w:val="20"/>
          <w:color w:val="auto"/>
        </w:rPr>
      </w:pPr>
      <w:r>
        <w:rPr>
          <w:rFonts w:ascii="Courier New" w:cs="Courier New" w:eastAsia="Courier New" w:hAnsi="Courier New"/>
          <w:sz w:val="16"/>
          <w:szCs w:val="16"/>
          <w:color w:val="auto"/>
        </w:rPr>
        <w:t>recorded in investment (expense)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CHARTER COMMUNICATIONS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LENFEST COMMUNICATIONS, INC.</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COMMUNICATIONS, INC.</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ASSET IMPAIRMENT, RESTRUCTURING AND OTHER CHARGES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F-47</w:t>
      </w:r>
    </w:p>
    <w:p>
      <w:pPr>
        <w:sectPr>
          <w:pgSz w:w="11900" w:h="16838" w:orient="portrait"/>
          <w:cols w:equalWidth="0" w:num="1">
            <w:col w:w="10219"/>
          </w:cols>
          <w:pgMar w:left="240" w:top="473" w:right="1440" w:bottom="1440" w:gutter="0" w:footer="0" w:header="0"/>
        </w:sectPr>
      </w:pPr>
    </w:p>
    <w:bookmarkStart w:id="235" w:name="page236"/>
    <w:bookmarkEnd w:id="23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 from January 1, 2000, to December 31, 2001. There was no activity in the restructuring reserve account in 1999.</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EMPLOYEE FACILITY TYPE OF COST SEPARATIONS</w:t>
      </w:r>
    </w:p>
    <w:tbl>
      <w:tblPr>
        <w:tblLayout w:type="fixed"/>
        <w:tblInd w:w="0" w:type="dxa"/>
        <w:tblCellMar>
          <w:top w:w="0" w:type="dxa"/>
          <w:left w:w="0" w:type="dxa"/>
          <w:bottom w:w="0" w:type="dxa"/>
          <w:right w:w="0" w:type="dxa"/>
        </w:tblCellMar>
      </w:tblP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CLOSINGS OTHER TOTAL</w:t>
            </w:r>
          </w:p>
        </w:tc>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2"/>
              </w:rPr>
              <w:t>-------- ----- -----</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January 1,</w:t>
            </w:r>
          </w:p>
        </w:tc>
        <w:tc>
          <w:tcPr>
            <w:tcW w:w="36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2000...................................</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w:t>
            </w:r>
          </w:p>
        </w:tc>
        <w:tc>
          <w:tcPr>
            <w:tcW w:w="1740" w:type="dxa"/>
            <w:vAlign w:val="bottom"/>
          </w:tcPr>
          <w:p>
            <w:pPr>
              <w:jc w:val="right"/>
              <w:ind w:right="1202"/>
              <w:spacing w:after="0"/>
              <w:rPr>
                <w:sz w:val="20"/>
                <w:szCs w:val="20"/>
                <w:color w:val="auto"/>
              </w:rPr>
            </w:pPr>
            <w:r>
              <w:rPr>
                <w:rFonts w:ascii="Courier New" w:cs="Courier New" w:eastAsia="Courier New" w:hAnsi="Courier New"/>
                <w:sz w:val="16"/>
                <w:szCs w:val="16"/>
                <w:color w:val="auto"/>
              </w:rPr>
              <w:t>$ --</w:t>
            </w:r>
          </w:p>
        </w:tc>
        <w:tc>
          <w:tcPr>
            <w:tcW w:w="360" w:type="dxa"/>
            <w:vAlign w:val="bottom"/>
          </w:tcPr>
          <w:p>
            <w:pPr>
              <w:spacing w:after="0"/>
              <w:rPr>
                <w:sz w:val="15"/>
                <w:szCs w:val="15"/>
                <w:color w:val="auto"/>
              </w:rPr>
            </w:pPr>
          </w:p>
        </w:tc>
      </w:t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4"/>
              </w:rPr>
              <w:t>Additions.......................................</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61 30 --</w:t>
            </w:r>
          </w:p>
        </w:tc>
        <w:tc>
          <w:tcPr>
            <w:tcW w:w="17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91</w:t>
            </w:r>
          </w:p>
        </w:tc>
        <w:tc>
          <w:tcPr>
            <w:tcW w:w="360" w:type="dxa"/>
            <w:vAlign w:val="bottom"/>
          </w:tcPr>
          <w:p>
            <w:pPr>
              <w:spacing w:after="0"/>
              <w:rPr>
                <w:sz w:val="15"/>
                <w:szCs w:val="15"/>
                <w:color w:val="auto"/>
              </w:rPr>
            </w:pPr>
          </w:p>
        </w:tc>
      </w:t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4"/>
              </w:rPr>
              <w:t>Deductions......................................</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(75)</w:t>
            </w:r>
          </w:p>
        </w:tc>
        <w:tc>
          <w:tcPr>
            <w:tcW w:w="248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 -----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6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December 31,</w:t>
            </w:r>
          </w:p>
        </w:tc>
        <w:tc>
          <w:tcPr>
            <w:tcW w:w="36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1"/>
              </w:rPr>
              <w:t>2000.................................</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4"/>
              </w:rPr>
              <w:t>Additions.......................................</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156</w:t>
            </w:r>
          </w:p>
        </w:tc>
        <w:tc>
          <w:tcPr>
            <w:tcW w:w="1740" w:type="dxa"/>
            <w:vAlign w:val="bottom"/>
          </w:tcPr>
          <w:p>
            <w:pPr>
              <w:jc w:val="right"/>
              <w:ind w:right="1102"/>
              <w:spacing w:after="0"/>
              <w:rPr>
                <w:sz w:val="20"/>
                <w:szCs w:val="20"/>
                <w:color w:val="auto"/>
              </w:rPr>
            </w:pPr>
            <w:r>
              <w:rPr>
                <w:rFonts w:ascii="Courier New" w:cs="Courier New" w:eastAsia="Courier New" w:hAnsi="Courier New"/>
                <w:sz w:val="16"/>
                <w:szCs w:val="16"/>
                <w:color w:val="auto"/>
                <w:w w:val="93"/>
              </w:rPr>
              <w:t>16 323</w:t>
            </w:r>
          </w:p>
        </w:tc>
        <w:tc>
          <w:tcPr>
            <w:tcW w:w="360" w:type="dxa"/>
            <w:vAlign w:val="bottom"/>
          </w:tcPr>
          <w:p>
            <w:pPr>
              <w:spacing w:after="0"/>
              <w:rPr>
                <w:sz w:val="15"/>
                <w:szCs w:val="15"/>
                <w:color w:val="auto"/>
              </w:rPr>
            </w:pPr>
          </w:p>
        </w:tc>
      </w:tr>
      <w:tr>
        <w:trPr>
          <w:trHeight w:val="180"/>
        </w:trPr>
        <w:tc>
          <w:tcPr>
            <w:tcW w:w="19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4"/>
              </w:rPr>
              <w:t>Deductions......................................</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700" w:type="dxa"/>
            <w:vAlign w:val="bottom"/>
          </w:tcPr>
          <w:p>
            <w:pPr>
              <w:jc w:val="right"/>
              <w:ind w:right="52"/>
              <w:spacing w:after="0"/>
              <w:rPr>
                <w:sz w:val="20"/>
                <w:szCs w:val="20"/>
                <w:color w:val="auto"/>
              </w:rPr>
            </w:pPr>
            <w:r>
              <w:rPr>
                <w:rFonts w:ascii="Courier New" w:cs="Courier New" w:eastAsia="Courier New" w:hAnsi="Courier New"/>
                <w:sz w:val="16"/>
                <w:szCs w:val="16"/>
                <w:color w:val="auto"/>
              </w:rPr>
              <w:t>(145)</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(144)</w:t>
            </w:r>
          </w:p>
        </w:tc>
        <w:tc>
          <w:tcPr>
            <w:tcW w:w="322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w w:val="98"/>
              </w:rPr>
              <w:t>(16) (305) ----- ----- ---- -----</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6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December 31,</w:t>
            </w:r>
          </w:p>
        </w:tc>
        <w:tc>
          <w:tcPr>
            <w:tcW w:w="36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1"/>
              </w:rPr>
              <w:t>2001.................................</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$ 22</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$ 12</w:t>
            </w:r>
          </w:p>
        </w:tc>
      </w:tr>
      <w:tr>
        <w:trPr>
          <w:trHeight w:val="180"/>
        </w:trPr>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 --</w:t>
            </w:r>
          </w:p>
        </w:tc>
        <w:tc>
          <w:tcPr>
            <w:tcW w:w="2860" w:type="dxa"/>
            <w:vAlign w:val="bottom"/>
            <w:gridSpan w:val="3"/>
          </w:tcPr>
          <w:p>
            <w:pPr>
              <w:jc w:val="right"/>
              <w:ind w:right="262"/>
              <w:spacing w:after="0"/>
              <w:rPr>
                <w:sz w:val="20"/>
                <w:szCs w:val="20"/>
                <w:color w:val="auto"/>
              </w:rPr>
            </w:pPr>
            <w:r>
              <w:rPr>
                <w:rFonts w:ascii="Courier New" w:cs="Courier New" w:eastAsia="Courier New" w:hAnsi="Courier New"/>
                <w:sz w:val="16"/>
                <w:szCs w:val="16"/>
                <w:color w:val="auto"/>
                <w:w w:val="96"/>
              </w:rPr>
              <w:t>$ 34 ===== ===== ==== =====</w:t>
            </w:r>
          </w:p>
        </w:tc>
        <w:tc>
          <w:tcPr>
            <w:tcW w:w="360" w:type="dxa"/>
            <w:vAlign w:val="bottom"/>
          </w:tcPr>
          <w:p>
            <w:pPr>
              <w:spacing w:after="0"/>
              <w:rPr>
                <w:sz w:val="15"/>
                <w:szCs w:val="15"/>
                <w:color w:val="auto"/>
              </w:rPr>
            </w:pPr>
          </w:p>
        </w:tc>
      </w:tr>
    </w:tbl>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189"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During 2000, AT&amp;T Broadband Group recorded $6,270 of asset impairment, restructuring and other charges which included $6,179 of asset impairment charges related to Excite@Home.</w:t>
      </w:r>
    </w:p>
    <w:p>
      <w:pPr>
        <w:spacing w:after="0" w:line="185"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188"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F-48</w:t>
      </w:r>
    </w:p>
    <w:p>
      <w:pPr>
        <w:sectPr>
          <w:pgSz w:w="11900" w:h="16838" w:orient="portrait"/>
          <w:cols w:equalWidth="0" w:num="1">
            <w:col w:w="10219"/>
          </w:cols>
          <w:pgMar w:left="240" w:top="473" w:right="1440" w:bottom="1440" w:gutter="0" w:footer="0" w:header="0"/>
        </w:sectPr>
      </w:pPr>
    </w:p>
    <w:bookmarkStart w:id="236" w:name="page237"/>
    <w:bookmarkEnd w:id="236"/>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As a result of these factors, Excite@Home determined that the intangible assets related to the acquisitions might not be recoverable and conducted impairment tests.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F-49</w:t>
      </w:r>
    </w:p>
    <w:p>
      <w:pPr>
        <w:sectPr>
          <w:pgSz w:w="11900" w:h="16838" w:orient="portrait"/>
          <w:cols w:equalWidth="0" w:num="1">
            <w:col w:w="10219"/>
          </w:cols>
          <w:pgMar w:left="240" w:top="473" w:right="1440" w:bottom="1440" w:gutter="0" w:footer="0" w:header="0"/>
        </w:sectPr>
      </w:pPr>
    </w:p>
    <w:bookmarkStart w:id="237" w:name="page238"/>
    <w:bookmarkEnd w:id="237"/>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INVESTMENTS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F-50</w:t>
      </w:r>
    </w:p>
    <w:p>
      <w:pPr>
        <w:sectPr>
          <w:pgSz w:w="11900" w:h="16838" w:orient="portrait"/>
          <w:cols w:equalWidth="0" w:num="1">
            <w:col w:w="10219"/>
          </w:cols>
          <w:pgMar w:left="240" w:top="473" w:right="1440" w:bottom="1440" w:gutter="0" w:footer="0" w:header="0"/>
        </w:sectPr>
      </w:pPr>
    </w:p>
    <w:bookmarkStart w:id="238" w:name="page239"/>
    <w:bookmarkEnd w:id="238"/>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Ownership of significant equity investments attributed to AT&amp;T Broadband Group was as follows:</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AT DECEMBER 31, ----------------- 2001 2000 ---</w:t>
      </w:r>
    </w:p>
    <w:p>
      <w:pPr>
        <w:jc w:val="center"/>
        <w:ind w:right="5715"/>
        <w:spacing w:after="0"/>
        <w:rPr>
          <w:sz w:val="20"/>
          <w:szCs w:val="20"/>
          <w:color w:val="auto"/>
        </w:rPr>
      </w:pPr>
      <w:r>
        <w:rPr>
          <w:rFonts w:ascii="Courier New" w:cs="Courier New" w:eastAsia="Courier New" w:hAnsi="Courier New"/>
          <w:sz w:val="16"/>
          <w:szCs w:val="16"/>
          <w:color w:val="auto"/>
        </w:rPr>
        <w:t>--- ------ Cablevision Systems</w:t>
      </w:r>
    </w:p>
    <w:p>
      <w:pPr>
        <w:spacing w:after="0" w:line="3"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Corporation............................. --%(a)</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27.98%(a) Texas Cable</w:t>
      </w:r>
    </w:p>
    <w:p>
      <w:pPr>
        <w:spacing w:after="0" w:line="4"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Partnerships....................................</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50.00% 50.00% Insight Midwest</w:t>
      </w:r>
    </w:p>
    <w:p>
      <w:pPr>
        <w:jc w:val="center"/>
        <w:ind w:right="5715"/>
        <w:spacing w:after="0"/>
        <w:rPr>
          <w:sz w:val="20"/>
          <w:szCs w:val="20"/>
          <w:color w:val="auto"/>
        </w:rPr>
      </w:pPr>
      <w:r>
        <w:rPr>
          <w:rFonts w:ascii="Courier New" w:cs="Courier New" w:eastAsia="Courier New" w:hAnsi="Courier New"/>
          <w:sz w:val="16"/>
          <w:szCs w:val="16"/>
          <w:color w:val="auto"/>
        </w:rPr>
        <w:t>LP..........................................</w:t>
      </w:r>
    </w:p>
    <w:p>
      <w:pPr>
        <w:jc w:val="center"/>
        <w:ind w:right="5715"/>
        <w:spacing w:after="0" w:line="237" w:lineRule="auto"/>
        <w:rPr>
          <w:sz w:val="20"/>
          <w:szCs w:val="20"/>
          <w:color w:val="auto"/>
        </w:rPr>
      </w:pPr>
      <w:r>
        <w:rPr>
          <w:rFonts w:ascii="Courier New" w:cs="Courier New" w:eastAsia="Courier New" w:hAnsi="Courier New"/>
          <w:sz w:val="16"/>
          <w:szCs w:val="16"/>
          <w:color w:val="auto"/>
        </w:rPr>
        <w:t>50.00% 50.00% Century-TCI California</w:t>
      </w:r>
    </w:p>
    <w:p>
      <w:pPr>
        <w:jc w:val="center"/>
        <w:ind w:right="5715"/>
        <w:spacing w:after="0"/>
        <w:rPr>
          <w:sz w:val="20"/>
          <w:szCs w:val="20"/>
          <w:color w:val="auto"/>
        </w:rPr>
      </w:pPr>
      <w:r>
        <w:rPr>
          <w:rFonts w:ascii="Courier New" w:cs="Courier New" w:eastAsia="Courier New" w:hAnsi="Courier New"/>
          <w:sz w:val="16"/>
          <w:szCs w:val="16"/>
          <w:color w:val="auto"/>
        </w:rPr>
        <w:t>Communications, LP................... 25.00%</w:t>
      </w:r>
    </w:p>
    <w:p>
      <w:pPr>
        <w:jc w:val="center"/>
        <w:ind w:right="5715"/>
        <w:spacing w:after="0" w:line="238" w:lineRule="auto"/>
        <w:rPr>
          <w:sz w:val="20"/>
          <w:szCs w:val="20"/>
          <w:color w:val="auto"/>
        </w:rPr>
      </w:pPr>
      <w:r>
        <w:rPr>
          <w:rFonts w:ascii="Courier New" w:cs="Courier New" w:eastAsia="Courier New" w:hAnsi="Courier New"/>
          <w:sz w:val="16"/>
          <w:szCs w:val="16"/>
          <w:color w:val="auto"/>
        </w:rPr>
        <w:t>25.00% Kansas City Cable</w:t>
      </w:r>
    </w:p>
    <w:p>
      <w:pPr>
        <w:jc w:val="center"/>
        <w:ind w:right="5715"/>
        <w:spacing w:after="0"/>
        <w:rPr>
          <w:sz w:val="20"/>
          <w:szCs w:val="20"/>
          <w:color w:val="auto"/>
        </w:rPr>
      </w:pPr>
      <w:r>
        <w:rPr>
          <w:rFonts w:ascii="Courier New" w:cs="Courier New" w:eastAsia="Courier New" w:hAnsi="Courier New"/>
          <w:sz w:val="16"/>
          <w:szCs w:val="16"/>
          <w:color w:val="auto"/>
        </w:rPr>
        <w:t>Partners..................................</w:t>
      </w:r>
    </w:p>
    <w:p>
      <w:pPr>
        <w:jc w:val="center"/>
        <w:ind w:right="5715"/>
        <w:spacing w:after="0" w:line="238" w:lineRule="auto"/>
        <w:rPr>
          <w:sz w:val="20"/>
          <w:szCs w:val="20"/>
          <w:color w:val="auto"/>
        </w:rPr>
      </w:pPr>
      <w:r>
        <w:rPr>
          <w:rFonts w:ascii="Courier New" w:cs="Courier New" w:eastAsia="Courier New" w:hAnsi="Courier New"/>
          <w:sz w:val="16"/>
          <w:szCs w:val="16"/>
          <w:color w:val="auto"/>
        </w:rPr>
        <w:t>50.00% 50.00% Parnassos Communications,</w:t>
      </w:r>
    </w:p>
    <w:p>
      <w:pPr>
        <w:jc w:val="center"/>
        <w:ind w:right="5715"/>
        <w:spacing w:after="0"/>
        <w:rPr>
          <w:sz w:val="20"/>
          <w:szCs w:val="20"/>
          <w:color w:val="auto"/>
        </w:rPr>
      </w:pPr>
      <w:r>
        <w:rPr>
          <w:rFonts w:ascii="Courier New" w:cs="Courier New" w:eastAsia="Courier New" w:hAnsi="Courier New"/>
          <w:sz w:val="16"/>
          <w:szCs w:val="16"/>
          <w:color w:val="auto"/>
        </w:rPr>
        <w:t>LP................................ 33.33%</w:t>
      </w:r>
    </w:p>
    <w:p>
      <w:pPr>
        <w:jc w:val="center"/>
        <w:ind w:right="5715"/>
        <w:spacing w:after="0" w:line="237" w:lineRule="auto"/>
        <w:rPr>
          <w:sz w:val="20"/>
          <w:szCs w:val="20"/>
          <w:color w:val="auto"/>
        </w:rPr>
      </w:pPr>
      <w:r>
        <w:rPr>
          <w:rFonts w:ascii="Courier New" w:cs="Courier New" w:eastAsia="Courier New" w:hAnsi="Courier New"/>
          <w:sz w:val="16"/>
          <w:szCs w:val="16"/>
          <w:color w:val="auto"/>
        </w:rPr>
        <w:t>33.33% US Cable of Coastal-Texas,</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LP............................... 48.16% 37.06%</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(b) Midcontinent</w:t>
      </w:r>
    </w:p>
    <w:p>
      <w:pPr>
        <w:spacing w:after="0" w:line="4"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Communications.................................</w:t>
      </w:r>
    </w:p>
    <w:p>
      <w:pPr>
        <w:spacing w:after="0" w:line="5"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6"/>
          <w:szCs w:val="16"/>
          <w:color w:val="auto"/>
        </w:rPr>
        <w:t>50.00% 50.00%</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19" w:hanging="384"/>
        <w:spacing w:after="0" w:line="238" w:lineRule="auto"/>
        <w:tabs>
          <w:tab w:leader="none" w:pos="384"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186" w:lineRule="exact"/>
        <w:rPr>
          <w:rFonts w:ascii="Courier New" w:cs="Courier New" w:eastAsia="Courier New" w:hAnsi="Courier New"/>
          <w:sz w:val="16"/>
          <w:szCs w:val="16"/>
          <w:color w:val="auto"/>
        </w:rPr>
      </w:pPr>
    </w:p>
    <w:p>
      <w:pPr>
        <w:ind w:left="384" w:right="2719" w:hanging="384"/>
        <w:spacing w:after="0" w:line="259" w:lineRule="auto"/>
        <w:tabs>
          <w:tab w:leader="none" w:pos="384"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 2001, AT&amp;T Broadband Group contributed cable systems serving approximately 18,000 customers to US Cable of Coastal-Texas, LP ("US Cable") in exchange for an additional 11.10% ownership interest in US Cable.</w:t>
      </w:r>
    </w:p>
    <w:p>
      <w:pPr>
        <w:spacing w:after="0" w:line="171"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Summarized combined financial information for investments accounted for under the equity method was as follows:</w:t>
      </w:r>
    </w:p>
    <w:p>
      <w:pPr>
        <w:spacing w:after="0" w:line="180" w:lineRule="exact"/>
        <w:rPr>
          <w:sz w:val="20"/>
          <w:szCs w:val="20"/>
          <w:color w:val="auto"/>
        </w:rPr>
      </w:pPr>
    </w:p>
    <w:p>
      <w:pPr>
        <w:ind w:left="244"/>
        <w:spacing w:after="0"/>
        <w:rPr>
          <w:sz w:val="20"/>
          <w:szCs w:val="20"/>
          <w:color w:val="auto"/>
        </w:rPr>
      </w:pPr>
      <w:r>
        <w:rPr>
          <w:rFonts w:ascii="Courier New" w:cs="Courier New" w:eastAsia="Courier New" w:hAnsi="Courier New"/>
          <w:sz w:val="16"/>
          <w:szCs w:val="16"/>
          <w:color w:val="auto"/>
        </w:rPr>
        <w:t>FOR THE FOR THE YEAR ENDED TEN MONTHS DECEMBER 31,</w:t>
      </w:r>
    </w:p>
    <w:p>
      <w:pPr>
        <w:ind w:left="84"/>
        <w:spacing w:after="0"/>
        <w:rPr>
          <w:sz w:val="20"/>
          <w:szCs w:val="20"/>
          <w:color w:val="auto"/>
        </w:rPr>
      </w:pPr>
      <w:r>
        <w:rPr>
          <w:rFonts w:ascii="Courier New" w:cs="Courier New" w:eastAsia="Courier New" w:hAnsi="Courier New"/>
          <w:sz w:val="16"/>
          <w:szCs w:val="16"/>
          <w:color w:val="auto"/>
        </w:rPr>
        <w:t>ENDED ------------------- DECEMBER 31, 2001 2000 1999</w:t>
      </w:r>
    </w:p>
    <w:p>
      <w:pPr>
        <w:ind w:left="1164"/>
        <w:spacing w:after="0" w:line="237" w:lineRule="auto"/>
        <w:rPr>
          <w:sz w:val="20"/>
          <w:szCs w:val="20"/>
          <w:color w:val="auto"/>
        </w:rPr>
      </w:pPr>
      <w:r>
        <w:rPr>
          <w:rFonts w:ascii="Courier New" w:cs="Courier New" w:eastAsia="Courier New" w:hAnsi="Courier New"/>
          <w:sz w:val="16"/>
          <w:szCs w:val="16"/>
          <w:color w:val="auto"/>
        </w:rPr>
        <w:t>-------- -------- ------------</w:t>
      </w:r>
    </w:p>
    <w:p>
      <w:pPr>
        <w:ind w:left="4"/>
        <w:spacing w:after="0"/>
        <w:rPr>
          <w:sz w:val="20"/>
          <w:szCs w:val="20"/>
          <w:color w:val="auto"/>
        </w:rPr>
      </w:pPr>
      <w:r>
        <w:rPr>
          <w:rFonts w:ascii="Courier New" w:cs="Courier New" w:eastAsia="Courier New" w:hAnsi="Courier New"/>
          <w:sz w:val="16"/>
          <w:szCs w:val="16"/>
          <w:color w:val="auto"/>
        </w:rPr>
        <w:t>Revenue................................................</w:t>
      </w:r>
    </w:p>
    <w:p>
      <w:pPr>
        <w:ind w:left="804"/>
        <w:spacing w:after="0" w:line="238" w:lineRule="auto"/>
        <w:rPr>
          <w:sz w:val="20"/>
          <w:szCs w:val="20"/>
          <w:color w:val="auto"/>
        </w:rPr>
      </w:pPr>
      <w:r>
        <w:rPr>
          <w:rFonts w:ascii="Courier New" w:cs="Courier New" w:eastAsia="Courier New" w:hAnsi="Courier New"/>
          <w:sz w:val="16"/>
          <w:szCs w:val="16"/>
          <w:color w:val="auto"/>
        </w:rPr>
        <w:t>$4,337 $6,537 $ 6,148 Operating income</w:t>
      </w:r>
    </w:p>
    <w:p>
      <w:pPr>
        <w:ind w:left="324"/>
        <w:spacing w:after="0"/>
        <w:rPr>
          <w:sz w:val="20"/>
          <w:szCs w:val="20"/>
          <w:color w:val="auto"/>
        </w:rPr>
      </w:pPr>
      <w:r>
        <w:rPr>
          <w:rFonts w:ascii="Courier New" w:cs="Courier New" w:eastAsia="Courier New" w:hAnsi="Courier New"/>
          <w:sz w:val="16"/>
          <w:szCs w:val="16"/>
          <w:color w:val="auto"/>
        </w:rPr>
        <w:t>(loss)................................ $ 1 $ 175</w:t>
      </w:r>
    </w:p>
    <w:p>
      <w:pPr>
        <w:ind w:left="284"/>
        <w:spacing w:after="0" w:line="238" w:lineRule="auto"/>
        <w:rPr>
          <w:sz w:val="20"/>
          <w:szCs w:val="20"/>
          <w:color w:val="auto"/>
        </w:rPr>
      </w:pPr>
      <w:r>
        <w:rPr>
          <w:rFonts w:ascii="Courier New" w:cs="Courier New" w:eastAsia="Courier New" w:hAnsi="Courier New"/>
          <w:sz w:val="16"/>
          <w:szCs w:val="16"/>
          <w:color w:val="auto"/>
        </w:rPr>
        <w:t>$(1,401) Income (loss) from continuing operations</w:t>
      </w:r>
    </w:p>
    <w:p>
      <w:pPr>
        <w:ind w:left="184"/>
        <w:spacing w:after="0"/>
        <w:rPr>
          <w:sz w:val="20"/>
          <w:szCs w:val="20"/>
          <w:color w:val="auto"/>
        </w:rPr>
      </w:pPr>
      <w:r>
        <w:rPr>
          <w:rFonts w:ascii="Courier New" w:cs="Courier New" w:eastAsia="Courier New" w:hAnsi="Courier New"/>
          <w:sz w:val="16"/>
          <w:szCs w:val="16"/>
          <w:color w:val="auto"/>
        </w:rPr>
        <w:t>before extraordinary items and cumulative effect of</w:t>
      </w:r>
    </w:p>
    <w:p>
      <w:pPr>
        <w:ind w:left="84"/>
        <w:spacing w:after="0" w:line="237" w:lineRule="auto"/>
        <w:rPr>
          <w:sz w:val="20"/>
          <w:szCs w:val="20"/>
          <w:color w:val="auto"/>
        </w:rPr>
      </w:pPr>
      <w:r>
        <w:rPr>
          <w:rFonts w:ascii="Courier New" w:cs="Courier New" w:eastAsia="Courier New" w:hAnsi="Courier New"/>
          <w:sz w:val="16"/>
          <w:szCs w:val="16"/>
          <w:color w:val="auto"/>
        </w:rPr>
        <w:t>accounting change....................................</w:t>
      </w:r>
    </w:p>
    <w:p>
      <w:pPr>
        <w:ind w:left="1084"/>
        <w:spacing w:after="0"/>
        <w:rPr>
          <w:sz w:val="20"/>
          <w:szCs w:val="20"/>
          <w:color w:val="auto"/>
        </w:rPr>
      </w:pPr>
      <w:r>
        <w:rPr>
          <w:rFonts w:ascii="Courier New" w:cs="Courier New" w:eastAsia="Courier New" w:hAnsi="Courier New"/>
          <w:sz w:val="16"/>
          <w:szCs w:val="16"/>
          <w:color w:val="auto"/>
        </w:rPr>
        <w:t>$ 747 $ (20) $(2,327) Net income</w:t>
      </w:r>
    </w:p>
    <w:p>
      <w:pPr>
        <w:ind w:left="144"/>
        <w:spacing w:after="0" w:line="238" w:lineRule="auto"/>
        <w:rPr>
          <w:sz w:val="20"/>
          <w:szCs w:val="20"/>
          <w:color w:val="auto"/>
        </w:rPr>
      </w:pPr>
      <w:r>
        <w:rPr>
          <w:rFonts w:ascii="Courier New" w:cs="Courier New" w:eastAsia="Courier New" w:hAnsi="Courier New"/>
          <w:sz w:val="16"/>
          <w:szCs w:val="16"/>
          <w:color w:val="auto"/>
        </w:rPr>
        <w:t>(loss)...................................... $ 736 $</w:t>
      </w:r>
    </w:p>
    <w:p>
      <w:pPr>
        <w:ind w:left="1964"/>
        <w:spacing w:after="0"/>
        <w:rPr>
          <w:sz w:val="20"/>
          <w:szCs w:val="20"/>
          <w:color w:val="auto"/>
        </w:rPr>
      </w:pPr>
      <w:r>
        <w:rPr>
          <w:rFonts w:ascii="Courier New" w:cs="Courier New" w:eastAsia="Courier New" w:hAnsi="Courier New"/>
          <w:sz w:val="16"/>
          <w:szCs w:val="16"/>
          <w:color w:val="auto"/>
        </w:rPr>
        <w:t>(20) $(2,327)</w:t>
      </w:r>
    </w:p>
    <w:p>
      <w:pPr>
        <w:spacing w:after="0" w:line="364"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5"/>
          <w:szCs w:val="15"/>
          <w:color w:val="auto"/>
        </w:rPr>
        <w:t>DECEMBER 31, ----------------- 2001 2000 ------- --</w:t>
      </w:r>
    </w:p>
    <w:p>
      <w:pPr>
        <w:spacing w:after="0" w:line="5"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6"/>
          <w:szCs w:val="16"/>
          <w:color w:val="auto"/>
        </w:rPr>
        <w:t>----- Current</w:t>
      </w:r>
    </w:p>
    <w:p>
      <w:pPr>
        <w:spacing w:after="0" w:line="4" w:lineRule="exact"/>
        <w:rPr>
          <w:sz w:val="20"/>
          <w:szCs w:val="20"/>
          <w:color w:val="auto"/>
        </w:rPr>
      </w:pPr>
    </w:p>
    <w:p>
      <w:pPr>
        <w:jc w:val="center"/>
        <w:ind w:right="5335"/>
        <w:spacing w:after="0"/>
        <w:rPr>
          <w:sz w:val="20"/>
          <w:szCs w:val="20"/>
          <w:color w:val="auto"/>
        </w:rPr>
      </w:pPr>
      <w:r>
        <w:rPr>
          <w:rFonts w:ascii="Courier New" w:cs="Courier New" w:eastAsia="Courier New" w:hAnsi="Courier New"/>
          <w:sz w:val="15"/>
          <w:szCs w:val="15"/>
          <w:color w:val="auto"/>
        </w:rPr>
        <w:t>assets..............................................</w:t>
      </w:r>
    </w:p>
    <w:p>
      <w:pPr>
        <w:spacing w:after="0" w:line="5"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6"/>
          <w:szCs w:val="16"/>
          <w:color w:val="auto"/>
        </w:rPr>
        <w:t>$ 483 $ 1,493 Noncurrent</w:t>
      </w:r>
    </w:p>
    <w:p>
      <w:pPr>
        <w:jc w:val="center"/>
        <w:ind w:right="5355"/>
        <w:spacing w:after="0"/>
        <w:rPr>
          <w:sz w:val="20"/>
          <w:szCs w:val="20"/>
          <w:color w:val="auto"/>
        </w:rPr>
      </w:pPr>
      <w:r>
        <w:rPr>
          <w:rFonts w:ascii="Courier New" w:cs="Courier New" w:eastAsia="Courier New" w:hAnsi="Courier New"/>
          <w:sz w:val="16"/>
          <w:szCs w:val="16"/>
          <w:color w:val="auto"/>
        </w:rPr>
        <w:t>assets...........................................</w:t>
      </w:r>
    </w:p>
    <w:p>
      <w:pPr>
        <w:jc w:val="center"/>
        <w:ind w:right="5355"/>
        <w:spacing w:after="0" w:line="237" w:lineRule="auto"/>
        <w:rPr>
          <w:sz w:val="20"/>
          <w:szCs w:val="20"/>
          <w:color w:val="auto"/>
        </w:rPr>
      </w:pPr>
      <w:r>
        <w:rPr>
          <w:rFonts w:ascii="Courier New" w:cs="Courier New" w:eastAsia="Courier New" w:hAnsi="Courier New"/>
          <w:sz w:val="16"/>
          <w:szCs w:val="16"/>
          <w:color w:val="auto"/>
        </w:rPr>
        <w:t>$10,538 $18,262 Current</w:t>
      </w:r>
    </w:p>
    <w:p>
      <w:pPr>
        <w:spacing w:after="0" w:line="5" w:lineRule="exact"/>
        <w:rPr>
          <w:sz w:val="20"/>
          <w:szCs w:val="20"/>
          <w:color w:val="auto"/>
        </w:rPr>
      </w:pPr>
    </w:p>
    <w:p>
      <w:pPr>
        <w:jc w:val="center"/>
        <w:ind w:right="5335"/>
        <w:spacing w:after="0"/>
        <w:rPr>
          <w:sz w:val="20"/>
          <w:szCs w:val="20"/>
          <w:color w:val="auto"/>
        </w:rPr>
      </w:pPr>
      <w:r>
        <w:rPr>
          <w:rFonts w:ascii="Courier New" w:cs="Courier New" w:eastAsia="Courier New" w:hAnsi="Courier New"/>
          <w:sz w:val="15"/>
          <w:szCs w:val="15"/>
          <w:color w:val="auto"/>
        </w:rPr>
        <w:t>liabilities.........................................</w:t>
      </w:r>
    </w:p>
    <w:p>
      <w:pPr>
        <w:spacing w:after="0" w:line="5"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6"/>
          <w:szCs w:val="16"/>
          <w:color w:val="auto"/>
        </w:rPr>
        <w:t>$ 1,009 $ 2,712 Noncurrent</w:t>
      </w:r>
    </w:p>
    <w:p>
      <w:pPr>
        <w:spacing w:after="0" w:line="4"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5"/>
          <w:szCs w:val="15"/>
          <w:color w:val="auto"/>
        </w:rPr>
        <w:t>liabilities...................................... $</w:t>
      </w:r>
    </w:p>
    <w:p>
      <w:pPr>
        <w:spacing w:after="0" w:line="5" w:lineRule="exact"/>
        <w:rPr>
          <w:sz w:val="20"/>
          <w:szCs w:val="20"/>
          <w:color w:val="auto"/>
        </w:rPr>
      </w:pPr>
    </w:p>
    <w:p>
      <w:pPr>
        <w:jc w:val="center"/>
        <w:ind w:right="5355"/>
        <w:spacing w:after="0"/>
        <w:rPr>
          <w:sz w:val="20"/>
          <w:szCs w:val="20"/>
          <w:color w:val="auto"/>
        </w:rPr>
      </w:pPr>
      <w:r>
        <w:rPr>
          <w:rFonts w:ascii="Courier New" w:cs="Courier New" w:eastAsia="Courier New" w:hAnsi="Courier New"/>
          <w:sz w:val="16"/>
          <w:szCs w:val="16"/>
          <w:color w:val="auto"/>
        </w:rPr>
        <w:t>6,420 $15,034 Redeemable preferred</w:t>
      </w:r>
    </w:p>
    <w:p>
      <w:pPr>
        <w:jc w:val="center"/>
        <w:ind w:right="5355"/>
        <w:spacing w:after="0"/>
        <w:rPr>
          <w:sz w:val="20"/>
          <w:szCs w:val="20"/>
          <w:color w:val="auto"/>
        </w:rPr>
      </w:pPr>
      <w:r>
        <w:rPr>
          <w:rFonts w:ascii="Courier New" w:cs="Courier New" w:eastAsia="Courier New" w:hAnsi="Courier New"/>
          <w:sz w:val="16"/>
          <w:szCs w:val="16"/>
          <w:color w:val="auto"/>
        </w:rPr>
        <w:t>stock.................................. $ -- $</w:t>
      </w:r>
    </w:p>
    <w:p>
      <w:pPr>
        <w:jc w:val="center"/>
        <w:ind w:right="5355"/>
        <w:spacing w:after="0" w:line="237" w:lineRule="auto"/>
        <w:rPr>
          <w:sz w:val="20"/>
          <w:szCs w:val="20"/>
          <w:color w:val="auto"/>
        </w:rPr>
      </w:pPr>
      <w:r>
        <w:rPr>
          <w:rFonts w:ascii="Courier New" w:cs="Courier New" w:eastAsia="Courier New" w:hAnsi="Courier New"/>
          <w:sz w:val="16"/>
          <w:szCs w:val="16"/>
          <w:color w:val="auto"/>
        </w:rPr>
        <w:t>1,544 Minority</w:t>
      </w:r>
    </w:p>
    <w:p>
      <w:pPr>
        <w:ind w:left="44"/>
        <w:spacing w:after="0"/>
        <w:rPr>
          <w:sz w:val="20"/>
          <w:szCs w:val="20"/>
          <w:color w:val="auto"/>
        </w:rPr>
      </w:pPr>
      <w:r>
        <w:rPr>
          <w:rFonts w:ascii="Courier New" w:cs="Courier New" w:eastAsia="Courier New" w:hAnsi="Courier New"/>
          <w:sz w:val="16"/>
          <w:szCs w:val="16"/>
          <w:color w:val="auto"/>
        </w:rPr>
        <w:t>interests..........................................</w:t>
      </w:r>
    </w:p>
    <w:p>
      <w:pPr>
        <w:ind w:left="1924"/>
        <w:spacing w:after="0" w:line="238" w:lineRule="auto"/>
        <w:rPr>
          <w:sz w:val="20"/>
          <w:szCs w:val="20"/>
          <w:color w:val="auto"/>
        </w:rPr>
      </w:pPr>
      <w:r>
        <w:rPr>
          <w:rFonts w:ascii="Courier New" w:cs="Courier New" w:eastAsia="Courier New" w:hAnsi="Courier New"/>
          <w:sz w:val="16"/>
          <w:szCs w:val="16"/>
          <w:color w:val="auto"/>
        </w:rPr>
        <w:t>$ 186 $ 588</w:t>
      </w:r>
    </w:p>
    <w:p>
      <w:pPr>
        <w:spacing w:after="0" w:line="36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December 31, 2001, AT&amp;T Broadband Group, through MediaOne, had a 25.51% interest in TWE. This investment is accounted for as a cost investment since AT&amp;T Broadband Group does not have the</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F-51</w:t>
      </w:r>
    </w:p>
    <w:p>
      <w:pPr>
        <w:sectPr>
          <w:pgSz w:w="11900" w:h="16838" w:orient="portrait"/>
          <w:cols w:equalWidth="0" w:num="1">
            <w:col w:w="10223"/>
          </w:cols>
          <w:pgMar w:left="236" w:top="473" w:right="1440" w:bottom="1009" w:gutter="0" w:footer="0" w:header="0"/>
        </w:sectPr>
      </w:pPr>
    </w:p>
    <w:bookmarkStart w:id="239" w:name="page240"/>
    <w:bookmarkEnd w:id="239"/>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186"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Other investments at December 31, 2001 for AT&amp;T Broadband Group consisted of the following:</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UNREALIZED ESTIMATED BASIS GAINS</w:t>
      </w:r>
    </w:p>
    <w:tbl>
      <w:tblPr>
        <w:tblLayout w:type="fixed"/>
        <w:tblInd w:w="0" w:type="dxa"/>
        <w:tblCellMar>
          <w:top w:w="0" w:type="dxa"/>
          <w:left w:w="0" w:type="dxa"/>
          <w:bottom w:w="0" w:type="dxa"/>
          <w:right w:w="0" w:type="dxa"/>
        </w:tblCellMar>
      </w:tblPr>
      <w:tr>
        <w:trPr>
          <w:trHeight w:val="180"/>
        </w:trPr>
        <w:tc>
          <w:tcPr>
            <w:tcW w:w="3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(LOSSES) FAIR VALUE ------- ------------</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75"/>
              </w:rPr>
              <w:t>-- --------------</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Trading</w:t>
            </w:r>
          </w:p>
        </w:tc>
        <w:tc>
          <w:tcPr>
            <w:tcW w:w="600" w:type="dxa"/>
            <w:vAlign w:val="bottom"/>
          </w:tcPr>
          <w:p>
            <w:pPr>
              <w:spacing w:after="0"/>
              <w:rPr>
                <w:sz w:val="15"/>
                <w:szCs w:val="15"/>
                <w:color w:val="auto"/>
              </w:rPr>
            </w:pPr>
          </w:p>
        </w:tc>
      </w:tr>
      <w:tr>
        <w:trPr>
          <w:trHeight w:val="180"/>
        </w:trPr>
        <w:tc>
          <w:tcPr>
            <w:tcW w:w="3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securities...............................</w:t>
            </w:r>
          </w:p>
        </w:tc>
        <w:tc>
          <w:tcPr>
            <w:tcW w:w="600" w:type="dxa"/>
            <w:vAlign w:val="bottom"/>
          </w:tcPr>
          <w:p>
            <w:pPr>
              <w:spacing w:after="0"/>
              <w:rPr>
                <w:sz w:val="15"/>
                <w:szCs w:val="15"/>
                <w:color w:val="auto"/>
              </w:rPr>
            </w:pP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$ 4,388 $ --</w:t>
            </w: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$4,388 Available-for-sale</w:t>
            </w:r>
          </w:p>
        </w:tc>
      </w:tr>
      <w:tr>
        <w:trPr>
          <w:trHeight w:val="180"/>
        </w:trPr>
        <w:tc>
          <w:tcPr>
            <w:tcW w:w="31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securities....................</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3,246</w:t>
            </w:r>
          </w:p>
        </w:tc>
      </w:tr>
      <w:tr>
        <w:trPr>
          <w:trHeight w:val="180"/>
        </w:trPr>
        <w:tc>
          <w:tcPr>
            <w:tcW w:w="31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(169) 3,077 Preferred</w:t>
            </w:r>
          </w:p>
        </w:tc>
        <w:tc>
          <w:tcPr>
            <w:tcW w:w="600" w:type="dxa"/>
            <w:vAlign w:val="bottom"/>
          </w:tcPr>
          <w:p>
            <w:pPr>
              <w:spacing w:after="0"/>
              <w:rPr>
                <w:sz w:val="15"/>
                <w:szCs w:val="15"/>
                <w:color w:val="auto"/>
              </w:rPr>
            </w:pPr>
          </w:p>
        </w:tc>
      </w:tr>
      <w:tr>
        <w:trPr>
          <w:trHeight w:val="180"/>
        </w:trPr>
        <w:tc>
          <w:tcPr>
            <w:tcW w:w="3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3"/>
              </w:rPr>
              <w:t>stock..................................</w:t>
            </w:r>
          </w:p>
        </w:tc>
        <w:tc>
          <w:tcPr>
            <w:tcW w:w="600" w:type="dxa"/>
            <w:vAlign w:val="bottom"/>
          </w:tcPr>
          <w:p>
            <w:pPr>
              <w:spacing w:after="0"/>
              <w:rPr>
                <w:sz w:val="15"/>
                <w:szCs w:val="15"/>
                <w:color w:val="auto"/>
              </w:rPr>
            </w:pPr>
          </w:p>
        </w:tc>
      </w:tr>
      <w:tr>
        <w:trPr>
          <w:trHeight w:val="180"/>
        </w:trPr>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2,164 --</w:t>
            </w:r>
          </w:p>
        </w:tc>
        <w:tc>
          <w:tcPr>
            <w:tcW w:w="24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w w:val="96"/>
              </w:rPr>
              <w:t>2,164 Cost investments,</w:t>
            </w:r>
          </w:p>
        </w:tc>
      </w:tr>
      <w:tr>
        <w:trPr>
          <w:trHeight w:val="180"/>
        </w:trPr>
        <w:tc>
          <w:tcPr>
            <w:tcW w:w="31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warrants and other.............</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269 --</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75"/>
              </w:rPr>
              <w:t>269 ------- -----</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$10,067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r>
    </w:tbl>
    <w:p>
      <w:pPr>
        <w:ind w:left="640"/>
        <w:spacing w:after="0"/>
        <w:rPr>
          <w:sz w:val="20"/>
          <w:szCs w:val="20"/>
          <w:color w:val="auto"/>
        </w:rPr>
      </w:pPr>
      <w:r>
        <w:rPr>
          <w:rFonts w:ascii="Courier New" w:cs="Courier New" w:eastAsia="Courier New" w:hAnsi="Courier New"/>
          <w:sz w:val="16"/>
          <w:szCs w:val="16"/>
          <w:color w:val="auto"/>
        </w:rPr>
        <w:t>$9,898 ======= ===== ======</w:t>
      </w:r>
    </w:p>
    <w:p>
      <w:pPr>
        <w:spacing w:after="0" w:line="364"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Other investments at December 31, 2000 for AT&amp;T Broadband Group consisted of the following:</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COST UNREALIZED ESTIMATED BASIS GAINS</w:t>
      </w:r>
    </w:p>
    <w:p>
      <w:pPr>
        <w:ind w:left="40"/>
        <w:spacing w:after="0"/>
        <w:rPr>
          <w:sz w:val="20"/>
          <w:szCs w:val="20"/>
          <w:color w:val="auto"/>
        </w:rPr>
      </w:pPr>
      <w:r>
        <w:rPr>
          <w:rFonts w:ascii="Courier New" w:cs="Courier New" w:eastAsia="Courier New" w:hAnsi="Courier New"/>
          <w:sz w:val="16"/>
          <w:szCs w:val="16"/>
          <w:color w:val="auto"/>
        </w:rPr>
        <w:t>(LOSSES) FAIR VALUE ------- ----------</w:t>
      </w:r>
    </w:p>
    <w:p>
      <w:pPr>
        <w:ind w:left="40"/>
        <w:spacing w:after="0" w:line="237" w:lineRule="auto"/>
        <w:rPr>
          <w:sz w:val="20"/>
          <w:szCs w:val="20"/>
          <w:color w:val="auto"/>
        </w:rPr>
      </w:pPr>
      <w:r>
        <w:rPr>
          <w:rFonts w:ascii="Courier New" w:cs="Courier New" w:eastAsia="Courier New" w:hAnsi="Courier New"/>
          <w:sz w:val="16"/>
          <w:szCs w:val="16"/>
          <w:color w:val="auto"/>
        </w:rPr>
        <w:t>---- -------------- Available-for-sale</w:t>
      </w:r>
    </w:p>
    <w:p>
      <w:pPr>
        <w:ind w:left="40"/>
        <w:spacing w:after="0"/>
        <w:rPr>
          <w:sz w:val="20"/>
          <w:szCs w:val="20"/>
          <w:color w:val="auto"/>
        </w:rPr>
      </w:pPr>
      <w:r>
        <w:rPr>
          <w:rFonts w:ascii="Courier New" w:cs="Courier New" w:eastAsia="Courier New" w:hAnsi="Courier New"/>
          <w:sz w:val="16"/>
          <w:szCs w:val="16"/>
          <w:color w:val="auto"/>
        </w:rPr>
        <w:t>securities.................... $12,927</w:t>
      </w:r>
    </w:p>
    <w:p>
      <w:pPr>
        <w:ind w:left="600"/>
        <w:spacing w:after="0" w:line="238" w:lineRule="auto"/>
        <w:rPr>
          <w:sz w:val="20"/>
          <w:szCs w:val="20"/>
          <w:color w:val="auto"/>
        </w:rPr>
      </w:pPr>
      <w:r>
        <w:rPr>
          <w:rFonts w:ascii="Courier New" w:cs="Courier New" w:eastAsia="Courier New" w:hAnsi="Courier New"/>
          <w:sz w:val="16"/>
          <w:szCs w:val="16"/>
          <w:color w:val="auto"/>
        </w:rPr>
        <w:t>$(3,620) $ 9,307 Preferred</w:t>
      </w:r>
    </w:p>
    <w:p>
      <w:pPr>
        <w:spacing w:after="0"/>
        <w:rPr>
          <w:sz w:val="20"/>
          <w:szCs w:val="20"/>
          <w:color w:val="auto"/>
        </w:rPr>
      </w:pPr>
      <w:r>
        <w:rPr>
          <w:rFonts w:ascii="Courier New" w:cs="Courier New" w:eastAsia="Courier New" w:hAnsi="Courier New"/>
          <w:sz w:val="16"/>
          <w:szCs w:val="16"/>
          <w:color w:val="auto"/>
        </w:rPr>
        <w:t>stock..................................</w:t>
      </w:r>
    </w:p>
    <w:p>
      <w:pPr>
        <w:ind w:left="280"/>
        <w:spacing w:after="0" w:line="238" w:lineRule="auto"/>
        <w:rPr>
          <w:sz w:val="20"/>
          <w:szCs w:val="20"/>
          <w:color w:val="auto"/>
        </w:rPr>
      </w:pPr>
      <w:r>
        <w:rPr>
          <w:rFonts w:ascii="Courier New" w:cs="Courier New" w:eastAsia="Courier New" w:hAnsi="Courier New"/>
          <w:sz w:val="16"/>
          <w:szCs w:val="16"/>
          <w:color w:val="auto"/>
        </w:rPr>
        <w:t>1,467 105 1,572 Cost investments,</w:t>
      </w:r>
    </w:p>
    <w:p>
      <w:pPr>
        <w:ind w:left="80"/>
        <w:spacing w:after="0"/>
        <w:rPr>
          <w:sz w:val="20"/>
          <w:szCs w:val="20"/>
          <w:color w:val="auto"/>
        </w:rPr>
      </w:pPr>
      <w:r>
        <w:rPr>
          <w:rFonts w:ascii="Courier New" w:cs="Courier New" w:eastAsia="Courier New" w:hAnsi="Courier New"/>
          <w:sz w:val="16"/>
          <w:szCs w:val="16"/>
          <w:color w:val="auto"/>
        </w:rPr>
        <w:t>warrants and other............. 1,109</w:t>
      </w:r>
    </w:p>
    <w:p>
      <w:pPr>
        <w:ind w:left="320"/>
        <w:spacing w:after="0" w:line="237" w:lineRule="auto"/>
        <w:rPr>
          <w:sz w:val="20"/>
          <w:szCs w:val="20"/>
          <w:color w:val="auto"/>
        </w:rPr>
      </w:pPr>
      <w:r>
        <w:rPr>
          <w:rFonts w:ascii="Courier New" w:cs="Courier New" w:eastAsia="Courier New" w:hAnsi="Courier New"/>
          <w:sz w:val="16"/>
          <w:szCs w:val="16"/>
          <w:color w:val="auto"/>
        </w:rPr>
        <w:t>14 1,123 ------- ------- -------</w:t>
      </w:r>
    </w:p>
    <w:p>
      <w:pPr>
        <w:ind w:left="320"/>
        <w:spacing w:after="0"/>
        <w:rPr>
          <w:sz w:val="20"/>
          <w:szCs w:val="20"/>
          <w:color w:val="auto"/>
        </w:rPr>
      </w:pPr>
      <w:r>
        <w:rPr>
          <w:rFonts w:ascii="Courier New" w:cs="Courier New" w:eastAsia="Courier New" w:hAnsi="Courier New"/>
          <w:sz w:val="16"/>
          <w:szCs w:val="16"/>
          <w:color w:val="auto"/>
        </w:rPr>
        <w:t>$15,503 $(3,501) $12,002 =======</w:t>
      </w:r>
    </w:p>
    <w:p>
      <w:pPr>
        <w:ind w:left="1120"/>
        <w:spacing w:after="0" w:line="238" w:lineRule="auto"/>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 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F-52</w:t>
      </w:r>
    </w:p>
    <w:p>
      <w:pPr>
        <w:sectPr>
          <w:pgSz w:w="11900" w:h="16838" w:orient="portrait"/>
          <w:cols w:equalWidth="0" w:num="1">
            <w:col w:w="10219"/>
          </w:cols>
          <w:pgMar w:left="240" w:top="473" w:right="1440" w:bottom="1440" w:gutter="0" w:footer="0" w:header="0"/>
        </w:sectPr>
      </w:pPr>
    </w:p>
    <w:bookmarkStart w:id="240" w:name="page241"/>
    <w:bookmarkEnd w:id="240"/>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384" w:hanging="384"/>
        <w:spacing w:after="0"/>
        <w:tabs>
          <w:tab w:leader="none" w:pos="384"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OBLIGATIONS</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DEBENTURES, NOTES AND TRUST PREFERRED SECURITIES(A):</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060" w:type="dxa"/>
            <w:vAlign w:val="bottom"/>
            <w:gridSpan w:val="3"/>
          </w:tcPr>
          <w:p>
            <w:pPr>
              <w:jc w:val="center"/>
              <w:ind w:left="83"/>
              <w:spacing w:after="0"/>
              <w:rPr>
                <w:sz w:val="20"/>
                <w:szCs w:val="20"/>
                <w:color w:val="auto"/>
              </w:rPr>
            </w:pPr>
            <w:r>
              <w:rPr>
                <w:rFonts w:ascii="Courier New" w:cs="Courier New" w:eastAsia="Courier New" w:hAnsi="Courier New"/>
                <w:sz w:val="16"/>
                <w:szCs w:val="16"/>
                <w:color w:val="auto"/>
                <w:w w:val="97"/>
              </w:rPr>
              <w:t>DECEMBER 31, ----------------- INTEREST RATES(B)</w:t>
            </w:r>
          </w:p>
        </w:tc>
        <w:tc>
          <w:tcPr>
            <w:tcW w:w="14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w w:val="98"/>
              </w:rPr>
              <w:t>MATURITIES 2001 2000</w:t>
            </w:r>
          </w:p>
        </w:tc>
        <w:tc>
          <w:tcPr>
            <w:tcW w:w="32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 ----------------- ---------- ---</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14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4.00%-6.50% 2002-</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2008........................................</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$ 2,855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3740" w:type="dxa"/>
            <w:vAlign w:val="bottom"/>
            <w:gridSpan w:val="2"/>
          </w:tcPr>
          <w:p>
            <w:pPr>
              <w:jc w:val="center"/>
              <w:ind w:left="1423"/>
              <w:spacing w:after="0"/>
              <w:rPr>
                <w:sz w:val="20"/>
                <w:szCs w:val="20"/>
                <w:color w:val="auto"/>
              </w:rPr>
            </w:pPr>
            <w:r>
              <w:rPr>
                <w:rFonts w:ascii="Courier New" w:cs="Courier New" w:eastAsia="Courier New" w:hAnsi="Courier New"/>
                <w:sz w:val="16"/>
                <w:szCs w:val="16"/>
                <w:color w:val="auto"/>
                <w:w w:val="97"/>
              </w:rPr>
              <w:t>4,599 6.55%-7.49% 2002-</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2037........................................</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3,793</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center"/>
              <w:ind w:left="1423"/>
              <w:spacing w:after="0"/>
              <w:rPr>
                <w:sz w:val="20"/>
                <w:szCs w:val="20"/>
                <w:color w:val="auto"/>
              </w:rPr>
            </w:pPr>
            <w:r>
              <w:rPr>
                <w:rFonts w:ascii="Courier New" w:cs="Courier New" w:eastAsia="Courier New" w:hAnsi="Courier New"/>
                <w:sz w:val="16"/>
                <w:szCs w:val="16"/>
                <w:color w:val="auto"/>
                <w:w w:val="97"/>
              </w:rPr>
              <w:t>4,369 7.53%-8.50% 2002-</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2097........................................</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3,141</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3,370 8.60%-10.75% 2002-</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2038........................................</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6,292</w:t>
            </w:r>
          </w:p>
        </w:tc>
        <w:tc>
          <w:tcPr>
            <w:tcW w:w="140" w:type="dxa"/>
            <w:vAlign w:val="bottom"/>
          </w:tcPr>
          <w:p>
            <w:pPr>
              <w:spacing w:after="0"/>
              <w:rPr>
                <w:sz w:val="15"/>
                <w:szCs w:val="15"/>
                <w:color w:val="auto"/>
              </w:rPr>
            </w:pPr>
          </w:p>
        </w:tc>
      </w:tr>
      <w:tr>
        <w:trPr>
          <w:trHeight w:val="180"/>
        </w:trPr>
        <w:tc>
          <w:tcPr>
            <w:tcW w:w="5060" w:type="dxa"/>
            <w:vAlign w:val="bottom"/>
            <w:gridSpan w:val="3"/>
          </w:tcPr>
          <w:p>
            <w:pPr>
              <w:jc w:val="center"/>
              <w:ind w:left="103"/>
              <w:spacing w:after="0"/>
              <w:rPr>
                <w:sz w:val="20"/>
                <w:szCs w:val="20"/>
                <w:color w:val="auto"/>
              </w:rPr>
            </w:pPr>
            <w:r>
              <w:rPr>
                <w:rFonts w:ascii="Courier New" w:cs="Courier New" w:eastAsia="Courier New" w:hAnsi="Courier New"/>
                <w:sz w:val="16"/>
                <w:szCs w:val="16"/>
                <w:color w:val="auto"/>
                <w:w w:val="98"/>
              </w:rPr>
              <w:t>6,594 Variable rate 2002-</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2005........................................</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3,309</w:t>
            </w:r>
          </w:p>
        </w:tc>
        <w:tc>
          <w:tcPr>
            <w:tcW w:w="14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w w:val="94"/>
              </w:rPr>
              <w:t>3,388 ------- -------</w:t>
            </w:r>
          </w:p>
        </w:tc>
        <w:tc>
          <w:tcPr>
            <w:tcW w:w="3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Total debentures, notes and trust</w:t>
            </w:r>
          </w:p>
        </w:tc>
      </w:tr>
      <w:tr>
        <w:trPr>
          <w:trHeight w:val="180"/>
        </w:trPr>
        <w:tc>
          <w:tcPr>
            <w:tcW w:w="3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preferred securities................</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19,390 22,320</w:t>
            </w:r>
          </w:p>
        </w:tc>
        <w:tc>
          <w:tcPr>
            <w:tcW w:w="140" w:type="dxa"/>
            <w:vAlign w:val="bottom"/>
          </w:tcPr>
          <w:p>
            <w:pPr>
              <w:spacing w:after="0"/>
              <w:rPr>
                <w:sz w:val="15"/>
                <w:szCs w:val="15"/>
                <w:color w:val="auto"/>
              </w:rPr>
            </w:pPr>
          </w:p>
        </w:tc>
      </w:tr>
      <w:tr>
        <w:trPr>
          <w:trHeight w:val="180"/>
        </w:trPr>
        <w:tc>
          <w:tcPr>
            <w:tcW w:w="1920" w:type="dxa"/>
            <w:vAlign w:val="bottom"/>
          </w:tcPr>
          <w:p>
            <w:pPr>
              <w:spacing w:after="0"/>
              <w:rPr>
                <w:sz w:val="15"/>
                <w:szCs w:val="15"/>
                <w:color w:val="auto"/>
              </w:rPr>
            </w:pPr>
          </w:p>
        </w:tc>
        <w:tc>
          <w:tcPr>
            <w:tcW w:w="182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7"/>
              </w:rPr>
              <w:t>Other (see Note</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14)...................................................</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060" w:type="dxa"/>
            <w:vAlign w:val="bottom"/>
            <w:gridSpan w:val="3"/>
          </w:tcPr>
          <w:p>
            <w:pPr>
              <w:jc w:val="center"/>
              <w:ind w:left="103"/>
              <w:spacing w:after="0"/>
              <w:rPr>
                <w:sz w:val="20"/>
                <w:szCs w:val="20"/>
                <w:color w:val="auto"/>
              </w:rPr>
            </w:pPr>
            <w:r>
              <w:rPr>
                <w:rFonts w:ascii="Courier New" w:cs="Courier New" w:eastAsia="Courier New" w:hAnsi="Courier New"/>
                <w:sz w:val="16"/>
                <w:szCs w:val="16"/>
                <w:color w:val="auto"/>
                <w:w w:val="97"/>
              </w:rPr>
              <w:t>247 270 Unamortized discount,</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net.............................................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(311)</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14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 Total long-term</w:t>
            </w: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debt..................................................</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060" w:type="dxa"/>
            <w:vAlign w:val="bottom"/>
            <w:gridSpan w:val="3"/>
          </w:tcPr>
          <w:p>
            <w:pPr>
              <w:jc w:val="center"/>
              <w:ind w:left="103"/>
              <w:spacing w:after="0"/>
              <w:rPr>
                <w:sz w:val="20"/>
                <w:szCs w:val="20"/>
                <w:color w:val="auto"/>
              </w:rPr>
            </w:pPr>
            <w:r>
              <w:rPr>
                <w:rFonts w:ascii="Courier New" w:cs="Courier New" w:eastAsia="Courier New" w:hAnsi="Courier New"/>
                <w:sz w:val="16"/>
                <w:szCs w:val="16"/>
                <w:color w:val="auto"/>
                <w:w w:val="97"/>
              </w:rPr>
              <w:t>19,326 22,590 Less currently maturing long-term</w:t>
            </w:r>
          </w:p>
        </w:tc>
        <w:tc>
          <w:tcPr>
            <w:tcW w:w="140" w:type="dxa"/>
            <w:vAlign w:val="bottom"/>
          </w:tcPr>
          <w:p>
            <w:pPr>
              <w:spacing w:after="0"/>
              <w:rPr>
                <w:sz w:val="15"/>
                <w:szCs w:val="15"/>
                <w:color w:val="auto"/>
              </w:rPr>
            </w:pP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2"/>
                <w:szCs w:val="12"/>
                <w:color w:val="auto"/>
                <w:w w:val="73"/>
              </w:rPr>
              <w:t>debt................................</w:t>
            </w:r>
          </w:p>
        </w:tc>
        <w:tc>
          <w:tcPr>
            <w:tcW w:w="3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2,824 3,073 ------</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Net long-term</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debt....................................................</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92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$16,502</w:t>
            </w:r>
          </w:p>
        </w:tc>
        <w:tc>
          <w:tcPr>
            <w:tcW w:w="3140" w:type="dxa"/>
            <w:vAlign w:val="bottom"/>
            <w:gridSpan w:val="2"/>
          </w:tcPr>
          <w:p>
            <w:pPr>
              <w:jc w:val="right"/>
              <w:ind w:right="902"/>
              <w:spacing w:after="0"/>
              <w:rPr>
                <w:sz w:val="20"/>
                <w:szCs w:val="20"/>
                <w:color w:val="auto"/>
              </w:rPr>
            </w:pPr>
            <w:r>
              <w:rPr>
                <w:rFonts w:ascii="Courier New" w:cs="Courier New" w:eastAsia="Courier New" w:hAnsi="Courier New"/>
                <w:sz w:val="16"/>
                <w:szCs w:val="16"/>
                <w:color w:val="auto"/>
                <w:w w:val="96"/>
              </w:rPr>
              <w:t>$19,517 ======= =======</w:t>
            </w:r>
          </w:p>
        </w:tc>
        <w:tc>
          <w:tcPr>
            <w:tcW w:w="14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99" w:hanging="384"/>
        <w:spacing w:after="0" w:line="237" w:lineRule="auto"/>
        <w:tabs>
          <w:tab w:leader="none" w:pos="38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187" w:lineRule="exact"/>
        <w:rPr>
          <w:rFonts w:ascii="Courier New" w:cs="Courier New" w:eastAsia="Courier New" w:hAnsi="Courier New"/>
          <w:sz w:val="16"/>
          <w:szCs w:val="16"/>
          <w:color w:val="auto"/>
        </w:rPr>
      </w:pPr>
    </w:p>
    <w:p>
      <w:pPr>
        <w:ind w:left="384" w:right="2899" w:hanging="384"/>
        <w:spacing w:after="0" w:line="237" w:lineRule="auto"/>
        <w:tabs>
          <w:tab w:leader="none" w:pos="38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186"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Annual maturities at December 31, 2001, of the $19,326 in total long-term obligations are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$2,824</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3,416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3,343</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3,056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2006........................................................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1,107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Later years.................................................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5,580</w:t>
            </w:r>
          </w:p>
        </w:tc>
      </w:tr>
    </w:tbl>
    <w:p>
      <w:pPr>
        <w:spacing w:after="0" w:line="36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EXCHANGEABLE NOTES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 Broadband Group's option into shares of Comcast common stock or its cash equivalent (the "Comcast Exchangeable Notes")</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F-53</w:t>
      </w:r>
    </w:p>
    <w:p>
      <w:pPr>
        <w:sectPr>
          <w:pgSz w:w="11900" w:h="16838" w:orient="portrait"/>
          <w:cols w:equalWidth="0" w:num="1">
            <w:col w:w="10223"/>
          </w:cols>
          <w:pgMar w:left="236" w:top="473" w:right="1440" w:bottom="1440" w:gutter="0" w:footer="0" w:header="0"/>
        </w:sectPr>
      </w:pPr>
    </w:p>
    <w:bookmarkStart w:id="241" w:name="page242"/>
    <w:bookmarkEnd w:id="241"/>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6" w:lineRule="exact"/>
        <w:rPr>
          <w:sz w:val="20"/>
          <w:szCs w:val="20"/>
          <w:color w:val="auto"/>
        </w:rPr>
      </w:pPr>
    </w:p>
    <w:p>
      <w:pPr>
        <w:ind w:left="4" w:right="2719" w:hanging="4"/>
        <w:spacing w:after="0" w:line="237" w:lineRule="auto"/>
        <w:tabs>
          <w:tab w:leader="none" w:pos="567"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of cash and Vodafone ADRs (the "Vodafone Exchangeable Notes"). The maturity value of the exchangeable notes varies based upon the fair market value of the security it is indexed to.</w:t>
      </w:r>
    </w:p>
    <w:p>
      <w:pPr>
        <w:spacing w:after="0" w:line="185" w:lineRule="exact"/>
        <w:rPr>
          <w:sz w:val="20"/>
          <w:szCs w:val="20"/>
          <w:color w:val="auto"/>
        </w:rPr>
      </w:pPr>
    </w:p>
    <w:p>
      <w:pPr>
        <w:jc w:val="both"/>
        <w:ind w:left="4" w:right="2719" w:firstLine="469"/>
        <w:spacing w:after="0" w:line="237" w:lineRule="auto"/>
        <w:rPr>
          <w:sz w:val="20"/>
          <w:szCs w:val="20"/>
          <w:color w:val="auto"/>
        </w:rPr>
      </w:pPr>
      <w:r>
        <w:rPr>
          <w:rFonts w:ascii="Courier New" w:cs="Courier New" w:eastAsia="Courier New" w:hAnsi="Courier New"/>
          <w:sz w:val="16"/>
          <w:szCs w:val="16"/>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Maturity Date...............................................</w:t>
            </w:r>
          </w:p>
        </w:tc>
        <w:tc>
          <w:tcPr>
            <w:tcW w:w="18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2004</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Face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970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Interest rate...............................................</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Put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36.05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Call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43.98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Carrying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1,030</w:t>
            </w:r>
          </w:p>
        </w:tc>
      </w:tr>
    </w:tbl>
    <w:p>
      <w:pPr>
        <w:spacing w:after="0" w:line="36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At maturity, the Cablevision NY Exchangeable Notes will be redeemed, at AT&amp;T Broadband Group's option, with (i) a number of shares of Cablevision NY common stock equal to the underlying shares multiplied by the exchange ratio, or</w:t>
      </w:r>
    </w:p>
    <w:p>
      <w:pPr>
        <w:spacing w:after="0" w:line="2" w:lineRule="exact"/>
        <w:rPr>
          <w:sz w:val="20"/>
          <w:szCs w:val="20"/>
          <w:color w:val="auto"/>
        </w:rPr>
      </w:pPr>
    </w:p>
    <w:p>
      <w:pPr>
        <w:ind w:left="4" w:right="3479" w:hanging="4"/>
        <w:spacing w:after="0" w:line="236" w:lineRule="auto"/>
        <w:tabs>
          <w:tab w:leader="none" w:pos="473"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equivalent cash value. The exchange ratio will be calculated at maturity in the following manner:</w:t>
      </w:r>
    </w:p>
    <w:p>
      <w:pPr>
        <w:spacing w:after="0" w:line="184" w:lineRule="exact"/>
        <w:rPr>
          <w:rFonts w:ascii="Courier New" w:cs="Courier New" w:eastAsia="Courier New" w:hAnsi="Courier New"/>
          <w:sz w:val="16"/>
          <w:szCs w:val="16"/>
          <w:color w:val="auto"/>
        </w:rPr>
      </w:pPr>
    </w:p>
    <w:p>
      <w:pPr>
        <w:ind w:left="464" w:right="2719" w:firstLine="474"/>
        <w:spacing w:after="0" w:line="236" w:lineRule="auto"/>
        <w:tabs>
          <w:tab w:leader="none" w:pos="1308"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greater than the call price, the exchange ratio will be 0.8197;</w:t>
      </w:r>
    </w:p>
    <w:p>
      <w:pPr>
        <w:spacing w:after="0" w:line="184" w:lineRule="exact"/>
        <w:rPr>
          <w:rFonts w:ascii="Courier New" w:cs="Courier New" w:eastAsia="Courier New" w:hAnsi="Courier New"/>
          <w:sz w:val="16"/>
          <w:szCs w:val="16"/>
          <w:color w:val="auto"/>
        </w:rPr>
      </w:pPr>
    </w:p>
    <w:p>
      <w:pPr>
        <w:ind w:left="464" w:right="2719" w:firstLine="474"/>
        <w:spacing w:after="0" w:line="263" w:lineRule="auto"/>
        <w:tabs>
          <w:tab w:leader="none" w:pos="1308"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Cablevision NY common stock is less than or equal to the put price, the exchange ratio will be 1;</w:t>
      </w:r>
    </w:p>
    <w:p>
      <w:pPr>
        <w:spacing w:after="0" w:line="168" w:lineRule="exact"/>
        <w:rPr>
          <w:rFonts w:ascii="Courier New" w:cs="Courier New" w:eastAsia="Courier New" w:hAnsi="Courier New"/>
          <w:sz w:val="15"/>
          <w:szCs w:val="15"/>
          <w:color w:val="auto"/>
        </w:rPr>
      </w:pPr>
    </w:p>
    <w:p>
      <w:pPr>
        <w:jc w:val="both"/>
        <w:ind w:left="464" w:right="2719" w:firstLine="474"/>
        <w:spacing w:after="0" w:line="237" w:lineRule="auto"/>
        <w:tabs>
          <w:tab w:leader="none" w:pos="1308"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187"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Maturity Date...............................................</w:t>
            </w:r>
          </w:p>
        </w:tc>
        <w:tc>
          <w:tcPr>
            <w:tcW w:w="18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Face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Interest rate...............................................</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Put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22.50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Call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27.45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Carrying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196</w:t>
            </w:r>
          </w:p>
        </w:tc>
      </w:tr>
    </w:tbl>
    <w:p>
      <w:pPr>
        <w:spacing w:after="0" w:line="36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87" w:lineRule="exact"/>
        <w:rPr>
          <w:sz w:val="20"/>
          <w:szCs w:val="20"/>
          <w:color w:val="auto"/>
        </w:rPr>
      </w:pPr>
    </w:p>
    <w:p>
      <w:pPr>
        <w:ind w:left="464" w:right="2899" w:firstLine="474"/>
        <w:spacing w:after="0" w:line="237" w:lineRule="auto"/>
        <w:tabs>
          <w:tab w:leader="none" w:pos="1308"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greater than the call price, the exchange ratio will be 0.8197;</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F-54</w:t>
      </w:r>
    </w:p>
    <w:p>
      <w:pPr>
        <w:sectPr>
          <w:pgSz w:w="11900" w:h="16838" w:orient="portrait"/>
          <w:cols w:equalWidth="0" w:num="1">
            <w:col w:w="10223"/>
          </w:cols>
          <w:pgMar w:left="236" w:top="473" w:right="1440" w:bottom="1440" w:gutter="0" w:footer="0" w:header="0"/>
        </w:sectPr>
      </w:pPr>
    </w:p>
    <w:bookmarkStart w:id="242" w:name="page243"/>
    <w:bookmarkEnd w:id="24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60" w:right="2899" w:firstLine="474"/>
        <w:spacing w:after="0" w:line="237" w:lineRule="auto"/>
        <w:tabs>
          <w:tab w:leader="none" w:pos="1304"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by year of maturity which are indexed to 25 million shares of Comcast common stock:</w:t>
      </w:r>
    </w:p>
    <w:p>
      <w:pPr>
        <w:spacing w:after="0" w:line="18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MATURITY DATE 2003 2004 2005 - ------------- ------ -</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$ 371 $ 314 $ 329 Interest</w:t>
      </w:r>
    </w:p>
    <w:p>
      <w:pPr>
        <w:jc w:val="center"/>
        <w:ind w:right="5159"/>
        <w:spacing w:after="0"/>
        <w:rPr>
          <w:sz w:val="20"/>
          <w:szCs w:val="20"/>
          <w:color w:val="auto"/>
        </w:rPr>
      </w:pPr>
      <w:r>
        <w:rPr>
          <w:rFonts w:ascii="Courier New" w:cs="Courier New" w:eastAsia="Courier New" w:hAnsi="Courier New"/>
          <w:sz w:val="16"/>
          <w:szCs w:val="16"/>
          <w:color w:val="auto"/>
        </w:rPr>
        <w:t>rate..............................................</w:t>
      </w:r>
    </w:p>
    <w:p>
      <w:pPr>
        <w:jc w:val="center"/>
        <w:ind w:right="5159"/>
        <w:spacing w:after="0" w:line="237" w:lineRule="auto"/>
        <w:rPr>
          <w:sz w:val="20"/>
          <w:szCs w:val="20"/>
          <w:color w:val="auto"/>
        </w:rPr>
      </w:pPr>
      <w:r>
        <w:rPr>
          <w:rFonts w:ascii="Courier New" w:cs="Courier New" w:eastAsia="Courier New" w:hAnsi="Courier New"/>
          <w:sz w:val="16"/>
          <w:szCs w:val="16"/>
          <w:color w:val="auto"/>
        </w:rPr>
        <w:t>6.75% 5.50% 4.63% Put price per</w:t>
      </w:r>
    </w:p>
    <w:p>
      <w:pPr>
        <w:jc w:val="center"/>
        <w:ind w:right="5159"/>
        <w:spacing w:after="0"/>
        <w:rPr>
          <w:sz w:val="20"/>
          <w:szCs w:val="20"/>
          <w:color w:val="auto"/>
        </w:rPr>
      </w:pPr>
      <w:r>
        <w:rPr>
          <w:rFonts w:ascii="Courier New" w:cs="Courier New" w:eastAsia="Courier New" w:hAnsi="Courier New"/>
          <w:sz w:val="16"/>
          <w:szCs w:val="16"/>
          <w:color w:val="auto"/>
        </w:rPr>
        <w:t>share........................................ $41.50</w:t>
      </w:r>
    </w:p>
    <w:p>
      <w:pPr>
        <w:jc w:val="center"/>
        <w:ind w:right="5159"/>
        <w:spacing w:after="0" w:line="238" w:lineRule="auto"/>
        <w:rPr>
          <w:sz w:val="20"/>
          <w:szCs w:val="20"/>
          <w:color w:val="auto"/>
        </w:rPr>
      </w:pPr>
      <w:r>
        <w:rPr>
          <w:rFonts w:ascii="Courier New" w:cs="Courier New" w:eastAsia="Courier New" w:hAnsi="Courier New"/>
          <w:sz w:val="16"/>
          <w:szCs w:val="16"/>
          <w:color w:val="auto"/>
        </w:rPr>
        <w:t>$41.06 $39.13 Call price per</w:t>
      </w:r>
    </w:p>
    <w:p>
      <w:pPr>
        <w:jc w:val="center"/>
        <w:ind w:right="5159"/>
        <w:spacing w:after="0"/>
        <w:rPr>
          <w:sz w:val="20"/>
          <w:szCs w:val="20"/>
          <w:color w:val="auto"/>
        </w:rPr>
      </w:pPr>
      <w:r>
        <w:rPr>
          <w:rFonts w:ascii="Courier New" w:cs="Courier New" w:eastAsia="Courier New" w:hAnsi="Courier New"/>
          <w:sz w:val="16"/>
          <w:szCs w:val="16"/>
          <w:color w:val="auto"/>
        </w:rPr>
        <w:t>share....................................... $49.80</w:t>
      </w:r>
    </w:p>
    <w:p>
      <w:pPr>
        <w:jc w:val="center"/>
        <w:ind w:right="5159"/>
        <w:spacing w:after="0" w:line="238" w:lineRule="auto"/>
        <w:rPr>
          <w:sz w:val="20"/>
          <w:szCs w:val="20"/>
          <w:color w:val="auto"/>
        </w:rPr>
      </w:pPr>
      <w:r>
        <w:rPr>
          <w:rFonts w:ascii="Courier New" w:cs="Courier New" w:eastAsia="Courier New" w:hAnsi="Courier New"/>
          <w:sz w:val="16"/>
          <w:szCs w:val="16"/>
          <w:color w:val="auto"/>
        </w:rPr>
        <w:t>$49.27 $46.96 Carrying value at: December 31,</w:t>
      </w:r>
    </w:p>
    <w:p>
      <w:pPr>
        <w:jc w:val="center"/>
        <w:ind w:right="5159"/>
        <w:spacing w:after="0"/>
        <w:rPr>
          <w:sz w:val="20"/>
          <w:szCs w:val="20"/>
          <w:color w:val="auto"/>
        </w:rPr>
      </w:pPr>
      <w:r>
        <w:rPr>
          <w:rFonts w:ascii="Courier New" w:cs="Courier New" w:eastAsia="Courier New" w:hAnsi="Courier New"/>
          <w:sz w:val="16"/>
          <w:szCs w:val="16"/>
          <w:color w:val="auto"/>
        </w:rPr>
        <w:t>2001........................................ $ 320 $</w:t>
      </w:r>
    </w:p>
    <w:p>
      <w:pPr>
        <w:jc w:val="center"/>
        <w:ind w:right="5159"/>
        <w:spacing w:after="0" w:line="237" w:lineRule="auto"/>
        <w:rPr>
          <w:sz w:val="20"/>
          <w:szCs w:val="20"/>
          <w:color w:val="auto"/>
        </w:rPr>
      </w:pPr>
      <w:r>
        <w:rPr>
          <w:rFonts w:ascii="Courier New" w:cs="Courier New" w:eastAsia="Courier New" w:hAnsi="Courier New"/>
          <w:sz w:val="16"/>
          <w:szCs w:val="16"/>
          <w:color w:val="auto"/>
        </w:rPr>
        <w:t>277 $ 286 December 31,</w:t>
      </w:r>
    </w:p>
    <w:p>
      <w:pPr>
        <w:jc w:val="center"/>
        <w:ind w:right="5159"/>
        <w:spacing w:after="0"/>
        <w:rPr>
          <w:sz w:val="20"/>
          <w:szCs w:val="20"/>
          <w:color w:val="auto"/>
        </w:rPr>
      </w:pPr>
      <w:r>
        <w:rPr>
          <w:rFonts w:ascii="Courier New" w:cs="Courier New" w:eastAsia="Courier New" w:hAnsi="Courier New"/>
          <w:sz w:val="16"/>
          <w:szCs w:val="16"/>
          <w:color w:val="auto"/>
        </w:rPr>
        <w:t>2000........................................ $ 371 $</w:t>
      </w:r>
    </w:p>
    <w:p>
      <w:pPr>
        <w:jc w:val="center"/>
        <w:ind w:right="5159"/>
        <w:spacing w:after="0" w:line="238" w:lineRule="auto"/>
        <w:rPr>
          <w:sz w:val="20"/>
          <w:szCs w:val="20"/>
          <w:color w:val="auto"/>
        </w:rPr>
      </w:pPr>
      <w:r>
        <w:rPr>
          <w:rFonts w:ascii="Courier New" w:cs="Courier New" w:eastAsia="Courier New" w:hAnsi="Courier New"/>
          <w:sz w:val="16"/>
          <w:szCs w:val="16"/>
          <w:color w:val="auto"/>
        </w:rPr>
        <w:t>314 $ 329</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187" w:lineRule="exact"/>
        <w:rPr>
          <w:sz w:val="20"/>
          <w:szCs w:val="20"/>
          <w:color w:val="auto"/>
        </w:rPr>
      </w:pPr>
    </w:p>
    <w:p>
      <w:pPr>
        <w:ind w:left="460" w:right="3099" w:firstLine="474"/>
        <w:spacing w:after="0" w:line="236" w:lineRule="auto"/>
        <w:tabs>
          <w:tab w:leader="none" w:pos="1304"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the call price, the exchange ratio will be 0.8333;</w:t>
      </w:r>
    </w:p>
    <w:p>
      <w:pPr>
        <w:spacing w:after="0" w:line="184" w:lineRule="exact"/>
        <w:rPr>
          <w:rFonts w:ascii="Courier New" w:cs="Courier New" w:eastAsia="Courier New" w:hAnsi="Courier New"/>
          <w:sz w:val="16"/>
          <w:szCs w:val="16"/>
          <w:color w:val="auto"/>
        </w:rPr>
      </w:pPr>
    </w:p>
    <w:p>
      <w:pPr>
        <w:ind w:left="460" w:right="3099" w:firstLine="474"/>
        <w:spacing w:after="0" w:line="236" w:lineRule="auto"/>
        <w:tabs>
          <w:tab w:leader="none" w:pos="1304"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which are indexed to 22.3 million shares of Comcast common stock:</w:t>
      </w:r>
    </w:p>
    <w:p>
      <w:pPr>
        <w:spacing w:after="0" w:line="18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MATURITY DATE 2003 2004 2005 - ------------- ------ -</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$ 267 $ 267 $ 267 Interest</w:t>
      </w:r>
    </w:p>
    <w:p>
      <w:pPr>
        <w:jc w:val="center"/>
        <w:ind w:right="5159"/>
        <w:spacing w:after="0"/>
        <w:rPr>
          <w:sz w:val="20"/>
          <w:szCs w:val="20"/>
          <w:color w:val="auto"/>
        </w:rPr>
      </w:pPr>
      <w:r>
        <w:rPr>
          <w:rFonts w:ascii="Courier New" w:cs="Courier New" w:eastAsia="Courier New" w:hAnsi="Courier New"/>
          <w:sz w:val="16"/>
          <w:szCs w:val="16"/>
          <w:color w:val="auto"/>
        </w:rPr>
        <w:t>rate..............................................</w:t>
      </w:r>
    </w:p>
    <w:p>
      <w:pPr>
        <w:jc w:val="center"/>
        <w:ind w:right="5159"/>
        <w:spacing w:after="0" w:line="237" w:lineRule="auto"/>
        <w:rPr>
          <w:sz w:val="20"/>
          <w:szCs w:val="20"/>
          <w:color w:val="auto"/>
        </w:rPr>
      </w:pPr>
      <w:r>
        <w:rPr>
          <w:rFonts w:ascii="Courier New" w:cs="Courier New" w:eastAsia="Courier New" w:hAnsi="Courier New"/>
          <w:sz w:val="16"/>
          <w:szCs w:val="16"/>
          <w:color w:val="auto"/>
        </w:rPr>
        <w:t>6.76% 6.80% 6.84% Put price per</w:t>
      </w:r>
    </w:p>
    <w:p>
      <w:pPr>
        <w:jc w:val="center"/>
        <w:ind w:right="5159"/>
        <w:spacing w:after="0"/>
        <w:rPr>
          <w:sz w:val="20"/>
          <w:szCs w:val="20"/>
          <w:color w:val="auto"/>
        </w:rPr>
      </w:pPr>
      <w:r>
        <w:rPr>
          <w:rFonts w:ascii="Courier New" w:cs="Courier New" w:eastAsia="Courier New" w:hAnsi="Courier New"/>
          <w:sz w:val="16"/>
          <w:szCs w:val="16"/>
          <w:color w:val="auto"/>
        </w:rPr>
        <w:t>share........................................ $35.89</w:t>
      </w:r>
    </w:p>
    <w:p>
      <w:pPr>
        <w:jc w:val="center"/>
        <w:ind w:right="5159"/>
        <w:spacing w:after="0" w:line="238" w:lineRule="auto"/>
        <w:rPr>
          <w:sz w:val="20"/>
          <w:szCs w:val="20"/>
          <w:color w:val="auto"/>
        </w:rPr>
      </w:pPr>
      <w:r>
        <w:rPr>
          <w:rFonts w:ascii="Courier New" w:cs="Courier New" w:eastAsia="Courier New" w:hAnsi="Courier New"/>
          <w:sz w:val="16"/>
          <w:szCs w:val="16"/>
          <w:color w:val="auto"/>
        </w:rPr>
        <w:t>$35.89 $35.89 Call price per</w:t>
      </w:r>
    </w:p>
    <w:p>
      <w:pPr>
        <w:jc w:val="center"/>
        <w:ind w:right="5159"/>
        <w:spacing w:after="0"/>
        <w:rPr>
          <w:sz w:val="20"/>
          <w:szCs w:val="20"/>
          <w:color w:val="auto"/>
        </w:rPr>
      </w:pPr>
      <w:r>
        <w:rPr>
          <w:rFonts w:ascii="Courier New" w:cs="Courier New" w:eastAsia="Courier New" w:hAnsi="Courier New"/>
          <w:sz w:val="16"/>
          <w:szCs w:val="16"/>
          <w:color w:val="auto"/>
        </w:rPr>
        <w:t>share....................................... $50.64</w:t>
      </w:r>
    </w:p>
    <w:p>
      <w:pPr>
        <w:jc w:val="center"/>
        <w:ind w:right="5159"/>
        <w:spacing w:after="0" w:line="238" w:lineRule="auto"/>
        <w:rPr>
          <w:sz w:val="20"/>
          <w:szCs w:val="20"/>
          <w:color w:val="auto"/>
        </w:rPr>
      </w:pPr>
      <w:r>
        <w:rPr>
          <w:rFonts w:ascii="Courier New" w:cs="Courier New" w:eastAsia="Courier New" w:hAnsi="Courier New"/>
          <w:sz w:val="16"/>
          <w:szCs w:val="16"/>
          <w:color w:val="auto"/>
        </w:rPr>
        <w:t>$58.39 $67.97 Carrying value at: December 31,</w:t>
      </w:r>
    </w:p>
    <w:p>
      <w:pPr>
        <w:jc w:val="center"/>
        <w:ind w:right="5159"/>
        <w:spacing w:after="0"/>
        <w:rPr>
          <w:sz w:val="20"/>
          <w:szCs w:val="20"/>
          <w:color w:val="auto"/>
        </w:rPr>
      </w:pPr>
      <w:r>
        <w:rPr>
          <w:rFonts w:ascii="Courier New" w:cs="Courier New" w:eastAsia="Courier New" w:hAnsi="Courier New"/>
          <w:sz w:val="16"/>
          <w:szCs w:val="16"/>
          <w:color w:val="auto"/>
        </w:rPr>
        <w:t>2001........................................ $ 244 $</w:t>
      </w:r>
    </w:p>
    <w:p>
      <w:pPr>
        <w:jc w:val="center"/>
        <w:ind w:right="5159"/>
        <w:spacing w:after="0" w:line="237" w:lineRule="auto"/>
        <w:rPr>
          <w:sz w:val="20"/>
          <w:szCs w:val="20"/>
          <w:color w:val="auto"/>
        </w:rPr>
      </w:pPr>
      <w:r>
        <w:rPr>
          <w:rFonts w:ascii="Courier New" w:cs="Courier New" w:eastAsia="Courier New" w:hAnsi="Courier New"/>
          <w:sz w:val="16"/>
          <w:szCs w:val="16"/>
          <w:color w:val="auto"/>
        </w:rPr>
        <w:t>244 $ 245 December 31,</w:t>
      </w:r>
    </w:p>
    <w:p>
      <w:pPr>
        <w:jc w:val="center"/>
        <w:ind w:right="5159"/>
        <w:spacing w:after="0"/>
        <w:rPr>
          <w:sz w:val="20"/>
          <w:szCs w:val="20"/>
          <w:color w:val="auto"/>
        </w:rPr>
      </w:pPr>
      <w:r>
        <w:rPr>
          <w:rFonts w:ascii="Courier New" w:cs="Courier New" w:eastAsia="Courier New" w:hAnsi="Courier New"/>
          <w:sz w:val="16"/>
          <w:szCs w:val="16"/>
          <w:color w:val="auto"/>
        </w:rPr>
        <w:t>2000........................................ $ 267 $</w:t>
      </w:r>
    </w:p>
    <w:p>
      <w:pPr>
        <w:jc w:val="center"/>
        <w:ind w:right="5159"/>
        <w:spacing w:after="0" w:line="238" w:lineRule="auto"/>
        <w:rPr>
          <w:sz w:val="20"/>
          <w:szCs w:val="20"/>
          <w:color w:val="auto"/>
        </w:rPr>
      </w:pPr>
      <w:r>
        <w:rPr>
          <w:rFonts w:ascii="Courier New" w:cs="Courier New" w:eastAsia="Courier New" w:hAnsi="Courier New"/>
          <w:sz w:val="16"/>
          <w:szCs w:val="16"/>
          <w:color w:val="auto"/>
        </w:rPr>
        <w:t>267 $ 267</w:t>
      </w:r>
    </w:p>
    <w:p>
      <w:pPr>
        <w:spacing w:after="0" w:line="36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At maturity, such Comcast Exchangeable Notes will be redeemed, at AT&amp;T's option, with (i) a number of shares of Comcast common stock equal to the underlying shares multiplied by the exchange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F-55</w:t>
      </w:r>
    </w:p>
    <w:p>
      <w:pPr>
        <w:sectPr>
          <w:pgSz w:w="11900" w:h="16838" w:orient="portrait"/>
          <w:cols w:equalWidth="0" w:num="1">
            <w:col w:w="10219"/>
          </w:cols>
          <w:pgMar w:left="240" w:top="473" w:right="1440" w:bottom="1440" w:gutter="0" w:footer="0" w:header="0"/>
        </w:sectPr>
      </w:pPr>
    </w:p>
    <w:bookmarkStart w:id="243" w:name="page244"/>
    <w:bookmarkEnd w:id="24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ratio, or (ii) its equivalent cash value. The exchange ratio will be calculated at maturity in the following manner:</w:t>
      </w:r>
    </w:p>
    <w:p>
      <w:pPr>
        <w:spacing w:after="0" w:line="185" w:lineRule="exact"/>
        <w:rPr>
          <w:sz w:val="20"/>
          <w:szCs w:val="20"/>
          <w:color w:val="auto"/>
        </w:rPr>
      </w:pPr>
    </w:p>
    <w:p>
      <w:pPr>
        <w:ind w:left="460" w:right="2819" w:firstLine="474"/>
        <w:spacing w:after="0" w:line="237" w:lineRule="auto"/>
        <w:tabs>
          <w:tab w:leader="none" w:pos="1304"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188" w:lineRule="exact"/>
        <w:rPr>
          <w:rFonts w:ascii="Courier New" w:cs="Courier New" w:eastAsia="Courier New" w:hAnsi="Courier New"/>
          <w:sz w:val="16"/>
          <w:szCs w:val="16"/>
          <w:color w:val="auto"/>
        </w:rPr>
      </w:pPr>
    </w:p>
    <w:p>
      <w:pPr>
        <w:ind w:left="460" w:right="3099" w:firstLine="474"/>
        <w:spacing w:after="0" w:line="236" w:lineRule="auto"/>
        <w:tabs>
          <w:tab w:leader="none" w:pos="1304"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187"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Following is a summary of the Microsoft Exchangeable Notes outstanding at December 31, 2001, which are indexed to 10 million shares of Microsoft common stock:</w:t>
      </w:r>
    </w:p>
    <w:p>
      <w:pPr>
        <w:spacing w:after="0" w:line="18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MATURITY DATE 2003 2004 2005 - ------------- ------</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$ 227 $ 226 $ 226 Interest</w:t>
      </w:r>
    </w:p>
    <w:p>
      <w:pPr>
        <w:jc w:val="center"/>
        <w:ind w:right="5359"/>
        <w:spacing w:after="0"/>
        <w:rPr>
          <w:sz w:val="20"/>
          <w:szCs w:val="20"/>
          <w:color w:val="auto"/>
        </w:rPr>
      </w:pPr>
      <w:r>
        <w:rPr>
          <w:rFonts w:ascii="Courier New" w:cs="Courier New" w:eastAsia="Courier New" w:hAnsi="Courier New"/>
          <w:sz w:val="16"/>
          <w:szCs w:val="16"/>
          <w:color w:val="auto"/>
        </w:rPr>
        <w:t>rate............................................</w:t>
      </w:r>
    </w:p>
    <w:p>
      <w:pPr>
        <w:jc w:val="center"/>
        <w:ind w:right="5359"/>
        <w:spacing w:after="0" w:line="237" w:lineRule="auto"/>
        <w:rPr>
          <w:sz w:val="20"/>
          <w:szCs w:val="20"/>
          <w:color w:val="auto"/>
        </w:rPr>
      </w:pPr>
      <w:r>
        <w:rPr>
          <w:rFonts w:ascii="Courier New" w:cs="Courier New" w:eastAsia="Courier New" w:hAnsi="Courier New"/>
          <w:sz w:val="16"/>
          <w:szCs w:val="16"/>
          <w:color w:val="auto"/>
        </w:rPr>
        <w:t>6.96% 7.00% 7.04% Put price per</w:t>
      </w:r>
    </w:p>
    <w:p>
      <w:pPr>
        <w:jc w:val="center"/>
        <w:ind w:right="5359"/>
        <w:spacing w:after="0"/>
        <w:rPr>
          <w:sz w:val="20"/>
          <w:szCs w:val="20"/>
          <w:color w:val="auto"/>
        </w:rPr>
      </w:pPr>
      <w:r>
        <w:rPr>
          <w:rFonts w:ascii="Courier New" w:cs="Courier New" w:eastAsia="Courier New" w:hAnsi="Courier New"/>
          <w:sz w:val="16"/>
          <w:szCs w:val="16"/>
          <w:color w:val="auto"/>
        </w:rPr>
        <w:t>share...................................... $67.87</w:t>
      </w:r>
    </w:p>
    <w:p>
      <w:pPr>
        <w:jc w:val="center"/>
        <w:ind w:right="5359"/>
        <w:spacing w:after="0" w:line="238" w:lineRule="auto"/>
        <w:rPr>
          <w:sz w:val="20"/>
          <w:szCs w:val="20"/>
          <w:color w:val="auto"/>
        </w:rPr>
      </w:pPr>
      <w:r>
        <w:rPr>
          <w:rFonts w:ascii="Courier New" w:cs="Courier New" w:eastAsia="Courier New" w:hAnsi="Courier New"/>
          <w:sz w:val="16"/>
          <w:szCs w:val="16"/>
          <w:color w:val="auto"/>
        </w:rPr>
        <w:t>$ 67.87 $ 67.87 Call price per</w:t>
      </w:r>
    </w:p>
    <w:p>
      <w:pPr>
        <w:jc w:val="center"/>
        <w:ind w:right="5359"/>
        <w:spacing w:after="0"/>
        <w:rPr>
          <w:sz w:val="20"/>
          <w:szCs w:val="20"/>
          <w:color w:val="auto"/>
        </w:rPr>
      </w:pPr>
      <w:r>
        <w:rPr>
          <w:rFonts w:ascii="Courier New" w:cs="Courier New" w:eastAsia="Courier New" w:hAnsi="Courier New"/>
          <w:sz w:val="16"/>
          <w:szCs w:val="16"/>
          <w:color w:val="auto"/>
        </w:rPr>
        <w:t>share..................................... $97.39</w:t>
      </w:r>
    </w:p>
    <w:p>
      <w:pPr>
        <w:jc w:val="center"/>
        <w:ind w:right="5359"/>
        <w:spacing w:after="0" w:line="238" w:lineRule="auto"/>
        <w:rPr>
          <w:sz w:val="20"/>
          <w:szCs w:val="20"/>
          <w:color w:val="auto"/>
        </w:rPr>
      </w:pPr>
      <w:r>
        <w:rPr>
          <w:rFonts w:ascii="Courier New" w:cs="Courier New" w:eastAsia="Courier New" w:hAnsi="Courier New"/>
          <w:sz w:val="16"/>
          <w:szCs w:val="16"/>
          <w:color w:val="auto"/>
        </w:rPr>
        <w:t>$111.64 $128.60 Carrying value at: December 31,</w:t>
      </w:r>
    </w:p>
    <w:p>
      <w:pPr>
        <w:jc w:val="center"/>
        <w:ind w:right="5359"/>
        <w:spacing w:after="0"/>
        <w:rPr>
          <w:sz w:val="20"/>
          <w:szCs w:val="20"/>
          <w:color w:val="auto"/>
        </w:rPr>
      </w:pPr>
      <w:r>
        <w:rPr>
          <w:rFonts w:ascii="Courier New" w:cs="Courier New" w:eastAsia="Courier New" w:hAnsi="Courier New"/>
          <w:sz w:val="16"/>
          <w:szCs w:val="16"/>
          <w:color w:val="auto"/>
        </w:rPr>
        <w:t>2001...................................... $ 201 $</w:t>
      </w:r>
    </w:p>
    <w:p>
      <w:pPr>
        <w:jc w:val="center"/>
        <w:ind w:right="5359"/>
        <w:spacing w:after="0" w:line="237" w:lineRule="auto"/>
        <w:rPr>
          <w:sz w:val="20"/>
          <w:szCs w:val="20"/>
          <w:color w:val="auto"/>
        </w:rPr>
      </w:pPr>
      <w:r>
        <w:rPr>
          <w:rFonts w:ascii="Courier New" w:cs="Courier New" w:eastAsia="Courier New" w:hAnsi="Courier New"/>
          <w:sz w:val="16"/>
          <w:szCs w:val="16"/>
          <w:color w:val="auto"/>
        </w:rPr>
        <w:t>198 $ 196 December 31,</w:t>
      </w:r>
    </w:p>
    <w:p>
      <w:pPr>
        <w:jc w:val="center"/>
        <w:ind w:right="5359"/>
        <w:spacing w:after="0"/>
        <w:rPr>
          <w:sz w:val="20"/>
          <w:szCs w:val="20"/>
          <w:color w:val="auto"/>
        </w:rPr>
      </w:pPr>
      <w:r>
        <w:rPr>
          <w:rFonts w:ascii="Courier New" w:cs="Courier New" w:eastAsia="Courier New" w:hAnsi="Courier New"/>
          <w:sz w:val="16"/>
          <w:szCs w:val="16"/>
          <w:color w:val="auto"/>
        </w:rPr>
        <w:t>2000...................................... $ 145 $</w:t>
      </w:r>
    </w:p>
    <w:p>
      <w:pPr>
        <w:jc w:val="center"/>
        <w:ind w:right="5359"/>
        <w:spacing w:after="0" w:line="238" w:lineRule="auto"/>
        <w:rPr>
          <w:sz w:val="20"/>
          <w:szCs w:val="20"/>
          <w:color w:val="auto"/>
        </w:rPr>
      </w:pPr>
      <w:r>
        <w:rPr>
          <w:rFonts w:ascii="Courier New" w:cs="Courier New" w:eastAsia="Courier New" w:hAnsi="Courier New"/>
          <w:sz w:val="16"/>
          <w:szCs w:val="16"/>
          <w:color w:val="auto"/>
        </w:rPr>
        <w:t>144 $ 144</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87" w:lineRule="exact"/>
        <w:rPr>
          <w:sz w:val="20"/>
          <w:szCs w:val="20"/>
          <w:color w:val="auto"/>
        </w:rPr>
      </w:pPr>
    </w:p>
    <w:p>
      <w:pPr>
        <w:ind w:left="460" w:right="2719" w:firstLine="474"/>
        <w:spacing w:after="0" w:line="237" w:lineRule="auto"/>
        <w:tabs>
          <w:tab w:leader="none" w:pos="1304"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188" w:lineRule="exact"/>
        <w:rPr>
          <w:rFonts w:ascii="Courier New" w:cs="Courier New" w:eastAsia="Courier New" w:hAnsi="Courier New"/>
          <w:sz w:val="16"/>
          <w:szCs w:val="16"/>
          <w:color w:val="auto"/>
        </w:rPr>
      </w:pPr>
    </w:p>
    <w:p>
      <w:pPr>
        <w:ind w:left="460" w:right="2899" w:firstLine="474"/>
        <w:spacing w:after="0" w:line="236" w:lineRule="auto"/>
        <w:tabs>
          <w:tab w:leader="none" w:pos="1304"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F-56</w:t>
      </w:r>
    </w:p>
    <w:p>
      <w:pPr>
        <w:sectPr>
          <w:pgSz w:w="11900" w:h="16838" w:orient="portrait"/>
          <w:cols w:equalWidth="0" w:num="1">
            <w:col w:w="10219"/>
          </w:cols>
          <w:pgMar w:left="240" w:top="473" w:right="1440" w:bottom="1440" w:gutter="0" w:footer="0" w:header="0"/>
        </w:sectPr>
      </w:pPr>
    </w:p>
    <w:bookmarkStart w:id="244" w:name="page245"/>
    <w:bookmarkEnd w:id="24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Following is a summary of the Vodafone Exchangeable Notes outstanding at</w:t>
      </w:r>
    </w:p>
    <w:p>
      <w:pPr>
        <w:spacing w:after="0"/>
        <w:rPr>
          <w:sz w:val="20"/>
          <w:szCs w:val="20"/>
          <w:color w:val="auto"/>
        </w:rPr>
      </w:pPr>
      <w:r>
        <w:rPr>
          <w:rFonts w:ascii="Courier New" w:cs="Courier New" w:eastAsia="Courier New" w:hAnsi="Courier New"/>
          <w:sz w:val="16"/>
          <w:szCs w:val="16"/>
          <w:color w:val="auto"/>
        </w:rPr>
        <w:t>December 31, 2001, which are indexed to Vodafone ADRs: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MATURITY DATE 2002 - ------------- ------</w:t>
            </w: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Face</w:t>
            </w:r>
          </w:p>
        </w:tc>
      </w:tr>
      <w:tr>
        <w:trPr>
          <w:trHeight w:val="180"/>
        </w:trPr>
        <w:tc>
          <w:tcPr>
            <w:tcW w:w="5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value..................................................</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7"/>
              </w:rPr>
              <w:t>$1,129 Interest</w:t>
            </w:r>
          </w:p>
        </w:tc>
        <w:tc>
          <w:tcPr>
            <w:tcW w:w="660" w:type="dxa"/>
            <w:vAlign w:val="bottom"/>
          </w:tcPr>
          <w:p>
            <w:pPr>
              <w:spacing w:after="0"/>
              <w:rPr>
                <w:sz w:val="15"/>
                <w:szCs w:val="15"/>
                <w:color w:val="auto"/>
              </w:rPr>
            </w:pPr>
          </w:p>
        </w:tc>
      </w:tr>
      <w:tr>
        <w:trPr>
          <w:trHeight w:val="180"/>
        </w:trPr>
        <w:tc>
          <w:tcPr>
            <w:tcW w:w="5060" w:type="dxa"/>
            <w:vAlign w:val="bottom"/>
            <w:gridSpan w:val="2"/>
          </w:tcPr>
          <w:p>
            <w:pPr>
              <w:jc w:val="center"/>
              <w:ind w:left="82"/>
              <w:spacing w:after="0"/>
              <w:rPr>
                <w:sz w:val="20"/>
                <w:szCs w:val="20"/>
                <w:color w:val="auto"/>
              </w:rPr>
            </w:pPr>
            <w:r>
              <w:rPr>
                <w:rFonts w:ascii="Courier New" w:cs="Courier New" w:eastAsia="Courier New" w:hAnsi="Courier New"/>
                <w:sz w:val="16"/>
                <w:szCs w:val="16"/>
                <w:color w:val="auto"/>
                <w:w w:val="97"/>
              </w:rPr>
              <w:t>rate...............................................</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8"/>
              </w:rPr>
              <w:t>7.0% Put</w:t>
            </w:r>
          </w:p>
        </w:tc>
        <w:tc>
          <w:tcPr>
            <w:tcW w:w="660" w:type="dxa"/>
            <w:vAlign w:val="bottom"/>
          </w:tcPr>
          <w:p>
            <w:pPr>
              <w:spacing w:after="0"/>
              <w:rPr>
                <w:sz w:val="15"/>
                <w:szCs w:val="15"/>
                <w:color w:val="auto"/>
              </w:rPr>
            </w:pPr>
          </w:p>
        </w:tc>
      </w:tr>
      <w:tr>
        <w:trPr>
          <w:trHeight w:val="180"/>
        </w:trPr>
        <w:tc>
          <w:tcPr>
            <w:tcW w:w="5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price...................................................</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8"/>
              </w:rPr>
              <w:t>$43.44 Call</w:t>
            </w:r>
          </w:p>
        </w:tc>
        <w:tc>
          <w:tcPr>
            <w:tcW w:w="660" w:type="dxa"/>
            <w:vAlign w:val="bottom"/>
          </w:tcPr>
          <w:p>
            <w:pPr>
              <w:spacing w:after="0"/>
              <w:rPr>
                <w:sz w:val="15"/>
                <w:szCs w:val="15"/>
                <w:color w:val="auto"/>
              </w:rPr>
            </w:pPr>
          </w:p>
        </w:tc>
      </w:tr>
      <w:tr>
        <w:trPr>
          <w:trHeight w:val="180"/>
        </w:trPr>
        <w:tc>
          <w:tcPr>
            <w:tcW w:w="5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price..................................................</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7"/>
              </w:rPr>
              <w:t>$51.26 Carrying value at: December 31,</w:t>
            </w:r>
          </w:p>
        </w:tc>
        <w:tc>
          <w:tcPr>
            <w:tcW w:w="660" w:type="dxa"/>
            <w:vAlign w:val="bottom"/>
          </w:tcPr>
          <w:p>
            <w:pPr>
              <w:spacing w:after="0"/>
              <w:rPr>
                <w:sz w:val="15"/>
                <w:szCs w:val="15"/>
                <w:color w:val="auto"/>
              </w:rPr>
            </w:pPr>
          </w:p>
        </w:tc>
      </w:tr>
      <w:tr>
        <w:trPr>
          <w:trHeight w:val="180"/>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$ 715</w:t>
            </w:r>
          </w:p>
        </w:tc>
      </w:tr>
      <w:tr>
        <w:trPr>
          <w:trHeight w:val="180"/>
        </w:trPr>
        <w:tc>
          <w:tcPr>
            <w:tcW w:w="4400" w:type="dxa"/>
            <w:vAlign w:val="bottom"/>
          </w:tcPr>
          <w:p>
            <w:pPr>
              <w:jc w:val="center"/>
              <w:ind w:left="762"/>
              <w:spacing w:after="0"/>
              <w:rPr>
                <w:sz w:val="20"/>
                <w:szCs w:val="20"/>
                <w:color w:val="auto"/>
              </w:rPr>
            </w:pPr>
            <w:r>
              <w:rPr>
                <w:rFonts w:ascii="Courier New" w:cs="Courier New" w:eastAsia="Courier New" w:hAnsi="Courier New"/>
                <w:sz w:val="16"/>
                <w:szCs w:val="16"/>
                <w:color w:val="auto"/>
                <w:w w:val="97"/>
              </w:rPr>
              <w:t>December 31,</w:t>
            </w:r>
          </w:p>
        </w:tc>
        <w:tc>
          <w:tcPr>
            <w:tcW w:w="660" w:type="dxa"/>
            <w:vAlign w:val="bottom"/>
          </w:tcPr>
          <w:p>
            <w:pPr>
              <w:spacing w:after="0"/>
              <w:rPr>
                <w:sz w:val="15"/>
                <w:szCs w:val="15"/>
                <w:color w:val="auto"/>
              </w:rPr>
            </w:pPr>
          </w:p>
        </w:tc>
      </w:tr>
      <w:tr>
        <w:trPr>
          <w:trHeight w:val="180"/>
        </w:trPr>
        <w:tc>
          <w:tcPr>
            <w:tcW w:w="44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$1,012</w:t>
            </w:r>
          </w:p>
        </w:tc>
      </w:tr>
    </w:tbl>
    <w:p>
      <w:pPr>
        <w:spacing w:after="0" w:line="36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redemption formula for Vodafone Exchangeable Notes that mature in 2002, which are indexed to 26 million shares of Vodafone ADRs, is as follows:</w:t>
      </w:r>
    </w:p>
    <w:p>
      <w:pPr>
        <w:spacing w:after="0" w:line="185" w:lineRule="exact"/>
        <w:rPr>
          <w:sz w:val="20"/>
          <w:szCs w:val="20"/>
          <w:color w:val="auto"/>
        </w:rPr>
      </w:pPr>
    </w:p>
    <w:p>
      <w:pPr>
        <w:ind w:left="460" w:right="2899" w:firstLine="474"/>
        <w:spacing w:after="0" w:line="237" w:lineRule="auto"/>
        <w:tabs>
          <w:tab w:leader="none" w:pos="1304"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or equal to the call price, each Vodafone exchangeable Note is equivalent to 0.8475 of a Vodafone ADR;</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put price, each Vodafone Exchangeable Note is equivalent to one Vodafone ADR; or</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7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F-57</w:t>
      </w:r>
    </w:p>
    <w:p>
      <w:pPr>
        <w:sectPr>
          <w:pgSz w:w="11900" w:h="16838" w:orient="portrait"/>
          <w:cols w:equalWidth="0" w:num="1">
            <w:col w:w="10219"/>
          </w:cols>
          <w:pgMar w:left="240" w:top="473" w:right="1440" w:bottom="1440" w:gutter="0" w:footer="0" w:header="0"/>
        </w:sectPr>
      </w:pPr>
    </w:p>
    <w:bookmarkStart w:id="245" w:name="page246"/>
    <w:bookmarkEnd w:id="24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Cablevision NY and Rainbow Media Group options are undesignated and are carried at fair value with changes in fair value recorded in other (expense) income in the combined statement of operations.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EXCHANGEABLE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during 1999 two subsidiaries of MediaOne, MediaOne SPC IV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SPC VI, entered into a series of purchased and written options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Vodafone ADRs contributed to them by MediaOne and issued floating rate debt.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carrying value of the debt outstanding at both December 31, 2001 and 2000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$1,739, which pays interest at a three-month LIBOR plus 0.5%. This debt has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attributed to AT&amp;T Broadband Group and matures in equal quarterly installments</w:t>
      </w:r>
    </w:p>
    <w:p>
      <w:pPr>
        <w:spacing w:after="0"/>
        <w:rPr>
          <w:sz w:val="20"/>
          <w:szCs w:val="20"/>
          <w:color w:val="auto"/>
        </w:rPr>
      </w:pPr>
      <w:r>
        <w:rPr>
          <w:rFonts w:ascii="Courier New" w:cs="Courier New" w:eastAsia="Courier New" w:hAnsi="Courier New"/>
          <w:sz w:val="16"/>
          <w:szCs w:val="16"/>
          <w:color w:val="auto"/>
        </w:rPr>
        <w:t>beginning in 2003 and ending in 2005. The assets of MediaOne SPC IV, which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29.1 million Vodafone ADRs, are only available to pay the creditors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SPC IV. Likewise, the assets of MediaOne SPC VI, which are primarily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 million Vodafone ADRs, are only available to pay the creditors of MediaOne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SPC VI. MediaOne SPC IV and VI will generate cash to settle these notes by</w:t>
      </w:r>
    </w:p>
    <w:p>
      <w:pPr>
        <w:spacing w:after="0"/>
        <w:rPr>
          <w:sz w:val="20"/>
          <w:szCs w:val="20"/>
          <w:color w:val="auto"/>
        </w:rPr>
      </w:pPr>
      <w:r>
        <w:rPr>
          <w:rFonts w:ascii="Courier New" w:cs="Courier New" w:eastAsia="Courier New" w:hAnsi="Courier New"/>
          <w:sz w:val="16"/>
          <w:szCs w:val="16"/>
          <w:color w:val="auto"/>
        </w:rPr>
        <w:t>selling their Vodafone ADRs to the market (or to AT&amp;T, at AT&amp;T's option) and</w:t>
      </w:r>
    </w:p>
    <w:p>
      <w:pPr>
        <w:spacing w:after="0" w:line="237" w:lineRule="auto"/>
        <w:rPr>
          <w:sz w:val="20"/>
          <w:szCs w:val="20"/>
          <w:color w:val="auto"/>
        </w:rPr>
      </w:pPr>
      <w:r>
        <w:rPr>
          <w:rFonts w:ascii="Courier New" w:cs="Courier New" w:eastAsia="Courier New" w:hAnsi="Courier New"/>
          <w:sz w:val="16"/>
          <w:szCs w:val="16"/>
          <w:color w:val="auto"/>
        </w:rPr>
        <w:t>cash settle the option. (See note 10 for discussions of the purchased and</w:t>
      </w:r>
    </w:p>
    <w:p>
      <w:pPr>
        <w:spacing w:after="0"/>
        <w:rPr>
          <w:sz w:val="20"/>
          <w:szCs w:val="20"/>
          <w:color w:val="auto"/>
        </w:rPr>
      </w:pPr>
      <w:r>
        <w:rPr>
          <w:rFonts w:ascii="Courier New" w:cs="Courier New" w:eastAsia="Courier New" w:hAnsi="Courier New"/>
          <w:sz w:val="16"/>
          <w:szCs w:val="16"/>
          <w:color w:val="auto"/>
        </w:rPr>
        <w:t>written options.)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F-58</w:t>
      </w:r>
    </w:p>
    <w:p>
      <w:pPr>
        <w:sectPr>
          <w:pgSz w:w="11900" w:h="16838" w:orient="portrait"/>
          <w:cols w:equalWidth="0" w:num="1">
            <w:col w:w="10219"/>
          </w:cols>
          <w:pgMar w:left="240" w:top="473" w:right="1440" w:bottom="1440" w:gutter="0" w:footer="0" w:header="0"/>
        </w:sectPr>
      </w:pPr>
    </w:p>
    <w:bookmarkStart w:id="246" w:name="page247"/>
    <w:bookmarkEnd w:id="246"/>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100" w:right="2819"/>
        <w:spacing w:after="0" w:line="236" w:lineRule="auto"/>
        <w:rPr>
          <w:sz w:val="20"/>
          <w:szCs w:val="20"/>
          <w:color w:val="auto"/>
        </w:rPr>
      </w:pPr>
      <w:r>
        <w:rPr>
          <w:rFonts w:ascii="Courier New" w:cs="Courier New" w:eastAsia="Courier New" w:hAnsi="Courier New"/>
          <w:sz w:val="16"/>
          <w:szCs w:val="16"/>
          <w:color w:val="auto"/>
        </w:rPr>
        <w:t>SUBSIDIARY-OBLIGATED MANDATORILY REDEEMABLE PREFERRED SECURITIES OF SUBSIDIARY TRUSTS HOLDING SOLELY SUBORDINATED DEBT SECURITIES</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Certain subsidiary trusts (the "Trusts") of AT&amp;T Broadband Group, through ATTBLLC and MediaOne, had preferred securities ("Trust Preferred Securities") outstanding at December 31, 2001 and 2000 as follows:</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CARRYING AMOUNT INTEREST</w:t>
      </w:r>
    </w:p>
    <w:p>
      <w:pPr>
        <w:ind w:left="420"/>
        <w:spacing w:after="0"/>
        <w:rPr>
          <w:sz w:val="20"/>
          <w:szCs w:val="20"/>
          <w:color w:val="auto"/>
        </w:rPr>
      </w:pPr>
      <w:r>
        <w:rPr>
          <w:rFonts w:ascii="Courier New" w:cs="Courier New" w:eastAsia="Courier New" w:hAnsi="Courier New"/>
          <w:sz w:val="16"/>
          <w:szCs w:val="16"/>
          <w:color w:val="auto"/>
        </w:rPr>
        <w:t>MATURITY ---------------</w:t>
      </w:r>
    </w:p>
    <w:p>
      <w:pPr>
        <w:ind w:left="80"/>
        <w:spacing w:after="0" w:line="237" w:lineRule="auto"/>
        <w:rPr>
          <w:sz w:val="20"/>
          <w:szCs w:val="20"/>
          <w:color w:val="auto"/>
        </w:rPr>
      </w:pPr>
      <w:r>
        <w:rPr>
          <w:rFonts w:ascii="Courier New" w:cs="Courier New" w:eastAsia="Courier New" w:hAnsi="Courier New"/>
          <w:sz w:val="16"/>
          <w:szCs w:val="16"/>
          <w:color w:val="auto"/>
        </w:rPr>
        <w:t>SUBSIDIARY TRUST RATE DATE 2001</w:t>
      </w:r>
    </w:p>
    <w:p>
      <w:pPr>
        <w:ind w:left="40"/>
        <w:spacing w:after="0"/>
        <w:rPr>
          <w:sz w:val="20"/>
          <w:szCs w:val="20"/>
          <w:color w:val="auto"/>
        </w:rPr>
      </w:pPr>
      <w:r>
        <w:rPr>
          <w:rFonts w:ascii="Courier New" w:cs="Courier New" w:eastAsia="Courier New" w:hAnsi="Courier New"/>
          <w:sz w:val="16"/>
          <w:szCs w:val="16"/>
          <w:color w:val="auto"/>
        </w:rPr>
        <w:t>2000 - ---------------- --------</w:t>
      </w:r>
    </w:p>
    <w:p>
      <w:pPr>
        <w:ind w:left="320"/>
        <w:spacing w:after="0" w:line="238" w:lineRule="auto"/>
        <w:rPr>
          <w:sz w:val="20"/>
          <w:szCs w:val="20"/>
          <w:color w:val="auto"/>
        </w:rPr>
      </w:pPr>
      <w:r>
        <w:rPr>
          <w:rFonts w:ascii="Courier New" w:cs="Courier New" w:eastAsia="Courier New" w:hAnsi="Courier New"/>
          <w:sz w:val="16"/>
          <w:szCs w:val="16"/>
          <w:color w:val="auto"/>
        </w:rPr>
        <w:t>-------- ------ ------ TCI</w:t>
      </w:r>
    </w:p>
    <w:p>
      <w:pPr>
        <w:ind w:left="420"/>
        <w:spacing w:after="0"/>
        <w:rPr>
          <w:sz w:val="20"/>
          <w:szCs w:val="20"/>
          <w:color w:val="auto"/>
        </w:rPr>
      </w:pPr>
      <w:r>
        <w:rPr>
          <w:rFonts w:ascii="Courier New" w:cs="Courier New" w:eastAsia="Courier New" w:hAnsi="Courier New"/>
          <w:sz w:val="16"/>
          <w:szCs w:val="16"/>
          <w:color w:val="auto"/>
        </w:rPr>
        <w:t>Communications Financing</w:t>
      </w:r>
    </w:p>
    <w:p>
      <w:pPr>
        <w:ind w:left="40"/>
        <w:spacing w:after="0" w:line="238" w:lineRule="auto"/>
        <w:rPr>
          <w:sz w:val="20"/>
          <w:szCs w:val="20"/>
          <w:color w:val="auto"/>
        </w:rPr>
      </w:pPr>
      <w:r>
        <w:rPr>
          <w:rFonts w:ascii="Courier New" w:cs="Courier New" w:eastAsia="Courier New" w:hAnsi="Courier New"/>
          <w:sz w:val="16"/>
          <w:szCs w:val="16"/>
          <w:color w:val="auto"/>
        </w:rPr>
        <w:t>I.................... 8.72% 2045</w:t>
      </w:r>
    </w:p>
    <w:p>
      <w:pPr>
        <w:spacing w:after="0" w:line="4" w:lineRule="exact"/>
        <w:rPr>
          <w:sz w:val="20"/>
          <w:szCs w:val="20"/>
          <w:color w:val="auto"/>
        </w:rPr>
      </w:pPr>
    </w:p>
    <w:p>
      <w:pPr>
        <w:jc w:val="both"/>
        <w:ind w:left="80" w:right="7219" w:firstLine="54"/>
        <w:spacing w:after="0" w:line="254" w:lineRule="auto"/>
        <w:tabs>
          <w:tab w:leader="none" w:pos="314"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527 $ 528 TCI Communications Financing II...................</w:t>
      </w:r>
    </w:p>
    <w:p>
      <w:pPr>
        <w:spacing w:after="0" w:line="1" w:lineRule="exact"/>
        <w:rPr>
          <w:rFonts w:ascii="Courier New" w:cs="Courier New" w:eastAsia="Courier New" w:hAnsi="Courier New"/>
          <w:sz w:val="15"/>
          <w:szCs w:val="15"/>
          <w:color w:val="auto"/>
        </w:rPr>
      </w:pPr>
    </w:p>
    <w:p>
      <w:pPr>
        <w:jc w:val="both"/>
        <w:ind w:left="420" w:right="7559" w:firstLine="4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10.00% 2045 513 514 TCI Communications Financing</w:t>
      </w:r>
    </w:p>
    <w:tbl>
      <w:tblPr>
        <w:tblLayout w:type="fixed"/>
        <w:tblInd w:w="0" w:type="dxa"/>
        <w:tblCellMar>
          <w:top w:w="0" w:type="dxa"/>
          <w:left w:w="0" w:type="dxa"/>
          <w:bottom w:w="0" w:type="dxa"/>
          <w:right w:w="0" w:type="dxa"/>
        </w:tblCellMar>
      </w:tblPr>
      <w:tr>
        <w:trPr>
          <w:trHeight w:val="177"/>
        </w:trPr>
        <w:tc>
          <w:tcPr>
            <w:tcW w:w="10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III..................</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9.65% 2027</w:t>
            </w:r>
          </w:p>
        </w:tc>
      </w:tr>
      <w:tr>
        <w:trPr>
          <w:trHeight w:val="180"/>
        </w:trPr>
        <w:tc>
          <w:tcPr>
            <w:tcW w:w="304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7"/>
              </w:rPr>
              <w:t>380 357 TCI Communications</w:t>
            </w: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72"/>
              </w:rPr>
              <w:t>Financing IV...................</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9.72% 2036 204</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204 MediaOne</w:t>
            </w:r>
          </w:p>
        </w:tc>
      </w:tr>
      <w:tr>
        <w:trPr>
          <w:trHeight w:val="180"/>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jc w:val="center"/>
              <w:ind w:left="22"/>
              <w:spacing w:after="0"/>
              <w:rPr>
                <w:sz w:val="20"/>
                <w:szCs w:val="20"/>
                <w:color w:val="auto"/>
              </w:rPr>
            </w:pPr>
            <w:r>
              <w:rPr>
                <w:rFonts w:ascii="Courier New" w:cs="Courier New" w:eastAsia="Courier New" w:hAnsi="Courier New"/>
                <w:sz w:val="16"/>
                <w:szCs w:val="16"/>
                <w:color w:val="auto"/>
                <w:w w:val="97"/>
              </w:rPr>
              <w:t>Financing</w:t>
            </w:r>
          </w:p>
        </w:tc>
        <w:tc>
          <w:tcPr>
            <w:tcW w:w="1080" w:type="dxa"/>
            <w:vAlign w:val="bottom"/>
          </w:tcPr>
          <w:p>
            <w:pPr>
              <w:spacing w:after="0"/>
              <w:rPr>
                <w:sz w:val="15"/>
                <w:szCs w:val="15"/>
                <w:color w:val="auto"/>
              </w:rPr>
            </w:pP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A..............................</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7.96% 2025 30</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MediaOne</w:t>
            </w:r>
          </w:p>
        </w:tc>
      </w:tr>
      <w:tr>
        <w:trPr>
          <w:trHeight w:val="180"/>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jc w:val="center"/>
              <w:ind w:left="22"/>
              <w:spacing w:after="0"/>
              <w:rPr>
                <w:sz w:val="20"/>
                <w:szCs w:val="20"/>
                <w:color w:val="auto"/>
              </w:rPr>
            </w:pPr>
            <w:r>
              <w:rPr>
                <w:rFonts w:ascii="Courier New" w:cs="Courier New" w:eastAsia="Courier New" w:hAnsi="Courier New"/>
                <w:sz w:val="16"/>
                <w:szCs w:val="16"/>
                <w:color w:val="auto"/>
                <w:w w:val="97"/>
              </w:rPr>
              <w:t>Financing</w:t>
            </w:r>
          </w:p>
        </w:tc>
        <w:tc>
          <w:tcPr>
            <w:tcW w:w="1080" w:type="dxa"/>
            <w:vAlign w:val="bottom"/>
          </w:tcPr>
          <w:p>
            <w:pPr>
              <w:spacing w:after="0"/>
              <w:rPr>
                <w:sz w:val="15"/>
                <w:szCs w:val="15"/>
                <w:color w:val="auto"/>
              </w:rPr>
            </w:pP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B..............................</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8.25% 2036 28</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28</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MediaOne</w:t>
            </w:r>
          </w:p>
        </w:tc>
      </w:tr>
      <w:tr>
        <w:trPr>
          <w:trHeight w:val="180"/>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jc w:val="center"/>
              <w:ind w:left="22"/>
              <w:spacing w:after="0"/>
              <w:rPr>
                <w:sz w:val="20"/>
                <w:szCs w:val="20"/>
                <w:color w:val="auto"/>
              </w:rPr>
            </w:pPr>
            <w:r>
              <w:rPr>
                <w:rFonts w:ascii="Courier New" w:cs="Courier New" w:eastAsia="Courier New" w:hAnsi="Courier New"/>
                <w:sz w:val="16"/>
                <w:szCs w:val="16"/>
                <w:color w:val="auto"/>
                <w:w w:val="95"/>
              </w:rPr>
              <w:t>Finance</w:t>
            </w:r>
          </w:p>
        </w:tc>
        <w:tc>
          <w:tcPr>
            <w:tcW w:w="1080" w:type="dxa"/>
            <w:vAlign w:val="bottom"/>
          </w:tcPr>
          <w:p>
            <w:pPr>
              <w:spacing w:after="0"/>
              <w:rPr>
                <w:sz w:val="15"/>
                <w:szCs w:val="15"/>
                <w:color w:val="auto"/>
              </w:rPr>
            </w:pP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II...............................</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9.50% 2036 214</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214 MediaOne</w:t>
            </w:r>
          </w:p>
        </w:tc>
      </w:tr>
      <w:tr>
        <w:trPr>
          <w:trHeight w:val="180"/>
        </w:trPr>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3"/>
          </w:tcPr>
          <w:p>
            <w:pPr>
              <w:jc w:val="center"/>
              <w:ind w:left="22"/>
              <w:spacing w:after="0"/>
              <w:rPr>
                <w:sz w:val="20"/>
                <w:szCs w:val="20"/>
                <w:color w:val="auto"/>
              </w:rPr>
            </w:pPr>
            <w:r>
              <w:rPr>
                <w:rFonts w:ascii="Courier New" w:cs="Courier New" w:eastAsia="Courier New" w:hAnsi="Courier New"/>
                <w:sz w:val="16"/>
                <w:szCs w:val="16"/>
                <w:color w:val="auto"/>
                <w:w w:val="95"/>
              </w:rPr>
              <w:t>Finance</w:t>
            </w:r>
          </w:p>
        </w:tc>
        <w:tc>
          <w:tcPr>
            <w:tcW w:w="1080" w:type="dxa"/>
            <w:vAlign w:val="bottom"/>
          </w:tcPr>
          <w:p>
            <w:pPr>
              <w:spacing w:after="0"/>
              <w:rPr>
                <w:sz w:val="15"/>
                <w:szCs w:val="15"/>
                <w:color w:val="auto"/>
              </w:rPr>
            </w:pPr>
          </w:p>
        </w:tc>
      </w:tr>
      <w:tr>
        <w:trPr>
          <w:trHeight w:val="180"/>
        </w:trPr>
        <w:tc>
          <w:tcPr>
            <w:tcW w:w="1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III..............................</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00" w:type="dxa"/>
            <w:vAlign w:val="bottom"/>
          </w:tcPr>
          <w:p>
            <w:pPr>
              <w:jc w:val="right"/>
              <w:ind w:right="40"/>
              <w:spacing w:after="0"/>
              <w:rPr>
                <w:sz w:val="20"/>
                <w:szCs w:val="20"/>
                <w:color w:val="auto"/>
              </w:rPr>
            </w:pPr>
            <w:r>
              <w:rPr>
                <w:rFonts w:ascii="Courier New" w:cs="Courier New" w:eastAsia="Courier New" w:hAnsi="Courier New"/>
                <w:sz w:val="16"/>
                <w:szCs w:val="16"/>
                <w:color w:val="auto"/>
                <w:w w:val="99"/>
              </w:rPr>
              <w:t>9.04%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2038</w:t>
            </w:r>
          </w:p>
        </w:tc>
        <w:tc>
          <w:tcPr>
            <w:tcW w:w="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504</w:t>
            </w: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504 ------ ------</w:t>
            </w:r>
          </w:p>
        </w:tc>
      </w:tr>
    </w:tbl>
    <w:p>
      <w:pPr>
        <w:ind w:left="280"/>
        <w:spacing w:after="0"/>
        <w:rPr>
          <w:sz w:val="20"/>
          <w:szCs w:val="20"/>
          <w:color w:val="auto"/>
        </w:rPr>
      </w:pPr>
      <w:r>
        <w:rPr>
          <w:rFonts w:ascii="Courier New" w:cs="Courier New" w:eastAsia="Courier New" w:hAnsi="Courier New"/>
          <w:sz w:val="16"/>
          <w:szCs w:val="16"/>
          <w:color w:val="auto"/>
        </w:rPr>
        <w:t>$2,400 $2,379 ====== ======</w:t>
      </w:r>
    </w:p>
    <w:p>
      <w:pPr>
        <w:spacing w:after="0" w:line="364"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 period.</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F-59</w:t>
      </w:r>
    </w:p>
    <w:p>
      <w:pPr>
        <w:sectPr>
          <w:pgSz w:w="11900" w:h="16838" w:orient="portrait"/>
          <w:cols w:equalWidth="0" w:num="1">
            <w:col w:w="10219"/>
          </w:cols>
          <w:pgMar w:left="240" w:top="473" w:right="1440" w:bottom="1440" w:gutter="0" w:footer="0" w:header="0"/>
        </w:sectPr>
      </w:pPr>
    </w:p>
    <w:bookmarkStart w:id="247" w:name="page248"/>
    <w:bookmarkEnd w:id="247"/>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16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(8) MINORITY INTEREST</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PREFERRED STOCK OF SUBSIDIARIES</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178"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182"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CENTAUR FUNDING CORPORATION</w:t>
      </w:r>
    </w:p>
    <w:p>
      <w:pPr>
        <w:spacing w:after="0" w:line="18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w:t>
      </w:r>
    </w:p>
    <w:p>
      <w:pPr>
        <w:spacing w:after="0" w:line="9" w:lineRule="exact"/>
        <w:rPr>
          <w:sz w:val="20"/>
          <w:szCs w:val="20"/>
          <w:color w:val="auto"/>
        </w:rPr>
      </w:pPr>
    </w:p>
    <w:p>
      <w:pPr>
        <w:ind w:left="3664" w:right="5439" w:hanging="3664"/>
        <w:spacing w:after="0" w:line="471" w:lineRule="auto"/>
        <w:tabs>
          <w:tab w:leader="none" w:pos="287"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attributed entities of AT&amp;T Broadband Group. F-60</w:t>
      </w:r>
    </w:p>
    <w:p>
      <w:pPr>
        <w:sectPr>
          <w:pgSz w:w="11900" w:h="16838" w:orient="portrait"/>
          <w:cols w:equalWidth="0" w:num="1">
            <w:col w:w="10223"/>
          </w:cols>
          <w:pgMar w:left="236" w:top="473" w:right="1440" w:bottom="1440" w:gutter="0" w:footer="0" w:header="0"/>
        </w:sectPr>
      </w:pPr>
    </w:p>
    <w:bookmarkStart w:id="248" w:name="page249"/>
    <w:bookmarkEnd w:id="248"/>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63" w:lineRule="auto"/>
        <w:rPr>
          <w:sz w:val="20"/>
          <w:szCs w:val="20"/>
          <w:color w:val="auto"/>
        </w:rPr>
      </w:pPr>
      <w:r>
        <w:rPr>
          <w:rFonts w:ascii="Courier New" w:cs="Courier New" w:eastAsia="Courier New" w:hAnsi="Courier New"/>
          <w:sz w:val="15"/>
          <w:szCs w:val="15"/>
          <w:color w:val="auto"/>
        </w:rPr>
        <w:t>At December 31, 2001 and 2000, the following Centaur preferred securities, which have been attributed to AT&amp;T Broadband Group, were outstanding:</w:t>
      </w:r>
    </w:p>
    <w:p>
      <w:pPr>
        <w:spacing w:after="0" w:line="164"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CARRYING AMOUNT</w:t>
      </w:r>
    </w:p>
    <w:p>
      <w:pPr>
        <w:ind w:left="40"/>
        <w:spacing w:after="0"/>
        <w:rPr>
          <w:sz w:val="20"/>
          <w:szCs w:val="20"/>
          <w:color w:val="auto"/>
        </w:rPr>
      </w:pPr>
      <w:r>
        <w:rPr>
          <w:rFonts w:ascii="Courier New" w:cs="Courier New" w:eastAsia="Courier New" w:hAnsi="Courier New"/>
          <w:sz w:val="16"/>
          <w:szCs w:val="16"/>
          <w:color w:val="auto"/>
        </w:rPr>
        <w:t>SHARES --------------</w:t>
      </w:r>
    </w:p>
    <w:p>
      <w:pPr>
        <w:spacing w:after="0" w:line="3" w:lineRule="exact"/>
        <w:rPr>
          <w:sz w:val="20"/>
          <w:szCs w:val="20"/>
          <w:color w:val="auto"/>
        </w:rPr>
      </w:pPr>
    </w:p>
    <w:p>
      <w:pPr>
        <w:ind w:left="420" w:right="8499" w:hanging="99"/>
        <w:spacing w:after="0" w:line="254" w:lineRule="auto"/>
        <w:tabs>
          <w:tab w:leader="none" w:pos="514"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RATE MATURITY DATE</w:t>
      </w:r>
    </w:p>
    <w:p>
      <w:pPr>
        <w:ind w:left="40"/>
        <w:spacing w:after="0" w:line="234" w:lineRule="auto"/>
        <w:rPr>
          <w:sz w:val="20"/>
          <w:szCs w:val="20"/>
          <w:color w:val="auto"/>
        </w:rPr>
      </w:pPr>
      <w:r>
        <w:rPr>
          <w:rFonts w:ascii="Courier New" w:cs="Courier New" w:eastAsia="Courier New" w:hAnsi="Courier New"/>
          <w:sz w:val="16"/>
          <w:szCs w:val="16"/>
          <w:color w:val="auto"/>
        </w:rPr>
        <w:t>OUTSTANDING 2001 2000</w:t>
      </w:r>
    </w:p>
    <w:p>
      <w:pPr>
        <w:ind w:left="40"/>
        <w:spacing w:after="0"/>
        <w:rPr>
          <w:sz w:val="20"/>
          <w:szCs w:val="20"/>
          <w:color w:val="auto"/>
        </w:rPr>
      </w:pPr>
      <w:r>
        <w:rPr>
          <w:rFonts w:ascii="Courier New" w:cs="Courier New" w:eastAsia="Courier New" w:hAnsi="Courier New"/>
          <w:sz w:val="16"/>
          <w:szCs w:val="16"/>
          <w:color w:val="auto"/>
        </w:rPr>
        <w:t>------------- -------</w:t>
      </w:r>
    </w:p>
    <w:p>
      <w:pPr>
        <w:ind w:left="40"/>
        <w:spacing w:after="0" w:line="238" w:lineRule="auto"/>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ind w:right="8159" w:firstLine="86"/>
        <w:spacing w:after="0" w:line="254" w:lineRule="auto"/>
        <w:tabs>
          <w:tab w:leader="none" w:pos="55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Series A Shares................</w:t>
      </w:r>
    </w:p>
    <w:p>
      <w:pPr>
        <w:spacing w:after="0" w:line="1" w:lineRule="exact"/>
        <w:rPr>
          <w:rFonts w:ascii="Courier New" w:cs="Courier New" w:eastAsia="Courier New" w:hAnsi="Courier New"/>
          <w:sz w:val="15"/>
          <w:szCs w:val="15"/>
          <w:color w:val="auto"/>
        </w:rPr>
      </w:pPr>
    </w:p>
    <w:p>
      <w:pPr>
        <w:jc w:val="center"/>
        <w:ind w:right="8159" w:firstLine="13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Variable None 400 $ 100 $ 100 Series B Shares................</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9.08% April 2020</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934,500 927 927</w:t>
      </w:r>
    </w:p>
    <w:p>
      <w:pPr>
        <w:ind w:left="6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Series C</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Shares................</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None April 2020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715,500 127 118 -----</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$1,154</w:t>
      </w: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$1,145 ====== ======</w:t>
      </w:r>
    </w:p>
    <w:p>
      <w:pPr>
        <w:spacing w:after="0" w:line="36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190" w:lineRule="exact"/>
        <w:rPr>
          <w:sz w:val="20"/>
          <w:szCs w:val="20"/>
          <w:color w:val="auto"/>
        </w:rPr>
      </w:pPr>
    </w:p>
    <w:p>
      <w:pPr>
        <w:ind w:right="3099" w:firstLine="469"/>
        <w:spacing w:after="0" w:line="259" w:lineRule="auto"/>
        <w:rPr>
          <w:sz w:val="20"/>
          <w:szCs w:val="20"/>
          <w:color w:val="auto"/>
        </w:rPr>
      </w:pPr>
      <w:r>
        <w:rPr>
          <w:rFonts w:ascii="Courier New" w:cs="Courier New" w:eastAsia="Courier New" w:hAnsi="Courier New"/>
          <w:sz w:val="15"/>
          <w:szCs w:val="15"/>
          <w:color w:val="auto"/>
        </w:rPr>
        <w:t>Dividends on the preferred shares were $99 and $55 for the years ended December 31, 2001 and 2000 and were included within minority interest income (expense) in the accompanying combined statements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COMPANY-OBLIGATED CONVERTIBLE QUARTERLY INCOME PREFERRED SECURITIES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AT&amp;T may not, among other things, pay any dividends on AT&amp;T common stock until all interest in arrears is paid to the AT&amp;T Trust.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F-61</w:t>
      </w:r>
    </w:p>
    <w:p>
      <w:pPr>
        <w:sectPr>
          <w:pgSz w:w="11900" w:h="16838" w:orient="portrait"/>
          <w:cols w:equalWidth="0" w:num="1">
            <w:col w:w="10219"/>
          </w:cols>
          <w:pgMar w:left="240" w:top="473" w:right="1440" w:bottom="1440" w:gutter="0" w:footer="0" w:header="0"/>
        </w:sectPr>
      </w:pPr>
    </w:p>
    <w:bookmarkStart w:id="249" w:name="page250"/>
    <w:bookmarkEnd w:id="249"/>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18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187" w:lineRule="exact"/>
        <w:rPr>
          <w:sz w:val="20"/>
          <w:szCs w:val="20"/>
          <w:color w:val="auto"/>
        </w:rPr>
      </w:pPr>
    </w:p>
    <w:p>
      <w:pPr>
        <w:jc w:val="both"/>
        <w:ind w:left="4" w:right="2819" w:firstLine="469"/>
        <w:spacing w:after="0" w:line="237" w:lineRule="auto"/>
        <w:rPr>
          <w:sz w:val="20"/>
          <w:szCs w:val="20"/>
          <w:color w:val="auto"/>
        </w:rPr>
      </w:pPr>
      <w:r>
        <w:rPr>
          <w:rFonts w:ascii="Courier New" w:cs="Courier New" w:eastAsia="Courier New" w:hAnsi="Courier New"/>
          <w:sz w:val="16"/>
          <w:szCs w:val="16"/>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186" w:lineRule="exact"/>
        <w:rPr>
          <w:sz w:val="20"/>
          <w:szCs w:val="20"/>
          <w:color w:val="auto"/>
        </w:rPr>
      </w:pPr>
    </w:p>
    <w:p>
      <w:pPr>
        <w:ind w:left="184" w:right="7779" w:hanging="184"/>
        <w:spacing w:after="0" w:line="509" w:lineRule="auto"/>
        <w:tabs>
          <w:tab w:leader="none" w:pos="46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ADOPTION OF SFAS 133</w:t>
      </w:r>
    </w:p>
    <w:p>
      <w:pPr>
        <w:spacing w:after="0" w:line="1"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182"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FINANCIAL INSTRUMENTS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F-62</w:t>
      </w:r>
    </w:p>
    <w:p>
      <w:pPr>
        <w:sectPr>
          <w:pgSz w:w="11900" w:h="16838" w:orient="portrait"/>
          <w:cols w:equalWidth="0" w:num="1">
            <w:col w:w="10223"/>
          </w:cols>
          <w:pgMar w:left="236" w:top="473" w:right="1440" w:bottom="1440" w:gutter="0" w:footer="0" w:header="0"/>
        </w:sectPr>
      </w:pPr>
    </w:p>
    <w:bookmarkStart w:id="250" w:name="page251"/>
    <w:bookmarkEnd w:id="250"/>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GUARANTEES OF DEBT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LETTERS OF CREDIT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SWAP AGREEMENTS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jc w:val="right"/>
              <w:ind w:right="40"/>
              <w:spacing w:after="0"/>
              <w:rPr>
                <w:sz w:val="20"/>
                <w:szCs w:val="20"/>
                <w:color w:val="auto"/>
              </w:rPr>
            </w:pPr>
            <w:r>
              <w:rPr>
                <w:rFonts w:ascii="Courier New" w:cs="Courier New" w:eastAsia="Courier New" w:hAnsi="Courier New"/>
                <w:sz w:val="16"/>
                <w:szCs w:val="16"/>
                <w:color w:val="auto"/>
              </w:rPr>
              <w:t>2001 2000 ----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Fixed rate to variable rate</w:t>
            </w:r>
          </w:p>
        </w:tc>
      </w:tr>
      <w:tr>
        <w:trPr>
          <w:trHeight w:val="180"/>
        </w:trPr>
        <w:tc>
          <w:tcPr>
            <w:tcW w:w="1500" w:type="dxa"/>
            <w:vAlign w:val="bottom"/>
          </w:tcPr>
          <w:p>
            <w:pPr>
              <w:spacing w:after="0"/>
              <w:rPr>
                <w:sz w:val="15"/>
                <w:szCs w:val="15"/>
                <w:color w:val="auto"/>
              </w:rPr>
            </w:pPr>
          </w:p>
        </w:tc>
        <w:tc>
          <w:tcPr>
            <w:tcW w:w="3040" w:type="dxa"/>
            <w:vAlign w:val="bottom"/>
            <w:gridSpan w:val="3"/>
          </w:tcPr>
          <w:p>
            <w:pPr>
              <w:jc w:val="right"/>
              <w:ind w:right="1522"/>
              <w:spacing w:after="0"/>
              <w:rPr>
                <w:sz w:val="20"/>
                <w:szCs w:val="20"/>
                <w:color w:val="auto"/>
              </w:rPr>
            </w:pPr>
            <w:r>
              <w:rPr>
                <w:rFonts w:ascii="Courier New" w:cs="Courier New" w:eastAsia="Courier New" w:hAnsi="Courier New"/>
                <w:sz w:val="16"/>
                <w:szCs w:val="16"/>
                <w:color w:val="auto"/>
              </w:rPr>
              <w:t>swaps Notional</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amount...........................................</w:t>
            </w: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25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Average receive</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rate......................................</w:t>
            </w:r>
          </w:p>
        </w:tc>
        <w:tc>
          <w:tcPr>
            <w:tcW w:w="34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9.68%</w:t>
            </w:r>
          </w:p>
        </w:tc>
      </w:tr>
      <w:tr>
        <w:trPr>
          <w:trHeight w:val="180"/>
        </w:trPr>
        <w:tc>
          <w:tcPr>
            <w:tcW w:w="15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9.68%</w:t>
            </w:r>
          </w:p>
        </w:tc>
        <w:tc>
          <w:tcPr>
            <w:tcW w:w="25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Average pay</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rate..........................................</w:t>
            </w: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15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4.02%</w:t>
            </w:r>
          </w:p>
        </w:tc>
        <w:tc>
          <w:tcPr>
            <w:tcW w:w="2240" w:type="dxa"/>
            <w:vAlign w:val="bottom"/>
          </w:tcPr>
          <w:p>
            <w:pPr>
              <w:jc w:val="right"/>
              <w:ind w:right="1662"/>
              <w:spacing w:after="0"/>
              <w:rPr>
                <w:sz w:val="20"/>
                <w:szCs w:val="20"/>
                <w:color w:val="auto"/>
              </w:rPr>
            </w:pPr>
            <w:r>
              <w:rPr>
                <w:rFonts w:ascii="Courier New" w:cs="Courier New" w:eastAsia="Courier New" w:hAnsi="Courier New"/>
                <w:sz w:val="16"/>
                <w:szCs w:val="16"/>
                <w:color w:val="auto"/>
                <w:w w:val="99"/>
              </w:rPr>
              <w:t>8.92%</w:t>
            </w:r>
          </w:p>
        </w:tc>
      </w:tr>
    </w:tbl>
    <w:p>
      <w:pPr>
        <w:spacing w:after="0" w:line="36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At December 31, 2001 the fair value and carrying value of the swaps was a liability of $25. Such swaps were valued using current market quotes that were obtained from dealers.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F-63</w:t>
      </w:r>
    </w:p>
    <w:p>
      <w:pPr>
        <w:sectPr>
          <w:pgSz w:w="11900" w:h="16838" w:orient="portrait"/>
          <w:cols w:equalWidth="0" w:num="1">
            <w:col w:w="10219"/>
          </w:cols>
          <w:pgMar w:left="240" w:top="473" w:right="1440" w:bottom="1440" w:gutter="0" w:footer="0" w:header="0"/>
        </w:sectPr>
      </w:pPr>
    </w:p>
    <w:bookmarkStart w:id="251" w:name="page252"/>
    <w:bookmarkEnd w:id="25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COLLARS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178"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following is a summary of the Microsoft Collars outstanding at December 31, 2001:</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MATURITY DATE 2003 2004 2005 - -----------</w:t>
      </w:r>
    </w:p>
    <w:p>
      <w:pPr>
        <w:spacing w:after="0" w:line="4" w:lineRule="exact"/>
        <w:rPr>
          <w:sz w:val="20"/>
          <w:szCs w:val="20"/>
          <w:color w:val="auto"/>
        </w:rPr>
      </w:pPr>
    </w:p>
    <w:p>
      <w:pPr>
        <w:ind w:right="6199" w:firstLine="181"/>
        <w:spacing w:after="0" w:line="254" w:lineRule="auto"/>
        <w:tabs>
          <w:tab w:leader="none" w:pos="466"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Put price per share......................................</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$62.48 $ 62.48 $ 62.48 Call price per</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w:t>
      </w:r>
    </w:p>
    <w:p>
      <w:pPr>
        <w:ind w:left="9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$86.26 $100.44 $118.36</w:t>
      </w:r>
    </w:p>
    <w:p>
      <w:pPr>
        <w:spacing w:after="0" w:line="36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Since the Microsoft Collars and related debt are contracted with the same counterparty, the treatment is similar to a debt instrument with an embedded instrument and will be net settled as follows: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89" w:lineRule="exact"/>
        <w:rPr>
          <w:sz w:val="20"/>
          <w:szCs w:val="20"/>
          <w:color w:val="auto"/>
        </w:rPr>
      </w:pPr>
    </w:p>
    <w:p>
      <w:pPr>
        <w:ind w:left="460" w:right="2819" w:firstLine="474"/>
        <w:spacing w:after="0" w:line="237" w:lineRule="auto"/>
        <w:tabs>
          <w:tab w:leader="none" w:pos="1304"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88" w:lineRule="exact"/>
        <w:rPr>
          <w:rFonts w:ascii="Courier New" w:cs="Courier New" w:eastAsia="Courier New" w:hAnsi="Courier New"/>
          <w:sz w:val="16"/>
          <w:szCs w:val="16"/>
          <w:color w:val="auto"/>
        </w:rPr>
      </w:pPr>
    </w:p>
    <w:p>
      <w:pPr>
        <w:ind w:left="460" w:right="2899" w:firstLine="474"/>
        <w:spacing w:after="0" w:line="236" w:lineRule="auto"/>
        <w:tabs>
          <w:tab w:leader="none" w:pos="1304"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F-64</w:t>
      </w:r>
    </w:p>
    <w:p>
      <w:pPr>
        <w:sectPr>
          <w:pgSz w:w="11900" w:h="16838" w:orient="portrait"/>
          <w:cols w:equalWidth="0" w:num="1">
            <w:col w:w="10219"/>
          </w:cols>
          <w:pgMar w:left="240" w:top="473" w:right="1440" w:bottom="1440" w:gutter="0" w:footer="0" w:header="0"/>
        </w:sectPr>
      </w:pPr>
    </w:p>
    <w:bookmarkStart w:id="252" w:name="page253"/>
    <w:bookmarkEnd w:id="252"/>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187"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spacing w:after="0" w:line="4" w:lineRule="exact"/>
        <w:rPr>
          <w:sz w:val="20"/>
          <w:szCs w:val="20"/>
          <w:color w:val="auto"/>
        </w:rPr>
      </w:pPr>
    </w:p>
    <w:p>
      <w:pPr>
        <w:ind w:left="4" w:right="2719" w:hanging="4"/>
        <w:spacing w:after="0" w:line="256" w:lineRule="auto"/>
        <w:tabs>
          <w:tab w:leader="none" w:pos="473"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7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The following is a summary of the Vodafone Collars outstanding at December 31, 2001:</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MATURITY DATE 2003 2004 2005 - -----</w:t>
      </w:r>
    </w:p>
    <w:p>
      <w:pPr>
        <w:ind w:left="364"/>
        <w:spacing w:after="0"/>
        <w:rPr>
          <w:sz w:val="20"/>
          <w:szCs w:val="20"/>
          <w:color w:val="auto"/>
        </w:rPr>
      </w:pPr>
      <w:r>
        <w:rPr>
          <w:rFonts w:ascii="Courier New" w:cs="Courier New" w:eastAsia="Courier New" w:hAnsi="Courier New"/>
          <w:sz w:val="16"/>
          <w:szCs w:val="16"/>
          <w:color w:val="auto"/>
        </w:rPr>
        <w:t>-------- ------ ------ ------</w:t>
      </w:r>
    </w:p>
    <w:p>
      <w:pPr>
        <w:jc w:val="center"/>
        <w:ind w:right="6755"/>
        <w:spacing w:after="0" w:line="237" w:lineRule="auto"/>
        <w:rPr>
          <w:sz w:val="20"/>
          <w:szCs w:val="20"/>
          <w:color w:val="auto"/>
        </w:rPr>
      </w:pPr>
      <w:r>
        <w:rPr>
          <w:rFonts w:ascii="Courier New" w:cs="Courier New" w:eastAsia="Courier New" w:hAnsi="Courier New"/>
          <w:sz w:val="16"/>
          <w:szCs w:val="16"/>
          <w:color w:val="auto"/>
        </w:rPr>
        <w:t>MEDIAONE SPC IV VODAFONE COLLARS</w:t>
      </w:r>
    </w:p>
    <w:p>
      <w:pPr>
        <w:jc w:val="center"/>
        <w:ind w:right="6755"/>
        <w:spacing w:after="0"/>
        <w:rPr>
          <w:sz w:val="20"/>
          <w:szCs w:val="20"/>
          <w:color w:val="auto"/>
        </w:rPr>
      </w:pPr>
      <w:r>
        <w:rPr>
          <w:rFonts w:ascii="Courier New" w:cs="Courier New" w:eastAsia="Courier New" w:hAnsi="Courier New"/>
          <w:sz w:val="16"/>
          <w:szCs w:val="16"/>
          <w:color w:val="auto"/>
        </w:rPr>
        <w:t>Average put price per</w:t>
      </w:r>
    </w:p>
    <w:p>
      <w:pPr>
        <w:ind w:left="4"/>
        <w:spacing w:after="0" w:line="238" w:lineRule="auto"/>
        <w:rPr>
          <w:sz w:val="20"/>
          <w:szCs w:val="20"/>
          <w:color w:val="auto"/>
        </w:rPr>
      </w:pPr>
      <w:r>
        <w:rPr>
          <w:rFonts w:ascii="Courier New" w:cs="Courier New" w:eastAsia="Courier New" w:hAnsi="Courier New"/>
          <w:sz w:val="16"/>
          <w:szCs w:val="16"/>
          <w:color w:val="auto"/>
        </w:rPr>
        <w:t>share................................</w:t>
      </w:r>
    </w:p>
    <w:p>
      <w:pPr>
        <w:jc w:val="center"/>
        <w:ind w:right="6755"/>
        <w:spacing w:after="0"/>
        <w:rPr>
          <w:sz w:val="20"/>
          <w:szCs w:val="20"/>
          <w:color w:val="auto"/>
        </w:rPr>
      </w:pPr>
      <w:r>
        <w:rPr>
          <w:rFonts w:ascii="Courier New" w:cs="Courier New" w:eastAsia="Courier New" w:hAnsi="Courier New"/>
          <w:sz w:val="16"/>
          <w:szCs w:val="16"/>
          <w:color w:val="auto"/>
        </w:rPr>
        <w:t>$34.06 $33.78 $33.53 Average call</w:t>
      </w:r>
    </w:p>
    <w:p>
      <w:pPr>
        <w:jc w:val="center"/>
        <w:ind w:right="6755"/>
        <w:spacing w:after="0" w:line="238" w:lineRule="auto"/>
        <w:rPr>
          <w:sz w:val="20"/>
          <w:szCs w:val="20"/>
          <w:color w:val="auto"/>
        </w:rPr>
      </w:pPr>
      <w:r>
        <w:rPr>
          <w:rFonts w:ascii="Courier New" w:cs="Courier New" w:eastAsia="Courier New" w:hAnsi="Courier New"/>
          <w:sz w:val="16"/>
          <w:szCs w:val="16"/>
          <w:color w:val="auto"/>
        </w:rPr>
        <w:t>price per</w:t>
      </w:r>
    </w:p>
    <w:p>
      <w:pPr>
        <w:ind w:left="44"/>
        <w:spacing w:after="0"/>
        <w:rPr>
          <w:sz w:val="20"/>
          <w:szCs w:val="20"/>
          <w:color w:val="auto"/>
        </w:rPr>
      </w:pPr>
      <w:r>
        <w:rPr>
          <w:rFonts w:ascii="Courier New" w:cs="Courier New" w:eastAsia="Courier New" w:hAnsi="Courier New"/>
          <w:sz w:val="16"/>
          <w:szCs w:val="16"/>
          <w:color w:val="auto"/>
        </w:rPr>
        <w:t>share...............................</w:t>
      </w:r>
    </w:p>
    <w:p>
      <w:pPr>
        <w:jc w:val="center"/>
        <w:ind w:right="6755"/>
        <w:spacing w:after="0" w:line="237" w:lineRule="auto"/>
        <w:rPr>
          <w:sz w:val="20"/>
          <w:szCs w:val="20"/>
          <w:color w:val="auto"/>
        </w:rPr>
      </w:pPr>
      <w:r>
        <w:rPr>
          <w:rFonts w:ascii="Courier New" w:cs="Courier New" w:eastAsia="Courier New" w:hAnsi="Courier New"/>
          <w:sz w:val="16"/>
          <w:szCs w:val="16"/>
          <w:color w:val="auto"/>
        </w:rPr>
        <w:t>$49.13 $48.85 $48.60 MEDIAONE SPC VI</w:t>
      </w:r>
    </w:p>
    <w:p>
      <w:pPr>
        <w:jc w:val="center"/>
        <w:ind w:right="6755"/>
        <w:spacing w:after="0"/>
        <w:rPr>
          <w:sz w:val="20"/>
          <w:szCs w:val="20"/>
          <w:color w:val="auto"/>
        </w:rPr>
      </w:pPr>
      <w:r>
        <w:rPr>
          <w:rFonts w:ascii="Courier New" w:cs="Courier New" w:eastAsia="Courier New" w:hAnsi="Courier New"/>
          <w:sz w:val="16"/>
          <w:szCs w:val="16"/>
          <w:color w:val="auto"/>
        </w:rPr>
        <w:t>VODAFONE COLLARS Average put price</w:t>
      </w:r>
    </w:p>
    <w:p>
      <w:pPr>
        <w:jc w:val="center"/>
        <w:ind w:right="6755"/>
        <w:spacing w:after="0" w:line="238" w:lineRule="auto"/>
        <w:rPr>
          <w:sz w:val="20"/>
          <w:szCs w:val="20"/>
          <w:color w:val="auto"/>
        </w:rPr>
      </w:pPr>
      <w:r>
        <w:rPr>
          <w:rFonts w:ascii="Courier New" w:cs="Courier New" w:eastAsia="Courier New" w:hAnsi="Courier New"/>
          <w:sz w:val="16"/>
          <w:szCs w:val="16"/>
          <w:color w:val="auto"/>
        </w:rPr>
        <w:t>per</w:t>
      </w:r>
    </w:p>
    <w:p>
      <w:pPr>
        <w:spacing w:after="0" w:line="4" w:lineRule="exact"/>
        <w:rPr>
          <w:sz w:val="20"/>
          <w:szCs w:val="20"/>
          <w:color w:val="auto"/>
        </w:rPr>
      </w:pPr>
    </w:p>
    <w:p>
      <w:pPr>
        <w:jc w:val="center"/>
        <w:ind w:right="6755"/>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jc w:val="center"/>
        <w:ind w:right="6755"/>
        <w:spacing w:after="0"/>
        <w:rPr>
          <w:sz w:val="20"/>
          <w:szCs w:val="20"/>
          <w:color w:val="auto"/>
        </w:rPr>
      </w:pPr>
      <w:r>
        <w:rPr>
          <w:rFonts w:ascii="Courier New" w:cs="Courier New" w:eastAsia="Courier New" w:hAnsi="Courier New"/>
          <w:sz w:val="16"/>
          <w:szCs w:val="16"/>
          <w:color w:val="auto"/>
        </w:rPr>
        <w:t>$39.85 $39.86 $39.86 Average call</w:t>
      </w:r>
    </w:p>
    <w:p>
      <w:pPr>
        <w:jc w:val="center"/>
        <w:ind w:right="6755"/>
        <w:spacing w:after="0"/>
        <w:rPr>
          <w:sz w:val="20"/>
          <w:szCs w:val="20"/>
          <w:color w:val="auto"/>
        </w:rPr>
      </w:pPr>
      <w:r>
        <w:rPr>
          <w:rFonts w:ascii="Courier New" w:cs="Courier New" w:eastAsia="Courier New" w:hAnsi="Courier New"/>
          <w:sz w:val="16"/>
          <w:szCs w:val="16"/>
          <w:color w:val="auto"/>
        </w:rPr>
        <w:t>price per</w:t>
      </w:r>
    </w:p>
    <w:p>
      <w:pPr>
        <w:ind w:left="44"/>
        <w:spacing w:after="0" w:line="237" w:lineRule="auto"/>
        <w:rPr>
          <w:sz w:val="20"/>
          <w:szCs w:val="20"/>
          <w:color w:val="auto"/>
        </w:rPr>
      </w:pPr>
      <w:r>
        <w:rPr>
          <w:rFonts w:ascii="Courier New" w:cs="Courier New" w:eastAsia="Courier New" w:hAnsi="Courier New"/>
          <w:sz w:val="16"/>
          <w:szCs w:val="16"/>
          <w:color w:val="auto"/>
        </w:rPr>
        <w:t>share...............................</w:t>
      </w:r>
    </w:p>
    <w:p>
      <w:pPr>
        <w:ind w:left="784"/>
        <w:spacing w:after="0"/>
        <w:rPr>
          <w:sz w:val="20"/>
          <w:szCs w:val="20"/>
          <w:color w:val="auto"/>
        </w:rPr>
      </w:pPr>
      <w:r>
        <w:rPr>
          <w:rFonts w:ascii="Courier New" w:cs="Courier New" w:eastAsia="Courier New" w:hAnsi="Courier New"/>
          <w:sz w:val="16"/>
          <w:szCs w:val="16"/>
          <w:color w:val="auto"/>
        </w:rPr>
        <w:t>$57.72 $57.72 $57.73</w:t>
      </w:r>
    </w:p>
    <w:p>
      <w:pPr>
        <w:spacing w:after="0" w:line="36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185" w:lineRule="exact"/>
        <w:rPr>
          <w:sz w:val="20"/>
          <w:szCs w:val="20"/>
          <w:color w:val="auto"/>
        </w:rPr>
      </w:pPr>
    </w:p>
    <w:p>
      <w:pPr>
        <w:ind w:left="464" w:right="2819" w:firstLine="474"/>
        <w:spacing w:after="0" w:line="237" w:lineRule="auto"/>
        <w:tabs>
          <w:tab w:leader="none" w:pos="1308"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85" w:lineRule="exact"/>
        <w:rPr>
          <w:rFonts w:ascii="Courier New" w:cs="Courier New" w:eastAsia="Courier New" w:hAnsi="Courier New"/>
          <w:sz w:val="16"/>
          <w:szCs w:val="16"/>
          <w:color w:val="auto"/>
        </w:rPr>
      </w:pPr>
    </w:p>
    <w:p>
      <w:pPr>
        <w:ind w:left="464" w:right="2819" w:firstLine="474"/>
        <w:spacing w:after="0" w:line="237" w:lineRule="auto"/>
        <w:tabs>
          <w:tab w:leader="none" w:pos="1308"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185" w:lineRule="exact"/>
        <w:rPr>
          <w:rFonts w:ascii="Courier New" w:cs="Courier New" w:eastAsia="Courier New" w:hAnsi="Courier New"/>
          <w:sz w:val="16"/>
          <w:szCs w:val="16"/>
          <w:color w:val="auto"/>
        </w:rPr>
      </w:pPr>
    </w:p>
    <w:p>
      <w:pPr>
        <w:ind w:left="464" w:right="2819" w:firstLine="474"/>
        <w:spacing w:after="0" w:line="237" w:lineRule="auto"/>
        <w:tabs>
          <w:tab w:leader="none" w:pos="1308"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F-65</w:t>
      </w:r>
    </w:p>
    <w:p>
      <w:pPr>
        <w:sectPr>
          <w:pgSz w:w="11900" w:h="16838" w:orient="portrait"/>
          <w:cols w:equalWidth="0" w:num="1">
            <w:col w:w="10223"/>
          </w:cols>
          <w:pgMar w:left="236" w:top="473" w:right="1440" w:bottom="1440" w:gutter="0" w:footer="0" w:header="0"/>
        </w:sectPr>
      </w:pPr>
    </w:p>
    <w:bookmarkStart w:id="253" w:name="page254"/>
    <w:bookmarkEnd w:id="25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HEDGES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WARRANTS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DEBT AND PREFERRED SECURITIES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18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w:t>
      </w:r>
    </w:p>
    <w:p>
      <w:pPr>
        <w:ind w:left="80"/>
        <w:spacing w:after="0"/>
        <w:rPr>
          <w:sz w:val="20"/>
          <w:szCs w:val="20"/>
          <w:color w:val="auto"/>
        </w:rPr>
      </w:pPr>
      <w:r>
        <w:rPr>
          <w:rFonts w:ascii="Courier New" w:cs="Courier New" w:eastAsia="Courier New" w:hAnsi="Courier New"/>
          <w:sz w:val="16"/>
          <w:szCs w:val="16"/>
          <w:color w:val="auto"/>
        </w:rPr>
        <w:t>------------------ CARRYING</w:t>
      </w:r>
    </w:p>
    <w:p>
      <w:pPr>
        <w:jc w:val="center"/>
        <w:ind w:right="7499"/>
        <w:spacing w:after="0" w:line="237" w:lineRule="auto"/>
        <w:rPr>
          <w:sz w:val="20"/>
          <w:szCs w:val="20"/>
          <w:color w:val="auto"/>
        </w:rPr>
      </w:pPr>
      <w:r>
        <w:rPr>
          <w:rFonts w:ascii="Courier New" w:cs="Courier New" w:eastAsia="Courier New" w:hAnsi="Courier New"/>
          <w:sz w:val="16"/>
          <w:szCs w:val="16"/>
          <w:color w:val="auto"/>
        </w:rPr>
        <w:t>FAIR CARRYING FAIR VALUE</w:t>
      </w:r>
    </w:p>
    <w:p>
      <w:pPr>
        <w:ind w:left="40"/>
        <w:spacing w:after="0"/>
        <w:rPr>
          <w:sz w:val="20"/>
          <w:szCs w:val="20"/>
          <w:color w:val="auto"/>
        </w:rPr>
      </w:pPr>
      <w:r>
        <w:rPr>
          <w:rFonts w:ascii="Courier New" w:cs="Courier New" w:eastAsia="Courier New" w:hAnsi="Courier New"/>
          <w:sz w:val="16"/>
          <w:szCs w:val="16"/>
          <w:color w:val="auto"/>
        </w:rPr>
        <w:t>VALUE VALUE VALUE -------- -</w:t>
      </w:r>
    </w:p>
    <w:p>
      <w:pPr>
        <w:ind w:left="280"/>
        <w:spacing w:after="0" w:line="238" w:lineRule="auto"/>
        <w:rPr>
          <w:sz w:val="20"/>
          <w:szCs w:val="20"/>
          <w:color w:val="auto"/>
        </w:rPr>
      </w:pPr>
      <w:r>
        <w:rPr>
          <w:rFonts w:ascii="Courier New" w:cs="Courier New" w:eastAsia="Courier New" w:hAnsi="Courier New"/>
          <w:sz w:val="16"/>
          <w:szCs w:val="16"/>
          <w:color w:val="auto"/>
        </w:rPr>
        <w:t>------ -------- -------</w:t>
      </w:r>
    </w:p>
    <w:p>
      <w:pPr>
        <w:ind w:left="280"/>
        <w:spacing w:after="0"/>
        <w:rPr>
          <w:sz w:val="20"/>
          <w:szCs w:val="20"/>
          <w:color w:val="auto"/>
        </w:rPr>
      </w:pPr>
      <w:r>
        <w:rPr>
          <w:rFonts w:ascii="Courier New" w:cs="Courier New" w:eastAsia="Courier New" w:hAnsi="Courier New"/>
          <w:sz w:val="16"/>
          <w:szCs w:val="16"/>
          <w:color w:val="auto"/>
        </w:rPr>
        <w:t>Debt, excluding capital</w:t>
      </w:r>
    </w:p>
    <w:p>
      <w:pPr>
        <w:ind w:left="280"/>
        <w:spacing w:after="0" w:line="238" w:lineRule="auto"/>
        <w:rPr>
          <w:sz w:val="20"/>
          <w:szCs w:val="20"/>
          <w:color w:val="auto"/>
        </w:rPr>
      </w:pPr>
      <w:r>
        <w:rPr>
          <w:rFonts w:ascii="Courier New" w:cs="Courier New" w:eastAsia="Courier New" w:hAnsi="Courier New"/>
          <w:sz w:val="16"/>
          <w:szCs w:val="16"/>
          <w:color w:val="auto"/>
        </w:rPr>
        <w:t>leases.................</w:t>
      </w:r>
    </w:p>
    <w:p>
      <w:pPr>
        <w:jc w:val="center"/>
        <w:ind w:right="7499"/>
        <w:spacing w:after="0"/>
        <w:rPr>
          <w:sz w:val="20"/>
          <w:szCs w:val="20"/>
          <w:color w:val="auto"/>
        </w:rPr>
      </w:pPr>
      <w:r>
        <w:rPr>
          <w:rFonts w:ascii="Courier New" w:cs="Courier New" w:eastAsia="Courier New" w:hAnsi="Courier New"/>
          <w:sz w:val="16"/>
          <w:szCs w:val="16"/>
          <w:color w:val="auto"/>
        </w:rPr>
        <w:t>$19,079 $17,237 $22,182</w:t>
      </w:r>
    </w:p>
    <w:p>
      <w:pPr>
        <w:jc w:val="center"/>
        <w:ind w:right="7499"/>
        <w:spacing w:after="0" w:line="237" w:lineRule="auto"/>
        <w:rPr>
          <w:sz w:val="20"/>
          <w:szCs w:val="20"/>
          <w:color w:val="auto"/>
        </w:rPr>
      </w:pPr>
      <w:r>
        <w:rPr>
          <w:rFonts w:ascii="Courier New" w:cs="Courier New" w:eastAsia="Courier New" w:hAnsi="Courier New"/>
          <w:sz w:val="16"/>
          <w:szCs w:val="16"/>
          <w:color w:val="auto"/>
        </w:rPr>
        <w:t>$20,275 Pacific preferred</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$ 2,100 $ 948 $ 2,121 $ 595</w:t>
      </w: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IMPACTS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F-66</w:t>
      </w:r>
    </w:p>
    <w:p>
      <w:pPr>
        <w:sectPr>
          <w:pgSz w:w="11900" w:h="16838" w:orient="portrait"/>
          <w:cols w:equalWidth="0" w:num="1">
            <w:col w:w="10219"/>
          </w:cols>
          <w:pgMar w:left="240" w:top="473" w:right="1440" w:bottom="1440" w:gutter="0" w:footer="0" w:header="0"/>
        </w:sectPr>
      </w:pPr>
    </w:p>
    <w:bookmarkStart w:id="254" w:name="page255"/>
    <w:bookmarkEnd w:id="25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PENSION, POSTRETIREMENT AND OTHER EMPLOYEE BENEFIT PLANS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shows the components of the net periodic benefit costs included in the accompanying combined statements of operations of AT&amp;T Broadband Group:</w:t>
      </w:r>
    </w:p>
    <w:p>
      <w:pPr>
        <w:spacing w:after="0" w:line="18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PENSION POSTRETIREMENT BENEFITS BENEFITS -</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 --------------- FOR THE YEAR</w:t>
      </w:r>
    </w:p>
    <w:p>
      <w:pPr>
        <w:spacing w:after="0" w:line="4"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ENDED DECEMBER 31, -----------------------</w:t>
      </w:r>
    </w:p>
    <w:p>
      <w:pPr>
        <w:spacing w:after="0" w:line="10"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------ 2001 2000 2001 2000 ---- ---- -----</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 ------ Service cost-benefits earned</w:t>
      </w:r>
    </w:p>
    <w:p>
      <w:pPr>
        <w:jc w:val="center"/>
        <w:ind w:right="6199"/>
        <w:spacing w:after="0"/>
        <w:rPr>
          <w:sz w:val="20"/>
          <w:szCs w:val="20"/>
          <w:color w:val="auto"/>
        </w:rPr>
      </w:pPr>
      <w:r>
        <w:rPr>
          <w:rFonts w:ascii="Courier New" w:cs="Courier New" w:eastAsia="Courier New" w:hAnsi="Courier New"/>
          <w:sz w:val="16"/>
          <w:szCs w:val="16"/>
          <w:color w:val="auto"/>
        </w:rPr>
        <w:t>during the period............. $ 31 $9 $1</w:t>
      </w:r>
    </w:p>
    <w:p>
      <w:pPr>
        <w:jc w:val="center"/>
        <w:ind w:right="6199"/>
        <w:spacing w:after="0" w:line="237" w:lineRule="auto"/>
        <w:rPr>
          <w:sz w:val="20"/>
          <w:szCs w:val="20"/>
          <w:color w:val="auto"/>
        </w:rPr>
      </w:pPr>
      <w:r>
        <w:rPr>
          <w:rFonts w:ascii="Courier New" w:cs="Courier New" w:eastAsia="Courier New" w:hAnsi="Courier New"/>
          <w:sz w:val="16"/>
          <w:szCs w:val="16"/>
          <w:color w:val="auto"/>
        </w:rPr>
        <w:t>$1 Interest cost on benefit</w:t>
      </w:r>
    </w:p>
    <w:p>
      <w:pPr>
        <w:jc w:val="center"/>
        <w:ind w:right="6199"/>
        <w:spacing w:after="0"/>
        <w:rPr>
          <w:sz w:val="20"/>
          <w:szCs w:val="20"/>
          <w:color w:val="auto"/>
        </w:rPr>
      </w:pPr>
      <w:r>
        <w:rPr>
          <w:rFonts w:ascii="Courier New" w:cs="Courier New" w:eastAsia="Courier New" w:hAnsi="Courier New"/>
          <w:sz w:val="16"/>
          <w:szCs w:val="16"/>
          <w:color w:val="auto"/>
        </w:rPr>
        <w:t>obligations....................... 13 8 2</w:t>
      </w:r>
    </w:p>
    <w:p>
      <w:pPr>
        <w:jc w:val="center"/>
        <w:ind w:right="6199"/>
        <w:spacing w:after="0" w:line="238" w:lineRule="auto"/>
        <w:rPr>
          <w:sz w:val="20"/>
          <w:szCs w:val="20"/>
          <w:color w:val="auto"/>
        </w:rPr>
      </w:pPr>
      <w:r>
        <w:rPr>
          <w:rFonts w:ascii="Courier New" w:cs="Courier New" w:eastAsia="Courier New" w:hAnsi="Courier New"/>
          <w:sz w:val="16"/>
          <w:szCs w:val="16"/>
          <w:color w:val="auto"/>
        </w:rPr>
        <w:t>1 Credit for expected return on plan</w:t>
      </w:r>
    </w:p>
    <w:p>
      <w:pPr>
        <w:jc w:val="center"/>
        <w:ind w:right="6199"/>
        <w:spacing w:after="0"/>
        <w:rPr>
          <w:sz w:val="20"/>
          <w:szCs w:val="20"/>
          <w:color w:val="auto"/>
        </w:rPr>
      </w:pPr>
      <w:r>
        <w:rPr>
          <w:rFonts w:ascii="Courier New" w:cs="Courier New" w:eastAsia="Courier New" w:hAnsi="Courier New"/>
          <w:sz w:val="16"/>
          <w:szCs w:val="16"/>
          <w:color w:val="auto"/>
        </w:rPr>
        <w:t>assets.................. (13) (9) (1) --</w:t>
      </w:r>
    </w:p>
    <w:p>
      <w:pPr>
        <w:jc w:val="center"/>
        <w:ind w:right="6199"/>
        <w:spacing w:after="0" w:line="238" w:lineRule="auto"/>
        <w:rPr>
          <w:sz w:val="20"/>
          <w:szCs w:val="20"/>
          <w:color w:val="auto"/>
        </w:rPr>
      </w:pPr>
      <w:r>
        <w:rPr>
          <w:rFonts w:ascii="Courier New" w:cs="Courier New" w:eastAsia="Courier New" w:hAnsi="Courier New"/>
          <w:sz w:val="16"/>
          <w:szCs w:val="16"/>
          <w:color w:val="auto"/>
        </w:rPr>
        <w:t>Amortization of</w:t>
      </w:r>
    </w:p>
    <w:p>
      <w:pPr>
        <w:spacing w:after="0" w:line="4"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gains......................................</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1 -- -- -- Net curtailment</w:t>
      </w:r>
    </w:p>
    <w:p>
      <w:pPr>
        <w:spacing w:after="0" w:line="4"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gains......................................</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(1) -- (1) -- ---- -- -- -- Net periodic</w:t>
      </w:r>
    </w:p>
    <w:p>
      <w:pPr>
        <w:jc w:val="center"/>
        <w:ind w:right="6199"/>
        <w:spacing w:after="0"/>
        <w:rPr>
          <w:sz w:val="20"/>
          <w:szCs w:val="20"/>
          <w:color w:val="auto"/>
        </w:rPr>
      </w:pPr>
      <w:r>
        <w:rPr>
          <w:rFonts w:ascii="Courier New" w:cs="Courier New" w:eastAsia="Courier New" w:hAnsi="Courier New"/>
          <w:sz w:val="16"/>
          <w:szCs w:val="16"/>
          <w:color w:val="auto"/>
        </w:rPr>
        <w:t>benefit</w:t>
      </w:r>
    </w:p>
    <w:p>
      <w:pPr>
        <w:jc w:val="center"/>
        <w:ind w:right="6199"/>
        <w:spacing w:after="0" w:line="237" w:lineRule="auto"/>
        <w:rPr>
          <w:sz w:val="20"/>
          <w:szCs w:val="20"/>
          <w:color w:val="auto"/>
        </w:rPr>
      </w:pPr>
      <w:r>
        <w:rPr>
          <w:rFonts w:ascii="Courier New" w:cs="Courier New" w:eastAsia="Courier New" w:hAnsi="Courier New"/>
          <w:sz w:val="16"/>
          <w:szCs w:val="16"/>
          <w:color w:val="auto"/>
        </w:rPr>
        <w:t>cost.................................. $</w:t>
      </w:r>
    </w:p>
    <w:p>
      <w:pPr>
        <w:jc w:val="center"/>
        <w:ind w:right="6199"/>
        <w:spacing w:after="0"/>
        <w:rPr>
          <w:sz w:val="20"/>
          <w:szCs w:val="20"/>
          <w:color w:val="auto"/>
        </w:rPr>
      </w:pPr>
      <w:r>
        <w:rPr>
          <w:rFonts w:ascii="Courier New" w:cs="Courier New" w:eastAsia="Courier New" w:hAnsi="Courier New"/>
          <w:sz w:val="16"/>
          <w:szCs w:val="16"/>
          <w:color w:val="auto"/>
        </w:rPr>
        <w:t>31 $8 $1 $2 ==== == == ==</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tables provide a reconciliation of the changes in the plans' benefit obligations and fair value of assets, and a statement of the funded status:</w:t>
      </w:r>
    </w:p>
    <w:p>
      <w:pPr>
        <w:spacing w:after="0" w:line="18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PENSION POSTRETIREMENT BENEFITS BENEFITS ----------- ---</w:t>
      </w:r>
    </w:p>
    <w:p>
      <w:pPr>
        <w:spacing w:after="0" w:line="10"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------------ 2001 2000 2001 2000 ---- ---- ------ ------</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CHANGE IN BENEFIT OBLIGATIONS: Benefit obligation,</w:t>
      </w:r>
    </w:p>
    <w:p>
      <w:pPr>
        <w:spacing w:after="0" w:line="4"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beginning of year.................... $165 $ -- $ 35 $ -</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 Acquisition of</w:t>
      </w:r>
    </w:p>
    <w:p>
      <w:pPr>
        <w:jc w:val="center"/>
        <w:ind w:right="4879"/>
        <w:spacing w:after="0"/>
        <w:rPr>
          <w:sz w:val="20"/>
          <w:szCs w:val="20"/>
          <w:color w:val="auto"/>
        </w:rPr>
      </w:pPr>
      <w:r>
        <w:rPr>
          <w:rFonts w:ascii="Courier New" w:cs="Courier New" w:eastAsia="Courier New" w:hAnsi="Courier New"/>
          <w:sz w:val="16"/>
          <w:szCs w:val="16"/>
          <w:color w:val="auto"/>
        </w:rPr>
        <w:t>MediaOne.................................. -- 204 -- 38</w:t>
      </w:r>
    </w:p>
    <w:p>
      <w:pPr>
        <w:jc w:val="center"/>
        <w:ind w:right="4879"/>
        <w:spacing w:after="0" w:line="237" w:lineRule="auto"/>
        <w:rPr>
          <w:sz w:val="20"/>
          <w:szCs w:val="20"/>
          <w:color w:val="auto"/>
        </w:rPr>
      </w:pPr>
      <w:r>
        <w:rPr>
          <w:rFonts w:ascii="Courier New" w:cs="Courier New" w:eastAsia="Courier New" w:hAnsi="Courier New"/>
          <w:sz w:val="16"/>
          <w:szCs w:val="16"/>
          <w:color w:val="auto"/>
        </w:rPr>
        <w:t>Service</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cost............................................. 31 9 1</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1 Interest</w:t>
      </w:r>
    </w:p>
    <w:p>
      <w:pPr>
        <w:jc w:val="center"/>
        <w:ind w:right="4879"/>
        <w:spacing w:after="0"/>
        <w:rPr>
          <w:sz w:val="20"/>
          <w:szCs w:val="20"/>
          <w:color w:val="auto"/>
        </w:rPr>
      </w:pPr>
      <w:r>
        <w:rPr>
          <w:rFonts w:ascii="Courier New" w:cs="Courier New" w:eastAsia="Courier New" w:hAnsi="Courier New"/>
          <w:sz w:val="16"/>
          <w:szCs w:val="16"/>
          <w:color w:val="auto"/>
        </w:rPr>
        <w:t>cost............................................ 13 8 2</w:t>
      </w:r>
    </w:p>
    <w:p>
      <w:pPr>
        <w:jc w:val="center"/>
        <w:ind w:right="4879"/>
        <w:spacing w:after="0" w:line="237" w:lineRule="auto"/>
        <w:rPr>
          <w:sz w:val="20"/>
          <w:szCs w:val="20"/>
          <w:color w:val="auto"/>
        </w:rPr>
      </w:pPr>
      <w:r>
        <w:rPr>
          <w:rFonts w:ascii="Courier New" w:cs="Courier New" w:eastAsia="Courier New" w:hAnsi="Courier New"/>
          <w:sz w:val="16"/>
          <w:szCs w:val="16"/>
          <w:color w:val="auto"/>
        </w:rPr>
        <w:t>1 Plan</w:t>
      </w:r>
    </w:p>
    <w:p>
      <w:pPr>
        <w:jc w:val="center"/>
        <w:ind w:right="4879"/>
        <w:spacing w:after="0"/>
        <w:rPr>
          <w:sz w:val="20"/>
          <w:szCs w:val="20"/>
          <w:color w:val="auto"/>
        </w:rPr>
      </w:pPr>
      <w:r>
        <w:rPr>
          <w:rFonts w:ascii="Courier New" w:cs="Courier New" w:eastAsia="Courier New" w:hAnsi="Courier New"/>
          <w:sz w:val="16"/>
          <w:szCs w:val="16"/>
          <w:color w:val="auto"/>
        </w:rPr>
        <w:t>amendments.......................................... --</w:t>
      </w:r>
    </w:p>
    <w:p>
      <w:pPr>
        <w:jc w:val="center"/>
        <w:ind w:right="4879"/>
        <w:spacing w:after="0" w:line="238" w:lineRule="auto"/>
        <w:rPr>
          <w:sz w:val="20"/>
          <w:szCs w:val="20"/>
          <w:color w:val="auto"/>
        </w:rPr>
      </w:pPr>
      <w:r>
        <w:rPr>
          <w:rFonts w:ascii="Courier New" w:cs="Courier New" w:eastAsia="Courier New" w:hAnsi="Courier New"/>
          <w:sz w:val="16"/>
          <w:szCs w:val="16"/>
          <w:color w:val="auto"/>
        </w:rPr>
        <w:t>(5) -- -- Actuarial losses</w:t>
      </w:r>
    </w:p>
    <w:p>
      <w:pPr>
        <w:jc w:val="center"/>
        <w:ind w:right="4879"/>
        <w:spacing w:after="0"/>
        <w:rPr>
          <w:sz w:val="20"/>
          <w:szCs w:val="20"/>
          <w:color w:val="auto"/>
        </w:rPr>
      </w:pPr>
      <w:r>
        <w:rPr>
          <w:rFonts w:ascii="Courier New" w:cs="Courier New" w:eastAsia="Courier New" w:hAnsi="Courier New"/>
          <w:sz w:val="16"/>
          <w:szCs w:val="16"/>
          <w:color w:val="auto"/>
        </w:rPr>
        <w:t>(gains)................................. -- 17 3 (5)</w:t>
      </w:r>
    </w:p>
    <w:p>
      <w:pPr>
        <w:jc w:val="center"/>
        <w:ind w:right="4879"/>
        <w:spacing w:after="0" w:line="238" w:lineRule="auto"/>
        <w:rPr>
          <w:sz w:val="20"/>
          <w:szCs w:val="20"/>
          <w:color w:val="auto"/>
        </w:rPr>
      </w:pPr>
      <w:r>
        <w:rPr>
          <w:rFonts w:ascii="Courier New" w:cs="Courier New" w:eastAsia="Courier New" w:hAnsi="Courier New"/>
          <w:sz w:val="16"/>
          <w:szCs w:val="16"/>
          <w:color w:val="auto"/>
        </w:rPr>
        <w:t>Benefit</w:t>
      </w:r>
    </w:p>
    <w:p>
      <w:pPr>
        <w:jc w:val="center"/>
        <w:ind w:right="4879"/>
        <w:spacing w:after="0"/>
        <w:rPr>
          <w:sz w:val="20"/>
          <w:szCs w:val="20"/>
          <w:color w:val="auto"/>
        </w:rPr>
      </w:pPr>
      <w:r>
        <w:rPr>
          <w:rFonts w:ascii="Courier New" w:cs="Courier New" w:eastAsia="Courier New" w:hAnsi="Courier New"/>
          <w:sz w:val="16"/>
          <w:szCs w:val="16"/>
          <w:color w:val="auto"/>
        </w:rPr>
        <w:t>payments......................................... (46)</w:t>
      </w:r>
    </w:p>
    <w:p>
      <w:pPr>
        <w:jc w:val="center"/>
        <w:ind w:right="4879"/>
        <w:spacing w:after="0" w:line="237" w:lineRule="auto"/>
        <w:rPr>
          <w:sz w:val="20"/>
          <w:szCs w:val="20"/>
          <w:color w:val="auto"/>
        </w:rPr>
      </w:pPr>
      <w:r>
        <w:rPr>
          <w:rFonts w:ascii="Courier New" w:cs="Courier New" w:eastAsia="Courier New" w:hAnsi="Courier New"/>
          <w:sz w:val="16"/>
          <w:szCs w:val="16"/>
          <w:color w:val="auto"/>
        </w:rPr>
        <w:t>(68) (1) --</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Curtailments.............................................</w:t>
      </w:r>
    </w:p>
    <w:p>
      <w:pPr>
        <w:spacing w:after="0" w:line="10"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5"/>
          <w:szCs w:val="15"/>
          <w:color w:val="auto"/>
        </w:rPr>
        <w:t>(6) 0 (1) -- ---- ---- ---- ---- Benefit obligation, end</w:t>
      </w:r>
    </w:p>
    <w:p>
      <w:pPr>
        <w:spacing w:after="0" w:line="5"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of year.......................... $157 $165 $ 39 $ 35</w:t>
      </w:r>
    </w:p>
    <w:p>
      <w:pPr>
        <w:spacing w:after="0" w:line="4" w:lineRule="exact"/>
        <w:rPr>
          <w:sz w:val="20"/>
          <w:szCs w:val="20"/>
          <w:color w:val="auto"/>
        </w:rPr>
      </w:pPr>
    </w:p>
    <w:p>
      <w:pPr>
        <w:ind w:left="840" w:right="4919" w:hanging="801"/>
        <w:spacing w:after="0" w:line="254" w:lineRule="auto"/>
        <w:tabs>
          <w:tab w:leader="none" w:pos="512"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CHANGE IN FAIR VALUE OF PLAN ASSETS: Fair value of plan assets, beginning of</w:t>
      </w:r>
    </w:p>
    <w:tbl>
      <w:tblPr>
        <w:tblLayout w:type="fixed"/>
        <w:tblInd w:w="40" w:type="dxa"/>
        <w:tblCellMar>
          <w:top w:w="0" w:type="dxa"/>
          <w:left w:w="0" w:type="dxa"/>
          <w:bottom w:w="0" w:type="dxa"/>
          <w:right w:w="0" w:type="dxa"/>
        </w:tblCellMar>
      </w:tblPr>
      <w:tr>
        <w:trPr>
          <w:trHeight w:val="177"/>
        </w:trPr>
        <w:tc>
          <w:tcPr>
            <w:tcW w:w="1920" w:type="dxa"/>
            <w:vAlign w:val="bottom"/>
          </w:tcPr>
          <w:p>
            <w:pPr>
              <w:ind w:left="240"/>
              <w:spacing w:after="0" w:line="177" w:lineRule="exact"/>
              <w:rPr>
                <w:sz w:val="20"/>
                <w:szCs w:val="20"/>
                <w:color w:val="auto"/>
              </w:rPr>
            </w:pPr>
            <w:r>
              <w:rPr>
                <w:rFonts w:ascii="Courier New" w:cs="Courier New" w:eastAsia="Courier New" w:hAnsi="Courier New"/>
                <w:sz w:val="16"/>
                <w:szCs w:val="16"/>
                <w:color w:val="auto"/>
              </w:rPr>
              <w:t>year.............</w:t>
            </w:r>
          </w:p>
        </w:tc>
        <w:tc>
          <w:tcPr>
            <w:tcW w:w="1300" w:type="dxa"/>
            <w:vAlign w:val="bottom"/>
          </w:tcPr>
          <w:p>
            <w:pPr>
              <w:jc w:val="right"/>
              <w:ind w:right="2"/>
              <w:spacing w:after="0" w:line="177" w:lineRule="exact"/>
              <w:rPr>
                <w:sz w:val="20"/>
                <w:szCs w:val="20"/>
                <w:color w:val="auto"/>
              </w:rPr>
            </w:pPr>
            <w:r>
              <w:rPr>
                <w:rFonts w:ascii="Courier New" w:cs="Courier New" w:eastAsia="Courier New" w:hAnsi="Courier New"/>
                <w:sz w:val="16"/>
                <w:szCs w:val="16"/>
                <w:color w:val="auto"/>
                <w:w w:val="96"/>
              </w:rPr>
              <w:t>$148 $ -- $ 5</w:t>
            </w:r>
          </w:p>
        </w:tc>
        <w:tc>
          <w:tcPr>
            <w:tcW w:w="2040" w:type="dxa"/>
            <w:vAlign w:val="bottom"/>
            <w:gridSpan w:val="3"/>
          </w:tcPr>
          <w:p>
            <w:pPr>
              <w:jc w:val="right"/>
              <w:ind w:right="162"/>
              <w:spacing w:after="0" w:line="177" w:lineRule="exact"/>
              <w:rPr>
                <w:sz w:val="20"/>
                <w:szCs w:val="20"/>
                <w:color w:val="auto"/>
              </w:rPr>
            </w:pPr>
            <w:r>
              <w:rPr>
                <w:rFonts w:ascii="Courier New" w:cs="Courier New" w:eastAsia="Courier New" w:hAnsi="Courier New"/>
                <w:sz w:val="16"/>
                <w:szCs w:val="16"/>
                <w:color w:val="auto"/>
                <w:w w:val="97"/>
              </w:rPr>
              <w:t>$ -- Acquisition of</w:t>
            </w: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MediaOne..................................</w:t>
            </w:r>
          </w:p>
        </w:tc>
        <w:tc>
          <w:tcPr>
            <w:tcW w:w="86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0 205 -- 5</w:t>
            </w:r>
          </w:p>
        </w:tc>
      </w:tr>
      <w:tr>
        <w:trPr>
          <w:trHeight w:val="180"/>
        </w:trPr>
        <w:tc>
          <w:tcPr>
            <w:tcW w:w="4080" w:type="dxa"/>
            <w:vAlign w:val="bottom"/>
            <w:gridSpan w:val="3"/>
          </w:tcPr>
          <w:p>
            <w:pPr>
              <w:jc w:val="center"/>
              <w:ind w:left="1103"/>
              <w:spacing w:after="0"/>
              <w:rPr>
                <w:sz w:val="20"/>
                <w:szCs w:val="20"/>
                <w:color w:val="auto"/>
              </w:rPr>
            </w:pPr>
            <w:r>
              <w:rPr>
                <w:rFonts w:ascii="Courier New" w:cs="Courier New" w:eastAsia="Courier New" w:hAnsi="Courier New"/>
                <w:sz w:val="16"/>
                <w:szCs w:val="16"/>
                <w:color w:val="auto"/>
                <w:w w:val="98"/>
              </w:rPr>
              <w:t>Actual return on plan</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assets.............................</w:t>
            </w:r>
          </w:p>
        </w:tc>
        <w:tc>
          <w:tcPr>
            <w:tcW w:w="2040" w:type="dxa"/>
            <w:vAlign w:val="bottom"/>
            <w:gridSpan w:val="3"/>
          </w:tcPr>
          <w:p>
            <w:pPr>
              <w:jc w:val="right"/>
              <w:ind w:right="162"/>
              <w:spacing w:after="0"/>
              <w:rPr>
                <w:sz w:val="20"/>
                <w:szCs w:val="20"/>
                <w:color w:val="auto"/>
              </w:rPr>
            </w:pPr>
            <w:r>
              <w:rPr>
                <w:rFonts w:ascii="Courier New" w:cs="Courier New" w:eastAsia="Courier New" w:hAnsi="Courier New"/>
                <w:sz w:val="16"/>
                <w:szCs w:val="16"/>
                <w:color w:val="auto"/>
              </w:rPr>
              <w:t>(12) (12) -- --</w:t>
            </w:r>
          </w:p>
        </w:tc>
      </w:tr>
      <w:tr>
        <w:trPr>
          <w:trHeight w:val="180"/>
        </w:trPr>
        <w:tc>
          <w:tcPr>
            <w:tcW w:w="1920" w:type="dxa"/>
            <w:vAlign w:val="bottom"/>
          </w:tcPr>
          <w:p>
            <w:pPr>
              <w:spacing w:after="0"/>
              <w:rPr>
                <w:sz w:val="15"/>
                <w:szCs w:val="15"/>
                <w:color w:val="auto"/>
              </w:rPr>
            </w:pPr>
          </w:p>
        </w:tc>
        <w:tc>
          <w:tcPr>
            <w:tcW w:w="13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6"/>
              </w:rPr>
              <w:t>Employer</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contributions...................................</w:t>
            </w:r>
          </w:p>
        </w:tc>
        <w:tc>
          <w:tcPr>
            <w:tcW w:w="8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23 --</w:t>
            </w:r>
          </w:p>
        </w:tc>
      </w:tr>
      <w:tr>
        <w:trPr>
          <w:trHeight w:val="180"/>
        </w:trPr>
        <w:tc>
          <w:tcPr>
            <w:tcW w:w="1920" w:type="dxa"/>
            <w:vAlign w:val="bottom"/>
          </w:tcPr>
          <w:p>
            <w:pPr>
              <w:spacing w:after="0"/>
              <w:rPr>
                <w:sz w:val="15"/>
                <w:szCs w:val="15"/>
                <w:color w:val="auto"/>
              </w:rPr>
            </w:pPr>
          </w:p>
        </w:tc>
        <w:tc>
          <w:tcPr>
            <w:tcW w:w="13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7"/>
              </w:rPr>
              <w:t>-- Benefit</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payments.........................................</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(68) (1) -- ---- ---- ---- ----</w:t>
            </w:r>
          </w:p>
        </w:tc>
        <w:tc>
          <w:tcPr>
            <w:tcW w:w="204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Fair value of plan</w:t>
            </w:r>
          </w:p>
        </w:tc>
      </w:tr>
      <w:tr>
        <w:trPr>
          <w:trHeight w:val="180"/>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assets, end of year...................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$ 98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$148 $</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4 $ 5</w:t>
            </w:r>
          </w:p>
        </w:tc>
      </w:tr>
      <w:tr>
        <w:trPr>
          <w:trHeight w:val="180"/>
        </w:trPr>
        <w:tc>
          <w:tcPr>
            <w:tcW w:w="4080" w:type="dxa"/>
            <w:vAlign w:val="bottom"/>
            <w:gridSpan w:val="3"/>
          </w:tcPr>
          <w:p>
            <w:pPr>
              <w:jc w:val="center"/>
              <w:ind w:left="1103"/>
              <w:spacing w:after="0"/>
              <w:rPr>
                <w:sz w:val="20"/>
                <w:szCs w:val="20"/>
                <w:color w:val="auto"/>
              </w:rPr>
            </w:pPr>
            <w:r>
              <w:rPr>
                <w:rFonts w:ascii="Courier New" w:cs="Courier New" w:eastAsia="Courier New" w:hAnsi="Courier New"/>
                <w:sz w:val="16"/>
                <w:szCs w:val="16"/>
                <w:color w:val="auto"/>
                <w:w w:val="97"/>
              </w:rPr>
              <w:t>==== ==== ==== ====</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541"/>
        </w:trPr>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F-67</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19"/>
          </w:cols>
          <w:pgMar w:left="240" w:top="473" w:right="1440" w:bottom="1440" w:gutter="0" w:footer="0" w:header="0"/>
        </w:sectPr>
      </w:pPr>
    </w:p>
    <w:bookmarkStart w:id="255" w:name="page256"/>
    <w:bookmarkEnd w:id="255"/>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PENSION POSTRETIREMENT BENEFITS BENEFITS ----</w:t>
      </w:r>
    </w:p>
    <w:p>
      <w:pPr>
        <w:spacing w:after="0" w:line="10"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 --------------- AT DECEMBER 31, -----</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------------------------ 2001 2000 2001 2000</w:t>
      </w:r>
    </w:p>
    <w:p>
      <w:pPr>
        <w:jc w:val="center"/>
        <w:ind w:right="5919"/>
        <w:spacing w:after="0"/>
        <w:rPr>
          <w:sz w:val="20"/>
          <w:szCs w:val="20"/>
          <w:color w:val="auto"/>
        </w:rPr>
      </w:pPr>
      <w:r>
        <w:rPr>
          <w:rFonts w:ascii="Courier New" w:cs="Courier New" w:eastAsia="Courier New" w:hAnsi="Courier New"/>
          <w:sz w:val="16"/>
          <w:szCs w:val="16"/>
          <w:color w:val="auto"/>
        </w:rPr>
        <w:t>---- ---- ------ ------ Unfunded benefit</w:t>
      </w:r>
    </w:p>
    <w:p>
      <w:pPr>
        <w:jc w:val="center"/>
        <w:ind w:right="5919"/>
        <w:spacing w:after="0" w:line="237" w:lineRule="auto"/>
        <w:rPr>
          <w:sz w:val="20"/>
          <w:szCs w:val="20"/>
          <w:color w:val="auto"/>
        </w:rPr>
      </w:pPr>
      <w:r>
        <w:rPr>
          <w:rFonts w:ascii="Courier New" w:cs="Courier New" w:eastAsia="Courier New" w:hAnsi="Courier New"/>
          <w:sz w:val="16"/>
          <w:szCs w:val="16"/>
          <w:color w:val="auto"/>
        </w:rPr>
        <w:t>obligation..............................</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$(59) $(17) $(35) $(30) Unrecognized net loss</w:t>
      </w:r>
    </w:p>
    <w:p>
      <w:pPr>
        <w:spacing w:after="0" w:line="10"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(gain)............................. 56 38 (1)</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(5) Unrecognized prior service</w:t>
      </w:r>
    </w:p>
    <w:p>
      <w:pPr>
        <w:jc w:val="center"/>
        <w:ind w:right="5919"/>
        <w:spacing w:after="0"/>
        <w:rPr>
          <w:sz w:val="20"/>
          <w:szCs w:val="20"/>
          <w:color w:val="auto"/>
        </w:rPr>
      </w:pPr>
      <w:r>
        <w:rPr>
          <w:rFonts w:ascii="Courier New" w:cs="Courier New" w:eastAsia="Courier New" w:hAnsi="Courier New"/>
          <w:sz w:val="16"/>
          <w:szCs w:val="16"/>
          <w:color w:val="auto"/>
        </w:rPr>
        <w:t>cost.......................... (4) (5) -- --</w:t>
      </w:r>
    </w:p>
    <w:p>
      <w:pPr>
        <w:jc w:val="center"/>
        <w:ind w:right="5919"/>
        <w:spacing w:after="0" w:line="237" w:lineRule="auto"/>
        <w:rPr>
          <w:sz w:val="20"/>
          <w:szCs w:val="20"/>
          <w:color w:val="auto"/>
        </w:rPr>
      </w:pPr>
      <w:r>
        <w:rPr>
          <w:rFonts w:ascii="Courier New" w:cs="Courier New" w:eastAsia="Courier New" w:hAnsi="Courier New"/>
          <w:sz w:val="16"/>
          <w:szCs w:val="16"/>
          <w:color w:val="auto"/>
        </w:rPr>
        <w:t>---- ---- ---- ---- Net amount</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5"/>
          <w:szCs w:val="15"/>
          <w:color w:val="auto"/>
        </w:rPr>
        <w:t>recorded......................................</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(7) $ 16 $(36) $(35) ==== ==== ==== ====</w:t>
      </w:r>
    </w:p>
    <w:p>
      <w:pPr>
        <w:spacing w:after="0" w:line="36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following table provides the amounts recorded in AT&amp;T Broadband Group's combined balance sheet:</w:t>
      </w:r>
    </w:p>
    <w:p>
      <w:pPr>
        <w:spacing w:after="0" w:line="18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PENSION POSTRETIREMENT BENEFITS BENEFITS ----</w:t>
      </w:r>
    </w:p>
    <w:p>
      <w:pPr>
        <w:spacing w:after="0" w:line="10"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 --------------- AT DECEMBER 31, -----</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------------------------ 2001 2000 2001 2000</w:t>
      </w:r>
    </w:p>
    <w:p>
      <w:pPr>
        <w:jc w:val="center"/>
        <w:ind w:right="5919"/>
        <w:spacing w:after="0"/>
        <w:rPr>
          <w:sz w:val="20"/>
          <w:szCs w:val="20"/>
          <w:color w:val="auto"/>
        </w:rPr>
      </w:pPr>
      <w:r>
        <w:rPr>
          <w:rFonts w:ascii="Courier New" w:cs="Courier New" w:eastAsia="Courier New" w:hAnsi="Courier New"/>
          <w:sz w:val="16"/>
          <w:szCs w:val="16"/>
          <w:color w:val="auto"/>
        </w:rPr>
        <w:t>---- ---- ------ ------ Prepaid pension</w:t>
      </w:r>
    </w:p>
    <w:p>
      <w:pPr>
        <w:spacing w:after="0" w:line="3"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5"/>
          <w:szCs w:val="15"/>
          <w:color w:val="auto"/>
        </w:rPr>
        <w:t>cost..................................... $ 8</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$ 36 $ -- $ -- Benefit related</w:t>
      </w:r>
    </w:p>
    <w:p>
      <w:pPr>
        <w:jc w:val="center"/>
        <w:ind w:right="5919"/>
        <w:spacing w:after="0"/>
        <w:rPr>
          <w:sz w:val="20"/>
          <w:szCs w:val="20"/>
          <w:color w:val="auto"/>
        </w:rPr>
      </w:pPr>
      <w:r>
        <w:rPr>
          <w:rFonts w:ascii="Courier New" w:cs="Courier New" w:eastAsia="Courier New" w:hAnsi="Courier New"/>
          <w:sz w:val="16"/>
          <w:szCs w:val="16"/>
          <w:color w:val="auto"/>
        </w:rPr>
        <w:t>liabilities..............................</w:t>
      </w:r>
    </w:p>
    <w:p>
      <w:pPr>
        <w:jc w:val="center"/>
        <w:ind w:right="5919"/>
        <w:spacing w:after="0" w:line="237" w:lineRule="auto"/>
        <w:rPr>
          <w:sz w:val="20"/>
          <w:szCs w:val="20"/>
          <w:color w:val="auto"/>
        </w:rPr>
      </w:pPr>
      <w:r>
        <w:rPr>
          <w:rFonts w:ascii="Courier New" w:cs="Courier New" w:eastAsia="Courier New" w:hAnsi="Courier New"/>
          <w:sz w:val="16"/>
          <w:szCs w:val="16"/>
          <w:color w:val="auto"/>
        </w:rPr>
        <w:t>(53) (21) (36) (35) Accumulated other</w:t>
      </w:r>
    </w:p>
    <w:p>
      <w:pPr>
        <w:jc w:val="center"/>
        <w:ind w:right="5919"/>
        <w:spacing w:after="0"/>
        <w:rPr>
          <w:sz w:val="20"/>
          <w:szCs w:val="20"/>
          <w:color w:val="auto"/>
        </w:rPr>
      </w:pPr>
      <w:r>
        <w:rPr>
          <w:rFonts w:ascii="Courier New" w:cs="Courier New" w:eastAsia="Courier New" w:hAnsi="Courier New"/>
          <w:sz w:val="16"/>
          <w:szCs w:val="16"/>
          <w:color w:val="auto"/>
        </w:rPr>
        <w:t>comprehensive income................... 38 1</w:t>
      </w:r>
    </w:p>
    <w:p>
      <w:pPr>
        <w:jc w:val="center"/>
        <w:ind w:right="5919"/>
        <w:spacing w:after="0" w:line="238" w:lineRule="auto"/>
        <w:rPr>
          <w:sz w:val="20"/>
          <w:szCs w:val="20"/>
          <w:color w:val="auto"/>
        </w:rPr>
      </w:pPr>
      <w:r>
        <w:rPr>
          <w:rFonts w:ascii="Courier New" w:cs="Courier New" w:eastAsia="Courier New" w:hAnsi="Courier New"/>
          <w:sz w:val="16"/>
          <w:szCs w:val="16"/>
          <w:color w:val="auto"/>
        </w:rPr>
        <w:t>-- -- ---- ---- ---- ---- Net amount</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5"/>
          <w:szCs w:val="15"/>
          <w:color w:val="auto"/>
        </w:rPr>
        <w:t>recorded......................................</w:t>
      </w:r>
    </w:p>
    <w:p>
      <w:pPr>
        <w:spacing w:after="0" w:line="5"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 (7) $ 16 $(36) $(35) ==== ==== ==== ====</w:t>
      </w:r>
    </w:p>
    <w:p>
      <w:pPr>
        <w:spacing w:after="0" w:line="365"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The nonqualified pension plan had an unfunded accumulated benefit obligation of $19 at December 31, 2001.</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assumptions in the following table were used in the measurement of the pension and postretirement benefit obligations and the net periodic benefit costs as applicable.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2001 2000</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 ---- Weighted-average</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w w:val="94"/>
              </w:rPr>
              <w:t>assumptions</w:t>
            </w:r>
          </w:p>
        </w:tc>
      </w:tr>
      <w:tr>
        <w:trPr>
          <w:trHeight w:val="180"/>
        </w:trPr>
        <w:tc>
          <w:tcPr>
            <w:tcW w:w="9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at December 31: Discount</w:t>
            </w:r>
          </w:p>
        </w:tc>
        <w:tc>
          <w:tcPr>
            <w:tcW w:w="1080" w:type="dxa"/>
            <w:vAlign w:val="bottom"/>
          </w:tcPr>
          <w:p>
            <w:pPr>
              <w:spacing w:after="0"/>
              <w:rPr>
                <w:sz w:val="15"/>
                <w:szCs w:val="15"/>
                <w:color w:val="auto"/>
              </w:rPr>
            </w:pPr>
          </w:p>
        </w:tc>
      </w:tr>
    </w:tbl>
    <w:p>
      <w:pPr>
        <w:spacing w:after="0"/>
        <w:rPr>
          <w:sz w:val="20"/>
          <w:szCs w:val="20"/>
          <w:color w:val="auto"/>
        </w:rPr>
      </w:pPr>
      <w:r>
        <w:rPr>
          <w:rFonts w:ascii="Courier New" w:cs="Courier New" w:eastAsia="Courier New" w:hAnsi="Courier New"/>
          <w:sz w:val="16"/>
          <w:szCs w:val="16"/>
          <w:color w:val="auto"/>
        </w:rPr>
        <w:t>rate.............................................</w:t>
      </w:r>
    </w:p>
    <w:p>
      <w:pPr>
        <w:jc w:val="center"/>
        <w:ind w:right="5639"/>
        <w:spacing w:after="0" w:line="237" w:lineRule="auto"/>
        <w:rPr>
          <w:sz w:val="20"/>
          <w:szCs w:val="20"/>
          <w:color w:val="auto"/>
        </w:rPr>
      </w:pPr>
      <w:r>
        <w:rPr>
          <w:rFonts w:ascii="Courier New" w:cs="Courier New" w:eastAsia="Courier New" w:hAnsi="Courier New"/>
          <w:sz w:val="16"/>
          <w:szCs w:val="16"/>
          <w:color w:val="auto"/>
        </w:rPr>
        <w:t>7.25% 7.50% Expected return on plan</w:t>
      </w:r>
    </w:p>
    <w:p>
      <w:pPr>
        <w:jc w:val="center"/>
        <w:ind w:right="5639"/>
        <w:spacing w:after="0"/>
        <w:rPr>
          <w:sz w:val="20"/>
          <w:szCs w:val="20"/>
          <w:color w:val="auto"/>
        </w:rPr>
      </w:pPr>
      <w:r>
        <w:rPr>
          <w:rFonts w:ascii="Courier New" w:cs="Courier New" w:eastAsia="Courier New" w:hAnsi="Courier New"/>
          <w:sz w:val="16"/>
          <w:szCs w:val="16"/>
          <w:color w:val="auto"/>
        </w:rPr>
        <w:t>assets............................ 9.50% 9.50%</w:t>
      </w:r>
    </w:p>
    <w:p>
      <w:pPr>
        <w:jc w:val="center"/>
        <w:ind w:right="5639"/>
        <w:spacing w:after="0" w:line="238" w:lineRule="auto"/>
        <w:rPr>
          <w:sz w:val="20"/>
          <w:szCs w:val="20"/>
          <w:color w:val="auto"/>
        </w:rPr>
      </w:pPr>
      <w:r>
        <w:rPr>
          <w:rFonts w:ascii="Courier New" w:cs="Courier New" w:eastAsia="Courier New" w:hAnsi="Courier New"/>
          <w:sz w:val="16"/>
          <w:szCs w:val="16"/>
          <w:color w:val="auto"/>
        </w:rPr>
        <w:t>Rate of compensation</w:t>
      </w:r>
    </w:p>
    <w:p>
      <w:pPr>
        <w:jc w:val="center"/>
        <w:ind w:right="5639"/>
        <w:spacing w:after="0"/>
        <w:rPr>
          <w:sz w:val="20"/>
          <w:szCs w:val="20"/>
          <w:color w:val="auto"/>
        </w:rPr>
      </w:pPr>
      <w:r>
        <w:rPr>
          <w:rFonts w:ascii="Courier New" w:cs="Courier New" w:eastAsia="Courier New" w:hAnsi="Courier New"/>
          <w:sz w:val="16"/>
          <w:szCs w:val="16"/>
          <w:color w:val="auto"/>
        </w:rPr>
        <w:t>increase............................. 4.00%</w:t>
      </w:r>
    </w:p>
    <w:p>
      <w:pPr>
        <w:jc w:val="center"/>
        <w:ind w:right="5639"/>
        <w:spacing w:after="0" w:line="238" w:lineRule="auto"/>
        <w:rPr>
          <w:sz w:val="20"/>
          <w:szCs w:val="20"/>
          <w:color w:val="auto"/>
        </w:rPr>
      </w:pPr>
      <w:r>
        <w:rPr>
          <w:rFonts w:ascii="Courier New" w:cs="Courier New" w:eastAsia="Courier New" w:hAnsi="Courier New"/>
          <w:sz w:val="16"/>
          <w:szCs w:val="16"/>
          <w:color w:val="auto"/>
        </w:rPr>
        <w:t>4.00%</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F-68</w:t>
      </w:r>
    </w:p>
    <w:p>
      <w:pPr>
        <w:sectPr>
          <w:pgSz w:w="11900" w:h="16838" w:orient="portrait"/>
          <w:cols w:equalWidth="0" w:num="1">
            <w:col w:w="10219"/>
          </w:cols>
          <w:pgMar w:left="240" w:top="473" w:right="1440" w:bottom="1440" w:gutter="0" w:footer="0" w:header="0"/>
        </w:sectPr>
      </w:pPr>
    </w:p>
    <w:bookmarkStart w:id="256" w:name="page257"/>
    <w:bookmarkEnd w:id="256"/>
    <w:p>
      <w:pPr>
        <w:jc w:val="center"/>
        <w:ind w:right="2715"/>
        <w:spacing w:after="0"/>
        <w:rPr>
          <w:sz w:val="20"/>
          <w:szCs w:val="20"/>
          <w:color w:val="auto"/>
        </w:rPr>
      </w:pPr>
      <w:r>
        <w:rPr>
          <w:rFonts w:ascii="Courier New" w:cs="Courier New" w:eastAsia="Courier New" w:hAnsi="Courier New"/>
          <w:sz w:val="16"/>
          <w:szCs w:val="16"/>
          <w:color w:val="auto"/>
        </w:rPr>
        <w:t>AT&amp;T BROADBAND GROUP</w:t>
      </w:r>
    </w:p>
    <w:p>
      <w:pPr>
        <w:jc w:val="center"/>
        <w:ind w:right="2715"/>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(12) STOCK-BASED COMPENSATION PLANS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185" w:lineRule="exact"/>
        <w:rPr>
          <w:sz w:val="20"/>
          <w:szCs w:val="20"/>
          <w:color w:val="auto"/>
        </w:rPr>
      </w:pPr>
    </w:p>
    <w:p>
      <w:pPr>
        <w:ind w:left="4" w:right="2719" w:firstLine="469"/>
        <w:spacing w:after="0" w:line="259" w:lineRule="auto"/>
        <w:rPr>
          <w:sz w:val="20"/>
          <w:szCs w:val="20"/>
          <w:color w:val="auto"/>
        </w:rPr>
      </w:pPr>
      <w:r>
        <w:rPr>
          <w:rFonts w:ascii="Courier New" w:cs="Courier New" w:eastAsia="Courier New" w:hAnsi="Courier New"/>
          <w:sz w:val="15"/>
          <w:szCs w:val="15"/>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71"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173"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AT&amp;T Broadband Group applies Accounting Principles Board Opinion No. 25,</w:t>
      </w:r>
    </w:p>
    <w:p>
      <w:pPr>
        <w:ind w:left="4"/>
        <w:spacing w:after="0"/>
        <w:rPr>
          <w:sz w:val="20"/>
          <w:szCs w:val="20"/>
          <w:color w:val="auto"/>
        </w:rPr>
      </w:pPr>
      <w:r>
        <w:rPr>
          <w:rFonts w:ascii="Courier New" w:cs="Courier New" w:eastAsia="Courier New" w:hAnsi="Courier New"/>
          <w:sz w:val="16"/>
          <w:szCs w:val="16"/>
          <w:color w:val="auto"/>
        </w:rPr>
        <w:t>"Accounting for Stock Issued to Employees," and related interpretations in</w:t>
      </w:r>
    </w:p>
    <w:p>
      <w:pPr>
        <w:ind w:left="4"/>
        <w:spacing w:after="0" w:line="237" w:lineRule="auto"/>
        <w:rPr>
          <w:sz w:val="20"/>
          <w:szCs w:val="20"/>
          <w:color w:val="auto"/>
        </w:rPr>
      </w:pPr>
      <w:r>
        <w:rPr>
          <w:rFonts w:ascii="Courier New" w:cs="Courier New" w:eastAsia="Courier New" w:hAnsi="Courier New"/>
          <w:sz w:val="16"/>
          <w:szCs w:val="16"/>
          <w:color w:val="auto"/>
        </w:rPr>
        <w:t>accounting for its plans. Accordingly, no compensation expense has been</w:t>
      </w:r>
    </w:p>
    <w:p>
      <w:pPr>
        <w:ind w:left="4"/>
        <w:spacing w:after="0"/>
        <w:rPr>
          <w:sz w:val="20"/>
          <w:szCs w:val="20"/>
          <w:color w:val="auto"/>
        </w:rPr>
      </w:pPr>
      <w:r>
        <w:rPr>
          <w:rFonts w:ascii="Courier New" w:cs="Courier New" w:eastAsia="Courier New" w:hAnsi="Courier New"/>
          <w:sz w:val="16"/>
          <w:szCs w:val="16"/>
          <w:color w:val="auto"/>
        </w:rPr>
        <w:t>recognized for stock-based compensation plans other than for performance-based</w:t>
      </w:r>
    </w:p>
    <w:p>
      <w:pPr>
        <w:ind w:left="4"/>
        <w:spacing w:after="0" w:line="238" w:lineRule="auto"/>
        <w:rPr>
          <w:sz w:val="20"/>
          <w:szCs w:val="20"/>
          <w:color w:val="auto"/>
        </w:rPr>
      </w:pPr>
      <w:r>
        <w:rPr>
          <w:rFonts w:ascii="Courier New" w:cs="Courier New" w:eastAsia="Courier New" w:hAnsi="Courier New"/>
          <w:sz w:val="16"/>
          <w:szCs w:val="16"/>
          <w:color w:val="auto"/>
        </w:rPr>
        <w:t>and restricted stock awards and stock appreciation rights ("SARs"). Stock</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based-compensation (expense) income for AT&amp;T Broadband Group was $(4), $268 and</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$(366) for the years ended December 31, 2001 and 2000 and the ten months ended</w:t>
      </w:r>
    </w:p>
    <w:p>
      <w:pPr>
        <w:ind w:left="4"/>
        <w:spacing w:after="0"/>
        <w:rPr>
          <w:sz w:val="20"/>
          <w:szCs w:val="20"/>
          <w:color w:val="auto"/>
        </w:rPr>
      </w:pPr>
      <w:r>
        <w:rPr>
          <w:rFonts w:ascii="Courier New" w:cs="Courier New" w:eastAsia="Courier New" w:hAnsi="Courier New"/>
          <w:sz w:val="16"/>
          <w:szCs w:val="16"/>
          <w:color w:val="auto"/>
        </w:rPr>
        <w:t>December 31, 1999, respectively. These amounts included (expense) income of</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$(3), $269 and $(382) for the years ended December 31, 2001 and 2000 and the ten</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months ended December 31, 1999, respectively, related to grants of SARs of</w:t>
      </w:r>
    </w:p>
    <w:p>
      <w:pPr>
        <w:ind w:left="4"/>
        <w:spacing w:after="0"/>
        <w:rPr>
          <w:sz w:val="20"/>
          <w:szCs w:val="20"/>
          <w:color w:val="auto"/>
        </w:rPr>
      </w:pPr>
      <w:r>
        <w:rPr>
          <w:rFonts w:ascii="Courier New" w:cs="Courier New" w:eastAsia="Courier New" w:hAnsi="Courier New"/>
          <w:sz w:val="16"/>
          <w:szCs w:val="16"/>
          <w:color w:val="auto"/>
        </w:rPr>
        <w:t>affiliated companies held by certain employees subsequent to the TCI Merger.</w:t>
      </w:r>
    </w:p>
    <w:p>
      <w:pPr>
        <w:ind w:left="4"/>
        <w:spacing w:after="0" w:line="237" w:lineRule="auto"/>
        <w:rPr>
          <w:sz w:val="20"/>
          <w:szCs w:val="20"/>
          <w:color w:val="auto"/>
        </w:rPr>
      </w:pPr>
      <w:r>
        <w:rPr>
          <w:rFonts w:ascii="Courier New" w:cs="Courier New" w:eastAsia="Courier New" w:hAnsi="Courier New"/>
          <w:sz w:val="16"/>
          <w:szCs w:val="16"/>
          <w:color w:val="auto"/>
        </w:rPr>
        <w:t>AT&amp;T entered into an equity hedge in 1999 to offset potential future</w:t>
      </w:r>
    </w:p>
    <w:p>
      <w:pPr>
        <w:ind w:left="4"/>
        <w:spacing w:after="0"/>
        <w:rPr>
          <w:sz w:val="20"/>
          <w:szCs w:val="20"/>
          <w:color w:val="auto"/>
        </w:rPr>
      </w:pPr>
      <w:r>
        <w:rPr>
          <w:rFonts w:ascii="Courier New" w:cs="Courier New" w:eastAsia="Courier New" w:hAnsi="Courier New"/>
          <w:sz w:val="16"/>
          <w:szCs w:val="16"/>
          <w:color w:val="auto"/>
        </w:rPr>
        <w:t>compensation costs associated with such SARs. (Expense) income related to this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hedge was $(16), $(324) and $227 for the years ended December 31, 2001 and 2000</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and the ten months ended December 31, 1999, respectively.</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AT&amp;T Broadband Group has adopted the disclosure-only provisions of SFAS</w:t>
      </w:r>
    </w:p>
    <w:p>
      <w:pPr>
        <w:spacing w:after="0" w:line="4" w:lineRule="exact"/>
        <w:rPr>
          <w:sz w:val="20"/>
          <w:szCs w:val="20"/>
          <w:color w:val="auto"/>
        </w:rPr>
      </w:pPr>
    </w:p>
    <w:p>
      <w:pPr>
        <w:ind w:left="4" w:right="2719" w:hanging="4"/>
        <w:spacing w:after="0" w:line="237" w:lineRule="auto"/>
        <w:tabs>
          <w:tab w:leader="none" w:pos="473"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Broadband Group had elected to recognize compensation costs based on the fair value at the date of grant for AT&amp;T awards granted to AT&amp;T Broadband Group employees, consistent with the provisions of</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F-69</w:t>
      </w:r>
    </w:p>
    <w:p>
      <w:pPr>
        <w:sectPr>
          <w:pgSz w:w="11900" w:h="16838" w:orient="portrait"/>
          <w:cols w:equalWidth="0" w:num="1">
            <w:col w:w="10223"/>
          </w:cols>
          <w:pgMar w:left="236" w:top="473" w:right="1440" w:bottom="1440" w:gutter="0" w:footer="0" w:header="0"/>
        </w:sectPr>
      </w:pPr>
    </w:p>
    <w:bookmarkStart w:id="257" w:name="page258"/>
    <w:bookmarkEnd w:id="257"/>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jc w:val="both"/>
        <w:ind w:right="2999"/>
        <w:spacing w:after="0" w:line="263" w:lineRule="auto"/>
        <w:rPr>
          <w:sz w:val="20"/>
          <w:szCs w:val="20"/>
          <w:color w:val="auto"/>
        </w:rPr>
      </w:pPr>
      <w:r>
        <w:rPr>
          <w:rFonts w:ascii="Courier New" w:cs="Courier New" w:eastAsia="Courier New" w:hAnsi="Courier New"/>
          <w:sz w:val="15"/>
          <w:szCs w:val="15"/>
          <w:color w:val="auto"/>
        </w:rPr>
        <w:t>SFAS 123, AT&amp;T Broadband Group's net loss would have been adjusted to reflect additional compensation expense resulting in the following pro forma amounts:</w:t>
      </w:r>
    </w:p>
    <w:p>
      <w:pPr>
        <w:spacing w:after="0" w:line="16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rPr>
          <w:sz w:val="20"/>
          <w:szCs w:val="20"/>
          <w:color w:val="auto"/>
        </w:rPr>
      </w:pPr>
      <w:r>
        <w:rPr>
          <w:rFonts w:ascii="Courier New" w:cs="Courier New" w:eastAsia="Courier New" w:hAnsi="Courier New"/>
          <w:sz w:val="16"/>
          <w:szCs w:val="16"/>
          <w:color w:val="auto"/>
        </w:rPr>
        <w:t>------ DECEMBER 31, 2001 2000 1999 ------ ------ -</w:t>
      </w:r>
    </w:p>
    <w:p>
      <w:pPr>
        <w:ind w:left="1680"/>
        <w:spacing w:after="0" w:line="237" w:lineRule="auto"/>
        <w:rPr>
          <w:sz w:val="20"/>
          <w:szCs w:val="20"/>
          <w:color w:val="auto"/>
        </w:rPr>
      </w:pPr>
      <w:r>
        <w:rPr>
          <w:rFonts w:ascii="Courier New" w:cs="Courier New" w:eastAsia="Courier New" w:hAnsi="Courier New"/>
          <w:sz w:val="16"/>
          <w:szCs w:val="16"/>
          <w:color w:val="auto"/>
        </w:rPr>
        <w:t>----------- Net</w:t>
      </w:r>
    </w:p>
    <w:p>
      <w:pPr>
        <w:spacing w:after="0"/>
        <w:rPr>
          <w:sz w:val="20"/>
          <w:szCs w:val="20"/>
          <w:color w:val="auto"/>
        </w:rPr>
      </w:pPr>
      <w:r>
        <w:rPr>
          <w:rFonts w:ascii="Courier New" w:cs="Courier New" w:eastAsia="Courier New" w:hAnsi="Courier New"/>
          <w:sz w:val="16"/>
          <w:szCs w:val="16"/>
          <w:color w:val="auto"/>
        </w:rPr>
        <w:t>loss...............................................</w:t>
      </w:r>
    </w:p>
    <w:p>
      <w:pPr>
        <w:ind w:left="1440"/>
        <w:spacing w:after="0" w:line="238" w:lineRule="auto"/>
        <w:rPr>
          <w:sz w:val="20"/>
          <w:szCs w:val="20"/>
          <w:color w:val="auto"/>
        </w:rPr>
      </w:pPr>
      <w:r>
        <w:rPr>
          <w:rFonts w:ascii="Courier New" w:cs="Courier New" w:eastAsia="Courier New" w:hAnsi="Courier New"/>
          <w:sz w:val="16"/>
          <w:szCs w:val="16"/>
          <w:color w:val="auto"/>
        </w:rPr>
        <w:t>$4,011 $5,390 $2,203</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17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INCOME TAXES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F-70</w:t>
      </w:r>
    </w:p>
    <w:p>
      <w:pPr>
        <w:sectPr>
          <w:pgSz w:w="11900" w:h="16838" w:orient="portrait"/>
          <w:cols w:equalWidth="0" w:num="1">
            <w:col w:w="10219"/>
          </w:cols>
          <w:pgMar w:left="240" w:top="473" w:right="1440" w:bottom="1440" w:gutter="0" w:footer="0" w:header="0"/>
        </w:sectPr>
      </w:pPr>
    </w:p>
    <w:bookmarkStart w:id="258" w:name="page259"/>
    <w:bookmarkEnd w:id="258"/>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components of the provision (benefit) for income taxes are as follows: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tbl>
      <w:tblPr>
        <w:tblLayout w:type="fixed"/>
        <w:tblInd w:w="0" w:type="dxa"/>
        <w:tblCellMar>
          <w:top w:w="0" w:type="dxa"/>
          <w:left w:w="0" w:type="dxa"/>
          <w:bottom w:w="0" w:type="dxa"/>
          <w:right w:w="0" w:type="dxa"/>
        </w:tblCellMar>
      </w:tblPr>
      <w:tr>
        <w:trPr>
          <w:trHeight w:val="180"/>
        </w:trPr>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DECEMBER 31, 2001 2000 1999 -----</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2"/>
              </w:rPr>
              <w:t>-- ------- -----------------</w:t>
            </w:r>
          </w:p>
        </w:tc>
        <w:tc>
          <w:tcPr>
            <w:tcW w:w="21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Federal:</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1"/>
              </w:rPr>
              <w:t>Current........................................</w:t>
            </w: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16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(245) $ (786)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w w:val="97"/>
              </w:rPr>
              <w:t>$(469) Deferred</w:t>
            </w:r>
          </w:p>
        </w:tc>
        <w:tc>
          <w:tcPr>
            <w:tcW w:w="680" w:type="dxa"/>
            <w:vAlign w:val="bottom"/>
          </w:tcPr>
          <w:p>
            <w:pPr>
              <w:spacing w:after="0"/>
              <w:rPr>
                <w:sz w:val="15"/>
                <w:szCs w:val="15"/>
                <w:color w:val="auto"/>
              </w:rPr>
            </w:pPr>
          </w:p>
        </w:tc>
      </w:tr>
      <w:tr>
        <w:trPr>
          <w:trHeight w:val="180"/>
        </w:trPr>
        <w:tc>
          <w:tcPr>
            <w:tcW w:w="12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5"/>
              </w:rPr>
              <w:t>......................................</w:t>
            </w: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(3,104)</w:t>
            </w:r>
          </w:p>
        </w:tc>
      </w:tr>
      <w:tr>
        <w:trPr>
          <w:trHeight w:val="180"/>
        </w:trPr>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(215)</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64 ------- -------</w:t>
            </w:r>
          </w:p>
        </w:tc>
        <w:tc>
          <w:tcPr>
            <w:tcW w:w="1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 (3,349)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(1,001)</w:t>
            </w:r>
          </w:p>
        </w:tc>
      </w:tr>
      <w:tr>
        <w:trPr>
          <w:trHeight w:val="180"/>
        </w:trPr>
        <w:tc>
          <w:tcPr>
            <w:tcW w:w="600" w:type="dxa"/>
            <w:vAlign w:val="bottom"/>
          </w:tcPr>
          <w:p>
            <w:pPr>
              <w:ind w:left="140"/>
              <w:spacing w:after="0"/>
              <w:rPr>
                <w:sz w:val="20"/>
                <w:szCs w:val="20"/>
                <w:color w:val="auto"/>
              </w:rPr>
            </w:pPr>
            <w:r>
              <w:rPr>
                <w:rFonts w:ascii="Courier New" w:cs="Courier New" w:eastAsia="Courier New" w:hAnsi="Courier New"/>
                <w:sz w:val="16"/>
                <w:szCs w:val="16"/>
                <w:color w:val="auto"/>
                <w:w w:val="91"/>
              </w:rPr>
              <w:t>(405)</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 ------- -----</w:t>
            </w:r>
          </w:p>
        </w:tc>
        <w:tc>
          <w:tcPr>
            <w:tcW w:w="2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State and local:</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1"/>
              </w:rPr>
              <w:t>Current........................................</w:t>
            </w: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308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(34) (136) 22 Deferred</w:t>
            </w:r>
          </w:p>
        </w:tc>
        <w:tc>
          <w:tcPr>
            <w:tcW w:w="680" w:type="dxa"/>
            <w:vAlign w:val="bottom"/>
          </w:tcPr>
          <w:p>
            <w:pPr>
              <w:spacing w:after="0"/>
              <w:rPr>
                <w:sz w:val="15"/>
                <w:szCs w:val="15"/>
                <w:color w:val="auto"/>
              </w:rPr>
            </w:pPr>
          </w:p>
        </w:tc>
      </w:tr>
      <w:tr>
        <w:trPr>
          <w:trHeight w:val="180"/>
        </w:trPr>
        <w:tc>
          <w:tcPr>
            <w:tcW w:w="1260" w:type="dxa"/>
            <w:vAlign w:val="bottom"/>
            <w:gridSpan w:val="2"/>
          </w:tcPr>
          <w:p>
            <w:pPr>
              <w:ind w:left="140"/>
              <w:spacing w:after="0"/>
              <w:rPr>
                <w:sz w:val="20"/>
                <w:szCs w:val="20"/>
                <w:color w:val="auto"/>
              </w:rPr>
            </w:pPr>
            <w:r>
              <w:rPr>
                <w:rFonts w:ascii="Courier New" w:cs="Courier New" w:eastAsia="Courier New" w:hAnsi="Courier New"/>
                <w:sz w:val="6"/>
                <w:szCs w:val="6"/>
                <w:color w:val="auto"/>
                <w:w w:val="80"/>
              </w:rPr>
              <w:t>......................................</w:t>
            </w: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(477)</w:t>
            </w:r>
          </w:p>
        </w:tc>
      </w:tr>
      <w:tr>
        <w:trPr>
          <w:trHeight w:val="180"/>
        </w:trPr>
        <w:tc>
          <w:tcPr>
            <w:tcW w:w="600" w:type="dxa"/>
            <w:vAlign w:val="bottom"/>
          </w:tcPr>
          <w:p>
            <w:pPr>
              <w:ind w:left="180"/>
              <w:spacing w:after="0"/>
              <w:rPr>
                <w:sz w:val="20"/>
                <w:szCs w:val="20"/>
                <w:color w:val="auto"/>
              </w:rPr>
            </w:pPr>
            <w:r>
              <w:rPr>
                <w:rFonts w:ascii="Courier New" w:cs="Courier New" w:eastAsia="Courier New" w:hAnsi="Courier New"/>
                <w:sz w:val="16"/>
                <w:szCs w:val="16"/>
                <w:color w:val="auto"/>
              </w:rPr>
              <w:t>(47)</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(82) ------- -------</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 (511)</w:t>
            </w:r>
          </w:p>
        </w:tc>
        <w:tc>
          <w:tcPr>
            <w:tcW w:w="6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(183)</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(60) ------- -------</w:t>
            </w:r>
          </w:p>
        </w:tc>
        <w:tc>
          <w:tcPr>
            <w:tcW w:w="21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 Foreign:</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1"/>
              </w:rPr>
              <w:t>Current........................................</w:t>
            </w: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600" w:type="dxa"/>
            <w:vAlign w:val="bottom"/>
          </w:tcPr>
          <w:p>
            <w:pPr>
              <w:ind w:left="320"/>
              <w:spacing w:after="0"/>
              <w:rPr>
                <w:sz w:val="20"/>
                <w:szCs w:val="20"/>
                <w:color w:val="auto"/>
              </w:rPr>
            </w:pPr>
            <w:r>
              <w:rPr>
                <w:rFonts w:ascii="Courier New" w:cs="Courier New" w:eastAsia="Courier New" w:hAnsi="Courier New"/>
                <w:sz w:val="16"/>
                <w:szCs w:val="16"/>
                <w:color w:val="auto"/>
                <w:w w:val="90"/>
              </w:rPr>
              <w:t>3 1</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 ------- -------</w:t>
            </w:r>
          </w:p>
        </w:tc>
        <w:tc>
          <w:tcPr>
            <w:tcW w:w="21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Benefit for</w:t>
            </w:r>
          </w:p>
        </w:tc>
      </w:tr>
      <w:tr>
        <w:trPr>
          <w:trHeight w:val="180"/>
        </w:trPr>
        <w:tc>
          <w:tcPr>
            <w:tcW w:w="22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6"/>
              </w:rPr>
              <w:t>income taxes.........................</w:t>
            </w: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$(3,857)</w:t>
            </w:r>
          </w:p>
        </w:tc>
      </w:tr>
      <w:tr>
        <w:trPr>
          <w:trHeight w:val="180"/>
        </w:trPr>
        <w:tc>
          <w:tcPr>
            <w:tcW w:w="12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$(1,183)</w:t>
            </w:r>
          </w:p>
        </w:tc>
        <w:tc>
          <w:tcPr>
            <w:tcW w:w="310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w w:val="98"/>
              </w:rPr>
              <w:t>$(465) ======= ======= =====</w:t>
            </w:r>
          </w:p>
        </w:tc>
      </w:tr>
    </w:tbl>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tax rate and the United States federal statutory income tax rate:</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p>
      <w:pPr>
        <w:ind w:left="40"/>
        <w:spacing w:after="0"/>
        <w:rPr>
          <w:sz w:val="20"/>
          <w:szCs w:val="20"/>
          <w:color w:val="auto"/>
        </w:rPr>
      </w:pPr>
      <w:r>
        <w:rPr>
          <w:rFonts w:ascii="Courier New" w:cs="Courier New" w:eastAsia="Courier New" w:hAnsi="Courier New"/>
          <w:sz w:val="16"/>
          <w:szCs w:val="16"/>
          <w:color w:val="auto"/>
        </w:rPr>
        <w:t>-------- DECEMBER 31, 2001 2000 1999 ------ -----</w:t>
      </w:r>
    </w:p>
    <w:p>
      <w:pPr>
        <w:ind w:left="40"/>
        <w:spacing w:after="0" w:line="237" w:lineRule="auto"/>
        <w:rPr>
          <w:sz w:val="20"/>
          <w:szCs w:val="20"/>
          <w:color w:val="auto"/>
        </w:rPr>
      </w:pPr>
      <w:r>
        <w:rPr>
          <w:rFonts w:ascii="Courier New" w:cs="Courier New" w:eastAsia="Courier New" w:hAnsi="Courier New"/>
          <w:sz w:val="16"/>
          <w:szCs w:val="16"/>
          <w:color w:val="auto"/>
        </w:rPr>
        <w:t>-- ---------------- U.S. federal statutory income</w:t>
      </w:r>
    </w:p>
    <w:p>
      <w:pPr>
        <w:ind w:left="140"/>
        <w:spacing w:after="0"/>
        <w:rPr>
          <w:sz w:val="20"/>
          <w:szCs w:val="20"/>
          <w:color w:val="auto"/>
        </w:rPr>
      </w:pPr>
      <w:r>
        <w:rPr>
          <w:rFonts w:ascii="Courier New" w:cs="Courier New" w:eastAsia="Courier New" w:hAnsi="Courier New"/>
          <w:sz w:val="16"/>
          <w:szCs w:val="16"/>
          <w:color w:val="auto"/>
        </w:rPr>
        <w:t>tax rate............ 35% 35% 35% Federal income</w:t>
      </w:r>
    </w:p>
    <w:p>
      <w:pPr>
        <w:ind w:left="280"/>
        <w:spacing w:after="0" w:line="238" w:lineRule="auto"/>
        <w:rPr>
          <w:sz w:val="20"/>
          <w:szCs w:val="20"/>
          <w:color w:val="auto"/>
        </w:rPr>
      </w:pPr>
      <w:r>
        <w:rPr>
          <w:rFonts w:ascii="Courier New" w:cs="Courier New" w:eastAsia="Courier New" w:hAnsi="Courier New"/>
          <w:sz w:val="16"/>
          <w:szCs w:val="16"/>
          <w:color w:val="auto"/>
        </w:rPr>
        <w:t>tax benefit at statutory rate...... $3,077 $</w:t>
      </w:r>
    </w:p>
    <w:p>
      <w:pPr>
        <w:ind w:left="40"/>
        <w:spacing w:after="0"/>
        <w:rPr>
          <w:sz w:val="20"/>
          <w:szCs w:val="20"/>
          <w:color w:val="auto"/>
        </w:rPr>
      </w:pPr>
      <w:r>
        <w:rPr>
          <w:rFonts w:ascii="Courier New" w:cs="Courier New" w:eastAsia="Courier New" w:hAnsi="Courier New"/>
          <w:sz w:val="16"/>
          <w:szCs w:val="16"/>
          <w:color w:val="auto"/>
        </w:rPr>
        <w:t>3,507 $ 642 Operating losses and charges relating</w:t>
      </w:r>
    </w:p>
    <w:p>
      <w:pPr>
        <w:ind w:left="2240"/>
        <w:spacing w:after="0" w:line="238" w:lineRule="auto"/>
        <w:rPr>
          <w:sz w:val="20"/>
          <w:szCs w:val="20"/>
          <w:color w:val="auto"/>
        </w:rPr>
      </w:pPr>
      <w:r>
        <w:rPr>
          <w:rFonts w:ascii="Courier New" w:cs="Courier New" w:eastAsia="Courier New" w:hAnsi="Courier New"/>
          <w:sz w:val="16"/>
          <w:szCs w:val="16"/>
          <w:color w:val="auto"/>
        </w:rPr>
        <w:t>to</w:t>
      </w:r>
    </w:p>
    <w:p>
      <w:pPr>
        <w:ind w:left="80"/>
        <w:spacing w:after="0"/>
        <w:rPr>
          <w:sz w:val="20"/>
          <w:szCs w:val="20"/>
          <w:color w:val="auto"/>
        </w:rPr>
      </w:pPr>
      <w:r>
        <w:rPr>
          <w:rFonts w:ascii="Courier New" w:cs="Courier New" w:eastAsia="Courier New" w:hAnsi="Courier New"/>
          <w:sz w:val="16"/>
          <w:szCs w:val="16"/>
          <w:color w:val="auto"/>
        </w:rPr>
        <w:t>Excite@Home.....................................</w:t>
      </w:r>
    </w:p>
    <w:p>
      <w:pPr>
        <w:spacing w:after="0" w:line="3" w:lineRule="exact"/>
        <w:rPr>
          <w:sz w:val="20"/>
          <w:szCs w:val="20"/>
          <w:color w:val="auto"/>
        </w:rPr>
      </w:pPr>
    </w:p>
    <w:p>
      <w:pPr>
        <w:ind w:left="980" w:right="5959" w:hanging="562"/>
        <w:spacing w:after="0" w:line="254" w:lineRule="auto"/>
        <w:tabs>
          <w:tab w:leader="none" w:pos="98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(2,758) -- Investment dispositions, acquisitions and legal entity</w:t>
      </w:r>
    </w:p>
    <w:p>
      <w:pPr>
        <w:ind w:left="40"/>
        <w:spacing w:after="0"/>
        <w:tabs>
          <w:tab w:leader="dot" w:pos="3960" w:val="left"/>
        </w:tabs>
        <w:rPr>
          <w:sz w:val="20"/>
          <w:szCs w:val="20"/>
          <w:color w:val="auto"/>
        </w:rPr>
      </w:pPr>
      <w:r>
        <w:rPr>
          <w:rFonts w:ascii="Courier New" w:cs="Courier New" w:eastAsia="Courier New" w:hAnsi="Courier New"/>
          <w:sz w:val="16"/>
          <w:szCs w:val="16"/>
          <w:color w:val="auto"/>
        </w:rPr>
        <w:t>restructuring</w:t>
      </w:r>
      <w:r>
        <w:rPr>
          <w:sz w:val="20"/>
          <w:szCs w:val="20"/>
          <w:color w:val="auto"/>
        </w:rPr>
        <w:tab/>
      </w:r>
      <w:r>
        <w:rPr>
          <w:rFonts w:ascii="Courier New" w:cs="Courier New" w:eastAsia="Courier New" w:hAnsi="Courier New"/>
          <w:sz w:val="15"/>
          <w:szCs w:val="15"/>
          <w:color w:val="auto"/>
        </w:rPr>
        <w:t>238 374</w:t>
      </w:r>
    </w:p>
    <w:p>
      <w:pPr>
        <w:spacing w:after="0" w:line="5" w:lineRule="exact"/>
        <w:rPr>
          <w:sz w:val="20"/>
          <w:szCs w:val="20"/>
          <w:color w:val="auto"/>
        </w:rPr>
      </w:pPr>
    </w:p>
    <w:p>
      <w:pPr>
        <w:ind w:left="1360" w:right="5999" w:hanging="895"/>
        <w:spacing w:after="0" w:line="254" w:lineRule="auto"/>
        <w:tabs>
          <w:tab w:leader="none" w:pos="75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Deconsolidation of and put obligation settlement related to</w:t>
      </w:r>
    </w:p>
    <w:p>
      <w:pPr>
        <w:ind w:left="40"/>
        <w:spacing w:after="0" w:line="234" w:lineRule="auto"/>
        <w:rPr>
          <w:sz w:val="20"/>
          <w:szCs w:val="20"/>
          <w:color w:val="auto"/>
        </w:rPr>
      </w:pPr>
      <w:r>
        <w:rPr>
          <w:rFonts w:ascii="Courier New" w:cs="Courier New" w:eastAsia="Courier New" w:hAnsi="Courier New"/>
          <w:sz w:val="16"/>
          <w:szCs w:val="16"/>
          <w:color w:val="auto"/>
        </w:rPr>
        <w:t>Excite@Home.......................... 1,045 -- --</w:t>
      </w:r>
    </w:p>
    <w:p>
      <w:pPr>
        <w:ind w:left="380"/>
        <w:spacing w:after="0"/>
        <w:rPr>
          <w:sz w:val="20"/>
          <w:szCs w:val="20"/>
          <w:color w:val="auto"/>
        </w:rPr>
      </w:pPr>
      <w:r>
        <w:rPr>
          <w:rFonts w:ascii="Courier New" w:cs="Courier New" w:eastAsia="Courier New" w:hAnsi="Courier New"/>
          <w:sz w:val="16"/>
          <w:szCs w:val="16"/>
          <w:color w:val="auto"/>
        </w:rPr>
        <w:t>In-process research and development write-</w:t>
      </w:r>
    </w:p>
    <w:p>
      <w:pPr>
        <w:ind w:left="320"/>
        <w:spacing w:after="0" w:line="238" w:lineRule="auto"/>
        <w:rPr>
          <w:sz w:val="20"/>
          <w:szCs w:val="20"/>
          <w:color w:val="auto"/>
        </w:rPr>
      </w:pPr>
      <w:r>
        <w:rPr>
          <w:rFonts w:ascii="Courier New" w:cs="Courier New" w:eastAsia="Courier New" w:hAnsi="Courier New"/>
          <w:sz w:val="16"/>
          <w:szCs w:val="16"/>
          <w:color w:val="auto"/>
        </w:rPr>
        <w:t>off..... -- -- (208) State and local income</w:t>
      </w:r>
    </w:p>
    <w:p>
      <w:pPr>
        <w:ind w:left="840"/>
        <w:spacing w:after="0"/>
        <w:rPr>
          <w:sz w:val="20"/>
          <w:szCs w:val="20"/>
          <w:color w:val="auto"/>
        </w:rPr>
      </w:pPr>
      <w:r>
        <w:rPr>
          <w:rFonts w:ascii="Courier New" w:cs="Courier New" w:eastAsia="Courier New" w:hAnsi="Courier New"/>
          <w:sz w:val="16"/>
          <w:szCs w:val="16"/>
          <w:color w:val="auto"/>
        </w:rPr>
        <w:t>taxes, net of federal income tax</w:t>
      </w:r>
    </w:p>
    <w:p>
      <w:pPr>
        <w:ind w:left="80"/>
        <w:spacing w:after="0" w:line="238" w:lineRule="auto"/>
        <w:rPr>
          <w:sz w:val="20"/>
          <w:szCs w:val="20"/>
          <w:color w:val="auto"/>
        </w:rPr>
      </w:pPr>
      <w:r>
        <w:rPr>
          <w:rFonts w:ascii="Courier New" w:cs="Courier New" w:eastAsia="Courier New" w:hAnsi="Courier New"/>
          <w:sz w:val="16"/>
          <w:szCs w:val="16"/>
          <w:color w:val="auto"/>
        </w:rPr>
        <w:t>benefit.............................. 333 119 39</w:t>
      </w:r>
    </w:p>
    <w:p>
      <w:pPr>
        <w:ind w:left="1640"/>
        <w:spacing w:after="0"/>
        <w:rPr>
          <w:sz w:val="20"/>
          <w:szCs w:val="20"/>
          <w:color w:val="auto"/>
        </w:rPr>
      </w:pPr>
      <w:r>
        <w:rPr>
          <w:rFonts w:ascii="Courier New" w:cs="Courier New" w:eastAsia="Courier New" w:hAnsi="Courier New"/>
          <w:sz w:val="16"/>
          <w:szCs w:val="16"/>
          <w:color w:val="auto"/>
        </w:rPr>
        <w:t>Amortization of</w:t>
      </w:r>
    </w:p>
    <w:p>
      <w:pPr>
        <w:ind w:left="240"/>
        <w:spacing w:after="0" w:line="237" w:lineRule="auto"/>
        <w:rPr>
          <w:sz w:val="20"/>
          <w:szCs w:val="20"/>
          <w:color w:val="auto"/>
        </w:rPr>
      </w:pPr>
      <w:r>
        <w:rPr>
          <w:rFonts w:ascii="Courier New" w:cs="Courier New" w:eastAsia="Courier New" w:hAnsi="Courier New"/>
          <w:sz w:val="16"/>
          <w:szCs w:val="16"/>
          <w:color w:val="auto"/>
        </w:rPr>
        <w:t>intangibles....................... (177) (81)</w:t>
      </w:r>
    </w:p>
    <w:p>
      <w:pPr>
        <w:ind w:left="1540"/>
        <w:spacing w:after="0"/>
        <w:rPr>
          <w:sz w:val="20"/>
          <w:szCs w:val="20"/>
          <w:color w:val="auto"/>
        </w:rPr>
      </w:pPr>
      <w:r>
        <w:rPr>
          <w:rFonts w:ascii="Courier New" w:cs="Courier New" w:eastAsia="Courier New" w:hAnsi="Courier New"/>
          <w:sz w:val="16"/>
          <w:szCs w:val="16"/>
          <w:color w:val="auto"/>
        </w:rPr>
        <w:t>(12) Foreign rate</w:t>
      </w:r>
    </w:p>
    <w:p>
      <w:pPr>
        <w:ind w:left="140"/>
        <w:spacing w:after="0" w:line="238" w:lineRule="auto"/>
        <w:rPr>
          <w:sz w:val="20"/>
          <w:szCs w:val="20"/>
          <w:color w:val="auto"/>
        </w:rPr>
      </w:pPr>
      <w:r>
        <w:rPr>
          <w:rFonts w:ascii="Courier New" w:cs="Courier New" w:eastAsia="Courier New" w:hAnsi="Courier New"/>
          <w:sz w:val="16"/>
          <w:szCs w:val="16"/>
          <w:color w:val="auto"/>
        </w:rPr>
        <w:t>differential......................... (3) -- --</w:t>
      </w:r>
    </w:p>
    <w:p>
      <w:pPr>
        <w:ind w:left="280"/>
        <w:spacing w:after="0"/>
        <w:rPr>
          <w:sz w:val="20"/>
          <w:szCs w:val="20"/>
          <w:color w:val="auto"/>
        </w:rPr>
      </w:pPr>
      <w:r>
        <w:rPr>
          <w:rFonts w:ascii="Courier New" w:cs="Courier New" w:eastAsia="Courier New" w:hAnsi="Courier New"/>
          <w:sz w:val="16"/>
          <w:szCs w:val="16"/>
          <w:color w:val="auto"/>
        </w:rPr>
        <w:t>Taxes on repatriated and accumulated foreign</w:t>
      </w:r>
    </w:p>
    <w:p>
      <w:pPr>
        <w:ind w:left="80"/>
        <w:spacing w:after="0" w:line="238" w:lineRule="auto"/>
        <w:rPr>
          <w:sz w:val="20"/>
          <w:szCs w:val="20"/>
          <w:color w:val="auto"/>
        </w:rPr>
      </w:pPr>
      <w:r>
        <w:rPr>
          <w:rFonts w:ascii="Courier New" w:cs="Courier New" w:eastAsia="Courier New" w:hAnsi="Courier New"/>
          <w:sz w:val="16"/>
          <w:szCs w:val="16"/>
          <w:color w:val="auto"/>
        </w:rPr>
        <w:t>income, net of tax credits......................</w:t>
      </w:r>
    </w:p>
    <w:p>
      <w:pPr>
        <w:ind w:left="2020"/>
        <w:spacing w:after="0"/>
        <w:rPr>
          <w:sz w:val="20"/>
          <w:szCs w:val="20"/>
          <w:color w:val="auto"/>
        </w:rPr>
      </w:pPr>
      <w:r>
        <w:rPr>
          <w:rFonts w:ascii="Courier New" w:cs="Courier New" w:eastAsia="Courier New" w:hAnsi="Courier New"/>
          <w:sz w:val="16"/>
          <w:szCs w:val="16"/>
          <w:color w:val="auto"/>
        </w:rPr>
        <w:t>3 -- --</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rPr>
          <w:sz w:val="20"/>
          <w:szCs w:val="20"/>
          <w:color w:val="auto"/>
        </w:rPr>
      </w:pPr>
      <w:r>
        <w:rPr>
          <w:rFonts w:ascii="Courier New" w:cs="Courier New" w:eastAsia="Courier New" w:hAnsi="Courier New"/>
          <w:sz w:val="16"/>
          <w:szCs w:val="16"/>
          <w:color w:val="auto"/>
        </w:rPr>
        <w:t>(10) 22 4 ------ ------- ----- Benefit for income</w:t>
      </w:r>
    </w:p>
    <w:p>
      <w:pPr>
        <w:ind w:left="180"/>
        <w:spacing w:after="0" w:line="238" w:lineRule="auto"/>
        <w:rPr>
          <w:sz w:val="20"/>
          <w:szCs w:val="20"/>
          <w:color w:val="auto"/>
        </w:rPr>
      </w:pPr>
      <w:r>
        <w:rPr>
          <w:rFonts w:ascii="Courier New" w:cs="Courier New" w:eastAsia="Courier New" w:hAnsi="Courier New"/>
          <w:sz w:val="16"/>
          <w:szCs w:val="16"/>
          <w:color w:val="auto"/>
        </w:rPr>
        <w:t>taxes.......................... $3,857 $ 1,183</w:t>
      </w:r>
    </w:p>
    <w:p>
      <w:pPr>
        <w:ind w:left="560"/>
        <w:spacing w:after="0"/>
        <w:rPr>
          <w:sz w:val="20"/>
          <w:szCs w:val="20"/>
          <w:color w:val="auto"/>
        </w:rPr>
      </w:pPr>
      <w:r>
        <w:rPr>
          <w:rFonts w:ascii="Courier New" w:cs="Courier New" w:eastAsia="Courier New" w:hAnsi="Courier New"/>
          <w:sz w:val="16"/>
          <w:szCs w:val="16"/>
          <w:color w:val="auto"/>
        </w:rPr>
        <w:t>465 ====== ======= ===== Effective tax</w:t>
      </w:r>
    </w:p>
    <w:p>
      <w:pPr>
        <w:ind w:left="80"/>
        <w:spacing w:after="0" w:line="238" w:lineRule="auto"/>
        <w:rPr>
          <w:sz w:val="20"/>
          <w:szCs w:val="20"/>
          <w:color w:val="auto"/>
        </w:rPr>
      </w:pPr>
      <w:r>
        <w:rPr>
          <w:rFonts w:ascii="Courier New" w:cs="Courier New" w:eastAsia="Courier New" w:hAnsi="Courier New"/>
          <w:sz w:val="16"/>
          <w:szCs w:val="16"/>
          <w:color w:val="auto"/>
        </w:rPr>
        <w:t>rate................................ 43.9% 11.8%</w:t>
      </w:r>
    </w:p>
    <w:p>
      <w:pPr>
        <w:ind w:left="1120"/>
        <w:spacing w:after="0"/>
        <w:rPr>
          <w:sz w:val="20"/>
          <w:szCs w:val="20"/>
          <w:color w:val="auto"/>
        </w:rPr>
      </w:pPr>
      <w:r>
        <w:rPr>
          <w:rFonts w:ascii="Courier New" w:cs="Courier New" w:eastAsia="Courier New" w:hAnsi="Courier New"/>
          <w:sz w:val="16"/>
          <w:szCs w:val="16"/>
          <w:color w:val="auto"/>
        </w:rPr>
        <w:t>25.3% ====== ======= =====</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F-71</w:t>
      </w:r>
    </w:p>
    <w:p>
      <w:pPr>
        <w:sectPr>
          <w:pgSz w:w="11900" w:h="16838" w:orient="portrait"/>
          <w:cols w:equalWidth="0" w:num="1">
            <w:col w:w="10219"/>
          </w:cols>
          <w:pgMar w:left="240" w:top="473" w:right="1440" w:bottom="1440" w:gutter="0" w:footer="0" w:header="0"/>
        </w:sectPr>
      </w:pPr>
    </w:p>
    <w:bookmarkStart w:id="259" w:name="page260"/>
    <w:bookmarkEnd w:id="259"/>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DECEMBER 31, ----------------- 2001 2000 ------- -------</w:t>
      </w:r>
    </w:p>
    <w:p>
      <w:pPr>
        <w:jc w:val="center"/>
        <w:ind w:right="4599"/>
        <w:spacing w:after="0"/>
        <w:rPr>
          <w:sz w:val="20"/>
          <w:szCs w:val="20"/>
          <w:color w:val="auto"/>
        </w:rPr>
      </w:pPr>
      <w:r>
        <w:rPr>
          <w:rFonts w:ascii="Courier New" w:cs="Courier New" w:eastAsia="Courier New" w:hAnsi="Courier New"/>
          <w:sz w:val="16"/>
          <w:szCs w:val="16"/>
          <w:color w:val="auto"/>
        </w:rPr>
        <w:t>LONG-TERM DEFERRED INCOME TAX LIABILITIES: Property, plant</w:t>
      </w:r>
    </w:p>
    <w:p>
      <w:pPr>
        <w:ind w:left="280"/>
        <w:spacing w:after="0" w:line="237" w:lineRule="auto"/>
        <w:rPr>
          <w:sz w:val="20"/>
          <w:szCs w:val="20"/>
          <w:color w:val="auto"/>
        </w:rPr>
      </w:pPr>
      <w:r>
        <w:rPr>
          <w:rFonts w:ascii="Courier New" w:cs="Courier New" w:eastAsia="Courier New" w:hAnsi="Courier New"/>
          <w:sz w:val="16"/>
          <w:szCs w:val="16"/>
          <w:color w:val="auto"/>
        </w:rPr>
        <w:t>and equipment............................... $ 1,335 $</w:t>
      </w:r>
    </w:p>
    <w:p>
      <w:pPr>
        <w:ind w:left="2580"/>
        <w:spacing w:after="0"/>
        <w:rPr>
          <w:sz w:val="20"/>
          <w:szCs w:val="20"/>
          <w:color w:val="auto"/>
        </w:rPr>
      </w:pPr>
      <w:r>
        <w:rPr>
          <w:rFonts w:ascii="Courier New" w:cs="Courier New" w:eastAsia="Courier New" w:hAnsi="Courier New"/>
          <w:sz w:val="16"/>
          <w:szCs w:val="16"/>
          <w:color w:val="auto"/>
        </w:rPr>
        <w:t>1,319</w:t>
      </w:r>
    </w:p>
    <w:p>
      <w:pPr>
        <w:spacing w:after="0" w:line="238" w:lineRule="auto"/>
        <w:rPr>
          <w:sz w:val="20"/>
          <w:szCs w:val="20"/>
          <w:color w:val="auto"/>
        </w:rPr>
      </w:pPr>
      <w:r>
        <w:rPr>
          <w:rFonts w:ascii="Courier New" w:cs="Courier New" w:eastAsia="Courier New" w:hAnsi="Courier New"/>
          <w:sz w:val="16"/>
          <w:szCs w:val="16"/>
          <w:color w:val="auto"/>
        </w:rPr>
        <w:t>Investments.................................................</w:t>
      </w:r>
    </w:p>
    <w:p>
      <w:pPr>
        <w:ind w:left="2300"/>
        <w:spacing w:after="0"/>
        <w:rPr>
          <w:sz w:val="20"/>
          <w:szCs w:val="20"/>
          <w:color w:val="auto"/>
        </w:rPr>
      </w:pPr>
      <w:r>
        <w:rPr>
          <w:rFonts w:ascii="Courier New" w:cs="Courier New" w:eastAsia="Courier New" w:hAnsi="Courier New"/>
          <w:sz w:val="16"/>
          <w:szCs w:val="16"/>
          <w:color w:val="auto"/>
        </w:rPr>
        <w:t>8,130 9,148</w:t>
      </w:r>
    </w:p>
    <w:p>
      <w:pPr>
        <w:spacing w:after="0" w:line="238" w:lineRule="auto"/>
        <w:rPr>
          <w:sz w:val="20"/>
          <w:szCs w:val="20"/>
          <w:color w:val="auto"/>
        </w:rPr>
      </w:pPr>
      <w:r>
        <w:rPr>
          <w:rFonts w:ascii="Courier New" w:cs="Courier New" w:eastAsia="Courier New" w:hAnsi="Courier New"/>
          <w:sz w:val="16"/>
          <w:szCs w:val="16"/>
          <w:color w:val="auto"/>
        </w:rPr>
        <w:t>Franchises..................................................</w:t>
      </w:r>
    </w:p>
    <w:p>
      <w:pPr>
        <w:ind w:left="2200"/>
        <w:spacing w:after="0"/>
        <w:rPr>
          <w:sz w:val="20"/>
          <w:szCs w:val="20"/>
          <w:color w:val="auto"/>
        </w:rPr>
      </w:pPr>
      <w:r>
        <w:rPr>
          <w:rFonts w:ascii="Courier New" w:cs="Courier New" w:eastAsia="Courier New" w:hAnsi="Courier New"/>
          <w:sz w:val="16"/>
          <w:szCs w:val="16"/>
          <w:color w:val="auto"/>
        </w:rPr>
        <w:t>16,939 18,571</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rPr>
          <w:sz w:val="20"/>
          <w:szCs w:val="20"/>
          <w:color w:val="auto"/>
        </w:rPr>
      </w:pPr>
      <w:r>
        <w:rPr>
          <w:rFonts w:ascii="Courier New" w:cs="Courier New" w:eastAsia="Courier New" w:hAnsi="Courier New"/>
          <w:sz w:val="16"/>
          <w:szCs w:val="16"/>
          <w:color w:val="auto"/>
        </w:rPr>
        <w:t>1,519 2,087 ------- ------- Total long-term deferred income</w:t>
      </w:r>
    </w:p>
    <w:p>
      <w:pPr>
        <w:ind w:left="80"/>
        <w:spacing w:after="0" w:line="238" w:lineRule="auto"/>
        <w:rPr>
          <w:sz w:val="20"/>
          <w:szCs w:val="20"/>
          <w:color w:val="auto"/>
        </w:rPr>
      </w:pPr>
      <w:r>
        <w:rPr>
          <w:rFonts w:ascii="Courier New" w:cs="Courier New" w:eastAsia="Courier New" w:hAnsi="Courier New"/>
          <w:sz w:val="16"/>
          <w:szCs w:val="16"/>
          <w:color w:val="auto"/>
        </w:rPr>
        <w:t>tax liabilities............. 27,923 31,125 ------- -------</w:t>
      </w:r>
    </w:p>
    <w:p>
      <w:pPr>
        <w:ind w:left="660"/>
        <w:spacing w:after="0"/>
        <w:rPr>
          <w:sz w:val="20"/>
          <w:szCs w:val="20"/>
          <w:color w:val="auto"/>
        </w:rPr>
      </w:pPr>
      <w:r>
        <w:rPr>
          <w:rFonts w:ascii="Courier New" w:cs="Courier New" w:eastAsia="Courier New" w:hAnsi="Courier New"/>
          <w:sz w:val="16"/>
          <w:szCs w:val="16"/>
          <w:color w:val="auto"/>
        </w:rPr>
        <w:t>LONG-TERM DEFERRED INCOME TAX ASSETS: Business</w:t>
      </w:r>
    </w:p>
    <w:p>
      <w:pPr>
        <w:ind w:left="180"/>
        <w:spacing w:after="0" w:line="238" w:lineRule="auto"/>
        <w:rPr>
          <w:sz w:val="20"/>
          <w:szCs w:val="20"/>
          <w:color w:val="auto"/>
        </w:rPr>
      </w:pPr>
      <w:r>
        <w:rPr>
          <w:rFonts w:ascii="Courier New" w:cs="Courier New" w:eastAsia="Courier New" w:hAnsi="Courier New"/>
          <w:sz w:val="16"/>
          <w:szCs w:val="16"/>
          <w:color w:val="auto"/>
        </w:rPr>
        <w:t>restructuring...................................... 13 3</w:t>
      </w:r>
    </w:p>
    <w:p>
      <w:pPr>
        <w:ind w:left="1640"/>
        <w:spacing w:after="0"/>
        <w:rPr>
          <w:sz w:val="20"/>
          <w:szCs w:val="20"/>
          <w:color w:val="auto"/>
        </w:rPr>
      </w:pPr>
      <w:r>
        <w:rPr>
          <w:rFonts w:ascii="Courier New" w:cs="Courier New" w:eastAsia="Courier New" w:hAnsi="Courier New"/>
          <w:sz w:val="16"/>
          <w:szCs w:val="16"/>
          <w:color w:val="auto"/>
        </w:rPr>
        <w:t>Net operating loss/credit</w:t>
      </w:r>
    </w:p>
    <w:p>
      <w:pPr>
        <w:ind w:left="40"/>
        <w:spacing w:after="0" w:line="237" w:lineRule="auto"/>
        <w:rPr>
          <w:sz w:val="20"/>
          <w:szCs w:val="20"/>
          <w:color w:val="auto"/>
        </w:rPr>
      </w:pPr>
      <w:r>
        <w:rPr>
          <w:rFonts w:ascii="Courier New" w:cs="Courier New" w:eastAsia="Courier New" w:hAnsi="Courier New"/>
          <w:sz w:val="16"/>
          <w:szCs w:val="16"/>
          <w:color w:val="auto"/>
        </w:rPr>
        <w:t>carryforwards..................... 80 509 Employee pensions</w:t>
      </w:r>
    </w:p>
    <w:p>
      <w:pPr>
        <w:ind w:left="40"/>
        <w:spacing w:after="0"/>
        <w:rPr>
          <w:sz w:val="20"/>
          <w:szCs w:val="20"/>
          <w:color w:val="auto"/>
        </w:rPr>
      </w:pPr>
      <w:r>
        <w:rPr>
          <w:rFonts w:ascii="Courier New" w:cs="Courier New" w:eastAsia="Courier New" w:hAnsi="Courier New"/>
          <w:sz w:val="16"/>
          <w:szCs w:val="16"/>
          <w:color w:val="auto"/>
        </w:rPr>
        <w:t>and other benefits, net................... 330 520 Reserves</w:t>
      </w:r>
    </w:p>
    <w:p>
      <w:pPr>
        <w:ind w:left="140"/>
        <w:spacing w:after="0" w:line="238" w:lineRule="auto"/>
        <w:rPr>
          <w:sz w:val="20"/>
          <w:szCs w:val="20"/>
          <w:color w:val="auto"/>
        </w:rPr>
      </w:pPr>
      <w:r>
        <w:rPr>
          <w:rFonts w:ascii="Courier New" w:cs="Courier New" w:eastAsia="Courier New" w:hAnsi="Courier New"/>
          <w:sz w:val="16"/>
          <w:szCs w:val="16"/>
          <w:color w:val="auto"/>
        </w:rPr>
        <w:t>and allowances..................................... 12 65</w:t>
      </w:r>
    </w:p>
    <w:p>
      <w:pPr>
        <w:ind w:left="2380"/>
        <w:spacing w:after="0"/>
        <w:rPr>
          <w:sz w:val="20"/>
          <w:szCs w:val="20"/>
          <w:color w:val="auto"/>
        </w:rPr>
      </w:pPr>
      <w:r>
        <w:rPr>
          <w:rFonts w:ascii="Courier New" w:cs="Courier New" w:eastAsia="Courier New" w:hAnsi="Courier New"/>
          <w:sz w:val="16"/>
          <w:szCs w:val="16"/>
          <w:color w:val="auto"/>
        </w:rPr>
        <w:t>Valuation</w:t>
      </w:r>
    </w:p>
    <w:p>
      <w:pPr>
        <w:ind w:left="240"/>
        <w:spacing w:after="0" w:line="238" w:lineRule="auto"/>
        <w:rPr>
          <w:sz w:val="20"/>
          <w:szCs w:val="20"/>
          <w:color w:val="auto"/>
        </w:rPr>
      </w:pPr>
      <w:r>
        <w:rPr>
          <w:rFonts w:ascii="Courier New" w:cs="Courier New" w:eastAsia="Courier New" w:hAnsi="Courier New"/>
          <w:sz w:val="16"/>
          <w:szCs w:val="16"/>
          <w:color w:val="auto"/>
        </w:rPr>
        <w:t>allowances........................................ (23)</w:t>
      </w:r>
    </w:p>
    <w:p>
      <w:pPr>
        <w:ind w:left="2580"/>
        <w:spacing w:after="0"/>
        <w:rPr>
          <w:sz w:val="20"/>
          <w:szCs w:val="20"/>
          <w:color w:val="auto"/>
        </w:rPr>
      </w:pPr>
      <w:r>
        <w:rPr>
          <w:rFonts w:ascii="Courier New" w:cs="Courier New" w:eastAsia="Courier New" w:hAnsi="Courier New"/>
          <w:sz w:val="16"/>
          <w:szCs w:val="16"/>
          <w:color w:val="auto"/>
        </w:rPr>
        <w:t>(726)</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rPr>
          <w:sz w:val="20"/>
          <w:szCs w:val="20"/>
          <w:color w:val="auto"/>
        </w:rPr>
      </w:pPr>
      <w:r>
        <w:rPr>
          <w:rFonts w:ascii="Courier New" w:cs="Courier New" w:eastAsia="Courier New" w:hAnsi="Courier New"/>
          <w:sz w:val="16"/>
          <w:szCs w:val="16"/>
          <w:color w:val="auto"/>
        </w:rPr>
        <w:t>1,701 2,204 ------- ------- Total long-term deferred income</w:t>
      </w:r>
    </w:p>
    <w:p>
      <w:pPr>
        <w:ind w:left="180"/>
        <w:spacing w:after="0" w:line="238" w:lineRule="auto"/>
        <w:rPr>
          <w:sz w:val="20"/>
          <w:szCs w:val="20"/>
          <w:color w:val="auto"/>
        </w:rPr>
      </w:pPr>
      <w:r>
        <w:rPr>
          <w:rFonts w:ascii="Courier New" w:cs="Courier New" w:eastAsia="Courier New" w:hAnsi="Courier New"/>
          <w:sz w:val="16"/>
          <w:szCs w:val="16"/>
          <w:color w:val="auto"/>
        </w:rPr>
        <w:t>tax assets.................. 2,113 2,575 ------- -------</w:t>
      </w:r>
    </w:p>
    <w:p>
      <w:pPr>
        <w:ind w:left="1260"/>
        <w:spacing w:after="0"/>
        <w:rPr>
          <w:sz w:val="20"/>
          <w:szCs w:val="20"/>
          <w:color w:val="auto"/>
        </w:rPr>
      </w:pPr>
      <w:r>
        <w:rPr>
          <w:rFonts w:ascii="Courier New" w:cs="Courier New" w:eastAsia="Courier New" w:hAnsi="Courier New"/>
          <w:sz w:val="16"/>
          <w:szCs w:val="16"/>
          <w:color w:val="auto"/>
        </w:rPr>
        <w:t>Net long-term deferred income tax</w:t>
      </w:r>
    </w:p>
    <w:p>
      <w:pPr>
        <w:ind w:left="180"/>
        <w:spacing w:after="0" w:line="238" w:lineRule="auto"/>
        <w:rPr>
          <w:sz w:val="20"/>
          <w:szCs w:val="20"/>
          <w:color w:val="auto"/>
        </w:rPr>
      </w:pPr>
      <w:r>
        <w:rPr>
          <w:rFonts w:ascii="Courier New" w:cs="Courier New" w:eastAsia="Courier New" w:hAnsi="Courier New"/>
          <w:sz w:val="16"/>
          <w:szCs w:val="16"/>
          <w:color w:val="auto"/>
        </w:rPr>
        <w:t>liabilities............... 25,810 28,550 ------- -------</w:t>
      </w:r>
    </w:p>
    <w:p>
      <w:pPr>
        <w:ind w:left="940"/>
        <w:spacing w:after="0"/>
        <w:rPr>
          <w:sz w:val="20"/>
          <w:szCs w:val="20"/>
          <w:color w:val="auto"/>
        </w:rPr>
      </w:pPr>
      <w:r>
        <w:rPr>
          <w:rFonts w:ascii="Courier New" w:cs="Courier New" w:eastAsia="Courier New" w:hAnsi="Courier New"/>
          <w:sz w:val="16"/>
          <w:szCs w:val="16"/>
          <w:color w:val="auto"/>
        </w:rPr>
        <w:t>CURRENT DEFERRED INCOME TAX LIABILITIES:</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2520"/>
        <w:spacing w:after="0"/>
        <w:rPr>
          <w:sz w:val="20"/>
          <w:szCs w:val="20"/>
          <w:color w:val="auto"/>
        </w:rPr>
      </w:pPr>
      <w:r>
        <w:rPr>
          <w:rFonts w:ascii="Courier New" w:cs="Courier New" w:eastAsia="Courier New" w:hAnsi="Courier New"/>
          <w:sz w:val="16"/>
          <w:szCs w:val="16"/>
          <w:color w:val="auto"/>
        </w:rPr>
        <w:t>11 670</w:t>
      </w:r>
    </w:p>
    <w:p>
      <w:pPr>
        <w:spacing w:after="0" w:line="238" w:lineRule="auto"/>
        <w:rPr>
          <w:sz w:val="20"/>
          <w:szCs w:val="20"/>
          <w:color w:val="auto"/>
        </w:rPr>
      </w:pPr>
      <w:r>
        <w:rPr>
          <w:rFonts w:ascii="Courier New" w:cs="Courier New" w:eastAsia="Courier New" w:hAnsi="Courier New"/>
          <w:sz w:val="16"/>
          <w:szCs w:val="16"/>
          <w:color w:val="auto"/>
        </w:rPr>
        <w:t>Other.......................................................</w:t>
      </w:r>
    </w:p>
    <w:p>
      <w:pPr>
        <w:ind w:left="320"/>
        <w:spacing w:after="0"/>
        <w:rPr>
          <w:sz w:val="20"/>
          <w:szCs w:val="20"/>
          <w:color w:val="auto"/>
        </w:rPr>
      </w:pPr>
      <w:r>
        <w:rPr>
          <w:rFonts w:ascii="Courier New" w:cs="Courier New" w:eastAsia="Courier New" w:hAnsi="Courier New"/>
          <w:sz w:val="16"/>
          <w:szCs w:val="16"/>
          <w:color w:val="auto"/>
        </w:rPr>
        <w:t>1 6 ------- ------- Total current deferred income tax</w:t>
      </w:r>
    </w:p>
    <w:p>
      <w:pPr>
        <w:ind w:left="140"/>
        <w:spacing w:after="0" w:line="238" w:lineRule="auto"/>
        <w:rPr>
          <w:sz w:val="20"/>
          <w:szCs w:val="20"/>
          <w:color w:val="auto"/>
        </w:rPr>
      </w:pPr>
      <w:r>
        <w:rPr>
          <w:rFonts w:ascii="Courier New" w:cs="Courier New" w:eastAsia="Courier New" w:hAnsi="Courier New"/>
          <w:sz w:val="16"/>
          <w:szCs w:val="16"/>
          <w:color w:val="auto"/>
        </w:rPr>
        <w:t>liabilities............... 12 676 ------- ------- CURRENT</w:t>
      </w:r>
    </w:p>
    <w:p>
      <w:pPr>
        <w:ind w:left="240"/>
        <w:spacing w:after="0"/>
        <w:rPr>
          <w:sz w:val="20"/>
          <w:szCs w:val="20"/>
          <w:color w:val="auto"/>
        </w:rPr>
      </w:pPr>
      <w:r>
        <w:rPr>
          <w:rFonts w:ascii="Courier New" w:cs="Courier New" w:eastAsia="Courier New" w:hAnsi="Courier New"/>
          <w:sz w:val="16"/>
          <w:szCs w:val="16"/>
          <w:color w:val="auto"/>
        </w:rPr>
        <w:t>DEFERRED INCOME TAX ASSETS: Employee pensions and other</w:t>
      </w:r>
    </w:p>
    <w:p>
      <w:pPr>
        <w:ind w:left="460"/>
        <w:spacing w:after="0" w:line="237" w:lineRule="auto"/>
        <w:rPr>
          <w:sz w:val="20"/>
          <w:szCs w:val="20"/>
          <w:color w:val="auto"/>
        </w:rPr>
      </w:pPr>
      <w:r>
        <w:rPr>
          <w:rFonts w:ascii="Courier New" w:cs="Courier New" w:eastAsia="Courier New" w:hAnsi="Courier New"/>
          <w:sz w:val="16"/>
          <w:szCs w:val="16"/>
          <w:color w:val="auto"/>
        </w:rPr>
        <w:t>benefits........................ 4 22 Reserves and</w:t>
      </w:r>
    </w:p>
    <w:p>
      <w:pPr>
        <w:ind w:left="320"/>
        <w:spacing w:after="0"/>
        <w:rPr>
          <w:sz w:val="20"/>
          <w:szCs w:val="20"/>
          <w:color w:val="auto"/>
        </w:rPr>
      </w:pPr>
      <w:r>
        <w:rPr>
          <w:rFonts w:ascii="Courier New" w:cs="Courier New" w:eastAsia="Courier New" w:hAnsi="Courier New"/>
          <w:sz w:val="16"/>
          <w:szCs w:val="16"/>
          <w:color w:val="auto"/>
        </w:rPr>
        <w:t>allowances..................................... 10 10</w:t>
      </w:r>
    </w:p>
    <w:p>
      <w:pPr>
        <w:ind w:left="2380"/>
        <w:spacing w:after="0" w:line="238" w:lineRule="auto"/>
        <w:rPr>
          <w:sz w:val="20"/>
          <w:szCs w:val="20"/>
          <w:color w:val="auto"/>
        </w:rPr>
      </w:pPr>
      <w:r>
        <w:rPr>
          <w:rFonts w:ascii="Courier New" w:cs="Courier New" w:eastAsia="Courier New" w:hAnsi="Courier New"/>
          <w:sz w:val="16"/>
          <w:szCs w:val="16"/>
          <w:color w:val="auto"/>
        </w:rPr>
        <w:t>Valuation</w:t>
      </w:r>
    </w:p>
    <w:p>
      <w:pPr>
        <w:ind w:left="80"/>
        <w:spacing w:after="0"/>
        <w:rPr>
          <w:sz w:val="20"/>
          <w:szCs w:val="20"/>
          <w:color w:val="auto"/>
        </w:rPr>
      </w:pPr>
      <w:r>
        <w:rPr>
          <w:rFonts w:ascii="Courier New" w:cs="Courier New" w:eastAsia="Courier New" w:hAnsi="Courier New"/>
          <w:sz w:val="16"/>
          <w:szCs w:val="16"/>
          <w:color w:val="auto"/>
        </w:rPr>
        <w:t>allowances........................................ -- (39)</w:t>
      </w:r>
    </w:p>
    <w:p>
      <w:pPr>
        <w:spacing w:after="0" w:line="238" w:lineRule="auto"/>
        <w:rPr>
          <w:sz w:val="20"/>
          <w:szCs w:val="20"/>
          <w:color w:val="auto"/>
        </w:rPr>
      </w:pPr>
      <w:r>
        <w:rPr>
          <w:rFonts w:ascii="Courier New" w:cs="Courier New" w:eastAsia="Courier New" w:hAnsi="Courier New"/>
          <w:sz w:val="16"/>
          <w:szCs w:val="16"/>
          <w:color w:val="auto"/>
        </w:rPr>
        <w:t>Other.......................................................</w:t>
      </w:r>
    </w:p>
    <w:p>
      <w:pPr>
        <w:ind w:left="180"/>
        <w:spacing w:after="0"/>
        <w:rPr>
          <w:sz w:val="20"/>
          <w:szCs w:val="20"/>
          <w:color w:val="auto"/>
        </w:rPr>
      </w:pPr>
      <w:r>
        <w:rPr>
          <w:rFonts w:ascii="Courier New" w:cs="Courier New" w:eastAsia="Courier New" w:hAnsi="Courier New"/>
          <w:sz w:val="16"/>
          <w:szCs w:val="16"/>
          <w:color w:val="auto"/>
        </w:rPr>
        <w:t>36 197 ------- ------- Total current deferred income tax</w:t>
      </w:r>
    </w:p>
    <w:p>
      <w:pPr>
        <w:ind w:left="320"/>
        <w:spacing w:after="0" w:line="237" w:lineRule="auto"/>
        <w:rPr>
          <w:sz w:val="20"/>
          <w:szCs w:val="20"/>
          <w:color w:val="auto"/>
        </w:rPr>
      </w:pPr>
      <w:r>
        <w:rPr>
          <w:rFonts w:ascii="Courier New" w:cs="Courier New" w:eastAsia="Courier New" w:hAnsi="Courier New"/>
          <w:sz w:val="16"/>
          <w:szCs w:val="16"/>
          <w:color w:val="auto"/>
        </w:rPr>
        <w:t>assets.................... 50 190 ------- ------- Net</w:t>
      </w:r>
    </w:p>
    <w:p>
      <w:pPr>
        <w:ind w:left="40"/>
        <w:spacing w:after="0"/>
        <w:rPr>
          <w:sz w:val="20"/>
          <w:szCs w:val="20"/>
          <w:color w:val="auto"/>
        </w:rPr>
      </w:pPr>
      <w:r>
        <w:rPr>
          <w:rFonts w:ascii="Courier New" w:cs="Courier New" w:eastAsia="Courier New" w:hAnsi="Courier New"/>
          <w:sz w:val="16"/>
          <w:szCs w:val="16"/>
          <w:color w:val="auto"/>
        </w:rPr>
        <w:t>current deferred income tax (liabilities) assets........ 38</w:t>
      </w:r>
    </w:p>
    <w:p>
      <w:pPr>
        <w:ind w:left="600"/>
        <w:spacing w:after="0" w:line="238" w:lineRule="auto"/>
        <w:rPr>
          <w:sz w:val="20"/>
          <w:szCs w:val="20"/>
          <w:color w:val="auto"/>
        </w:rPr>
      </w:pPr>
      <w:r>
        <w:rPr>
          <w:rFonts w:ascii="Courier New" w:cs="Courier New" w:eastAsia="Courier New" w:hAnsi="Courier New"/>
          <w:sz w:val="16"/>
          <w:szCs w:val="16"/>
          <w:color w:val="auto"/>
        </w:rPr>
        <w:t>(486) ------- ------- Total deferred income tax</w:t>
      </w:r>
    </w:p>
    <w:p>
      <w:pPr>
        <w:ind w:left="80"/>
        <w:spacing w:after="0"/>
        <w:rPr>
          <w:sz w:val="20"/>
          <w:szCs w:val="20"/>
          <w:color w:val="auto"/>
        </w:rPr>
      </w:pPr>
      <w:r>
        <w:rPr>
          <w:rFonts w:ascii="Courier New" w:cs="Courier New" w:eastAsia="Courier New" w:hAnsi="Courier New"/>
          <w:sz w:val="16"/>
          <w:szCs w:val="16"/>
          <w:color w:val="auto"/>
        </w:rPr>
        <w:t>liabilities....................... $25,772 $29,036 =======</w:t>
      </w:r>
    </w:p>
    <w:p>
      <w:pPr>
        <w:ind w:left="2480"/>
        <w:spacing w:after="0" w:line="238" w:lineRule="auto"/>
        <w:rPr>
          <w:sz w:val="20"/>
          <w:szCs w:val="20"/>
          <w:color w:val="auto"/>
        </w:rPr>
      </w:pPr>
      <w:r>
        <w:rPr>
          <w:rFonts w:ascii="Courier New" w:cs="Courier New" w:eastAsia="Courier New" w:hAnsi="Courier New"/>
          <w:sz w:val="16"/>
          <w:szCs w:val="16"/>
          <w:color w:val="auto"/>
        </w:rPr>
        <w:t>=======</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F-72</w:t>
      </w:r>
    </w:p>
    <w:p>
      <w:pPr>
        <w:sectPr>
          <w:pgSz w:w="11900" w:h="16838" w:orient="portrait"/>
          <w:cols w:equalWidth="0" w:num="1">
            <w:col w:w="10219"/>
          </w:cols>
          <w:pgMar w:left="240" w:top="473" w:right="1440" w:bottom="1440" w:gutter="0" w:footer="0" w:header="0"/>
        </w:sectPr>
      </w:pPr>
    </w:p>
    <w:bookmarkStart w:id="260" w:name="page261"/>
    <w:bookmarkEnd w:id="260"/>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7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COMMITMENTS AND CONTINGENCIES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F-73</w:t>
      </w:r>
    </w:p>
    <w:p>
      <w:pPr>
        <w:sectPr>
          <w:pgSz w:w="11900" w:h="16838" w:orient="portrait"/>
          <w:cols w:equalWidth="0" w:num="1">
            <w:col w:w="10219"/>
          </w:cols>
          <w:pgMar w:left="240" w:top="473" w:right="1440" w:bottom="1440" w:gutter="0" w:footer="0" w:header="0"/>
        </w:sectPr>
      </w:pPr>
    </w:p>
    <w:bookmarkStart w:id="261" w:name="page262"/>
    <w:bookmarkEnd w:id="261"/>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18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OPERATING CAPITAL LEASES LEASES ---------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2002........................................................</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3900" w:type="dxa"/>
            <w:vAlign w:val="bottom"/>
            <w:gridSpan w:val="2"/>
          </w:tcPr>
          <w:p>
            <w:pPr>
              <w:jc w:val="right"/>
              <w:ind w:right="2262"/>
              <w:spacing w:after="0"/>
              <w:rPr>
                <w:sz w:val="20"/>
                <w:szCs w:val="20"/>
                <w:color w:val="auto"/>
              </w:rPr>
            </w:pPr>
            <w:r>
              <w:rPr>
                <w:rFonts w:ascii="Courier New" w:cs="Courier New" w:eastAsia="Courier New" w:hAnsi="Courier New"/>
                <w:sz w:val="16"/>
                <w:szCs w:val="16"/>
                <w:color w:val="auto"/>
              </w:rPr>
              <w:t>$135 $ 58</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2003........................................................</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129</w:t>
            </w: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56</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2004........................................................</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117</w:t>
            </w: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52</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2005........................................................</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3900" w:type="dxa"/>
            <w:vAlign w:val="bottom"/>
            <w:gridSpan w:val="2"/>
          </w:tcPr>
          <w:p>
            <w:pPr>
              <w:jc w:val="right"/>
              <w:ind w:right="2462"/>
              <w:spacing w:after="0"/>
              <w:rPr>
                <w:sz w:val="20"/>
                <w:szCs w:val="20"/>
                <w:color w:val="auto"/>
              </w:rPr>
            </w:pPr>
            <w:r>
              <w:rPr>
                <w:rFonts w:ascii="Courier New" w:cs="Courier New" w:eastAsia="Courier New" w:hAnsi="Courier New"/>
                <w:sz w:val="16"/>
                <w:szCs w:val="16"/>
                <w:color w:val="auto"/>
              </w:rPr>
              <w:t>95 51</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2006........................................................</w:t>
            </w:r>
          </w:p>
        </w:tc>
        <w:tc>
          <w:tcPr>
            <w:tcW w:w="2680" w:type="dxa"/>
            <w:vAlign w:val="bottom"/>
          </w:tcPr>
          <w:p>
            <w:pPr>
              <w:spacing w:after="0"/>
              <w:rPr>
                <w:sz w:val="15"/>
                <w:szCs w:val="15"/>
                <w:color w:val="auto"/>
              </w:rPr>
            </w:pPr>
          </w:p>
        </w:tc>
      </w:tr>
      <w:tr>
        <w:trPr>
          <w:trHeight w:val="180"/>
        </w:trPr>
        <w:tc>
          <w:tcPr>
            <w:tcW w:w="1680" w:type="dxa"/>
            <w:vAlign w:val="bottom"/>
          </w:tcPr>
          <w:p>
            <w:pPr>
              <w:spacing w:after="0"/>
              <w:rPr>
                <w:sz w:val="15"/>
                <w:szCs w:val="15"/>
                <w:color w:val="auto"/>
              </w:rPr>
            </w:pPr>
          </w:p>
        </w:tc>
        <w:tc>
          <w:tcPr>
            <w:tcW w:w="3900" w:type="dxa"/>
            <w:vAlign w:val="bottom"/>
            <w:gridSpan w:val="2"/>
          </w:tcPr>
          <w:p>
            <w:pPr>
              <w:jc w:val="center"/>
              <w:ind w:right="1562"/>
              <w:spacing w:after="0"/>
              <w:rPr>
                <w:sz w:val="20"/>
                <w:szCs w:val="20"/>
                <w:color w:val="auto"/>
              </w:rPr>
            </w:pPr>
            <w:r>
              <w:rPr>
                <w:rFonts w:ascii="Courier New" w:cs="Courier New" w:eastAsia="Courier New" w:hAnsi="Courier New"/>
                <w:sz w:val="16"/>
                <w:szCs w:val="16"/>
                <w:color w:val="auto"/>
                <w:w w:val="96"/>
              </w:rPr>
              <w:t>77 36 Later</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years.................................................</w:t>
            </w:r>
          </w:p>
        </w:tc>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270</w:t>
            </w:r>
          </w:p>
        </w:tc>
      </w:tr>
      <w:tr>
        <w:trPr>
          <w:trHeight w:val="18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36 ----</w:t>
            </w:r>
          </w:p>
        </w:tc>
        <w:tc>
          <w:tcPr>
            <w:tcW w:w="3900" w:type="dxa"/>
            <w:vAlign w:val="bottom"/>
            <w:gridSpan w:val="2"/>
          </w:tcPr>
          <w:p>
            <w:pPr>
              <w:jc w:val="right"/>
              <w:ind w:right="1182"/>
              <w:spacing w:after="0"/>
              <w:rPr>
                <w:sz w:val="20"/>
                <w:szCs w:val="20"/>
                <w:color w:val="auto"/>
              </w:rPr>
            </w:pPr>
            <w:r>
              <w:rPr>
                <w:rFonts w:ascii="Courier New" w:cs="Courier New" w:eastAsia="Courier New" w:hAnsi="Courier New"/>
                <w:sz w:val="16"/>
                <w:szCs w:val="16"/>
                <w:color w:val="auto"/>
              </w:rPr>
              <w:t>---- Total minimum lease</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payments................................</w:t>
            </w:r>
          </w:p>
        </w:tc>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$823 289 ==== ====</w:t>
            </w:r>
          </w:p>
        </w:tc>
      </w:tr>
      <w:tr>
        <w:trPr>
          <w:trHeight w:val="180"/>
        </w:trPr>
        <w:tc>
          <w:tcPr>
            <w:tcW w:w="1680" w:type="dxa"/>
            <w:vAlign w:val="bottom"/>
          </w:tcPr>
          <w:p>
            <w:pPr>
              <w:spacing w:after="0"/>
              <w:rPr>
                <w:sz w:val="15"/>
                <w:szCs w:val="15"/>
                <w:color w:val="auto"/>
              </w:rPr>
            </w:pPr>
          </w:p>
        </w:tc>
        <w:tc>
          <w:tcPr>
            <w:tcW w:w="3900" w:type="dxa"/>
            <w:vAlign w:val="bottom"/>
            <w:gridSpan w:val="2"/>
          </w:tcPr>
          <w:p>
            <w:pPr>
              <w:jc w:val="center"/>
              <w:ind w:right="1562"/>
              <w:spacing w:after="0"/>
              <w:rPr>
                <w:sz w:val="20"/>
                <w:szCs w:val="20"/>
                <w:color w:val="auto"/>
              </w:rPr>
            </w:pPr>
            <w:r>
              <w:rPr>
                <w:rFonts w:ascii="Courier New" w:cs="Courier New" w:eastAsia="Courier New" w:hAnsi="Courier New"/>
                <w:sz w:val="16"/>
                <w:szCs w:val="16"/>
                <w:color w:val="auto"/>
                <w:w w:val="98"/>
              </w:rPr>
              <w:t>Less amount representing</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5"/>
              </w:rPr>
              <w:t>interest...........................</w:t>
            </w:r>
          </w:p>
        </w:tc>
        <w:tc>
          <w:tcPr>
            <w:tcW w:w="2680" w:type="dxa"/>
            <w:vAlign w:val="bottom"/>
          </w:tcPr>
          <w:p>
            <w:pPr>
              <w:ind w:left="620"/>
              <w:spacing w:after="0"/>
              <w:rPr>
                <w:sz w:val="20"/>
                <w:szCs w:val="20"/>
                <w:color w:val="auto"/>
              </w:rPr>
            </w:pPr>
            <w:r>
              <w:rPr>
                <w:rFonts w:ascii="Courier New" w:cs="Courier New" w:eastAsia="Courier New" w:hAnsi="Courier New"/>
                <w:sz w:val="16"/>
                <w:szCs w:val="16"/>
                <w:color w:val="auto"/>
              </w:rPr>
              <w:t>42 ---- Present value</w:t>
            </w:r>
          </w:p>
        </w:tc>
      </w:tr>
      <w:tr>
        <w:trPr>
          <w:trHeight w:val="180"/>
        </w:trPr>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net minimum lease payments</w:t>
            </w: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 $247 ====</w:t>
            </w:r>
          </w:p>
        </w:tc>
      </w:tr>
    </w:tbl>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19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 December 31, 2001, an entity attributed to AT&amp;T Broadband Group has an agreement with Motorola, Inc. to purchase a minimum of 1.6 million digital set-top devices at an average price of $234</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F-74</w:t>
      </w:r>
    </w:p>
    <w:p>
      <w:pPr>
        <w:sectPr>
          <w:pgSz w:w="11900" w:h="16838" w:orient="portrait"/>
          <w:cols w:equalWidth="0" w:num="1">
            <w:col w:w="10219"/>
          </w:cols>
          <w:pgMar w:left="240" w:top="473" w:right="1440" w:bottom="1440" w:gutter="0" w:footer="0" w:header="0"/>
        </w:sectPr>
      </w:pPr>
    </w:p>
    <w:bookmarkStart w:id="262" w:name="page263"/>
    <w:bookmarkEnd w:id="262"/>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3099"/>
        <w:spacing w:after="0" w:line="263" w:lineRule="auto"/>
        <w:rPr>
          <w:sz w:val="20"/>
          <w:szCs w:val="20"/>
          <w:color w:val="auto"/>
        </w:rPr>
      </w:pPr>
      <w:r>
        <w:rPr>
          <w:rFonts w:ascii="Courier New" w:cs="Courier New" w:eastAsia="Courier New" w:hAnsi="Courier New"/>
          <w:sz w:val="15"/>
          <w:szCs w:val="15"/>
          <w:color w:val="auto"/>
        </w:rPr>
        <w:t>per unit in 2002. During 2001, AT&amp;T Broadband Group satisfied its obligation under a previous agreement with Motorola, Inc. to purchase set-top devices.</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RELATED PARTY TRANSACTIONS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discussed in Note 1, AT&amp;T provides necessary working capital</w:t>
      </w:r>
    </w:p>
    <w:p>
      <w:pPr>
        <w:spacing w:after="0"/>
        <w:rPr>
          <w:sz w:val="20"/>
          <w:szCs w:val="20"/>
          <w:color w:val="auto"/>
        </w:rPr>
      </w:pPr>
      <w:r>
        <w:rPr>
          <w:rFonts w:ascii="Courier New" w:cs="Courier New" w:eastAsia="Courier New" w:hAnsi="Courier New"/>
          <w:sz w:val="16"/>
          <w:szCs w:val="16"/>
          <w:color w:val="auto"/>
        </w:rPr>
        <w:t>requirements through intercompany debt and capital contributions to AT&amp;T</w:t>
      </w:r>
    </w:p>
    <w:p>
      <w:pPr>
        <w:spacing w:after="0" w:line="237" w:lineRule="auto"/>
        <w:rPr>
          <w:sz w:val="20"/>
          <w:szCs w:val="20"/>
          <w:color w:val="auto"/>
        </w:rPr>
      </w:pPr>
      <w:r>
        <w:rPr>
          <w:rFonts w:ascii="Courier New" w:cs="Courier New" w:eastAsia="Courier New" w:hAnsi="Courier New"/>
          <w:sz w:val="16"/>
          <w:szCs w:val="16"/>
          <w:color w:val="auto"/>
        </w:rPr>
        <w:t>Broadband Group. These amounts are reflected in the accompanying combined</w:t>
      </w:r>
    </w:p>
    <w:p>
      <w:pPr>
        <w:spacing w:after="0"/>
        <w:rPr>
          <w:sz w:val="20"/>
          <w:szCs w:val="20"/>
          <w:color w:val="auto"/>
        </w:rPr>
      </w:pPr>
      <w:r>
        <w:rPr>
          <w:rFonts w:ascii="Courier New" w:cs="Courier New" w:eastAsia="Courier New" w:hAnsi="Courier New"/>
          <w:sz w:val="16"/>
          <w:szCs w:val="16"/>
          <w:color w:val="auto"/>
        </w:rPr>
        <w:t>balance sheets as short-term debt due to AT&amp;T or a component of attributed net</w:t>
      </w:r>
    </w:p>
    <w:p>
      <w:pPr>
        <w:spacing w:after="0" w:line="238" w:lineRule="auto"/>
        <w:rPr>
          <w:sz w:val="20"/>
          <w:szCs w:val="20"/>
          <w:color w:val="auto"/>
        </w:rPr>
      </w:pPr>
      <w:r>
        <w:rPr>
          <w:rFonts w:ascii="Courier New" w:cs="Courier New" w:eastAsia="Courier New" w:hAnsi="Courier New"/>
          <w:sz w:val="16"/>
          <w:szCs w:val="16"/>
          <w:color w:val="auto"/>
        </w:rPr>
        <w:t>assets. Short-term debt due to AT&amp;T and interest was assumed based upon the</w:t>
      </w:r>
    </w:p>
    <w:p>
      <w:pPr>
        <w:spacing w:after="0"/>
        <w:rPr>
          <w:sz w:val="20"/>
          <w:szCs w:val="20"/>
          <w:color w:val="auto"/>
        </w:rPr>
      </w:pPr>
      <w:r>
        <w:rPr>
          <w:rFonts w:ascii="Courier New" w:cs="Courier New" w:eastAsia="Courier New" w:hAnsi="Courier New"/>
          <w:sz w:val="16"/>
          <w:szCs w:val="16"/>
          <w:color w:val="auto"/>
        </w:rPr>
        <w:t>methodology outlined in Note 1. Intercompany debt was $3,959 and $5,830 at</w:t>
      </w:r>
    </w:p>
    <w:p>
      <w:pPr>
        <w:spacing w:after="0" w:line="238" w:lineRule="auto"/>
        <w:rPr>
          <w:sz w:val="20"/>
          <w:szCs w:val="20"/>
          <w:color w:val="auto"/>
        </w:rPr>
      </w:pPr>
      <w:r>
        <w:rPr>
          <w:rFonts w:ascii="Courier New" w:cs="Courier New" w:eastAsia="Courier New" w:hAnsi="Courier New"/>
          <w:sz w:val="16"/>
          <w:szCs w:val="16"/>
          <w:color w:val="auto"/>
        </w:rPr>
        <w:t>December 31, 2001 and 2000, respectively. Intercompany interest expense was</w:t>
      </w:r>
    </w:p>
    <w:p>
      <w:pPr>
        <w:spacing w:after="0"/>
        <w:rPr>
          <w:sz w:val="20"/>
          <w:szCs w:val="20"/>
          <w:color w:val="auto"/>
        </w:rPr>
      </w:pPr>
      <w:r>
        <w:rPr>
          <w:rFonts w:ascii="Courier New" w:cs="Courier New" w:eastAsia="Courier New" w:hAnsi="Courier New"/>
          <w:sz w:val="16"/>
          <w:szCs w:val="16"/>
          <w:color w:val="auto"/>
        </w:rPr>
        <w:t>$320, $323 and $91 for the years ended December 31, 2001 and 2000 and for the</w:t>
      </w:r>
    </w:p>
    <w:p>
      <w:pPr>
        <w:spacing w:after="0" w:line="237" w:lineRule="auto"/>
        <w:rPr>
          <w:sz w:val="20"/>
          <w:szCs w:val="20"/>
          <w:color w:val="auto"/>
        </w:rPr>
      </w:pPr>
      <w:r>
        <w:rPr>
          <w:rFonts w:ascii="Courier New" w:cs="Courier New" w:eastAsia="Courier New" w:hAnsi="Courier New"/>
          <w:sz w:val="16"/>
          <w:szCs w:val="16"/>
          <w:color w:val="auto"/>
        </w:rPr>
        <w:t>ten months ended December 31, 1999, respectively.</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Included in current liabilities at December 31, 2001 and 2000, was $2 and $98, respectively, related to amounts due AT&amp;T Consumer Services Group and AT&amp;T Business Services Group for the above described services.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October 2, 2000, AT&amp;T Broadband Group, through MediaOne, completed the sale of several equity interests in international ventures acquired as a result of the MediaOne Merger to the AT&amp;T</w:t>
      </w:r>
    </w:p>
    <w:p>
      <w:pPr>
        <w:ind w:left="3660"/>
        <w:spacing w:after="0"/>
        <w:rPr>
          <w:sz w:val="20"/>
          <w:szCs w:val="20"/>
          <w:color w:val="auto"/>
        </w:rPr>
      </w:pPr>
      <w:r>
        <w:rPr>
          <w:rFonts w:ascii="Courier New" w:cs="Courier New" w:eastAsia="Courier New" w:hAnsi="Courier New"/>
          <w:sz w:val="16"/>
          <w:szCs w:val="16"/>
          <w:color w:val="auto"/>
        </w:rPr>
        <w:t>F-75</w:t>
      </w:r>
    </w:p>
    <w:p>
      <w:pPr>
        <w:sectPr>
          <w:pgSz w:w="11900" w:h="16838" w:orient="portrait"/>
          <w:cols w:equalWidth="0" w:num="1">
            <w:col w:w="10219"/>
          </w:cols>
          <w:pgMar w:left="240" w:top="473" w:right="1440" w:bottom="1440" w:gutter="0" w:footer="0" w:header="0"/>
        </w:sectPr>
      </w:pPr>
    </w:p>
    <w:bookmarkStart w:id="263" w:name="page264"/>
    <w:bookmarkEnd w:id="263"/>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NEW ACCOUNTING PRONOUNCEMENTS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35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F-76</w:t>
      </w:r>
    </w:p>
    <w:p>
      <w:pPr>
        <w:sectPr>
          <w:pgSz w:w="11900" w:h="16838" w:orient="portrait"/>
          <w:cols w:equalWidth="0" w:num="1">
            <w:col w:w="10219"/>
          </w:cols>
          <w:pgMar w:left="240" w:top="473" w:right="1440" w:bottom="1440" w:gutter="0" w:footer="0" w:header="0"/>
        </w:sectPr>
      </w:pPr>
    </w:p>
    <w:bookmarkStart w:id="264" w:name="page265"/>
    <w:bookmarkEnd w:id="264"/>
    <w:p>
      <w:pPr>
        <w:jc w:val="center"/>
        <w:ind w:right="2719"/>
        <w:spacing w:after="0"/>
        <w:rPr>
          <w:sz w:val="20"/>
          <w:szCs w:val="20"/>
          <w:color w:val="auto"/>
        </w:rPr>
      </w:pPr>
      <w:r>
        <w:rPr>
          <w:rFonts w:ascii="Courier New" w:cs="Courier New" w:eastAsia="Courier New" w:hAnsi="Courier New"/>
          <w:sz w:val="16"/>
          <w:szCs w:val="16"/>
          <w:color w:val="auto"/>
        </w:rPr>
        <w:t>AT&amp;T BROADBAND GROUP</w:t>
      </w:r>
    </w:p>
    <w:p>
      <w:pPr>
        <w:jc w:val="center"/>
        <w:ind w:right="271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5" w:lineRule="exact"/>
        <w:rPr>
          <w:sz w:val="20"/>
          <w:szCs w:val="20"/>
          <w:color w:val="auto"/>
        </w:rPr>
      </w:pPr>
    </w:p>
    <w:p>
      <w:pPr>
        <w:jc w:val="both"/>
        <w:ind w:right="2899"/>
        <w:spacing w:after="0" w:line="259" w:lineRule="auto"/>
        <w:rPr>
          <w:sz w:val="20"/>
          <w:szCs w:val="20"/>
          <w:color w:val="auto"/>
        </w:rPr>
      </w:pPr>
      <w:r>
        <w:rPr>
          <w:rFonts w:ascii="Courier New" w:cs="Courier New" w:eastAsia="Courier New" w:hAnsi="Courier New"/>
          <w:sz w:val="15"/>
          <w:szCs w:val="15"/>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17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F-77</w:t>
      </w:r>
    </w:p>
    <w:p>
      <w:pPr>
        <w:sectPr>
          <w:pgSz w:w="11900" w:h="16838" w:orient="portrait"/>
          <w:cols w:equalWidth="0" w:num="1">
            <w:col w:w="10219"/>
          </w:cols>
          <w:pgMar w:left="240" w:top="473" w:right="1440" w:bottom="1440" w:gutter="0" w:footer="0" w:header="0"/>
        </w:sectPr>
      </w:pPr>
    </w:p>
    <w:bookmarkStart w:id="265" w:name="page266"/>
    <w:bookmarkEnd w:id="265"/>
    <w:p>
      <w:pPr>
        <w:jc w:val="center"/>
        <w:ind w:right="2719"/>
        <w:spacing w:after="0"/>
        <w:rPr>
          <w:sz w:val="20"/>
          <w:szCs w:val="20"/>
          <w:color w:val="auto"/>
        </w:rPr>
      </w:pPr>
      <w:r>
        <w:rPr>
          <w:rFonts w:ascii="Courier New" w:cs="Courier New" w:eastAsia="Courier New" w:hAnsi="Courier New"/>
          <w:sz w:val="16"/>
          <w:szCs w:val="16"/>
          <w:color w:val="auto"/>
        </w:rPr>
        <w:t>AT&amp;T BROADBAND CORP.</w:t>
      </w:r>
    </w:p>
    <w:p>
      <w:pPr>
        <w:jc w:val="center"/>
        <w:ind w:right="2819"/>
        <w:spacing w:after="0"/>
        <w:rPr>
          <w:sz w:val="20"/>
          <w:szCs w:val="20"/>
          <w:color w:val="auto"/>
        </w:rPr>
      </w:pPr>
      <w:r>
        <w:rPr>
          <w:rFonts w:ascii="Courier New" w:cs="Courier New" w:eastAsia="Courier New" w:hAnsi="Courier New"/>
          <w:sz w:val="16"/>
          <w:szCs w:val="16"/>
          <w:color w:val="auto"/>
        </w:rPr>
        <w:t>BALANCE SHEET</w:t>
      </w:r>
    </w:p>
    <w:p>
      <w:pPr>
        <w:jc w:val="center"/>
        <w:ind w:right="281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JUNE 30, DECEMBER 31, 2002 2001 --------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10" w:lineRule="exact"/>
        <w:rPr>
          <w:sz w:val="20"/>
          <w:szCs w:val="20"/>
          <w:color w:val="auto"/>
        </w:rPr>
      </w:pPr>
    </w:p>
    <w:p>
      <w:pPr>
        <w:ind w:left="40" w:right="4639" w:firstLine="284"/>
        <w:spacing w:after="0" w:line="254" w:lineRule="auto"/>
        <w:tabs>
          <w:tab w:leader="none" w:pos="50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Stockholder's Equity Common stock, $0.01 par value, 1,000 shares authorized, issued and</w:t>
      </w:r>
    </w:p>
    <w:tbl>
      <w:tblPr>
        <w:tblLayout w:type="fixed"/>
        <w:tblInd w:w="40" w:type="dxa"/>
        <w:tblCellMar>
          <w:top w:w="0" w:type="dxa"/>
          <w:left w:w="0" w:type="dxa"/>
          <w:bottom w:w="0" w:type="dxa"/>
          <w:right w:w="0" w:type="dxa"/>
        </w:tblCellMar>
      </w:tblPr>
      <w:tr>
        <w:trPr>
          <w:trHeight w:val="177"/>
        </w:trPr>
        <w:tc>
          <w:tcPr>
            <w:tcW w:w="3100" w:type="dxa"/>
            <w:vAlign w:val="bottom"/>
            <w:gridSpan w:val="2"/>
          </w:tcPr>
          <w:p>
            <w:pPr>
              <w:jc w:val="right"/>
              <w:spacing w:after="0" w:line="177" w:lineRule="exact"/>
              <w:rPr>
                <w:sz w:val="20"/>
                <w:szCs w:val="20"/>
                <w:color w:val="auto"/>
              </w:rPr>
            </w:pPr>
            <w:r>
              <w:rPr>
                <w:rFonts w:ascii="Courier New" w:cs="Courier New" w:eastAsia="Courier New" w:hAnsi="Courier New"/>
                <w:sz w:val="16"/>
                <w:szCs w:val="16"/>
                <w:color w:val="auto"/>
                <w:w w:val="72"/>
              </w:rPr>
              <w:t>outstanding.................................</w:t>
            </w:r>
          </w:p>
        </w:tc>
        <w:tc>
          <w:tcPr>
            <w:tcW w:w="178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$ 10</w:t>
            </w:r>
          </w:p>
        </w:tc>
        <w:tc>
          <w:tcPr>
            <w:tcW w:w="660" w:type="dxa"/>
            <w:vAlign w:val="bottom"/>
          </w:tcPr>
          <w:p>
            <w:pPr>
              <w:jc w:val="right"/>
              <w:ind w:right="162"/>
              <w:spacing w:after="0" w:line="177" w:lineRule="exact"/>
              <w:rPr>
                <w:sz w:val="20"/>
                <w:szCs w:val="20"/>
                <w:color w:val="auto"/>
              </w:rPr>
            </w:pPr>
            <w:r>
              <w:rPr>
                <w:rFonts w:ascii="Courier New" w:cs="Courier New" w:eastAsia="Courier New" w:hAnsi="Courier New"/>
                <w:sz w:val="16"/>
                <w:szCs w:val="16"/>
                <w:color w:val="auto"/>
              </w:rPr>
              <w:t>$ 10</w:t>
            </w:r>
          </w:p>
        </w:tc>
      </w:tr>
      <w:tr>
        <w:trPr>
          <w:trHeight w:val="180"/>
        </w:trPr>
        <w:tc>
          <w:tcPr>
            <w:tcW w:w="3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Additional paid-in capital................................</w:t>
            </w:r>
          </w:p>
        </w:tc>
        <w:tc>
          <w:tcPr>
            <w:tcW w:w="17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880" w:type="dxa"/>
            <w:vAlign w:val="bottom"/>
            <w:gridSpan w:val="3"/>
          </w:tcPr>
          <w:p>
            <w:pPr>
              <w:jc w:val="right"/>
              <w:ind w:right="822"/>
              <w:spacing w:after="0"/>
              <w:rPr>
                <w:sz w:val="20"/>
                <w:szCs w:val="20"/>
                <w:color w:val="auto"/>
              </w:rPr>
            </w:pPr>
            <w:r>
              <w:rPr>
                <w:rFonts w:ascii="Courier New" w:cs="Courier New" w:eastAsia="Courier New" w:hAnsi="Courier New"/>
                <w:sz w:val="16"/>
                <w:szCs w:val="16"/>
                <w:color w:val="auto"/>
              </w:rPr>
              <w:t>990 990 Stock subscription</w:t>
            </w:r>
          </w:p>
        </w:tc>
        <w:tc>
          <w:tcPr>
            <w:tcW w:w="660" w:type="dxa"/>
            <w:vAlign w:val="bottom"/>
          </w:tcPr>
          <w:p>
            <w:pPr>
              <w:spacing w:after="0"/>
              <w:rPr>
                <w:sz w:val="15"/>
                <w:szCs w:val="15"/>
                <w:color w:val="auto"/>
              </w:rPr>
            </w:pPr>
          </w:p>
        </w:tc>
      </w:tr>
      <w:tr>
        <w:trPr>
          <w:trHeight w:val="180"/>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receivable.............................</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(1,000) (1,000) ---</w:t>
            </w:r>
          </w:p>
        </w:tc>
      </w:tr>
      <w:tr>
        <w:trPr>
          <w:trHeight w:val="180"/>
        </w:trPr>
        <w:tc>
          <w:tcPr>
            <w:tcW w:w="2680" w:type="dxa"/>
            <w:vAlign w:val="bottom"/>
          </w:tcPr>
          <w:p>
            <w:pPr>
              <w:jc w:val="right"/>
              <w:ind w:right="25"/>
              <w:spacing w:after="0"/>
              <w:rPr>
                <w:sz w:val="20"/>
                <w:szCs w:val="20"/>
                <w:color w:val="auto"/>
              </w:rPr>
            </w:pPr>
            <w:r>
              <w:rPr>
                <w:rFonts w:ascii="Courier New" w:cs="Courier New" w:eastAsia="Courier New" w:hAnsi="Courier New"/>
                <w:sz w:val="16"/>
                <w:szCs w:val="16"/>
                <w:color w:val="auto"/>
              </w:rPr>
              <w:t>---- ------- $ --</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 --</w:t>
            </w:r>
          </w:p>
        </w:tc>
        <w:tc>
          <w:tcPr>
            <w:tcW w:w="17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9"/>
              </w:rPr>
              <w:t>======= =======</w:t>
            </w:r>
          </w:p>
        </w:tc>
        <w:tc>
          <w:tcPr>
            <w:tcW w:w="660" w:type="dxa"/>
            <w:vAlign w:val="bottom"/>
          </w:tcPr>
          <w:p>
            <w:pPr>
              <w:spacing w:after="0"/>
              <w:rPr>
                <w:sz w:val="15"/>
                <w:szCs w:val="15"/>
                <w:color w:val="auto"/>
              </w:rPr>
            </w:pPr>
          </w:p>
        </w:tc>
      </w:tr>
    </w:tbl>
    <w:p>
      <w:pPr>
        <w:spacing w:after="0" w:line="36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note to balance sheet.</w:t>
      </w:r>
    </w:p>
    <w:p>
      <w:pPr>
        <w:ind w:left="3660"/>
        <w:spacing w:after="0"/>
        <w:rPr>
          <w:sz w:val="20"/>
          <w:szCs w:val="20"/>
          <w:color w:val="auto"/>
        </w:rPr>
      </w:pPr>
      <w:r>
        <w:rPr>
          <w:rFonts w:ascii="Courier New" w:cs="Courier New" w:eastAsia="Courier New" w:hAnsi="Courier New"/>
          <w:sz w:val="16"/>
          <w:szCs w:val="16"/>
          <w:color w:val="auto"/>
        </w:rPr>
        <w:t>F-78</w:t>
      </w:r>
    </w:p>
    <w:p>
      <w:pPr>
        <w:sectPr>
          <w:pgSz w:w="11900" w:h="16838" w:orient="portrait"/>
          <w:cols w:equalWidth="0" w:num="1">
            <w:col w:w="10219"/>
          </w:cols>
          <w:pgMar w:left="240" w:top="654" w:right="1440" w:bottom="1440" w:gutter="0" w:footer="0" w:header="0"/>
        </w:sectPr>
      </w:pPr>
    </w:p>
    <w:bookmarkStart w:id="266" w:name="page267"/>
    <w:bookmarkEnd w:id="266"/>
    <w:p>
      <w:pPr>
        <w:ind w:left="2824"/>
        <w:spacing w:after="0"/>
        <w:rPr>
          <w:sz w:val="20"/>
          <w:szCs w:val="20"/>
          <w:color w:val="auto"/>
        </w:rPr>
      </w:pPr>
      <w:r>
        <w:rPr>
          <w:rFonts w:ascii="Courier New" w:cs="Courier New" w:eastAsia="Courier New" w:hAnsi="Courier New"/>
          <w:sz w:val="16"/>
          <w:szCs w:val="16"/>
          <w:color w:val="auto"/>
        </w:rPr>
        <w:t>AT&amp;T BROADBAND CORP.</w:t>
      </w:r>
    </w:p>
    <w:p>
      <w:pPr>
        <w:ind w:left="2724"/>
        <w:spacing w:after="0"/>
        <w:rPr>
          <w:sz w:val="20"/>
          <w:szCs w:val="20"/>
          <w:color w:val="auto"/>
        </w:rPr>
      </w:pPr>
      <w:r>
        <w:rPr>
          <w:rFonts w:ascii="Courier New" w:cs="Courier New" w:eastAsia="Courier New" w:hAnsi="Courier New"/>
          <w:sz w:val="16"/>
          <w:szCs w:val="16"/>
          <w:color w:val="auto"/>
        </w:rPr>
        <w:t>NOTE TO BALANCE SHEET</w:t>
      </w:r>
    </w:p>
    <w:p>
      <w:pPr>
        <w:ind w:left="3104"/>
        <w:spacing w:after="0" w:line="237" w:lineRule="auto"/>
        <w:rPr>
          <w:sz w:val="20"/>
          <w:szCs w:val="20"/>
          <w:color w:val="auto"/>
        </w:rPr>
      </w:pPr>
      <w:r>
        <w:rPr>
          <w:rFonts w:ascii="Courier New" w:cs="Courier New" w:eastAsia="Courier New" w:hAnsi="Courier New"/>
          <w:sz w:val="16"/>
          <w:szCs w:val="16"/>
          <w:color w:val="auto"/>
        </w:rPr>
        <w:t>JUNE 30, 2002</w:t>
      </w:r>
    </w:p>
    <w:p>
      <w:pPr>
        <w:spacing w:after="0" w:line="18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384" w:hanging="384"/>
        <w:spacing w:after="0"/>
        <w:tabs>
          <w:tab w:leader="none" w:pos="384"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On December 14, 2001, AT&amp;T Broadband Corp. (the "Company") was incorporated under the laws of the State of Delaware and was authorized to issue 1,000 shares of $0.01 par value common stock. On December 19, 2001, the Company issued 1,000 shares of its $0.01 par value common stock to AT&amp;T Corp. ("AT&amp;T") for $1 per share. The Company was organized to conduct the business currently conducted by AT&amp;T's broadband business ("AT&amp;T Broadband"), subsequent to the combination of Comcast Corporation ("Comcast") and AT&amp;T Broadband.</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December 19, 2001, AT&amp;T and Comcast entered into an Agreement and Plan of Merger that will result in the combination of AT&amp;T Broadband and Comcast (the "Merger"). AT&amp;T intends to assign and transfer the assets, liabilities and business of AT&amp;T Broadband to the Company. AT&amp;T will spin-off the Company to its stockholders immediately prior to the Merger. On July 10, 2002, shareholders of AT&amp;T and Comcast approved the Merger. The Merger still remains subject to certain governmental reviews and certain other conditions and is expected to close by the end of 2002. Upon the completion of the Merger, the Company and Comcast will be wholly owned subsidiaries of AT&amp;T Comcast Corporation ("AT&amp;T Comcast").</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May 3, 2002, the Company and AT&amp;T Comcast, as co-borrowers, entered into definitive credit agreements with a syndicate of lenders for an aggregate of approximately $12.8 billion in order to obtain the financing necessary to complete the Merger and for AT&amp;T Comcast's needs after the merger. Under the terms of the new credit facilities, the obligations of the lenders to provide the financing upon the completion of the Merger are subject to a number of conditions, including the condition that AT&amp;T Comcast holds investment-grade credit ratings from both Standard &amp; Poor's Ratings Group and Moody's Investors Service rating agencies at the time of closing. Accordingly, there can be no assurance that the Company and AT&amp;T Comcast will be able to obtain the financing necessary to complete the Merger.</w:t>
      </w:r>
    </w:p>
    <w:p>
      <w:pPr>
        <w:spacing w:after="0" w:line="187"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From the date of inception on December 14, 2001 through June 30, 2002, the Company had no operations.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F-79</w:t>
      </w:r>
    </w:p>
    <w:p>
      <w:pPr>
        <w:sectPr>
          <w:pgSz w:w="11900" w:h="16838" w:orient="portrait"/>
          <w:cols w:equalWidth="0" w:num="1">
            <w:col w:w="10223"/>
          </w:cols>
          <w:pgMar w:left="236" w:top="654" w:right="1440" w:bottom="1440" w:gutter="0" w:footer="0" w:header="0"/>
        </w:sectPr>
      </w:pPr>
    </w:p>
    <w:bookmarkStart w:id="267" w:name="page268"/>
    <w:bookmarkEnd w:id="267"/>
    <w:p>
      <w:pPr>
        <w:ind w:left="216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 of AT&amp;T Broadband Corp.:</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our opinion, the accompanying balance sheet presents fairly, in all material respects, the financial position of AT&amp;T Broadband Corp. at December 31, 2001 in conformity with accounting principles generally accepted in the United States of America. This financial statement is the responsibility of the Company's management; our responsibility is to express an opinion on this financial statement based on our audit. We conducted our audit of this statement in accordance with auditing standards generally accepted in the United States of America, which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July 29, 2002</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F-80</w:t>
      </w:r>
    </w:p>
    <w:p>
      <w:pPr>
        <w:sectPr>
          <w:pgSz w:w="11900" w:h="16838" w:orient="portrait"/>
          <w:cols w:equalWidth="0" w:num="1">
            <w:col w:w="10219"/>
          </w:cols>
          <w:pgMar w:left="240" w:top="654" w:right="1440" w:bottom="1440" w:gutter="0" w:footer="0" w:header="0"/>
        </w:sectPr>
      </w:pPr>
    </w:p>
    <w:bookmarkStart w:id="268" w:name="page269"/>
    <w:bookmarkEnd w:id="268"/>
    <w:p>
      <w:pPr>
        <w:jc w:val="center"/>
        <w:ind w:right="2719"/>
        <w:spacing w:after="0"/>
        <w:rPr>
          <w:sz w:val="20"/>
          <w:szCs w:val="20"/>
          <w:color w:val="auto"/>
        </w:rPr>
      </w:pPr>
      <w:r>
        <w:rPr>
          <w:rFonts w:ascii="Courier New" w:cs="Courier New" w:eastAsia="Courier New" w:hAnsi="Courier New"/>
          <w:sz w:val="15"/>
          <w:szCs w:val="15"/>
          <w:color w:val="auto"/>
        </w:rPr>
        <w:t>AT&amp;T BROADBAND CORP.</w:t>
      </w:r>
    </w:p>
    <w:p>
      <w:pPr>
        <w:spacing w:after="0" w:line="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BALANCE SHEET</w:t>
      </w:r>
    </w:p>
    <w:p>
      <w:pPr>
        <w:jc w:val="center"/>
        <w:ind w:right="2799"/>
        <w:spacing w:after="0"/>
        <w:rPr>
          <w:sz w:val="20"/>
          <w:szCs w:val="20"/>
          <w:color w:val="auto"/>
        </w:rPr>
      </w:pP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5620" w:space="280"/>
            <w:col w:w="431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Stockholder's Equity</w:t>
      </w:r>
    </w:p>
    <w:p>
      <w:pPr>
        <w:ind w:left="180"/>
        <w:spacing w:after="0"/>
        <w:rPr>
          <w:sz w:val="20"/>
          <w:szCs w:val="20"/>
          <w:color w:val="auto"/>
        </w:rPr>
      </w:pPr>
      <w:r>
        <w:rPr>
          <w:rFonts w:ascii="Courier New" w:cs="Courier New" w:eastAsia="Courier New" w:hAnsi="Courier New"/>
          <w:sz w:val="16"/>
          <w:szCs w:val="16"/>
          <w:color w:val="auto"/>
        </w:rPr>
        <w:t>Common stock, $0.01 par value, 1,000 shares authorized,</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issued and outstanding.................................</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Additional paid-in capital................................</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subscription receivable.............................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10</w:t>
      </w:r>
    </w:p>
    <w:p>
      <w:pPr>
        <w:ind w:left="380"/>
        <w:spacing w:after="0"/>
        <w:rPr>
          <w:sz w:val="20"/>
          <w:szCs w:val="20"/>
          <w:color w:val="auto"/>
        </w:rPr>
      </w:pPr>
      <w:r>
        <w:rPr>
          <w:rFonts w:ascii="Courier New" w:cs="Courier New" w:eastAsia="Courier New" w:hAnsi="Courier New"/>
          <w:sz w:val="16"/>
          <w:szCs w:val="16"/>
          <w:color w:val="auto"/>
        </w:rPr>
        <w:t>990</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tabs>
          <w:tab w:leader="none" w:pos="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20" w:space="280"/>
            <w:col w:w="4319"/>
          </w:cols>
          <w:pgMar w:left="240" w:top="659" w:right="1440" w:bottom="1440" w:gutter="0" w:footer="0" w:header="0"/>
          <w:type w:val="continuous"/>
        </w:sectPr>
      </w:pP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See note to balance sheet.</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F-81</w:t>
      </w:r>
    </w:p>
    <w:p>
      <w:pPr>
        <w:sectPr>
          <w:pgSz w:w="11900" w:h="16838" w:orient="portrait"/>
          <w:cols w:equalWidth="0" w:num="1">
            <w:col w:w="10219"/>
          </w:cols>
          <w:pgMar w:left="240" w:top="659" w:right="1440" w:bottom="1440" w:gutter="0" w:footer="0" w:header="0"/>
          <w:type w:val="continuous"/>
        </w:sectPr>
      </w:pPr>
    </w:p>
    <w:bookmarkStart w:id="269" w:name="page270"/>
    <w:bookmarkEnd w:id="269"/>
    <w:p>
      <w:pPr>
        <w:ind w:left="2824"/>
        <w:spacing w:after="0"/>
        <w:rPr>
          <w:sz w:val="20"/>
          <w:szCs w:val="20"/>
          <w:color w:val="auto"/>
        </w:rPr>
      </w:pPr>
      <w:r>
        <w:rPr>
          <w:rFonts w:ascii="Courier New" w:cs="Courier New" w:eastAsia="Courier New" w:hAnsi="Courier New"/>
          <w:sz w:val="16"/>
          <w:szCs w:val="16"/>
          <w:color w:val="auto"/>
        </w:rPr>
        <w:t>AT&amp;T BROADBAND CORP.</w:t>
      </w:r>
    </w:p>
    <w:p>
      <w:pPr>
        <w:ind w:left="2724"/>
        <w:spacing w:after="0"/>
        <w:rPr>
          <w:sz w:val="20"/>
          <w:szCs w:val="20"/>
          <w:color w:val="auto"/>
        </w:rPr>
      </w:pPr>
      <w:r>
        <w:rPr>
          <w:rFonts w:ascii="Courier New" w:cs="Courier New" w:eastAsia="Courier New" w:hAnsi="Courier New"/>
          <w:sz w:val="16"/>
          <w:szCs w:val="16"/>
          <w:color w:val="auto"/>
        </w:rPr>
        <w:t>NOTE TO BALANCE SHEET</w:t>
      </w:r>
    </w:p>
    <w:p>
      <w:pPr>
        <w:ind w:left="2904"/>
        <w:spacing w:after="0" w:line="237" w:lineRule="auto"/>
        <w:rPr>
          <w:sz w:val="20"/>
          <w:szCs w:val="20"/>
          <w:color w:val="auto"/>
        </w:rPr>
      </w:pPr>
      <w:r>
        <w:rPr>
          <w:rFonts w:ascii="Courier New" w:cs="Courier New" w:eastAsia="Courier New" w:hAnsi="Courier New"/>
          <w:sz w:val="16"/>
          <w:szCs w:val="16"/>
          <w:color w:val="auto"/>
        </w:rPr>
        <w:t>DECEMBER 31, 2001</w:t>
      </w:r>
    </w:p>
    <w:p>
      <w:pPr>
        <w:spacing w:after="0" w:line="180" w:lineRule="exact"/>
        <w:rPr>
          <w:sz w:val="20"/>
          <w:szCs w:val="20"/>
          <w:color w:val="auto"/>
        </w:rPr>
      </w:pPr>
    </w:p>
    <w:p>
      <w:pPr>
        <w:ind w:left="384" w:hanging="384"/>
        <w:spacing w:after="0"/>
        <w:tabs>
          <w:tab w:leader="none" w:pos="384"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On December 14, 2001, AT&amp;T Broadband Corp. (the "Company") was incorporated under the laws of the State of Delaware and was authorized to issue 1,000 shares of $0.01 par value common stock. On December 19, 2001, the Company issued 1,000 shares of its $0.01 par value common stock to AT&amp;T Corp. ("AT&amp;T") for $1 per share. The Company was organized to conduct the business currently conducted by AT&amp;T's broadband business ("AT&amp;T Broadband"), subsequent to the combination of Comcast Corporation ("Comcast") and AT&amp;T Broadband.</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December 19, 2001, AT&amp;T and Comcast entered into an Agreement and Plan of Merger that will result in the combination of AT&amp;T Broadband and Comcast (the "Merger"). AT&amp;T intends to assign and transfer the assets, liabilities and business of AT&amp;T Broadband to the Company. AT&amp;T will spin-off the Company to its stockholders immediately prior to the Merger. On July 10, 2002, shareholders of AT&amp;T and Comcast approved the Merger. The Merger still remains subject to certain governmental reviews and certain other conditions and is expected to close by the end of 2002. Upon the completion of the Merger, the Company and Comcast will be wholly owned subsidiaries of AT&amp;T Comcast Corporation ("AT&amp;T Comcast").</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May 3, 2002, the Company and AT&amp;T Comcast, as co-borrowers, entered into definitive credit agreements with a syndicate of lenders for an aggregate of approximately $12.8 billion in order to obtain the financing necessary to complete the Merger and for AT&amp;T Comcast's needs after the Merger. Under the terms of the new credit facilities, the obligations of the lenders to provide the financing upon the completion of the Merger are subject to a number of conditions, including the condition that AT&amp;T Comcast holds investment-grade credit ratings from both Standard &amp; Poor's Ratings Group and Moody's Investors Service rating agencies at the time of closing. Accordingly, there can be no assurance that the Company and AT&amp;T Comcast will be able to obtain the financing necessary to complete the Merger.</w:t>
      </w:r>
    </w:p>
    <w:p>
      <w:pPr>
        <w:spacing w:after="0" w:line="187"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From the date of inception on December 14, 2001 through December 31, 2001, the Company had no operations.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F-82</w:t>
      </w:r>
    </w:p>
    <w:p>
      <w:pPr>
        <w:sectPr>
          <w:pgSz w:w="11900" w:h="16838" w:orient="portrait"/>
          <w:cols w:equalWidth="0" w:num="1">
            <w:col w:w="10223"/>
          </w:cols>
          <w:pgMar w:left="236" w:top="654" w:right="1440" w:bottom="1440" w:gutter="0" w:footer="0" w:header="0"/>
        </w:sectPr>
      </w:pPr>
    </w:p>
    <w:bookmarkStart w:id="270" w:name="page271"/>
    <w:bookmarkEnd w:id="270"/>
    <w:p>
      <w:pPr>
        <w:ind w:left="2620"/>
        <w:spacing w:after="0"/>
        <w:rPr>
          <w:sz w:val="20"/>
          <w:szCs w:val="20"/>
          <w:color w:val="auto"/>
        </w:rPr>
      </w:pPr>
      <w:r>
        <w:rPr>
          <w:rFonts w:ascii="Courier New" w:cs="Courier New" w:eastAsia="Courier New" w:hAnsi="Courier New"/>
          <w:sz w:val="15"/>
          <w:szCs w:val="15"/>
          <w:color w:val="auto"/>
        </w:rPr>
        <w:t>AT&amp;T COMCAST CORPORATION</w:t>
      </w:r>
    </w:p>
    <w:p>
      <w:pPr>
        <w:spacing w:after="0" w:line="1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BALANCE SHEET (UNAUDITED)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JUNE 30, 2002</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w:t>
      </w:r>
    </w:p>
    <w:p>
      <w:pPr>
        <w:sectPr>
          <w:pgSz w:w="11900" w:h="16838" w:orient="portrait"/>
          <w:cols w:equalWidth="0" w:num="1">
            <w:col w:w="10219"/>
          </w:cols>
          <w:pgMar w:left="240" w:top="659"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1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$.01 par value, authorized 100 shares; 2</w:t>
      </w:r>
    </w:p>
    <w:p>
      <w:pPr>
        <w:sectPr>
          <w:pgSz w:w="11900" w:h="16838" w:orient="portrait"/>
          <w:cols w:equalWidth="0" w:num="1">
            <w:col w:w="10219"/>
          </w:cols>
          <w:pgMar w:left="240" w:top="659" w:right="1440" w:bottom="1440" w:gutter="0" w:footer="0" w:header="0"/>
          <w:type w:val="continuous"/>
        </w:sectPr>
      </w:pPr>
    </w:p>
    <w:p>
      <w:pPr>
        <w:spacing w:after="0" w:line="1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shares issued and outstanding..........................</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F-83</w:t>
      </w:r>
    </w:p>
    <w:p>
      <w:pPr>
        <w:sectPr>
          <w:pgSz w:w="11900" w:h="16838" w:orient="portrait"/>
          <w:cols w:equalWidth="0" w:num="1">
            <w:col w:w="10219"/>
          </w:cols>
          <w:pgMar w:left="240" w:top="659" w:right="1440" w:bottom="1440" w:gutter="0" w:footer="0" w:header="0"/>
          <w:type w:val="continuous"/>
        </w:sectPr>
      </w:pPr>
    </w:p>
    <w:bookmarkStart w:id="271" w:name="page272"/>
    <w:bookmarkEnd w:id="271"/>
    <w:p>
      <w:pPr>
        <w:ind w:left="2620"/>
        <w:spacing w:after="0"/>
        <w:rPr>
          <w:sz w:val="20"/>
          <w:szCs w:val="20"/>
          <w:color w:val="auto"/>
        </w:rPr>
      </w:pPr>
      <w:r>
        <w:rPr>
          <w:rFonts w:ascii="Courier New" w:cs="Courier New" w:eastAsia="Courier New" w:hAnsi="Courier New"/>
          <w:sz w:val="16"/>
          <w:szCs w:val="16"/>
          <w:color w:val="auto"/>
        </w:rPr>
        <w:t>AT&amp;T COMCAST CORPORATION</w:t>
      </w:r>
    </w:p>
    <w:p>
      <w:pPr>
        <w:ind w:left="2160"/>
        <w:spacing w:after="0"/>
        <w:rPr>
          <w:sz w:val="20"/>
          <w:szCs w:val="20"/>
          <w:color w:val="auto"/>
        </w:rPr>
      </w:pPr>
      <w:r>
        <w:rPr>
          <w:rFonts w:ascii="Courier New" w:cs="Courier New" w:eastAsia="Courier New" w:hAnsi="Courier New"/>
          <w:sz w:val="16"/>
          <w:szCs w:val="16"/>
          <w:color w:val="auto"/>
        </w:rPr>
        <w:t>NOTE TO BALANCE SHEET (UNAUDITED)</w:t>
      </w:r>
    </w:p>
    <w:p>
      <w:pPr>
        <w:ind w:left="3100"/>
        <w:spacing w:after="0" w:line="237" w:lineRule="auto"/>
        <w:rPr>
          <w:sz w:val="20"/>
          <w:szCs w:val="20"/>
          <w:color w:val="auto"/>
        </w:rPr>
      </w:pPr>
      <w:r>
        <w:rPr>
          <w:rFonts w:ascii="Courier New" w:cs="Courier New" w:eastAsia="Courier New" w:hAnsi="Courier New"/>
          <w:sz w:val="16"/>
          <w:szCs w:val="16"/>
          <w:color w:val="auto"/>
        </w:rPr>
        <w:t>JUNE 30, 2002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ORGANIZATION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186"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On July 10, 2002, shareholders of both Comcast and AT&amp;T approved the transaction. The transaction is subject to customary closing conditions and regulatory approvals and is expected to close by the end of 2002.</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Upon completion of the combination of Comcast and AT&amp;T Broadband (the "Merger"), Comcast and an entity which will then own AT&amp;T Broadband will be wholly-owned subsidiaries of the Company.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the Company and AT&amp;T Broadband Corp. entered into definitive credit agreements with a syndicate of lenders for an aggregate of $12.825 billion of new indebtedness in order to obtain the financing necessary to complete the Merger and for the combined company's financing needs after the transaction. This financing requires subsidiary guarantees, including guarantees by certain of Comcast's wholly owned subsidiaries and by subsidiaries of AT&amp;T Broadband. Under the terms of the new credit facilities, the obligations of the lenders to provide the financing upon the completion of the Merger are subject to a number of conditions, including the condition that the combined company holds investment-grade credit ratings from both the Standard &amp; Poor's and Moody's rating agencies at the time of closing. Accordingly, there can be no assurance that the Company and AT&amp;T Broadband Corp. will be able to obtain the financing necessary to complete the Merger.</w:t>
      </w:r>
    </w:p>
    <w:p>
      <w:pPr>
        <w:spacing w:after="0" w:line="189"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From the date of inception on December 7, 2001 through June 30, 2002, the Company had no operations.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F-84</w:t>
      </w:r>
    </w:p>
    <w:p>
      <w:pPr>
        <w:sectPr>
          <w:pgSz w:w="11900" w:h="16838" w:orient="portrait"/>
          <w:cols w:equalWidth="0" w:num="1">
            <w:col w:w="10219"/>
          </w:cols>
          <w:pgMar w:left="240" w:top="654" w:right="1440" w:bottom="1440" w:gutter="0" w:footer="0" w:header="0"/>
        </w:sectPr>
      </w:pPr>
    </w:p>
    <w:bookmarkStart w:id="272" w:name="page273"/>
    <w:bookmarkEnd w:id="272"/>
    <w:p>
      <w:pPr>
        <w:ind w:left="2440"/>
        <w:spacing w:after="0"/>
        <w:rPr>
          <w:sz w:val="20"/>
          <w:szCs w:val="20"/>
          <w:color w:val="auto"/>
        </w:rPr>
      </w:pPr>
      <w:r>
        <w:rPr>
          <w:rFonts w:ascii="Courier New" w:cs="Courier New" w:eastAsia="Courier New" w:hAnsi="Courier New"/>
          <w:sz w:val="16"/>
          <w:szCs w:val="16"/>
          <w:color w:val="auto"/>
        </w:rPr>
        <w:t>INDEPENDENT AUDITORS' REPORT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line="237" w:lineRule="auto"/>
        <w:rPr>
          <w:sz w:val="20"/>
          <w:szCs w:val="20"/>
          <w:color w:val="auto"/>
        </w:rPr>
      </w:pPr>
      <w:r>
        <w:rPr>
          <w:rFonts w:ascii="Courier New" w:cs="Courier New" w:eastAsia="Courier New" w:hAnsi="Courier New"/>
          <w:sz w:val="16"/>
          <w:szCs w:val="16"/>
          <w:color w:val="auto"/>
        </w:rPr>
        <w:t>Philadelphia, Pennsylvania</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have audited the accompanying balance sheet of AT&amp;T Comcast Corporation as of December 31, 2001. This financial statement is the responsibility of the Company's management. Our responsibility is to express an opinion on this financial statement based on our audit.</w:t>
      </w:r>
    </w:p>
    <w:p>
      <w:pPr>
        <w:spacing w:after="0" w:line="18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 our opinion, such balance sheet presents fairly, in all material respects, the financial position of AT&amp;T Comcast Corporation as of December 31, 2001,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April 29, 2002</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F-85</w:t>
      </w:r>
    </w:p>
    <w:p>
      <w:pPr>
        <w:sectPr>
          <w:pgSz w:w="11900" w:h="16838" w:orient="portrait"/>
          <w:cols w:equalWidth="0" w:num="1">
            <w:col w:w="10219"/>
          </w:cols>
          <w:pgMar w:left="240" w:top="654" w:right="1440" w:bottom="1440" w:gutter="0" w:footer="0" w:header="0"/>
        </w:sectPr>
      </w:pPr>
    </w:p>
    <w:bookmarkStart w:id="273" w:name="page274"/>
    <w:bookmarkEnd w:id="273"/>
    <w:p>
      <w:pPr>
        <w:jc w:val="center"/>
        <w:ind w:right="2719"/>
        <w:spacing w:after="0"/>
        <w:rPr>
          <w:sz w:val="20"/>
          <w:szCs w:val="20"/>
          <w:color w:val="auto"/>
        </w:rPr>
      </w:pPr>
      <w:r>
        <w:rPr>
          <w:rFonts w:ascii="Courier New" w:cs="Courier New" w:eastAsia="Courier New" w:hAnsi="Courier New"/>
          <w:sz w:val="15"/>
          <w:szCs w:val="15"/>
          <w:color w:val="auto"/>
        </w:rPr>
        <w:t>AT&amp;T COMCAST CORPORATION</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BALANCE SHEET</w:t>
      </w:r>
    </w:p>
    <w:p>
      <w:pPr>
        <w:jc w:val="center"/>
        <w:ind w:right="2819"/>
        <w:spacing w:after="0"/>
        <w:rPr>
          <w:sz w:val="20"/>
          <w:szCs w:val="20"/>
          <w:color w:val="auto"/>
        </w:rPr>
      </w:pP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w:t>
      </w:r>
    </w:p>
    <w:p>
      <w:pPr>
        <w:sectPr>
          <w:pgSz w:w="11900" w:h="16838" w:orient="portrait"/>
          <w:cols w:equalWidth="0" w:num="1">
            <w:col w:w="10219"/>
          </w:cols>
          <w:pgMar w:left="240" w:top="659"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1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$.01 par value, authorized 100 shares; 2</w:t>
      </w:r>
    </w:p>
    <w:p>
      <w:pPr>
        <w:sectPr>
          <w:pgSz w:w="11900" w:h="16838" w:orient="portrait"/>
          <w:cols w:equalWidth="0" w:num="1">
            <w:col w:w="10219"/>
          </w:cols>
          <w:pgMar w:left="240" w:top="659" w:right="1440" w:bottom="1440" w:gutter="0" w:footer="0" w:header="0"/>
          <w:type w:val="continuous"/>
        </w:sectPr>
      </w:pPr>
    </w:p>
    <w:p>
      <w:pPr>
        <w:spacing w:after="0" w:line="1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shares issued and outstanding..........................</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620" w:space="200"/>
            <w:col w:w="4399"/>
          </w:cols>
          <w:pgMar w:left="240" w:top="659"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F-86</w:t>
      </w:r>
    </w:p>
    <w:p>
      <w:pPr>
        <w:sectPr>
          <w:pgSz w:w="11900" w:h="16838" w:orient="portrait"/>
          <w:cols w:equalWidth="0" w:num="1">
            <w:col w:w="10219"/>
          </w:cols>
          <w:pgMar w:left="240" w:top="659" w:right="1440" w:bottom="1440" w:gutter="0" w:footer="0" w:header="0"/>
          <w:type w:val="continuous"/>
        </w:sectPr>
      </w:pPr>
    </w:p>
    <w:bookmarkStart w:id="274" w:name="page275"/>
    <w:bookmarkEnd w:id="274"/>
    <w:p>
      <w:pPr>
        <w:jc w:val="center"/>
        <w:ind w:right="2719"/>
        <w:spacing w:after="0"/>
        <w:rPr>
          <w:sz w:val="20"/>
          <w:szCs w:val="20"/>
          <w:color w:val="auto"/>
        </w:rPr>
      </w:pPr>
      <w:r>
        <w:rPr>
          <w:rFonts w:ascii="Courier New" w:cs="Courier New" w:eastAsia="Courier New" w:hAnsi="Courier New"/>
          <w:sz w:val="16"/>
          <w:szCs w:val="16"/>
          <w:color w:val="auto"/>
        </w:rPr>
        <w:t>AT&amp;T COMCAST CORPORATION</w:t>
      </w:r>
    </w:p>
    <w:p>
      <w:pPr>
        <w:jc w:val="center"/>
        <w:ind w:right="2819"/>
        <w:spacing w:after="0"/>
        <w:rPr>
          <w:sz w:val="20"/>
          <w:szCs w:val="20"/>
          <w:color w:val="auto"/>
        </w:rPr>
      </w:pPr>
      <w:r>
        <w:rPr>
          <w:rFonts w:ascii="Courier New" w:cs="Courier New" w:eastAsia="Courier New" w:hAnsi="Courier New"/>
          <w:sz w:val="16"/>
          <w:szCs w:val="16"/>
          <w:color w:val="auto"/>
        </w:rPr>
        <w:t>NOTE TO BALANCE SHEET</w:t>
      </w:r>
    </w:p>
    <w:p>
      <w:pPr>
        <w:jc w:val="center"/>
        <w:ind w:right="2819"/>
        <w:spacing w:after="0" w:line="237" w:lineRule="auto"/>
        <w:rPr>
          <w:sz w:val="20"/>
          <w:szCs w:val="20"/>
          <w:color w:val="auto"/>
        </w:rPr>
      </w:pPr>
      <w:r>
        <w:rPr>
          <w:rFonts w:ascii="Courier New" w:cs="Courier New" w:eastAsia="Courier New" w:hAnsi="Courier New"/>
          <w:sz w:val="16"/>
          <w:szCs w:val="16"/>
          <w:color w:val="auto"/>
        </w:rPr>
        <w:t>DECEMBER 31,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ORGANIZATION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186"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Upon completion of the combination of Comcast and AT&amp;T Broadband, Comcast and an entity which will then own AT&amp;T Broadband will be wholly-owned subsidiaries of the Company.</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From the date of inception on December 7, 2001 through December 31, 2001, the Company had no operations.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F-87</w:t>
      </w:r>
    </w:p>
    <w:p>
      <w:pPr>
        <w:sectPr>
          <w:pgSz w:w="11900" w:h="16838" w:orient="portrait"/>
          <w:cols w:equalWidth="0" w:num="1">
            <w:col w:w="10219"/>
          </w:cols>
          <w:pgMar w:left="240" w:top="654" w:right="1440" w:bottom="1440" w:gutter="0" w:footer="0" w:header="0"/>
        </w:sectPr>
      </w:pPr>
    </w:p>
    <w:bookmarkStart w:id="275" w:name="page276"/>
    <w:bookmarkEnd w:id="275"/>
    <w:p>
      <w:pPr>
        <w:ind w:left="2440"/>
        <w:spacing w:after="0"/>
        <w:rPr>
          <w:sz w:val="20"/>
          <w:szCs w:val="20"/>
          <w:color w:val="auto"/>
        </w:rPr>
      </w:pPr>
      <w:r>
        <w:rPr>
          <w:rFonts w:ascii="Courier New" w:cs="Courier New" w:eastAsia="Courier New" w:hAnsi="Courier New"/>
          <w:sz w:val="16"/>
          <w:szCs w:val="16"/>
          <w:color w:val="auto"/>
        </w:rPr>
        <w:t>INDEPENDENT AUDITORS' REPORT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Philadelphia, Pennsylvania</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We have audited the accompanying consolidated balance sheet of Comcast Corporation and its subsidiaries (the "Company") as of December 31, 2001 and 2000, and the related consolidated statements of operations,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Comcast Corporation and its subsidiaries as of December 31, 2001 and 2000, and the results of their operations and their cash flows for each of the three years in the period ended December 31, 2001, in conformity with accounting principles generally accepted in the United States of America.</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discussed in Notes 2 and 3 to the consolidated financial statements, the Company adopted Statement of Financial Accounting Standards No. 133, "Accounting for Derivative Instruments and Hedging Activities," as amended, effective January 1, 2001.</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February 5, 2002 (July 30, 2002 as to Note 14)</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F-88</w:t>
      </w:r>
    </w:p>
    <w:p>
      <w:pPr>
        <w:sectPr>
          <w:pgSz w:w="11900" w:h="16838" w:orient="portrait"/>
          <w:cols w:equalWidth="0" w:num="1">
            <w:col w:w="10219"/>
          </w:cols>
          <w:pgMar w:left="240" w:top="654" w:right="1440" w:bottom="1440" w:gutter="0" w:footer="0" w:header="0"/>
        </w:sectPr>
      </w:pPr>
    </w:p>
    <w:bookmarkStart w:id="276" w:name="page277"/>
    <w:bookmarkEnd w:id="276"/>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CONSOLIDATED BALANCE SHEET</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spacing w:after="0" w:line="4" w:lineRule="exact"/>
        <w:rPr>
          <w:sz w:val="20"/>
          <w:szCs w:val="20"/>
          <w:color w:val="auto"/>
        </w:rPr>
      </w:pPr>
    </w:p>
    <w:p>
      <w:pPr>
        <w:ind w:left="1500" w:right="4919" w:hanging="1176"/>
        <w:spacing w:after="0" w:line="236" w:lineRule="auto"/>
        <w:tabs>
          <w:tab w:leader="none" w:pos="89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EXCEPT SHARE DATA) ASSETS CURRENT ASSETS Cash and cash</w:t>
      </w:r>
    </w:p>
    <w:p>
      <w:pPr>
        <w:ind w:left="280"/>
        <w:spacing w:after="0"/>
        <w:rPr>
          <w:sz w:val="20"/>
          <w:szCs w:val="20"/>
          <w:color w:val="auto"/>
        </w:rPr>
      </w:pPr>
      <w:r>
        <w:rPr>
          <w:rFonts w:ascii="Courier New" w:cs="Courier New" w:eastAsia="Courier New" w:hAnsi="Courier New"/>
          <w:sz w:val="16"/>
          <w:szCs w:val="16"/>
          <w:color w:val="auto"/>
        </w:rPr>
        <w:t>equivalents................................. $ 350.0 $</w:t>
      </w:r>
    </w:p>
    <w:p>
      <w:pPr>
        <w:ind w:left="2580"/>
        <w:spacing w:after="0" w:line="237" w:lineRule="auto"/>
        <w:rPr>
          <w:sz w:val="20"/>
          <w:szCs w:val="20"/>
          <w:color w:val="auto"/>
        </w:rPr>
      </w:pPr>
      <w:r>
        <w:rPr>
          <w:rFonts w:ascii="Courier New" w:cs="Courier New" w:eastAsia="Courier New" w:hAnsi="Courier New"/>
          <w:sz w:val="16"/>
          <w:szCs w:val="16"/>
          <w:color w:val="auto"/>
        </w:rPr>
        <w:t>651.5</w:t>
      </w:r>
    </w:p>
    <w:p>
      <w:pPr>
        <w:ind w:left="80"/>
        <w:spacing w:after="0"/>
        <w:rPr>
          <w:sz w:val="20"/>
          <w:szCs w:val="20"/>
          <w:color w:val="auto"/>
        </w:rPr>
      </w:pPr>
      <w:r>
        <w:rPr>
          <w:rFonts w:ascii="Courier New" w:cs="Courier New" w:eastAsia="Courier New" w:hAnsi="Courier New"/>
          <w:sz w:val="16"/>
          <w:szCs w:val="16"/>
          <w:color w:val="auto"/>
        </w:rPr>
        <w:t>Investments...............................................</w:t>
      </w:r>
    </w:p>
    <w:p>
      <w:pPr>
        <w:ind w:left="240"/>
        <w:spacing w:after="0" w:line="238" w:lineRule="auto"/>
        <w:rPr>
          <w:sz w:val="20"/>
          <w:szCs w:val="20"/>
          <w:color w:val="auto"/>
        </w:rPr>
      </w:pPr>
      <w:r>
        <w:rPr>
          <w:rFonts w:ascii="Courier New" w:cs="Courier New" w:eastAsia="Courier New" w:hAnsi="Courier New"/>
          <w:sz w:val="16"/>
          <w:szCs w:val="16"/>
          <w:color w:val="auto"/>
        </w:rPr>
        <w:t>2,623.2 3,059.7 Accounts receivable, less allowance for</w:t>
      </w:r>
    </w:p>
    <w:p>
      <w:pPr>
        <w:ind w:left="1360"/>
        <w:spacing w:after="0"/>
        <w:rPr>
          <w:sz w:val="20"/>
          <w:szCs w:val="20"/>
          <w:color w:val="auto"/>
        </w:rPr>
      </w:pPr>
      <w:r>
        <w:rPr>
          <w:rFonts w:ascii="Courier New" w:cs="Courier New" w:eastAsia="Courier New" w:hAnsi="Courier New"/>
          <w:sz w:val="16"/>
          <w:szCs w:val="16"/>
          <w:color w:val="auto"/>
        </w:rPr>
        <w:t>doubtful accounts of $153.9 and</w:t>
      </w:r>
    </w:p>
    <w:p>
      <w:pPr>
        <w:ind w:left="320"/>
        <w:spacing w:after="0" w:line="238" w:lineRule="auto"/>
        <w:rPr>
          <w:sz w:val="20"/>
          <w:szCs w:val="20"/>
          <w:color w:val="auto"/>
        </w:rPr>
      </w:pPr>
      <w:r>
        <w:rPr>
          <w:rFonts w:ascii="Courier New" w:cs="Courier New" w:eastAsia="Courier New" w:hAnsi="Courier New"/>
          <w:sz w:val="16"/>
          <w:szCs w:val="16"/>
          <w:color w:val="auto"/>
        </w:rPr>
        <w:t>$141.7................................... 967.4 891.9</w:t>
      </w:r>
    </w:p>
    <w:p>
      <w:pPr>
        <w:ind w:left="80"/>
        <w:spacing w:after="0"/>
        <w:rPr>
          <w:sz w:val="20"/>
          <w:szCs w:val="20"/>
          <w:color w:val="auto"/>
        </w:rPr>
      </w:pPr>
      <w:r>
        <w:rPr>
          <w:rFonts w:ascii="Courier New" w:cs="Courier New" w:eastAsia="Courier New" w:hAnsi="Courier New"/>
          <w:sz w:val="16"/>
          <w:szCs w:val="16"/>
          <w:color w:val="auto"/>
        </w:rPr>
        <w:t>Inventories, net..........................................</w:t>
      </w:r>
    </w:p>
    <w:p>
      <w:pPr>
        <w:ind w:left="1640"/>
        <w:spacing w:after="0" w:line="237" w:lineRule="auto"/>
        <w:rPr>
          <w:sz w:val="20"/>
          <w:szCs w:val="20"/>
          <w:color w:val="auto"/>
        </w:rPr>
      </w:pPr>
      <w:r>
        <w:rPr>
          <w:rFonts w:ascii="Courier New" w:cs="Courier New" w:eastAsia="Courier New" w:hAnsi="Courier New"/>
          <w:sz w:val="16"/>
          <w:szCs w:val="16"/>
          <w:color w:val="auto"/>
        </w:rPr>
        <w:t>454.5 438.5 Other current</w:t>
      </w:r>
    </w:p>
    <w:p>
      <w:pPr>
        <w:ind w:left="40"/>
        <w:spacing w:after="0"/>
        <w:rPr>
          <w:sz w:val="20"/>
          <w:szCs w:val="20"/>
          <w:color w:val="auto"/>
        </w:rPr>
      </w:pPr>
      <w:r>
        <w:rPr>
          <w:rFonts w:ascii="Courier New" w:cs="Courier New" w:eastAsia="Courier New" w:hAnsi="Courier New"/>
          <w:sz w:val="16"/>
          <w:szCs w:val="16"/>
          <w:color w:val="auto"/>
        </w:rPr>
        <w:t>assets...................................... 153.7 102.8 --</w:t>
      </w:r>
    </w:p>
    <w:p>
      <w:pPr>
        <w:ind w:left="1360"/>
        <w:spacing w:after="0" w:line="238" w:lineRule="auto"/>
        <w:rPr>
          <w:sz w:val="20"/>
          <w:szCs w:val="20"/>
          <w:color w:val="auto"/>
        </w:rPr>
      </w:pPr>
      <w:r>
        <w:rPr>
          <w:rFonts w:ascii="Courier New" w:cs="Courier New" w:eastAsia="Courier New" w:hAnsi="Courier New"/>
          <w:sz w:val="16"/>
          <w:szCs w:val="16"/>
          <w:color w:val="auto"/>
        </w:rPr>
        <w:t>------- --------- Total current</w:t>
      </w:r>
    </w:p>
    <w:p>
      <w:pPr>
        <w:ind w:left="40"/>
        <w:spacing w:after="0"/>
        <w:rPr>
          <w:sz w:val="20"/>
          <w:szCs w:val="20"/>
          <w:color w:val="auto"/>
        </w:rPr>
      </w:pPr>
      <w:r>
        <w:rPr>
          <w:rFonts w:ascii="Courier New" w:cs="Courier New" w:eastAsia="Courier New" w:hAnsi="Courier New"/>
          <w:sz w:val="16"/>
          <w:szCs w:val="16"/>
          <w:color w:val="auto"/>
        </w:rPr>
        <w:t>assets................................... 4,548.8 5,144.4 -</w:t>
      </w:r>
    </w:p>
    <w:p>
      <w:pPr>
        <w:ind w:left="1960"/>
        <w:spacing w:after="0" w:line="238" w:lineRule="auto"/>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INVESTMENTS.................................................</w:t>
      </w:r>
    </w:p>
    <w:p>
      <w:pPr>
        <w:ind w:left="40"/>
        <w:spacing w:after="0" w:line="237" w:lineRule="auto"/>
        <w:rPr>
          <w:sz w:val="20"/>
          <w:szCs w:val="20"/>
          <w:color w:val="auto"/>
        </w:rPr>
      </w:pPr>
      <w:r>
        <w:rPr>
          <w:rFonts w:ascii="Courier New" w:cs="Courier New" w:eastAsia="Courier New" w:hAnsi="Courier New"/>
          <w:sz w:val="16"/>
          <w:szCs w:val="16"/>
          <w:color w:val="auto"/>
        </w:rPr>
        <w:t>1,679.2 2,661.9 --------- --------- PROPERTY AND EQUIPMENT,</w:t>
      </w:r>
    </w:p>
    <w:p>
      <w:pPr>
        <w:ind w:left="600"/>
        <w:spacing w:after="0"/>
        <w:rPr>
          <w:sz w:val="20"/>
          <w:szCs w:val="20"/>
          <w:color w:val="auto"/>
        </w:rPr>
      </w:pPr>
      <w:r>
        <w:rPr>
          <w:rFonts w:ascii="Courier New" w:cs="Courier New" w:eastAsia="Courier New" w:hAnsi="Courier New"/>
          <w:sz w:val="16"/>
          <w:szCs w:val="16"/>
          <w:color w:val="auto"/>
        </w:rPr>
        <w:t>net of accumulated depreciation of $2,725.7 and</w:t>
      </w:r>
    </w:p>
    <w:p>
      <w:pPr>
        <w:ind w:left="320"/>
        <w:spacing w:after="0" w:line="238" w:lineRule="auto"/>
        <w:rPr>
          <w:sz w:val="20"/>
          <w:szCs w:val="20"/>
          <w:color w:val="auto"/>
        </w:rPr>
      </w:pPr>
      <w:r>
        <w:rPr>
          <w:rFonts w:ascii="Courier New" w:cs="Courier New" w:eastAsia="Courier New" w:hAnsi="Courier New"/>
          <w:sz w:val="16"/>
          <w:szCs w:val="16"/>
          <w:color w:val="auto"/>
        </w:rPr>
        <w:t>$1,873.1..................................... 7,011.1</w:t>
      </w:r>
    </w:p>
    <w:p>
      <w:pPr>
        <w:ind w:left="700"/>
        <w:spacing w:after="0"/>
        <w:rPr>
          <w:sz w:val="20"/>
          <w:szCs w:val="20"/>
          <w:color w:val="auto"/>
        </w:rPr>
      </w:pPr>
      <w:r>
        <w:rPr>
          <w:rFonts w:ascii="Courier New" w:cs="Courier New" w:eastAsia="Courier New" w:hAnsi="Courier New"/>
          <w:sz w:val="16"/>
          <w:szCs w:val="16"/>
          <w:color w:val="auto"/>
        </w:rPr>
        <w:t>5,519.9 --------- --------- INTANGIBLE ASSETS</w:t>
      </w:r>
    </w:p>
    <w:p>
      <w:pPr>
        <w:ind w:left="80"/>
        <w:spacing w:after="0" w:line="238" w:lineRule="auto"/>
        <w:rPr>
          <w:sz w:val="20"/>
          <w:szCs w:val="20"/>
          <w:color w:val="auto"/>
        </w:rPr>
      </w:pPr>
      <w:r>
        <w:rPr>
          <w:rFonts w:ascii="Courier New" w:cs="Courier New" w:eastAsia="Courier New" w:hAnsi="Courier New"/>
          <w:sz w:val="16"/>
          <w:szCs w:val="16"/>
          <w:color w:val="auto"/>
        </w:rPr>
        <w:t>Goodwill..................................................</w:t>
      </w:r>
    </w:p>
    <w:p>
      <w:pPr>
        <w:ind w:left="880"/>
        <w:spacing w:after="0"/>
        <w:rPr>
          <w:sz w:val="20"/>
          <w:szCs w:val="20"/>
          <w:color w:val="auto"/>
        </w:rPr>
      </w:pPr>
      <w:r>
        <w:rPr>
          <w:rFonts w:ascii="Courier New" w:cs="Courier New" w:eastAsia="Courier New" w:hAnsi="Courier New"/>
          <w:sz w:val="16"/>
          <w:szCs w:val="16"/>
          <w:color w:val="auto"/>
        </w:rPr>
        <w:t>7,507.3 6,945.1 Cable franchise operating</w:t>
      </w:r>
    </w:p>
    <w:p>
      <w:pPr>
        <w:ind w:left="180"/>
        <w:spacing w:after="0" w:line="237" w:lineRule="auto"/>
        <w:rPr>
          <w:sz w:val="20"/>
          <w:szCs w:val="20"/>
          <w:color w:val="auto"/>
        </w:rPr>
      </w:pPr>
      <w:r>
        <w:rPr>
          <w:rFonts w:ascii="Courier New" w:cs="Courier New" w:eastAsia="Courier New" w:hAnsi="Courier New"/>
          <w:sz w:val="16"/>
          <w:szCs w:val="16"/>
          <w:color w:val="auto"/>
        </w:rPr>
        <w:t>rights.......................... 20,167.8 17,545.5 Other</w:t>
      </w:r>
    </w:p>
    <w:p>
      <w:pPr>
        <w:ind w:left="380"/>
        <w:spacing w:after="0"/>
        <w:rPr>
          <w:sz w:val="20"/>
          <w:szCs w:val="20"/>
          <w:color w:val="auto"/>
        </w:rPr>
      </w:pPr>
      <w:r>
        <w:rPr>
          <w:rFonts w:ascii="Courier New" w:cs="Courier New" w:eastAsia="Courier New" w:hAnsi="Courier New"/>
          <w:sz w:val="16"/>
          <w:szCs w:val="16"/>
          <w:color w:val="auto"/>
        </w:rPr>
        <w:t>intangible assets...................................</w:t>
      </w:r>
    </w:p>
    <w:p>
      <w:pPr>
        <w:ind w:left="320"/>
        <w:spacing w:after="0" w:line="238" w:lineRule="auto"/>
        <w:rPr>
          <w:sz w:val="20"/>
          <w:szCs w:val="20"/>
          <w:color w:val="auto"/>
        </w:rPr>
      </w:pPr>
      <w:r>
        <w:rPr>
          <w:rFonts w:ascii="Courier New" w:cs="Courier New" w:eastAsia="Courier New" w:hAnsi="Courier New"/>
          <w:sz w:val="16"/>
          <w:szCs w:val="16"/>
          <w:color w:val="auto"/>
        </w:rPr>
        <w:t>2,833.4 1,485.6 --------- --------- 30,508.5 25,976.2</w:t>
      </w:r>
    </w:p>
    <w:p>
      <w:pPr>
        <w:ind w:left="80"/>
        <w:spacing w:after="0"/>
        <w:rPr>
          <w:sz w:val="20"/>
          <w:szCs w:val="20"/>
          <w:color w:val="auto"/>
        </w:rPr>
      </w:pPr>
      <w:r>
        <w:rPr>
          <w:rFonts w:ascii="Courier New" w:cs="Courier New" w:eastAsia="Courier New" w:hAnsi="Courier New"/>
          <w:sz w:val="16"/>
          <w:szCs w:val="16"/>
          <w:color w:val="auto"/>
        </w:rPr>
        <w:t>Accumulated amortization..................................</w:t>
      </w:r>
    </w:p>
    <w:p>
      <w:pPr>
        <w:ind w:left="40"/>
        <w:spacing w:after="0" w:line="238" w:lineRule="auto"/>
        <w:rPr>
          <w:sz w:val="20"/>
          <w:szCs w:val="20"/>
          <w:color w:val="auto"/>
        </w:rPr>
      </w:pPr>
      <w:r>
        <w:rPr>
          <w:rFonts w:ascii="Courier New" w:cs="Courier New" w:eastAsia="Courier New" w:hAnsi="Courier New"/>
          <w:sz w:val="16"/>
          <w:szCs w:val="16"/>
          <w:color w:val="auto"/>
        </w:rPr>
        <w:t>(5,999.2) (3,908.7) --------- --------- 24,509.3 22,067.5 -</w:t>
      </w:r>
    </w:p>
    <w:p>
      <w:pPr>
        <w:ind w:left="800"/>
        <w:spacing w:after="0"/>
        <w:rPr>
          <w:sz w:val="20"/>
          <w:szCs w:val="20"/>
          <w:color w:val="auto"/>
        </w:rPr>
      </w:pPr>
      <w:r>
        <w:rPr>
          <w:rFonts w:ascii="Courier New" w:cs="Courier New" w:eastAsia="Courier New" w:hAnsi="Courier New"/>
          <w:sz w:val="16"/>
          <w:szCs w:val="16"/>
          <w:color w:val="auto"/>
        </w:rPr>
        <w:t>-------- --------- OTHER NONCURRENT ASSETS,</w:t>
      </w:r>
    </w:p>
    <w:p>
      <w:pPr>
        <w:ind w:left="40"/>
        <w:spacing w:after="0" w:line="237" w:lineRule="auto"/>
        <w:rPr>
          <w:sz w:val="20"/>
          <w:szCs w:val="20"/>
          <w:color w:val="auto"/>
        </w:rPr>
      </w:pPr>
      <w:r>
        <w:rPr>
          <w:rFonts w:ascii="Courier New" w:cs="Courier New" w:eastAsia="Courier New" w:hAnsi="Courier New"/>
          <w:sz w:val="16"/>
          <w:szCs w:val="16"/>
          <w:color w:val="auto"/>
        </w:rPr>
        <w:t>net................................ 383.4 350.8 --------- -</w:t>
      </w:r>
    </w:p>
    <w:p>
      <w:pPr>
        <w:ind w:left="560"/>
        <w:spacing w:after="0"/>
        <w:rPr>
          <w:sz w:val="20"/>
          <w:szCs w:val="20"/>
          <w:color w:val="auto"/>
        </w:rPr>
      </w:pPr>
      <w:r>
        <w:rPr>
          <w:rFonts w:ascii="Courier New" w:cs="Courier New" w:eastAsia="Courier New" w:hAnsi="Courier New"/>
          <w:sz w:val="16"/>
          <w:szCs w:val="16"/>
          <w:color w:val="auto"/>
        </w:rPr>
        <w:t>-------- $38,131.8 $35,744.5 ========= =========</w:t>
      </w:r>
    </w:p>
    <w:p>
      <w:pPr>
        <w:ind w:left="180"/>
        <w:spacing w:after="0" w:line="238" w:lineRule="auto"/>
        <w:rPr>
          <w:sz w:val="20"/>
          <w:szCs w:val="20"/>
          <w:color w:val="auto"/>
        </w:rPr>
      </w:pPr>
      <w:r>
        <w:rPr>
          <w:rFonts w:ascii="Courier New" w:cs="Courier New" w:eastAsia="Courier New" w:hAnsi="Courier New"/>
          <w:sz w:val="16"/>
          <w:szCs w:val="16"/>
          <w:color w:val="auto"/>
        </w:rPr>
        <w:t>LIABILITIES AND STOCKHOLDERS' EQUITY CURRENT LIABILITIES</w:t>
      </w:r>
    </w:p>
    <w:p>
      <w:pPr>
        <w:ind w:left="80"/>
        <w:spacing w:after="0"/>
        <w:rPr>
          <w:sz w:val="20"/>
          <w:szCs w:val="20"/>
          <w:color w:val="auto"/>
        </w:rPr>
      </w:pPr>
      <w:r>
        <w:rPr>
          <w:rFonts w:ascii="Courier New" w:cs="Courier New" w:eastAsia="Courier New" w:hAnsi="Courier New"/>
          <w:sz w:val="16"/>
          <w:szCs w:val="16"/>
          <w:color w:val="auto"/>
        </w:rPr>
        <w:t>Accounts payable..........................................</w:t>
      </w:r>
    </w:p>
    <w:p>
      <w:pPr>
        <w:ind w:left="460"/>
        <w:spacing w:after="0" w:line="238" w:lineRule="auto"/>
        <w:rPr>
          <w:sz w:val="20"/>
          <w:szCs w:val="20"/>
          <w:color w:val="auto"/>
        </w:rPr>
      </w:pPr>
      <w:r>
        <w:rPr>
          <w:rFonts w:ascii="Courier New" w:cs="Courier New" w:eastAsia="Courier New" w:hAnsi="Courier New"/>
          <w:sz w:val="16"/>
          <w:szCs w:val="16"/>
          <w:color w:val="auto"/>
        </w:rPr>
        <w:t>$ 698.2 $ 813.2 Accrued expenses and other current</w:t>
      </w:r>
    </w:p>
    <w:p>
      <w:pPr>
        <w:ind w:left="240"/>
        <w:spacing w:after="0"/>
        <w:rPr>
          <w:sz w:val="20"/>
          <w:szCs w:val="20"/>
          <w:color w:val="auto"/>
        </w:rPr>
      </w:pPr>
      <w:r>
        <w:rPr>
          <w:rFonts w:ascii="Courier New" w:cs="Courier New" w:eastAsia="Courier New" w:hAnsi="Courier New"/>
          <w:sz w:val="16"/>
          <w:szCs w:val="16"/>
          <w:color w:val="auto"/>
        </w:rPr>
        <w:t>liabilities............ 1,695.5 1,576.5 Deferred income</w:t>
      </w:r>
    </w:p>
    <w:p>
      <w:pPr>
        <w:ind w:left="280"/>
        <w:spacing w:after="0" w:line="237" w:lineRule="auto"/>
        <w:rPr>
          <w:sz w:val="20"/>
          <w:szCs w:val="20"/>
          <w:color w:val="auto"/>
        </w:rPr>
      </w:pPr>
      <w:r>
        <w:rPr>
          <w:rFonts w:ascii="Courier New" w:cs="Courier New" w:eastAsia="Courier New" w:hAnsi="Courier New"/>
          <w:sz w:val="16"/>
          <w:szCs w:val="16"/>
          <w:color w:val="auto"/>
        </w:rPr>
        <w:t>taxes..................................... 275.4 789.9</w:t>
      </w:r>
    </w:p>
    <w:p>
      <w:pPr>
        <w:ind w:left="80"/>
        <w:spacing w:after="0"/>
        <w:rPr>
          <w:sz w:val="20"/>
          <w:szCs w:val="20"/>
          <w:color w:val="auto"/>
        </w:rPr>
      </w:pPr>
      <w:r>
        <w:rPr>
          <w:rFonts w:ascii="Courier New" w:cs="Courier New" w:eastAsia="Courier New" w:hAnsi="Courier New"/>
          <w:sz w:val="16"/>
          <w:szCs w:val="16"/>
          <w:color w:val="auto"/>
        </w:rPr>
        <w:t>Current portion of long-term debt.........................</w:t>
      </w:r>
    </w:p>
    <w:p>
      <w:pPr>
        <w:ind w:left="700"/>
        <w:spacing w:after="0" w:line="238" w:lineRule="auto"/>
        <w:rPr>
          <w:sz w:val="20"/>
          <w:szCs w:val="20"/>
          <w:color w:val="auto"/>
        </w:rPr>
      </w:pPr>
      <w:r>
        <w:rPr>
          <w:rFonts w:ascii="Courier New" w:cs="Courier New" w:eastAsia="Courier New" w:hAnsi="Courier New"/>
          <w:sz w:val="16"/>
          <w:szCs w:val="16"/>
          <w:color w:val="auto"/>
        </w:rPr>
        <w:t>460.2 293.9 --------- --------- Total current</w:t>
      </w:r>
    </w:p>
    <w:p>
      <w:pPr>
        <w:ind w:left="40"/>
        <w:spacing w:after="0"/>
        <w:rPr>
          <w:sz w:val="20"/>
          <w:szCs w:val="20"/>
          <w:color w:val="auto"/>
        </w:rPr>
      </w:pPr>
      <w:r>
        <w:rPr>
          <w:rFonts w:ascii="Courier New" w:cs="Courier New" w:eastAsia="Courier New" w:hAnsi="Courier New"/>
          <w:sz w:val="16"/>
          <w:szCs w:val="16"/>
          <w:color w:val="auto"/>
        </w:rPr>
        <w:t>liabilities.............................. 3,129.3 3,473.5 -</w:t>
      </w:r>
    </w:p>
    <w:p>
      <w:pPr>
        <w:ind w:left="600"/>
        <w:spacing w:after="0" w:line="238" w:lineRule="auto"/>
        <w:rPr>
          <w:sz w:val="20"/>
          <w:szCs w:val="20"/>
          <w:color w:val="auto"/>
        </w:rPr>
      </w:pPr>
      <w:r>
        <w:rPr>
          <w:rFonts w:ascii="Courier New" w:cs="Courier New" w:eastAsia="Courier New" w:hAnsi="Courier New"/>
          <w:sz w:val="16"/>
          <w:szCs w:val="16"/>
          <w:color w:val="auto"/>
        </w:rPr>
        <w:t>-------- --------- LONG-TERM DEBT, less current</w:t>
      </w:r>
    </w:p>
    <w:p>
      <w:pPr>
        <w:ind w:left="40"/>
        <w:spacing w:after="0"/>
        <w:rPr>
          <w:sz w:val="20"/>
          <w:szCs w:val="20"/>
          <w:color w:val="auto"/>
        </w:rPr>
      </w:pPr>
      <w:r>
        <w:rPr>
          <w:rFonts w:ascii="Courier New" w:cs="Courier New" w:eastAsia="Courier New" w:hAnsi="Courier New"/>
          <w:sz w:val="16"/>
          <w:szCs w:val="16"/>
          <w:color w:val="auto"/>
        </w:rPr>
        <w:t>portion........................ 11,741.6 10,517.4 ---------</w:t>
      </w:r>
    </w:p>
    <w:p>
      <w:pPr>
        <w:ind w:left="1640"/>
        <w:spacing w:after="0" w:line="238" w:lineRule="auto"/>
        <w:rPr>
          <w:sz w:val="20"/>
          <w:szCs w:val="20"/>
          <w:color w:val="auto"/>
        </w:rPr>
      </w:pPr>
      <w:r>
        <w:rPr>
          <w:rFonts w:ascii="Courier New" w:cs="Courier New" w:eastAsia="Courier New" w:hAnsi="Courier New"/>
          <w:sz w:val="16"/>
          <w:szCs w:val="16"/>
          <w:color w:val="auto"/>
        </w:rPr>
        <w:t>--------- DEFERRED INCOME</w:t>
      </w:r>
    </w:p>
    <w:p>
      <w:pPr>
        <w:ind w:left="380"/>
        <w:spacing w:after="0"/>
        <w:rPr>
          <w:sz w:val="20"/>
          <w:szCs w:val="20"/>
          <w:color w:val="auto"/>
        </w:rPr>
      </w:pPr>
      <w:r>
        <w:rPr>
          <w:rFonts w:ascii="Courier New" w:cs="Courier New" w:eastAsia="Courier New" w:hAnsi="Courier New"/>
          <w:sz w:val="16"/>
          <w:szCs w:val="16"/>
          <w:color w:val="auto"/>
        </w:rPr>
        <w:t>TAXES....................................... 6,375.7</w:t>
      </w:r>
    </w:p>
    <w:p>
      <w:pPr>
        <w:ind w:left="740"/>
        <w:spacing w:after="0" w:line="237" w:lineRule="auto"/>
        <w:rPr>
          <w:sz w:val="20"/>
          <w:szCs w:val="20"/>
          <w:color w:val="auto"/>
        </w:rPr>
      </w:pPr>
      <w:r>
        <w:rPr>
          <w:rFonts w:ascii="Courier New" w:cs="Courier New" w:eastAsia="Courier New" w:hAnsi="Courier New"/>
          <w:sz w:val="16"/>
          <w:szCs w:val="16"/>
          <w:color w:val="auto"/>
        </w:rPr>
        <w:t>5,786.7 --------- --------- OTHER NONCURRENT</w:t>
      </w:r>
    </w:p>
    <w:p>
      <w:pPr>
        <w:ind w:left="40"/>
        <w:spacing w:after="0"/>
        <w:rPr>
          <w:sz w:val="20"/>
          <w:szCs w:val="20"/>
          <w:color w:val="auto"/>
        </w:rPr>
      </w:pPr>
      <w:r>
        <w:rPr>
          <w:rFonts w:ascii="Courier New" w:cs="Courier New" w:eastAsia="Courier New" w:hAnsi="Courier New"/>
          <w:sz w:val="16"/>
          <w:szCs w:val="16"/>
          <w:color w:val="auto"/>
        </w:rPr>
        <w:t>LIABILITIES................................ 1,532.0 1,108.6</w:t>
      </w:r>
    </w:p>
    <w:p>
      <w:pPr>
        <w:ind w:left="1500"/>
        <w:spacing w:after="0" w:line="238" w:lineRule="auto"/>
        <w:rPr>
          <w:sz w:val="20"/>
          <w:szCs w:val="20"/>
          <w:color w:val="auto"/>
        </w:rPr>
      </w:pPr>
      <w:r>
        <w:rPr>
          <w:rFonts w:ascii="Courier New" w:cs="Courier New" w:eastAsia="Courier New" w:hAnsi="Courier New"/>
          <w:sz w:val="16"/>
          <w:szCs w:val="16"/>
          <w:color w:val="auto"/>
        </w:rPr>
        <w:t>--------- --------- MINORITY</w:t>
      </w:r>
    </w:p>
    <w:p>
      <w:pPr>
        <w:ind w:left="140"/>
        <w:spacing w:after="0"/>
        <w:rPr>
          <w:sz w:val="20"/>
          <w:szCs w:val="20"/>
          <w:color w:val="auto"/>
        </w:rPr>
      </w:pPr>
      <w:r>
        <w:rPr>
          <w:rFonts w:ascii="Courier New" w:cs="Courier New" w:eastAsia="Courier New" w:hAnsi="Courier New"/>
          <w:sz w:val="16"/>
          <w:szCs w:val="16"/>
          <w:color w:val="auto"/>
        </w:rPr>
        <w:t>INTEREST........................................... 880.2</w:t>
      </w:r>
    </w:p>
    <w:p>
      <w:pPr>
        <w:ind w:left="240"/>
        <w:spacing w:after="0" w:line="238" w:lineRule="auto"/>
        <w:rPr>
          <w:sz w:val="20"/>
          <w:szCs w:val="20"/>
          <w:color w:val="auto"/>
        </w:rPr>
      </w:pPr>
      <w:r>
        <w:rPr>
          <w:rFonts w:ascii="Courier New" w:cs="Courier New" w:eastAsia="Courier New" w:hAnsi="Courier New"/>
          <w:sz w:val="16"/>
          <w:szCs w:val="16"/>
          <w:color w:val="auto"/>
        </w:rPr>
        <w:t>717.3 --------- --------- COMMITMENTS AND CONTINGENCIES</w:t>
      </w:r>
    </w:p>
    <w:p>
      <w:pPr>
        <w:ind w:left="1540"/>
        <w:spacing w:after="0"/>
        <w:rPr>
          <w:sz w:val="20"/>
          <w:szCs w:val="20"/>
          <w:color w:val="auto"/>
        </w:rPr>
      </w:pPr>
      <w:r>
        <w:rPr>
          <w:rFonts w:ascii="Courier New" w:cs="Courier New" w:eastAsia="Courier New" w:hAnsi="Courier New"/>
          <w:sz w:val="16"/>
          <w:szCs w:val="16"/>
          <w:color w:val="auto"/>
        </w:rPr>
        <w:t>(NOTE 11) COMMON EQUITY PUT</w:t>
      </w:r>
    </w:p>
    <w:p>
      <w:pPr>
        <w:ind w:left="40"/>
        <w:spacing w:after="0" w:line="237" w:lineRule="auto"/>
        <w:rPr>
          <w:sz w:val="20"/>
          <w:szCs w:val="20"/>
          <w:color w:val="auto"/>
        </w:rPr>
      </w:pPr>
      <w:r>
        <w:rPr>
          <w:rFonts w:ascii="Courier New" w:cs="Courier New" w:eastAsia="Courier New" w:hAnsi="Courier New"/>
          <w:sz w:val="16"/>
          <w:szCs w:val="16"/>
          <w:color w:val="auto"/>
        </w:rPr>
        <w:t>OPTIONS................................... 54.6 --------- -</w:t>
      </w:r>
    </w:p>
    <w:p>
      <w:pPr>
        <w:ind w:left="560"/>
        <w:spacing w:after="0"/>
        <w:rPr>
          <w:sz w:val="20"/>
          <w:szCs w:val="20"/>
          <w:color w:val="auto"/>
        </w:rPr>
      </w:pPr>
      <w:r>
        <w:rPr>
          <w:rFonts w:ascii="Courier New" w:cs="Courier New" w:eastAsia="Courier New" w:hAnsi="Courier New"/>
          <w:sz w:val="16"/>
          <w:szCs w:val="16"/>
          <w:color w:val="auto"/>
        </w:rPr>
        <w:t>-------- STOCKHOLDERS' EQUITY Preferred stock --</w:t>
      </w:r>
    </w:p>
    <w:p>
      <w:pPr>
        <w:jc w:val="center"/>
        <w:ind w:right="4599"/>
        <w:spacing w:after="0" w:line="238" w:lineRule="auto"/>
        <w:rPr>
          <w:sz w:val="20"/>
          <w:szCs w:val="20"/>
          <w:color w:val="auto"/>
        </w:rPr>
      </w:pPr>
      <w:r>
        <w:rPr>
          <w:rFonts w:ascii="Courier New" w:cs="Courier New" w:eastAsia="Courier New" w:hAnsi="Courier New"/>
          <w:sz w:val="16"/>
          <w:szCs w:val="16"/>
          <w:color w:val="auto"/>
        </w:rPr>
        <w:t>authorized, 20,000,000 shares 5.25% series B mandatorily</w:t>
      </w:r>
    </w:p>
    <w:p>
      <w:pPr>
        <w:jc w:val="center"/>
        <w:ind w:right="4599"/>
        <w:spacing w:after="0"/>
        <w:rPr>
          <w:sz w:val="20"/>
          <w:szCs w:val="20"/>
          <w:color w:val="auto"/>
        </w:rPr>
      </w:pPr>
      <w:r>
        <w:rPr>
          <w:rFonts w:ascii="Courier New" w:cs="Courier New" w:eastAsia="Courier New" w:hAnsi="Courier New"/>
          <w:sz w:val="16"/>
          <w:szCs w:val="16"/>
          <w:color w:val="auto"/>
        </w:rPr>
        <w:t>redeemable convertible, $1,000 par value; issued, zero and</w:t>
      </w:r>
    </w:p>
    <w:p>
      <w:pPr>
        <w:ind w:left="40"/>
        <w:spacing w:after="0" w:line="238" w:lineRule="auto"/>
        <w:rPr>
          <w:sz w:val="20"/>
          <w:szCs w:val="20"/>
          <w:color w:val="auto"/>
        </w:rPr>
      </w:pPr>
      <w:r>
        <w:rPr>
          <w:rFonts w:ascii="Courier New" w:cs="Courier New" w:eastAsia="Courier New" w:hAnsi="Courier New"/>
          <w:sz w:val="16"/>
          <w:szCs w:val="16"/>
          <w:color w:val="auto"/>
        </w:rPr>
        <w:t>59,450 at redemption value..... 59.5 Class A special common</w:t>
      </w:r>
    </w:p>
    <w:p>
      <w:pPr>
        <w:ind w:left="180"/>
        <w:spacing w:after="0"/>
        <w:rPr>
          <w:sz w:val="20"/>
          <w:szCs w:val="20"/>
          <w:color w:val="auto"/>
        </w:rPr>
      </w:pPr>
      <w:r>
        <w:rPr>
          <w:rFonts w:ascii="Courier New" w:cs="Courier New" w:eastAsia="Courier New" w:hAnsi="Courier New"/>
          <w:sz w:val="16"/>
          <w:szCs w:val="16"/>
          <w:color w:val="auto"/>
        </w:rPr>
        <w:t>stock, $1 par value -- authorized, 2,500,000,000 shares;</w:t>
      </w:r>
    </w:p>
    <w:p>
      <w:pPr>
        <w:ind w:left="520"/>
        <w:spacing w:after="0" w:line="237" w:lineRule="auto"/>
        <w:rPr>
          <w:sz w:val="20"/>
          <w:szCs w:val="20"/>
          <w:color w:val="auto"/>
        </w:rPr>
      </w:pPr>
      <w:r>
        <w:rPr>
          <w:rFonts w:ascii="Courier New" w:cs="Courier New" w:eastAsia="Courier New" w:hAnsi="Courier New"/>
          <w:sz w:val="16"/>
          <w:szCs w:val="16"/>
          <w:color w:val="auto"/>
        </w:rPr>
        <w:t>issued, 937,256,465 and 931,340,103; outstanding,</w:t>
      </w:r>
    </w:p>
    <w:p>
      <w:pPr>
        <w:ind w:left="180"/>
        <w:spacing w:after="0"/>
        <w:rPr>
          <w:sz w:val="20"/>
          <w:szCs w:val="20"/>
          <w:color w:val="auto"/>
        </w:rPr>
      </w:pPr>
      <w:r>
        <w:rPr>
          <w:rFonts w:ascii="Courier New" w:cs="Courier New" w:eastAsia="Courier New" w:hAnsi="Courier New"/>
          <w:sz w:val="16"/>
          <w:szCs w:val="16"/>
          <w:color w:val="auto"/>
        </w:rPr>
        <w:t>913,931,554 and 908,015,192.. 913.9 908.0 Class A common</w:t>
      </w:r>
    </w:p>
    <w:p>
      <w:pPr>
        <w:ind w:left="280"/>
        <w:spacing w:after="0" w:line="238" w:lineRule="auto"/>
        <w:rPr>
          <w:sz w:val="20"/>
          <w:szCs w:val="20"/>
          <w:color w:val="auto"/>
        </w:rPr>
      </w:pPr>
      <w:r>
        <w:rPr>
          <w:rFonts w:ascii="Courier New" w:cs="Courier New" w:eastAsia="Courier New" w:hAnsi="Courier New"/>
          <w:sz w:val="16"/>
          <w:szCs w:val="16"/>
          <w:color w:val="auto"/>
        </w:rPr>
        <w:t>stock, $1 par value -- authorized, 200,000,000 shares;</w:t>
      </w:r>
    </w:p>
    <w:p>
      <w:pPr>
        <w:ind w:left="1780"/>
        <w:spacing w:after="0"/>
        <w:rPr>
          <w:sz w:val="20"/>
          <w:szCs w:val="20"/>
          <w:color w:val="auto"/>
        </w:rPr>
      </w:pPr>
      <w:r>
        <w:rPr>
          <w:rFonts w:ascii="Courier New" w:cs="Courier New" w:eastAsia="Courier New" w:hAnsi="Courier New"/>
          <w:sz w:val="16"/>
          <w:szCs w:val="16"/>
          <w:color w:val="auto"/>
        </w:rPr>
        <w:t>issued, 21,829,422 and</w:t>
      </w:r>
    </w:p>
    <w:p>
      <w:pPr>
        <w:ind w:left="240"/>
        <w:spacing w:after="0" w:line="238" w:lineRule="auto"/>
        <w:rPr>
          <w:sz w:val="20"/>
          <w:szCs w:val="20"/>
          <w:color w:val="auto"/>
        </w:rPr>
      </w:pPr>
      <w:r>
        <w:rPr>
          <w:rFonts w:ascii="Courier New" w:cs="Courier New" w:eastAsia="Courier New" w:hAnsi="Courier New"/>
          <w:sz w:val="16"/>
          <w:szCs w:val="16"/>
          <w:color w:val="auto"/>
        </w:rPr>
        <w:t>21,832,250.............................................</w:t>
      </w:r>
    </w:p>
    <w:p>
      <w:pPr>
        <w:ind w:left="40"/>
        <w:spacing w:after="0"/>
        <w:rPr>
          <w:sz w:val="20"/>
          <w:szCs w:val="20"/>
          <w:color w:val="auto"/>
        </w:rPr>
      </w:pPr>
      <w:r>
        <w:rPr>
          <w:rFonts w:ascii="Courier New" w:cs="Courier New" w:eastAsia="Courier New" w:hAnsi="Courier New"/>
          <w:sz w:val="16"/>
          <w:szCs w:val="16"/>
          <w:color w:val="auto"/>
        </w:rPr>
        <w:t>21.8 21.8 Class B common stock, $1 par value -- authorized,</w:t>
      </w:r>
    </w:p>
    <w:p>
      <w:pPr>
        <w:ind w:left="40"/>
        <w:spacing w:after="0" w:line="237" w:lineRule="auto"/>
        <w:rPr>
          <w:sz w:val="20"/>
          <w:szCs w:val="20"/>
          <w:color w:val="auto"/>
        </w:rPr>
      </w:pPr>
      <w:r>
        <w:rPr>
          <w:rFonts w:ascii="Courier New" w:cs="Courier New" w:eastAsia="Courier New" w:hAnsi="Courier New"/>
          <w:sz w:val="16"/>
          <w:szCs w:val="16"/>
          <w:color w:val="auto"/>
        </w:rPr>
        <w:t>50,000,000 shares; issued, 9,444,375................... 9.4</w:t>
      </w:r>
    </w:p>
    <w:p>
      <w:pPr>
        <w:ind w:left="2160"/>
        <w:spacing w:after="0"/>
        <w:rPr>
          <w:sz w:val="20"/>
          <w:szCs w:val="20"/>
          <w:color w:val="auto"/>
        </w:rPr>
      </w:pPr>
      <w:r>
        <w:rPr>
          <w:rFonts w:ascii="Courier New" w:cs="Courier New" w:eastAsia="Courier New" w:hAnsi="Courier New"/>
          <w:sz w:val="16"/>
          <w:szCs w:val="16"/>
          <w:color w:val="auto"/>
        </w:rPr>
        <w:t>9.4 Additional</w:t>
      </w:r>
    </w:p>
    <w:p>
      <w:pPr>
        <w:ind w:left="180"/>
        <w:spacing w:after="0" w:line="238" w:lineRule="auto"/>
        <w:rPr>
          <w:sz w:val="20"/>
          <w:szCs w:val="20"/>
          <w:color w:val="auto"/>
        </w:rPr>
      </w:pPr>
      <w:r>
        <w:rPr>
          <w:rFonts w:ascii="Courier New" w:cs="Courier New" w:eastAsia="Courier New" w:hAnsi="Courier New"/>
          <w:sz w:val="16"/>
          <w:szCs w:val="16"/>
          <w:color w:val="auto"/>
        </w:rPr>
        <w:t>capital........................................ 11,752.0</w:t>
      </w:r>
    </w:p>
    <w:p>
      <w:pPr>
        <w:ind w:left="2020"/>
        <w:spacing w:after="0"/>
        <w:rPr>
          <w:sz w:val="20"/>
          <w:szCs w:val="20"/>
          <w:color w:val="auto"/>
        </w:rPr>
      </w:pPr>
      <w:r>
        <w:rPr>
          <w:rFonts w:ascii="Courier New" w:cs="Courier New" w:eastAsia="Courier New" w:hAnsi="Courier New"/>
          <w:sz w:val="16"/>
          <w:szCs w:val="16"/>
          <w:color w:val="auto"/>
        </w:rPr>
        <w:t>11,598.8 Retained</w:t>
      </w:r>
    </w:p>
    <w:p>
      <w:pPr>
        <w:ind w:left="140"/>
        <w:spacing w:after="0" w:line="238" w:lineRule="auto"/>
        <w:rPr>
          <w:sz w:val="20"/>
          <w:szCs w:val="20"/>
          <w:color w:val="auto"/>
        </w:rPr>
      </w:pPr>
      <w:r>
        <w:rPr>
          <w:rFonts w:ascii="Courier New" w:cs="Courier New" w:eastAsia="Courier New" w:hAnsi="Courier New"/>
          <w:sz w:val="16"/>
          <w:szCs w:val="16"/>
          <w:color w:val="auto"/>
        </w:rPr>
        <w:t>earnings......................................... 1,631.5</w:t>
      </w:r>
    </w:p>
    <w:p>
      <w:pPr>
        <w:ind w:left="980"/>
        <w:spacing w:after="0"/>
        <w:rPr>
          <w:sz w:val="20"/>
          <w:szCs w:val="20"/>
          <w:color w:val="auto"/>
        </w:rPr>
      </w:pPr>
      <w:r>
        <w:rPr>
          <w:rFonts w:ascii="Courier New" w:cs="Courier New" w:eastAsia="Courier New" w:hAnsi="Courier New"/>
          <w:sz w:val="16"/>
          <w:szCs w:val="16"/>
          <w:color w:val="auto"/>
        </w:rPr>
        <w:t>1,056.5 Accumulated other comprehensive</w:t>
      </w:r>
    </w:p>
    <w:p>
      <w:pPr>
        <w:ind w:left="80"/>
        <w:spacing w:after="0" w:line="237" w:lineRule="auto"/>
        <w:rPr>
          <w:sz w:val="20"/>
          <w:szCs w:val="20"/>
          <w:color w:val="auto"/>
        </w:rPr>
      </w:pPr>
      <w:r>
        <w:rPr>
          <w:rFonts w:ascii="Courier New" w:cs="Courier New" w:eastAsia="Courier New" w:hAnsi="Courier New"/>
          <w:sz w:val="16"/>
          <w:szCs w:val="16"/>
          <w:color w:val="auto"/>
        </w:rPr>
        <w:t>income.................... 144.4 432.4 --------- ---------</w:t>
      </w:r>
    </w:p>
    <w:p>
      <w:pPr>
        <w:ind w:left="240"/>
        <w:spacing w:after="0"/>
        <w:rPr>
          <w:sz w:val="20"/>
          <w:szCs w:val="20"/>
          <w:color w:val="auto"/>
        </w:rPr>
      </w:pPr>
      <w:r>
        <w:rPr>
          <w:rFonts w:ascii="Courier New" w:cs="Courier New" w:eastAsia="Courier New" w:hAnsi="Courier New"/>
          <w:sz w:val="16"/>
          <w:szCs w:val="16"/>
          <w:color w:val="auto"/>
        </w:rPr>
        <w:t>Total stockholders' equity.............................</w:t>
      </w:r>
    </w:p>
    <w:p>
      <w:pPr>
        <w:ind w:left="140"/>
        <w:spacing w:after="0" w:line="238" w:lineRule="auto"/>
        <w:rPr>
          <w:sz w:val="20"/>
          <w:szCs w:val="20"/>
          <w:color w:val="auto"/>
        </w:rPr>
      </w:pPr>
      <w:r>
        <w:rPr>
          <w:rFonts w:ascii="Courier New" w:cs="Courier New" w:eastAsia="Courier New" w:hAnsi="Courier New"/>
          <w:sz w:val="16"/>
          <w:szCs w:val="16"/>
          <w:color w:val="auto"/>
        </w:rPr>
        <w:t>14,473.0 14,086.4 --------- --------- $38,131.8 $35,744.5</w:t>
      </w:r>
    </w:p>
    <w:p>
      <w:pPr>
        <w:ind w:left="1920"/>
        <w:spacing w:after="0"/>
        <w:rPr>
          <w:sz w:val="20"/>
          <w:szCs w:val="20"/>
          <w:color w:val="auto"/>
        </w:rPr>
      </w:pPr>
      <w:r>
        <w:rPr>
          <w:rFonts w:ascii="Courier New" w:cs="Courier New" w:eastAsia="Courier New" w:hAnsi="Courier New"/>
          <w:sz w:val="16"/>
          <w:szCs w:val="16"/>
          <w:color w:val="auto"/>
        </w:rPr>
        <w:t>========= =========</w:t>
      </w:r>
    </w:p>
    <w:p>
      <w:pPr>
        <w:spacing w:after="0" w:line="359"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F-89</w:t>
      </w:r>
    </w:p>
    <w:p>
      <w:pPr>
        <w:sectPr>
          <w:pgSz w:w="11900" w:h="16838" w:orient="portrait"/>
          <w:cols w:equalWidth="0" w:num="1">
            <w:col w:w="10219"/>
          </w:cols>
          <w:pgMar w:left="240" w:top="654" w:right="1440" w:bottom="1440" w:gutter="0" w:footer="0" w:header="0"/>
        </w:sectPr>
      </w:pPr>
    </w:p>
    <w:bookmarkStart w:id="277" w:name="page278"/>
    <w:bookmarkEnd w:id="277"/>
    <w:p>
      <w:pPr>
        <w:spacing w:after="0" w:line="7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91"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19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ENDED DECEMBER 31, --------------------------------</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2001 2000 1999 --------- --------- -------- (AMOUNTS IN</w:t>
      </w:r>
    </w:p>
    <w:p>
      <w:pPr>
        <w:ind w:left="420"/>
        <w:spacing w:after="0"/>
        <w:rPr>
          <w:sz w:val="20"/>
          <w:szCs w:val="20"/>
          <w:color w:val="auto"/>
        </w:rPr>
      </w:pPr>
      <w:r>
        <w:rPr>
          <w:rFonts w:ascii="Courier New" w:cs="Courier New" w:eastAsia="Courier New" w:hAnsi="Courier New"/>
          <w:sz w:val="16"/>
          <w:szCs w:val="16"/>
          <w:color w:val="auto"/>
        </w:rPr>
        <w:t>MILLIONS, EXCEPT PER SHARE DATA) REVENUES Service</w:t>
      </w:r>
    </w:p>
    <w:p>
      <w:pPr>
        <w:ind w:left="280"/>
        <w:spacing w:after="0" w:line="237" w:lineRule="auto"/>
        <w:rPr>
          <w:sz w:val="20"/>
          <w:szCs w:val="20"/>
          <w:color w:val="auto"/>
        </w:rPr>
      </w:pPr>
      <w:r>
        <w:rPr>
          <w:rFonts w:ascii="Courier New" w:cs="Courier New" w:eastAsia="Courier New" w:hAnsi="Courier New"/>
          <w:sz w:val="16"/>
          <w:szCs w:val="16"/>
          <w:color w:val="auto"/>
        </w:rPr>
        <w:t>revenues.......................................... $</w:t>
      </w:r>
    </w:p>
    <w:p>
      <w:pPr>
        <w:ind w:left="280"/>
        <w:spacing w:after="0"/>
        <w:rPr>
          <w:sz w:val="20"/>
          <w:szCs w:val="20"/>
          <w:color w:val="auto"/>
        </w:rPr>
      </w:pPr>
      <w:r>
        <w:rPr>
          <w:rFonts w:ascii="Courier New" w:cs="Courier New" w:eastAsia="Courier New" w:hAnsi="Courier New"/>
          <w:sz w:val="16"/>
          <w:szCs w:val="16"/>
          <w:color w:val="auto"/>
        </w:rPr>
        <w:t>5,756.9 $ 4,682.7 $3,361.8 Net sales from electronic</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retailing....................... 3,917.3 3,535.9 3,167.4</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-------- 9,674.2 8,218.6 6,529.2 ----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 -------- COSTS AND EXPENSES Operating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(excluding depreciation)........................ 2,905.8</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2,212.5 1,663.1 Cost of goods sold from electronic</w:t>
      </w:r>
    </w:p>
    <w:p>
      <w:pPr>
        <w:ind w:left="1780"/>
        <w:spacing w:after="0"/>
        <w:rPr>
          <w:sz w:val="20"/>
          <w:szCs w:val="20"/>
          <w:color w:val="auto"/>
        </w:rPr>
      </w:pPr>
      <w:r>
        <w:rPr>
          <w:rFonts w:ascii="Courier New" w:cs="Courier New" w:eastAsia="Courier New" w:hAnsi="Courier New"/>
          <w:sz w:val="16"/>
          <w:szCs w:val="16"/>
          <w:color w:val="auto"/>
        </w:rPr>
        <w:t>retailing (excluding</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depreciation)...........................................</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2,514.0 2,284.9 2,060.0 Selling, general and</w:t>
      </w:r>
    </w:p>
    <w:p>
      <w:pPr>
        <w:ind w:left="220"/>
        <w:spacing w:after="0"/>
        <w:rPr>
          <w:sz w:val="20"/>
          <w:szCs w:val="20"/>
          <w:color w:val="auto"/>
        </w:rPr>
      </w:pPr>
      <w:r>
        <w:rPr>
          <w:rFonts w:ascii="Courier New" w:cs="Courier New" w:eastAsia="Courier New" w:hAnsi="Courier New"/>
          <w:sz w:val="16"/>
          <w:szCs w:val="16"/>
          <w:color w:val="auto"/>
        </w:rPr>
        <w:t>administrative....................... 1,552.6 1,250.9</w:t>
      </w:r>
    </w:p>
    <w:p>
      <w:pPr>
        <w:ind w:left="2480"/>
        <w:spacing w:after="0" w:line="237" w:lineRule="auto"/>
        <w:rPr>
          <w:sz w:val="20"/>
          <w:szCs w:val="20"/>
          <w:color w:val="auto"/>
        </w:rPr>
      </w:pPr>
      <w:r>
        <w:rPr>
          <w:rFonts w:ascii="Courier New" w:cs="Courier New" w:eastAsia="Courier New" w:hAnsi="Courier New"/>
          <w:sz w:val="16"/>
          <w:szCs w:val="16"/>
          <w:color w:val="auto"/>
        </w:rPr>
        <w:t>926.1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1,141.8 837.3 572.0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2,306.2 1,794.0 644.0 --------- --------- --------</w:t>
      </w:r>
    </w:p>
    <w:p>
      <w:pPr>
        <w:ind w:left="220"/>
        <w:spacing w:after="0"/>
        <w:rPr>
          <w:sz w:val="20"/>
          <w:szCs w:val="20"/>
          <w:color w:val="auto"/>
        </w:rPr>
      </w:pPr>
      <w:r>
        <w:rPr>
          <w:rFonts w:ascii="Courier New" w:cs="Courier New" w:eastAsia="Courier New" w:hAnsi="Courier New"/>
          <w:sz w:val="16"/>
          <w:szCs w:val="16"/>
          <w:color w:val="auto"/>
        </w:rPr>
        <w:t>10,420.4 8,379.6 5,865.2 --------- --------- --------</w:t>
      </w:r>
    </w:p>
    <w:p>
      <w:pPr>
        <w:ind w:left="1960"/>
        <w:spacing w:after="0" w:line="237" w:lineRule="auto"/>
        <w:rPr>
          <w:sz w:val="20"/>
          <w:szCs w:val="20"/>
          <w:color w:val="auto"/>
        </w:rPr>
      </w:pPr>
      <w:r>
        <w:rPr>
          <w:rFonts w:ascii="Courier New" w:cs="Courier New" w:eastAsia="Courier New" w:hAnsi="Courier New"/>
          <w:sz w:val="16"/>
          <w:szCs w:val="16"/>
          <w:color w:val="auto"/>
        </w:rPr>
        <w:t>OPERATING INCOME</w:t>
      </w:r>
    </w:p>
    <w:p>
      <w:pPr>
        <w:ind w:left="320"/>
        <w:spacing w:after="0"/>
        <w:rPr>
          <w:sz w:val="20"/>
          <w:szCs w:val="20"/>
          <w:color w:val="auto"/>
        </w:rPr>
      </w:pPr>
      <w:r>
        <w:rPr>
          <w:rFonts w:ascii="Courier New" w:cs="Courier New" w:eastAsia="Courier New" w:hAnsi="Courier New"/>
          <w:sz w:val="16"/>
          <w:szCs w:val="16"/>
          <w:color w:val="auto"/>
        </w:rPr>
        <w:t>(LOSS)..................................... (746.2)</w:t>
      </w:r>
    </w:p>
    <w:p>
      <w:pPr>
        <w:ind w:left="600"/>
        <w:spacing w:after="0" w:line="238" w:lineRule="auto"/>
        <w:rPr>
          <w:sz w:val="20"/>
          <w:szCs w:val="20"/>
          <w:color w:val="auto"/>
        </w:rPr>
      </w:pPr>
      <w:r>
        <w:rPr>
          <w:rFonts w:ascii="Courier New" w:cs="Courier New" w:eastAsia="Courier New" w:hAnsi="Courier New"/>
          <w:sz w:val="16"/>
          <w:szCs w:val="16"/>
          <w:color w:val="auto"/>
        </w:rPr>
        <w:t>(161.0) 664.0 OTHER INCOME (EXPENSE) Interest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expense.......................................... (731.8)</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(691.4) (538.3) Investment</w:t>
      </w:r>
    </w:p>
    <w:p>
      <w:pPr>
        <w:ind w:left="140"/>
        <w:spacing w:after="0"/>
        <w:rPr>
          <w:sz w:val="20"/>
          <w:szCs w:val="20"/>
          <w:color w:val="auto"/>
        </w:rPr>
      </w:pPr>
      <w:r>
        <w:rPr>
          <w:rFonts w:ascii="Courier New" w:cs="Courier New" w:eastAsia="Courier New" w:hAnsi="Courier New"/>
          <w:sz w:val="16"/>
          <w:szCs w:val="16"/>
          <w:color w:val="auto"/>
        </w:rPr>
        <w:t>income......................................... 1,061.7</w:t>
      </w:r>
    </w:p>
    <w:p>
      <w:pPr>
        <w:ind w:left="500"/>
        <w:spacing w:after="0" w:line="237" w:lineRule="auto"/>
        <w:rPr>
          <w:sz w:val="20"/>
          <w:szCs w:val="20"/>
          <w:color w:val="auto"/>
        </w:rPr>
      </w:pPr>
      <w:r>
        <w:rPr>
          <w:rFonts w:ascii="Courier New" w:cs="Courier New" w:eastAsia="Courier New" w:hAnsi="Courier New"/>
          <w:sz w:val="16"/>
          <w:szCs w:val="16"/>
          <w:color w:val="auto"/>
        </w:rPr>
        <w:t>983.9 629.5 Income (expense) related to indexed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debt.................. 666.0 (666.0) Equity in net income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(losses) of affiliates............... (28.5) (21.3) 1.4</w:t>
      </w:r>
    </w:p>
    <w:p>
      <w:pPr>
        <w:ind w:left="2480"/>
        <w:spacing w:after="0"/>
        <w:rPr>
          <w:sz w:val="20"/>
          <w:szCs w:val="20"/>
          <w:color w:val="auto"/>
        </w:rPr>
      </w:pPr>
      <w:r>
        <w:rPr>
          <w:rFonts w:ascii="Courier New" w:cs="Courier New" w:eastAsia="Courier New" w:hAnsi="Courier New"/>
          <w:sz w:val="16"/>
          <w:szCs w:val="16"/>
          <w:color w:val="auto"/>
        </w:rPr>
        <w:t>Other</w:t>
      </w:r>
    </w:p>
    <w:p>
      <w:pPr>
        <w:ind w:left="280"/>
        <w:spacing w:after="0" w:line="237" w:lineRule="auto"/>
        <w:rPr>
          <w:sz w:val="20"/>
          <w:szCs w:val="20"/>
          <w:color w:val="auto"/>
        </w:rPr>
      </w:pPr>
      <w:r>
        <w:rPr>
          <w:rFonts w:ascii="Courier New" w:cs="Courier New" w:eastAsia="Courier New" w:hAnsi="Courier New"/>
          <w:sz w:val="16"/>
          <w:szCs w:val="16"/>
          <w:color w:val="auto"/>
        </w:rPr>
        <w:t>income..............................................</w:t>
      </w:r>
    </w:p>
    <w:p>
      <w:pPr>
        <w:ind w:left="280"/>
        <w:spacing w:after="0"/>
        <w:rPr>
          <w:sz w:val="20"/>
          <w:szCs w:val="20"/>
          <w:color w:val="auto"/>
        </w:rPr>
      </w:pPr>
      <w:r>
        <w:rPr>
          <w:rFonts w:ascii="Courier New" w:cs="Courier New" w:eastAsia="Courier New" w:hAnsi="Courier New"/>
          <w:sz w:val="16"/>
          <w:szCs w:val="16"/>
          <w:color w:val="auto"/>
        </w:rPr>
        <w:t>1,301.0 2,825.5 1,409.4 ---------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1,602.4 3,762.7 836.0 --------- --------- -------- INCOME</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FROM CONTINUING OPERATIONS BEFORE INCOME TAXES, MINORITY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EXTRAORDINARY ITEMS AND CUMULATIVE EFFECT OF</w:t>
      </w:r>
    </w:p>
    <w:p>
      <w:pPr>
        <w:ind w:left="180"/>
        <w:spacing w:after="0"/>
        <w:rPr>
          <w:sz w:val="20"/>
          <w:szCs w:val="20"/>
          <w:color w:val="auto"/>
        </w:rPr>
      </w:pPr>
      <w:r>
        <w:rPr>
          <w:rFonts w:ascii="Courier New" w:cs="Courier New" w:eastAsia="Courier New" w:hAnsi="Courier New"/>
          <w:sz w:val="16"/>
          <w:szCs w:val="16"/>
          <w:color w:val="auto"/>
        </w:rPr>
        <w:t>ACCOUNTING CHANGE............................... 856.2</w:t>
      </w:r>
    </w:p>
    <w:p>
      <w:pPr>
        <w:ind w:left="1500"/>
        <w:spacing w:after="0" w:line="237" w:lineRule="auto"/>
        <w:rPr>
          <w:sz w:val="20"/>
          <w:szCs w:val="20"/>
          <w:color w:val="auto"/>
        </w:rPr>
      </w:pPr>
      <w:r>
        <w:rPr>
          <w:rFonts w:ascii="Courier New" w:cs="Courier New" w:eastAsia="Courier New" w:hAnsi="Courier New"/>
          <w:sz w:val="16"/>
          <w:szCs w:val="16"/>
          <w:color w:val="auto"/>
        </w:rPr>
        <w:t>3,601.7 1,500.0 INCOME TAX</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EXPENSE.......................................... (470.2)</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(1,441.3) (723.7) --------- --------- -------- INCOME</w:t>
      </w:r>
    </w:p>
    <w:p>
      <w:pPr>
        <w:ind w:left="280"/>
        <w:spacing w:after="0"/>
        <w:rPr>
          <w:sz w:val="20"/>
          <w:szCs w:val="20"/>
          <w:color w:val="auto"/>
        </w:rPr>
      </w:pPr>
      <w:r>
        <w:rPr>
          <w:rFonts w:ascii="Courier New" w:cs="Courier New" w:eastAsia="Courier New" w:hAnsi="Courier New"/>
          <w:sz w:val="16"/>
          <w:szCs w:val="16"/>
          <w:color w:val="auto"/>
        </w:rPr>
        <w:t>FROM CONTINUING OPERATIONS BEFORE MINORITY INTEREST,</w:t>
      </w:r>
    </w:p>
    <w:p>
      <w:pPr>
        <w:ind w:left="140"/>
        <w:spacing w:after="0" w:line="237" w:lineRule="auto"/>
        <w:rPr>
          <w:sz w:val="20"/>
          <w:szCs w:val="20"/>
          <w:color w:val="auto"/>
        </w:rPr>
      </w:pPr>
      <w:r>
        <w:rPr>
          <w:rFonts w:ascii="Courier New" w:cs="Courier New" w:eastAsia="Courier New" w:hAnsi="Courier New"/>
          <w:sz w:val="16"/>
          <w:szCs w:val="16"/>
          <w:color w:val="auto"/>
        </w:rPr>
        <w:t>EXTRAORDINARY ITEMS AND CUMULATIVE EFFECT OF ACCOUNTING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386.0 2,160.4 776.3 MINORITY</w:t>
      </w:r>
    </w:p>
    <w:p>
      <w:pPr>
        <w:ind w:left="320"/>
        <w:spacing w:after="0"/>
        <w:rPr>
          <w:sz w:val="20"/>
          <w:szCs w:val="20"/>
          <w:color w:val="auto"/>
        </w:rPr>
      </w:pPr>
      <w:r>
        <w:rPr>
          <w:rFonts w:ascii="Courier New" w:cs="Courier New" w:eastAsia="Courier New" w:hAnsi="Courier New"/>
          <w:sz w:val="16"/>
          <w:szCs w:val="16"/>
          <w:color w:val="auto"/>
        </w:rPr>
        <w:t>INTEREST...........................................</w:t>
      </w:r>
    </w:p>
    <w:p>
      <w:pPr>
        <w:ind w:left="140"/>
        <w:spacing w:after="0" w:line="237" w:lineRule="auto"/>
        <w:rPr>
          <w:sz w:val="20"/>
          <w:szCs w:val="20"/>
          <w:color w:val="auto"/>
        </w:rPr>
      </w:pPr>
      <w:r>
        <w:rPr>
          <w:rFonts w:ascii="Courier New" w:cs="Courier New" w:eastAsia="Courier New" w:hAnsi="Courier New"/>
          <w:sz w:val="16"/>
          <w:szCs w:val="16"/>
          <w:color w:val="auto"/>
        </w:rPr>
        <w:t>(160.4) (115.3) 4.6 --------- --------- -------- INCOME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FROM CONTINUING OPERATIONS BEFORE EXTRAORDINARY ITEMS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CUMULATIVE EFFECT OF ACCOUNTING CHANGE................</w:t>
      </w:r>
    </w:p>
    <w:p>
      <w:pPr>
        <w:ind w:left="180"/>
        <w:spacing w:after="0"/>
        <w:rPr>
          <w:sz w:val="20"/>
          <w:szCs w:val="20"/>
          <w:color w:val="auto"/>
        </w:rPr>
      </w:pPr>
      <w:r>
        <w:rPr>
          <w:rFonts w:ascii="Courier New" w:cs="Courier New" w:eastAsia="Courier New" w:hAnsi="Courier New"/>
          <w:sz w:val="16"/>
          <w:szCs w:val="16"/>
          <w:color w:val="auto"/>
        </w:rPr>
        <w:t>225.6 2,045.1 780.9 GAIN FROM DISCONTINUED OPERATIONS,</w:t>
      </w:r>
    </w:p>
    <w:p>
      <w:pPr>
        <w:ind w:left="1400"/>
        <w:spacing w:after="0" w:line="237" w:lineRule="auto"/>
        <w:rPr>
          <w:sz w:val="20"/>
          <w:szCs w:val="20"/>
          <w:color w:val="auto"/>
        </w:rPr>
      </w:pPr>
      <w:r>
        <w:rPr>
          <w:rFonts w:ascii="Courier New" w:cs="Courier New" w:eastAsia="Courier New" w:hAnsi="Courier New"/>
          <w:sz w:val="16"/>
          <w:szCs w:val="16"/>
          <w:color w:val="auto"/>
        </w:rPr>
        <w:t>net of income tax expense of</w:t>
      </w:r>
    </w:p>
    <w:p>
      <w:pPr>
        <w:ind w:left="140"/>
        <w:spacing w:after="0"/>
        <w:rPr>
          <w:sz w:val="20"/>
          <w:szCs w:val="20"/>
          <w:color w:val="auto"/>
        </w:rPr>
      </w:pPr>
      <w:r>
        <w:rPr>
          <w:rFonts w:ascii="Courier New" w:cs="Courier New" w:eastAsia="Courier New" w:hAnsi="Courier New"/>
          <w:sz w:val="16"/>
          <w:szCs w:val="16"/>
          <w:color w:val="auto"/>
        </w:rPr>
        <w:t>$166.1.................................................</w:t>
      </w:r>
    </w:p>
    <w:p>
      <w:pPr>
        <w:ind w:left="460"/>
        <w:spacing w:after="0" w:line="238" w:lineRule="auto"/>
        <w:rPr>
          <w:sz w:val="20"/>
          <w:szCs w:val="20"/>
          <w:color w:val="auto"/>
        </w:rPr>
      </w:pPr>
      <w:r>
        <w:rPr>
          <w:rFonts w:ascii="Courier New" w:cs="Courier New" w:eastAsia="Courier New" w:hAnsi="Courier New"/>
          <w:sz w:val="16"/>
          <w:szCs w:val="16"/>
          <w:color w:val="auto"/>
        </w:rPr>
        <w:t>335.8 --------- --------- -------- INCOME BEFORE</w:t>
      </w:r>
    </w:p>
    <w:p>
      <w:pPr>
        <w:ind w:left="140"/>
        <w:spacing w:after="0"/>
        <w:rPr>
          <w:sz w:val="20"/>
          <w:szCs w:val="20"/>
          <w:color w:val="auto"/>
        </w:rPr>
      </w:pPr>
      <w:r>
        <w:rPr>
          <w:rFonts w:ascii="Courier New" w:cs="Courier New" w:eastAsia="Courier New" w:hAnsi="Courier New"/>
          <w:sz w:val="16"/>
          <w:szCs w:val="16"/>
          <w:color w:val="auto"/>
        </w:rPr>
        <w:t>EXTRAORDINARY ITEMS AND CUMULATIVE EFFECT OF ACCOUNTING</w:t>
      </w:r>
    </w:p>
    <w:p>
      <w:pPr>
        <w:ind w:left="220"/>
        <w:spacing w:after="0" w:line="238" w:lineRule="auto"/>
        <w:rPr>
          <w:sz w:val="20"/>
          <w:szCs w:val="20"/>
          <w:color w:val="auto"/>
        </w:rPr>
      </w:pPr>
      <w:r>
        <w:rPr>
          <w:rFonts w:ascii="Courier New" w:cs="Courier New" w:eastAsia="Courier New" w:hAnsi="Courier New"/>
          <w:sz w:val="16"/>
          <w:szCs w:val="16"/>
          <w:color w:val="auto"/>
        </w:rPr>
        <w:t>CHANGE......................................... 225.6</w:t>
      </w:r>
    </w:p>
    <w:p>
      <w:pPr>
        <w:ind w:left="1360"/>
        <w:spacing w:after="0"/>
        <w:rPr>
          <w:sz w:val="20"/>
          <w:szCs w:val="20"/>
          <w:color w:val="auto"/>
        </w:rPr>
      </w:pPr>
      <w:r>
        <w:rPr>
          <w:rFonts w:ascii="Courier New" w:cs="Courier New" w:eastAsia="Courier New" w:hAnsi="Courier New"/>
          <w:sz w:val="16"/>
          <w:szCs w:val="16"/>
          <w:color w:val="auto"/>
        </w:rPr>
        <w:t>2,045.1 1,116.7 EXTRAORDINARY</w:t>
      </w:r>
    </w:p>
    <w:p>
      <w:pPr>
        <w:ind w:left="280"/>
        <w:spacing w:after="0" w:line="237" w:lineRule="auto"/>
        <w:rPr>
          <w:sz w:val="20"/>
          <w:szCs w:val="20"/>
          <w:color w:val="auto"/>
        </w:rPr>
      </w:pPr>
      <w:r>
        <w:rPr>
          <w:rFonts w:ascii="Courier New" w:cs="Courier New" w:eastAsia="Courier New" w:hAnsi="Courier New"/>
          <w:sz w:val="16"/>
          <w:szCs w:val="16"/>
          <w:color w:val="auto"/>
        </w:rPr>
        <w:t>ITEMS......................................... (1.5)</w:t>
      </w:r>
    </w:p>
    <w:p>
      <w:pPr>
        <w:ind w:left="600"/>
        <w:spacing w:after="0"/>
        <w:rPr>
          <w:sz w:val="20"/>
          <w:szCs w:val="20"/>
          <w:color w:val="auto"/>
        </w:rPr>
      </w:pPr>
      <w:r>
        <w:rPr>
          <w:rFonts w:ascii="Courier New" w:cs="Courier New" w:eastAsia="Courier New" w:hAnsi="Courier New"/>
          <w:sz w:val="16"/>
          <w:szCs w:val="16"/>
          <w:color w:val="auto"/>
        </w:rPr>
        <w:t>(23.6) (51.0) CUMULATIVE EFFECT OF ACCOUNTING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CHANGE...................... 384.5 --------- --------- --</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 NET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608.6 2,021.5 1,065.7 PREFERRED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DIVIDENDS......................................... (23.5)</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(29.7) --------- --------- -------- NET INCOME FOR COMMON</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STOCKHOLDERS.......................... $ 608.6 $ 1,998.0</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$1,036.0 ========= ========= ======== BASIC EARNINGS</w:t>
      </w:r>
    </w:p>
    <w:p>
      <w:pPr>
        <w:ind w:left="180"/>
        <w:spacing w:after="0"/>
        <w:rPr>
          <w:sz w:val="20"/>
          <w:szCs w:val="20"/>
          <w:color w:val="auto"/>
        </w:rPr>
      </w:pPr>
      <w:r>
        <w:rPr>
          <w:rFonts w:ascii="Courier New" w:cs="Courier New" w:eastAsia="Courier New" w:hAnsi="Courier New"/>
          <w:sz w:val="16"/>
          <w:szCs w:val="16"/>
          <w:color w:val="auto"/>
        </w:rPr>
        <w:t>(LOSS) FOR COMMON STOCKHOLDERS PER COMMON SHARE Income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from continuing operations before extraordinary items and</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cumulative effect of accounting change........ $ 0.24 $</w:t>
      </w:r>
    </w:p>
    <w:p>
      <w:pPr>
        <w:ind w:left="1580"/>
        <w:spacing w:after="0"/>
        <w:rPr>
          <w:sz w:val="20"/>
          <w:szCs w:val="20"/>
          <w:color w:val="auto"/>
        </w:rPr>
      </w:pPr>
      <w:r>
        <w:rPr>
          <w:rFonts w:ascii="Courier New" w:cs="Courier New" w:eastAsia="Courier New" w:hAnsi="Courier New"/>
          <w:sz w:val="16"/>
          <w:szCs w:val="16"/>
          <w:color w:val="auto"/>
        </w:rPr>
        <w:t>2.27 $ 1.00 Discontinued</w:t>
      </w:r>
    </w:p>
    <w:p>
      <w:pPr>
        <w:ind w:left="360"/>
        <w:spacing w:after="0" w:line="237" w:lineRule="auto"/>
        <w:rPr>
          <w:sz w:val="20"/>
          <w:szCs w:val="20"/>
          <w:color w:val="auto"/>
        </w:rPr>
      </w:pPr>
      <w:r>
        <w:rPr>
          <w:rFonts w:ascii="Courier New" w:cs="Courier New" w:eastAsia="Courier New" w:hAnsi="Courier New"/>
          <w:sz w:val="16"/>
          <w:szCs w:val="16"/>
          <w:color w:val="auto"/>
        </w:rPr>
        <w:t>operations................................... 0.45</w:t>
      </w:r>
    </w:p>
    <w:p>
      <w:pPr>
        <w:ind w:left="2100"/>
        <w:spacing w:after="0"/>
        <w:rPr>
          <w:sz w:val="20"/>
          <w:szCs w:val="20"/>
          <w:color w:val="auto"/>
        </w:rPr>
      </w:pPr>
      <w:r>
        <w:rPr>
          <w:rFonts w:ascii="Courier New" w:cs="Courier New" w:eastAsia="Courier New" w:hAnsi="Courier New"/>
          <w:sz w:val="16"/>
          <w:szCs w:val="16"/>
          <w:color w:val="auto"/>
        </w:rPr>
        <w:t>Extraordinary</w:t>
      </w:r>
    </w:p>
    <w:p>
      <w:pPr>
        <w:ind w:left="320"/>
        <w:spacing w:after="0" w:line="238" w:lineRule="auto"/>
        <w:rPr>
          <w:sz w:val="20"/>
          <w:szCs w:val="20"/>
          <w:color w:val="auto"/>
        </w:rPr>
      </w:pPr>
      <w:r>
        <w:rPr>
          <w:rFonts w:ascii="Courier New" w:cs="Courier New" w:eastAsia="Courier New" w:hAnsi="Courier New"/>
          <w:sz w:val="16"/>
          <w:szCs w:val="16"/>
          <w:color w:val="auto"/>
        </w:rPr>
        <w:t>items....................................... (0.03)</w:t>
      </w:r>
    </w:p>
    <w:p>
      <w:pPr>
        <w:ind w:left="940"/>
        <w:spacing w:after="0"/>
        <w:rPr>
          <w:sz w:val="20"/>
          <w:szCs w:val="20"/>
          <w:color w:val="auto"/>
        </w:rPr>
      </w:pPr>
      <w:r>
        <w:rPr>
          <w:rFonts w:ascii="Courier New" w:cs="Courier New" w:eastAsia="Courier New" w:hAnsi="Courier New"/>
          <w:sz w:val="16"/>
          <w:szCs w:val="16"/>
          <w:color w:val="auto"/>
        </w:rPr>
        <w:t>(0.07) Cumulative effect of accounting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change.................... 0.40 --------- --------- -----</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 Net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6"/>
          <w:szCs w:val="16"/>
          <w:color w:val="auto"/>
        </w:rPr>
        <w:t>0.64 $ 2.24 $ 1.38 ========= ========= ======== BASIC</w:t>
      </w:r>
    </w:p>
    <w:p>
      <w:pPr>
        <w:jc w:val="center"/>
        <w:ind w:right="4779"/>
        <w:spacing w:after="0"/>
        <w:rPr>
          <w:sz w:val="20"/>
          <w:szCs w:val="20"/>
          <w:color w:val="auto"/>
        </w:rPr>
      </w:pPr>
      <w:r>
        <w:rPr>
          <w:rFonts w:ascii="Courier New" w:cs="Courier New" w:eastAsia="Courier New" w:hAnsi="Courier New"/>
          <w:sz w:val="16"/>
          <w:szCs w:val="16"/>
          <w:color w:val="auto"/>
        </w:rPr>
        <w:t>WEIGHTED AVERAGE NUMBER OF COMMON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w:t>
      </w:r>
    </w:p>
    <w:p>
      <w:pPr>
        <w:spacing w:after="0" w:line="10" w:lineRule="exact"/>
        <w:rPr>
          <w:sz w:val="20"/>
          <w:szCs w:val="20"/>
          <w:color w:val="auto"/>
        </w:rPr>
      </w:pPr>
    </w:p>
    <w:p>
      <w:pPr>
        <w:jc w:val="center"/>
        <w:ind w:right="4799"/>
        <w:spacing w:after="0" w:line="254" w:lineRule="auto"/>
        <w:rPr>
          <w:sz w:val="20"/>
          <w:szCs w:val="20"/>
          <w:color w:val="auto"/>
        </w:rPr>
      </w:pPr>
      <w:r>
        <w:rPr>
          <w:rFonts w:ascii="Courier New" w:cs="Courier New" w:eastAsia="Courier New" w:hAnsi="Courier New"/>
          <w:sz w:val="15"/>
          <w:szCs w:val="15"/>
          <w:color w:val="auto"/>
        </w:rPr>
        <w:t>949.7 890.7 749.1 ========= ========= ======== DILUTED EARNINGS (LOSS) FOR COMMON STOCKHOLDERS PER COMMON SHARE Income from continuing operations before extraordinary items and cumulative effect of accounting change........ $ 0.23 $ 2.16 $ 0.95 Discontinued</w:t>
      </w:r>
    </w:p>
    <w:p>
      <w:pPr>
        <w:ind w:left="360"/>
        <w:spacing w:after="0" w:line="236" w:lineRule="auto"/>
        <w:rPr>
          <w:sz w:val="20"/>
          <w:szCs w:val="20"/>
          <w:color w:val="auto"/>
        </w:rPr>
      </w:pPr>
      <w:r>
        <w:rPr>
          <w:rFonts w:ascii="Courier New" w:cs="Courier New" w:eastAsia="Courier New" w:hAnsi="Courier New"/>
          <w:sz w:val="16"/>
          <w:szCs w:val="16"/>
          <w:color w:val="auto"/>
        </w:rPr>
        <w:t>operations................................... 0.41</w:t>
      </w:r>
    </w:p>
    <w:p>
      <w:pPr>
        <w:ind w:left="2100"/>
        <w:spacing w:after="0"/>
        <w:rPr>
          <w:sz w:val="20"/>
          <w:szCs w:val="20"/>
          <w:color w:val="auto"/>
        </w:rPr>
      </w:pPr>
      <w:r>
        <w:rPr>
          <w:rFonts w:ascii="Courier New" w:cs="Courier New" w:eastAsia="Courier New" w:hAnsi="Courier New"/>
          <w:sz w:val="16"/>
          <w:szCs w:val="16"/>
          <w:color w:val="auto"/>
        </w:rPr>
        <w:t>Extraordinary</w:t>
      </w:r>
    </w:p>
    <w:p>
      <w:pPr>
        <w:sectPr>
          <w:pgSz w:w="11900" w:h="16908" w:orient="portrait"/>
          <w:cols w:equalWidth="0" w:num="1">
            <w:col w:w="10219"/>
          </w:cols>
          <w:pgMar w:left="240" w:top="659" w:right="1440" w:bottom="0" w:gutter="0" w:footer="0" w:header="0"/>
        </w:sectPr>
      </w:pPr>
    </w:p>
    <w:bookmarkStart w:id="278" w:name="page279"/>
    <w:bookmarkEnd w:id="278"/>
    <w:p>
      <w:pPr>
        <w:jc w:val="center"/>
        <w:ind w:right="4779"/>
        <w:spacing w:after="0"/>
        <w:rPr>
          <w:sz w:val="20"/>
          <w:szCs w:val="20"/>
          <w:color w:val="auto"/>
        </w:rPr>
      </w:pPr>
      <w:r>
        <w:rPr>
          <w:rFonts w:ascii="Courier New" w:cs="Courier New" w:eastAsia="Courier New" w:hAnsi="Courier New"/>
          <w:sz w:val="16"/>
          <w:szCs w:val="16"/>
          <w:color w:val="auto"/>
        </w:rPr>
        <w:t>items....................................... (0.03)</w:t>
      </w:r>
    </w:p>
    <w:p>
      <w:pPr>
        <w:jc w:val="center"/>
        <w:ind w:right="4779"/>
        <w:spacing w:after="0"/>
        <w:rPr>
          <w:sz w:val="20"/>
          <w:szCs w:val="20"/>
          <w:color w:val="auto"/>
        </w:rPr>
      </w:pPr>
      <w:r>
        <w:rPr>
          <w:rFonts w:ascii="Courier New" w:cs="Courier New" w:eastAsia="Courier New" w:hAnsi="Courier New"/>
          <w:sz w:val="16"/>
          <w:szCs w:val="16"/>
          <w:color w:val="auto"/>
        </w:rPr>
        <w:t>(0.06) Cumulative effect of accounting</w:t>
      </w:r>
    </w:p>
    <w:p>
      <w:pPr>
        <w:spacing w:after="0" w:line="3"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change.................... 0.40 --------- --------- -----</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6"/>
          <w:szCs w:val="16"/>
          <w:color w:val="auto"/>
        </w:rPr>
        <w:t>--- Net</w:t>
      </w:r>
    </w:p>
    <w:p>
      <w:pPr>
        <w:jc w:val="center"/>
        <w:ind w:right="4779"/>
        <w:spacing w:after="0"/>
        <w:rPr>
          <w:sz w:val="20"/>
          <w:szCs w:val="20"/>
          <w:color w:val="auto"/>
        </w:rPr>
      </w:pPr>
      <w:r>
        <w:rPr>
          <w:rFonts w:ascii="Courier New" w:cs="Courier New" w:eastAsia="Courier New" w:hAnsi="Courier New"/>
          <w:sz w:val="16"/>
          <w:szCs w:val="16"/>
          <w:color w:val="auto"/>
        </w:rPr>
        <w:t>income................................................ $</w:t>
      </w:r>
    </w:p>
    <w:p>
      <w:pPr>
        <w:jc w:val="center"/>
        <w:ind w:right="4779"/>
        <w:spacing w:after="0" w:line="237" w:lineRule="auto"/>
        <w:rPr>
          <w:sz w:val="20"/>
          <w:szCs w:val="20"/>
          <w:color w:val="auto"/>
        </w:rPr>
      </w:pPr>
      <w:r>
        <w:rPr>
          <w:rFonts w:ascii="Courier New" w:cs="Courier New" w:eastAsia="Courier New" w:hAnsi="Courier New"/>
          <w:sz w:val="16"/>
          <w:szCs w:val="16"/>
          <w:color w:val="auto"/>
        </w:rPr>
        <w:t>0.63 $ 2.13 $ 1.30 ========= ========= ======== DILUTED</w:t>
      </w:r>
    </w:p>
    <w:p>
      <w:pPr>
        <w:jc w:val="center"/>
        <w:ind w:right="4779"/>
        <w:spacing w:after="0"/>
        <w:rPr>
          <w:sz w:val="20"/>
          <w:szCs w:val="20"/>
          <w:color w:val="auto"/>
        </w:rPr>
      </w:pPr>
      <w:r>
        <w:rPr>
          <w:rFonts w:ascii="Courier New" w:cs="Courier New" w:eastAsia="Courier New" w:hAnsi="Courier New"/>
          <w:sz w:val="16"/>
          <w:szCs w:val="16"/>
          <w:color w:val="auto"/>
        </w:rPr>
        <w:t>WEIGHTED AVERAGE NUMBER OF COMMON SHARES</w:t>
      </w:r>
    </w:p>
    <w:p>
      <w:pPr>
        <w:spacing w:after="0" w:line="238" w:lineRule="auto"/>
        <w:rPr>
          <w:sz w:val="20"/>
          <w:szCs w:val="20"/>
          <w:color w:val="auto"/>
        </w:rPr>
      </w:pPr>
      <w:r>
        <w:rPr>
          <w:rFonts w:ascii="Courier New" w:cs="Courier New" w:eastAsia="Courier New" w:hAnsi="Courier New"/>
          <w:sz w:val="16"/>
          <w:szCs w:val="16"/>
          <w:color w:val="auto"/>
        </w:rPr>
        <w:t>OUTSTANDING...............................................</w:t>
      </w:r>
    </w:p>
    <w:p>
      <w:pPr>
        <w:ind w:left="560"/>
        <w:spacing w:after="0"/>
        <w:rPr>
          <w:sz w:val="20"/>
          <w:szCs w:val="20"/>
          <w:color w:val="auto"/>
        </w:rPr>
      </w:pPr>
      <w:r>
        <w:rPr>
          <w:rFonts w:ascii="Courier New" w:cs="Courier New" w:eastAsia="Courier New" w:hAnsi="Courier New"/>
          <w:sz w:val="16"/>
          <w:szCs w:val="16"/>
          <w:color w:val="auto"/>
        </w:rPr>
        <w:t>964.5 948.7 819.9 ========= ========= ========</w:t>
      </w:r>
    </w:p>
    <w:p>
      <w:pPr>
        <w:spacing w:after="0" w:line="359"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See notes to consolidated financial statements.</w:t>
      </w:r>
    </w:p>
    <w:p>
      <w:pPr>
        <w:ind w:left="3660"/>
        <w:spacing w:after="0"/>
        <w:rPr>
          <w:sz w:val="20"/>
          <w:szCs w:val="20"/>
          <w:color w:val="auto"/>
        </w:rPr>
      </w:pPr>
      <w:r>
        <w:rPr>
          <w:rFonts w:ascii="Courier New" w:cs="Courier New" w:eastAsia="Courier New" w:hAnsi="Courier New"/>
          <w:sz w:val="16"/>
          <w:szCs w:val="16"/>
          <w:color w:val="auto"/>
        </w:rPr>
        <w:t>F-90</w:t>
      </w:r>
    </w:p>
    <w:p>
      <w:pPr>
        <w:sectPr>
          <w:pgSz w:w="11900" w:h="16838" w:orient="portrait"/>
          <w:cols w:equalWidth="0" w:num="1">
            <w:col w:w="10219"/>
          </w:cols>
          <w:pgMar w:left="240" w:top="137" w:right="1440" w:bottom="1440" w:gutter="0" w:footer="0" w:header="0"/>
        </w:sectPr>
      </w:pPr>
    </w:p>
    <w:bookmarkStart w:id="279" w:name="page280"/>
    <w:bookmarkEnd w:id="279"/>
    <w:p>
      <w:pPr>
        <w:spacing w:after="0" w:line="71"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CONSOLIDATED STATEMENT OF CASH FLOWS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ind w:left="80"/>
        <w:spacing w:after="0"/>
        <w:rPr>
          <w:sz w:val="20"/>
          <w:szCs w:val="20"/>
          <w:color w:val="auto"/>
        </w:rPr>
      </w:pPr>
      <w:r>
        <w:rPr>
          <w:rFonts w:ascii="Courier New" w:cs="Courier New" w:eastAsia="Courier New" w:hAnsi="Courier New"/>
          <w:sz w:val="16"/>
          <w:szCs w:val="16"/>
          <w:color w:val="auto"/>
        </w:rPr>
        <w:t>2001 2000 1999 --------- --------- --------- (DOLLARS IN</w:t>
      </w:r>
    </w:p>
    <w:p>
      <w:pPr>
        <w:ind w:left="1120"/>
        <w:spacing w:after="0" w:line="237" w:lineRule="auto"/>
        <w:rPr>
          <w:sz w:val="20"/>
          <w:szCs w:val="20"/>
          <w:color w:val="auto"/>
        </w:rPr>
      </w:pPr>
      <w:r>
        <w:rPr>
          <w:rFonts w:ascii="Courier New" w:cs="Courier New" w:eastAsia="Courier New" w:hAnsi="Courier New"/>
          <w:sz w:val="16"/>
          <w:szCs w:val="16"/>
          <w:color w:val="auto"/>
        </w:rPr>
        <w:t>MILLIONS) OPERATING ACTIVITIES Net</w:t>
      </w:r>
    </w:p>
    <w:p>
      <w:pPr>
        <w:ind w:left="80"/>
        <w:spacing w:after="0"/>
        <w:rPr>
          <w:sz w:val="20"/>
          <w:szCs w:val="20"/>
          <w:color w:val="auto"/>
        </w:rPr>
      </w:pPr>
      <w:r>
        <w:rPr>
          <w:rFonts w:ascii="Courier New" w:cs="Courier New" w:eastAsia="Courier New" w:hAnsi="Courier New"/>
          <w:sz w:val="16"/>
          <w:szCs w:val="16"/>
          <w:color w:val="auto"/>
        </w:rPr>
        <w:t>income................................................ $</w:t>
      </w:r>
    </w:p>
    <w:p>
      <w:pPr>
        <w:ind w:left="180"/>
        <w:spacing w:after="0" w:line="238" w:lineRule="auto"/>
        <w:rPr>
          <w:sz w:val="20"/>
          <w:szCs w:val="20"/>
          <w:color w:val="auto"/>
        </w:rPr>
      </w:pPr>
      <w:r>
        <w:rPr>
          <w:rFonts w:ascii="Courier New" w:cs="Courier New" w:eastAsia="Courier New" w:hAnsi="Courier New"/>
          <w:sz w:val="16"/>
          <w:szCs w:val="16"/>
          <w:color w:val="auto"/>
        </w:rPr>
        <w:t>608.6 $ 2,021.5 $ 1,065.7 Adjustments to reconcile net</w:t>
      </w:r>
    </w:p>
    <w:p>
      <w:pPr>
        <w:jc w:val="center"/>
        <w:ind w:right="4779"/>
        <w:spacing w:after="0"/>
        <w:rPr>
          <w:sz w:val="20"/>
          <w:szCs w:val="20"/>
          <w:color w:val="auto"/>
        </w:rPr>
      </w:pPr>
      <w:r>
        <w:rPr>
          <w:rFonts w:ascii="Courier New" w:cs="Courier New" w:eastAsia="Courier New" w:hAnsi="Courier New"/>
          <w:sz w:val="16"/>
          <w:szCs w:val="16"/>
          <w:color w:val="auto"/>
        </w:rPr>
        <w:t>income to net cash provided by operating activities from</w:t>
      </w:r>
    </w:p>
    <w:p>
      <w:pPr>
        <w:jc w:val="center"/>
        <w:ind w:right="4779"/>
        <w:spacing w:after="0" w:line="238" w:lineRule="auto"/>
        <w:rPr>
          <w:sz w:val="20"/>
          <w:szCs w:val="20"/>
          <w:color w:val="auto"/>
        </w:rPr>
      </w:pPr>
      <w:r>
        <w:rPr>
          <w:rFonts w:ascii="Courier New" w:cs="Courier New" w:eastAsia="Courier New" w:hAnsi="Courier New"/>
          <w:sz w:val="16"/>
          <w:szCs w:val="16"/>
          <w:color w:val="auto"/>
        </w:rPr>
        <w:t>continuing operations:</w:t>
      </w:r>
    </w:p>
    <w:p>
      <w:pPr>
        <w:ind w:left="140"/>
        <w:spacing w:after="0"/>
        <w:rPr>
          <w:sz w:val="20"/>
          <w:szCs w:val="20"/>
          <w:color w:val="auto"/>
        </w:rPr>
      </w:pPr>
      <w:r>
        <w:rPr>
          <w:rFonts w:ascii="Courier New" w:cs="Courier New" w:eastAsia="Courier New" w:hAnsi="Courier New"/>
          <w:sz w:val="16"/>
          <w:szCs w:val="16"/>
          <w:color w:val="auto"/>
        </w:rPr>
        <w:t>Depreciation...........................................</w:t>
      </w:r>
    </w:p>
    <w:p>
      <w:pPr>
        <w:jc w:val="center"/>
        <w:ind w:right="4779"/>
        <w:spacing w:after="0" w:line="237" w:lineRule="auto"/>
        <w:rPr>
          <w:sz w:val="20"/>
          <w:szCs w:val="20"/>
          <w:color w:val="auto"/>
        </w:rPr>
      </w:pPr>
      <w:r>
        <w:rPr>
          <w:rFonts w:ascii="Courier New" w:cs="Courier New" w:eastAsia="Courier New" w:hAnsi="Courier New"/>
          <w:sz w:val="16"/>
          <w:szCs w:val="16"/>
          <w:color w:val="auto"/>
        </w:rPr>
        <w:t>1,141.8 837.3 572.0</w:t>
      </w:r>
    </w:p>
    <w:p>
      <w:pPr>
        <w:ind w:left="140"/>
        <w:spacing w:after="0"/>
        <w:rPr>
          <w:sz w:val="20"/>
          <w:szCs w:val="20"/>
          <w:color w:val="auto"/>
        </w:rPr>
      </w:pPr>
      <w:r>
        <w:rPr>
          <w:rFonts w:ascii="Courier New" w:cs="Courier New" w:eastAsia="Courier New" w:hAnsi="Courier New"/>
          <w:sz w:val="16"/>
          <w:szCs w:val="16"/>
          <w:color w:val="auto"/>
        </w:rPr>
        <w:t>Amortization...........................................</w:t>
      </w:r>
    </w:p>
    <w:p>
      <w:pPr>
        <w:ind w:left="40"/>
        <w:spacing w:after="0" w:line="238" w:lineRule="auto"/>
        <w:rPr>
          <w:sz w:val="20"/>
          <w:szCs w:val="20"/>
          <w:color w:val="auto"/>
        </w:rPr>
      </w:pPr>
      <w:r>
        <w:rPr>
          <w:rFonts w:ascii="Courier New" w:cs="Courier New" w:eastAsia="Courier New" w:hAnsi="Courier New"/>
          <w:sz w:val="16"/>
          <w:szCs w:val="16"/>
          <w:color w:val="auto"/>
        </w:rPr>
        <w:t>2,306.2 1,794.0 644.0 Non-cash interest (income) expense,</w:t>
      </w:r>
    </w:p>
    <w:p>
      <w:pPr>
        <w:ind w:left="80"/>
        <w:spacing w:after="0"/>
        <w:rPr>
          <w:sz w:val="20"/>
          <w:szCs w:val="20"/>
          <w:color w:val="auto"/>
        </w:rPr>
      </w:pPr>
      <w:r>
        <w:rPr>
          <w:rFonts w:ascii="Courier New" w:cs="Courier New" w:eastAsia="Courier New" w:hAnsi="Courier New"/>
          <w:sz w:val="16"/>
          <w:szCs w:val="16"/>
          <w:color w:val="auto"/>
        </w:rPr>
        <w:t>net................ 40.2 (22.6) (27.8) Non-cash (income)</w:t>
      </w:r>
    </w:p>
    <w:p>
      <w:pPr>
        <w:ind w:left="320"/>
        <w:spacing w:after="0" w:line="238" w:lineRule="auto"/>
        <w:rPr>
          <w:sz w:val="20"/>
          <w:szCs w:val="20"/>
          <w:color w:val="auto"/>
        </w:rPr>
      </w:pPr>
      <w:r>
        <w:rPr>
          <w:rFonts w:ascii="Courier New" w:cs="Courier New" w:eastAsia="Courier New" w:hAnsi="Courier New"/>
          <w:sz w:val="16"/>
          <w:szCs w:val="16"/>
          <w:color w:val="auto"/>
        </w:rPr>
        <w:t>expense related to indexed debt...... (666.0) 666.0</w:t>
      </w:r>
    </w:p>
    <w:p>
      <w:pPr>
        <w:ind w:left="140"/>
        <w:spacing w:after="0"/>
        <w:rPr>
          <w:sz w:val="20"/>
          <w:szCs w:val="20"/>
          <w:color w:val="auto"/>
        </w:rPr>
      </w:pPr>
      <w:r>
        <w:rPr>
          <w:rFonts w:ascii="Courier New" w:cs="Courier New" w:eastAsia="Courier New" w:hAnsi="Courier New"/>
          <w:sz w:val="16"/>
          <w:szCs w:val="16"/>
          <w:color w:val="auto"/>
        </w:rPr>
        <w:t>Equity in net (income) losses of affiliates............</w:t>
      </w:r>
    </w:p>
    <w:p>
      <w:pPr>
        <w:ind w:left="180"/>
        <w:spacing w:after="0" w:line="237" w:lineRule="auto"/>
        <w:rPr>
          <w:sz w:val="20"/>
          <w:szCs w:val="20"/>
          <w:color w:val="auto"/>
        </w:rPr>
      </w:pPr>
      <w:r>
        <w:rPr>
          <w:rFonts w:ascii="Courier New" w:cs="Courier New" w:eastAsia="Courier New" w:hAnsi="Courier New"/>
          <w:sz w:val="16"/>
          <w:szCs w:val="16"/>
          <w:color w:val="auto"/>
        </w:rPr>
        <w:t>28.5 21.3 (1.4) Gains on investments and other income,</w:t>
      </w:r>
    </w:p>
    <w:p>
      <w:pPr>
        <w:ind w:left="140"/>
        <w:spacing w:after="0"/>
        <w:rPr>
          <w:sz w:val="20"/>
          <w:szCs w:val="20"/>
          <w:color w:val="auto"/>
        </w:rPr>
      </w:pPr>
      <w:r>
        <w:rPr>
          <w:rFonts w:ascii="Courier New" w:cs="Courier New" w:eastAsia="Courier New" w:hAnsi="Courier New"/>
          <w:sz w:val="16"/>
          <w:szCs w:val="16"/>
          <w:color w:val="auto"/>
        </w:rPr>
        <w:t>net............. (2,303.3) (3,679.3) (1,917.0) Minority</w:t>
      </w:r>
    </w:p>
    <w:p>
      <w:pPr>
        <w:ind w:left="280"/>
        <w:spacing w:after="0" w:line="238" w:lineRule="auto"/>
        <w:rPr>
          <w:sz w:val="20"/>
          <w:szCs w:val="20"/>
          <w:color w:val="auto"/>
        </w:rPr>
      </w:pPr>
      <w:r>
        <w:rPr>
          <w:rFonts w:ascii="Courier New" w:cs="Courier New" w:eastAsia="Courier New" w:hAnsi="Courier New"/>
          <w:sz w:val="16"/>
          <w:szCs w:val="16"/>
          <w:color w:val="auto"/>
        </w:rPr>
        <w:t>interest...................................... 160.4</w:t>
      </w:r>
    </w:p>
    <w:p>
      <w:pPr>
        <w:ind w:left="1580"/>
        <w:spacing w:after="0"/>
        <w:rPr>
          <w:sz w:val="20"/>
          <w:szCs w:val="20"/>
          <w:color w:val="auto"/>
        </w:rPr>
      </w:pPr>
      <w:r>
        <w:rPr>
          <w:rFonts w:ascii="Courier New" w:cs="Courier New" w:eastAsia="Courier New" w:hAnsi="Courier New"/>
          <w:sz w:val="16"/>
          <w:szCs w:val="16"/>
          <w:color w:val="auto"/>
        </w:rPr>
        <w:t>115.3 (4.6) Discontinued</w:t>
      </w:r>
    </w:p>
    <w:p>
      <w:pPr>
        <w:ind w:left="360"/>
        <w:spacing w:after="0" w:line="238" w:lineRule="auto"/>
        <w:rPr>
          <w:sz w:val="20"/>
          <w:szCs w:val="20"/>
          <w:color w:val="auto"/>
        </w:rPr>
      </w:pPr>
      <w:r>
        <w:rPr>
          <w:rFonts w:ascii="Courier New" w:cs="Courier New" w:eastAsia="Courier New" w:hAnsi="Courier New"/>
          <w:sz w:val="16"/>
          <w:szCs w:val="16"/>
          <w:color w:val="auto"/>
        </w:rPr>
        <w:t>operations................................ (335.8)</w:t>
      </w:r>
    </w:p>
    <w:p>
      <w:pPr>
        <w:ind w:left="140"/>
        <w:spacing w:after="0"/>
        <w:rPr>
          <w:sz w:val="20"/>
          <w:szCs w:val="20"/>
          <w:color w:val="auto"/>
        </w:rPr>
      </w:pPr>
      <w:r>
        <w:rPr>
          <w:rFonts w:ascii="Courier New" w:cs="Courier New" w:eastAsia="Courier New" w:hAnsi="Courier New"/>
          <w:sz w:val="16"/>
          <w:szCs w:val="16"/>
          <w:color w:val="auto"/>
        </w:rPr>
        <w:t>Extraordinary items....................................</w:t>
      </w:r>
    </w:p>
    <w:p>
      <w:pPr>
        <w:ind w:left="600"/>
        <w:spacing w:after="0" w:line="237" w:lineRule="auto"/>
        <w:rPr>
          <w:sz w:val="20"/>
          <w:szCs w:val="20"/>
          <w:color w:val="auto"/>
        </w:rPr>
      </w:pPr>
      <w:r>
        <w:rPr>
          <w:rFonts w:ascii="Courier New" w:cs="Courier New" w:eastAsia="Courier New" w:hAnsi="Courier New"/>
          <w:sz w:val="16"/>
          <w:szCs w:val="16"/>
          <w:color w:val="auto"/>
        </w:rPr>
        <w:t>1.5 23.6 51.0 Cumulative effect of accounting</w:t>
      </w:r>
    </w:p>
    <w:p>
      <w:pPr>
        <w:ind w:left="500"/>
        <w:spacing w:after="0"/>
        <w:rPr>
          <w:sz w:val="20"/>
          <w:szCs w:val="20"/>
          <w:color w:val="auto"/>
        </w:rPr>
      </w:pPr>
      <w:r>
        <w:rPr>
          <w:rFonts w:ascii="Courier New" w:cs="Courier New" w:eastAsia="Courier New" w:hAnsi="Courier New"/>
          <w:sz w:val="16"/>
          <w:szCs w:val="16"/>
          <w:color w:val="auto"/>
        </w:rPr>
        <w:t>change................. (384.5) Deferred income</w:t>
      </w:r>
    </w:p>
    <w:p>
      <w:pPr>
        <w:ind w:left="140"/>
        <w:spacing w:after="0" w:line="238" w:lineRule="auto"/>
        <w:rPr>
          <w:sz w:val="20"/>
          <w:szCs w:val="20"/>
          <w:color w:val="auto"/>
        </w:rPr>
      </w:pPr>
      <w:r>
        <w:rPr>
          <w:rFonts w:ascii="Courier New" w:cs="Courier New" w:eastAsia="Courier New" w:hAnsi="Courier New"/>
          <w:sz w:val="16"/>
          <w:szCs w:val="16"/>
          <w:color w:val="auto"/>
        </w:rPr>
        <w:t>taxes.................................. (240.7) 1,074.6</w:t>
      </w:r>
    </w:p>
    <w:p>
      <w:pPr>
        <w:ind w:left="2440"/>
        <w:spacing w:after="0"/>
        <w:rPr>
          <w:sz w:val="20"/>
          <w:szCs w:val="20"/>
          <w:color w:val="auto"/>
        </w:rPr>
      </w:pPr>
      <w:r>
        <w:rPr>
          <w:rFonts w:ascii="Courier New" w:cs="Courier New" w:eastAsia="Courier New" w:hAnsi="Courier New"/>
          <w:sz w:val="16"/>
          <w:szCs w:val="16"/>
          <w:color w:val="auto"/>
        </w:rPr>
        <w:t>(73.4)</w:t>
      </w:r>
    </w:p>
    <w:p>
      <w:pPr>
        <w:ind w:left="140"/>
        <w:spacing w:after="0" w:line="238" w:lineRule="auto"/>
        <w:rPr>
          <w:sz w:val="20"/>
          <w:szCs w:val="20"/>
          <w:color w:val="auto"/>
        </w:rPr>
      </w:pPr>
      <w:r>
        <w:rPr>
          <w:rFonts w:ascii="Courier New" w:cs="Courier New" w:eastAsia="Courier New" w:hAnsi="Courier New"/>
          <w:sz w:val="16"/>
          <w:szCs w:val="16"/>
          <w:color w:val="auto"/>
        </w:rPr>
        <w:t>Other..................................................</w:t>
      </w:r>
    </w:p>
    <w:p>
      <w:pPr>
        <w:ind w:left="280"/>
        <w:spacing w:after="0"/>
        <w:rPr>
          <w:sz w:val="20"/>
          <w:szCs w:val="20"/>
          <w:color w:val="auto"/>
        </w:rPr>
      </w:pPr>
      <w:r>
        <w:rPr>
          <w:rFonts w:ascii="Courier New" w:cs="Courier New" w:eastAsia="Courier New" w:hAnsi="Courier New"/>
          <w:sz w:val="16"/>
          <w:szCs w:val="16"/>
          <w:color w:val="auto"/>
        </w:rPr>
        <w:t>23.6 51.2 41.5 --------- --------- --------- 1,382.3</w:t>
      </w:r>
    </w:p>
    <w:p>
      <w:pPr>
        <w:ind w:left="80"/>
        <w:spacing w:after="0" w:line="237" w:lineRule="auto"/>
        <w:rPr>
          <w:sz w:val="20"/>
          <w:szCs w:val="20"/>
          <w:color w:val="auto"/>
        </w:rPr>
      </w:pPr>
      <w:r>
        <w:rPr>
          <w:rFonts w:ascii="Courier New" w:cs="Courier New" w:eastAsia="Courier New" w:hAnsi="Courier New"/>
          <w:sz w:val="16"/>
          <w:szCs w:val="16"/>
          <w:color w:val="auto"/>
        </w:rPr>
        <w:t>1,570.9 680.2 Changes in working capital, net of effects</w:t>
      </w:r>
    </w:p>
    <w:p>
      <w:pPr>
        <w:ind w:left="220"/>
        <w:spacing w:after="0"/>
        <w:rPr>
          <w:sz w:val="20"/>
          <w:szCs w:val="20"/>
          <w:color w:val="auto"/>
        </w:rPr>
      </w:pPr>
      <w:r>
        <w:rPr>
          <w:rFonts w:ascii="Courier New" w:cs="Courier New" w:eastAsia="Courier New" w:hAnsi="Courier New"/>
          <w:sz w:val="16"/>
          <w:szCs w:val="16"/>
          <w:color w:val="auto"/>
        </w:rPr>
        <w:t>of acquisitions and divestitures Increase in accounts</w:t>
      </w:r>
    </w:p>
    <w:p>
      <w:pPr>
        <w:ind w:left="180"/>
        <w:spacing w:after="0" w:line="238" w:lineRule="auto"/>
        <w:rPr>
          <w:sz w:val="20"/>
          <w:szCs w:val="20"/>
          <w:color w:val="auto"/>
        </w:rPr>
      </w:pPr>
      <w:r>
        <w:rPr>
          <w:rFonts w:ascii="Courier New" w:cs="Courier New" w:eastAsia="Courier New" w:hAnsi="Courier New"/>
          <w:sz w:val="16"/>
          <w:szCs w:val="16"/>
          <w:color w:val="auto"/>
        </w:rPr>
        <w:t>receivable, net................. (15.8) (195.8) (89.5)</w:t>
      </w:r>
    </w:p>
    <w:p>
      <w:pPr>
        <w:ind w:left="220"/>
        <w:spacing w:after="0"/>
        <w:rPr>
          <w:sz w:val="20"/>
          <w:szCs w:val="20"/>
          <w:color w:val="auto"/>
        </w:rPr>
      </w:pPr>
      <w:r>
        <w:rPr>
          <w:rFonts w:ascii="Courier New" w:cs="Courier New" w:eastAsia="Courier New" w:hAnsi="Courier New"/>
          <w:sz w:val="16"/>
          <w:szCs w:val="16"/>
          <w:color w:val="auto"/>
        </w:rPr>
        <w:t>Increase in inventories, net.........................</w:t>
      </w:r>
    </w:p>
    <w:p>
      <w:pPr>
        <w:ind w:left="40"/>
        <w:spacing w:after="0" w:line="238" w:lineRule="auto"/>
        <w:rPr>
          <w:sz w:val="20"/>
          <w:szCs w:val="20"/>
          <w:color w:val="auto"/>
        </w:rPr>
      </w:pPr>
      <w:r>
        <w:rPr>
          <w:rFonts w:ascii="Courier New" w:cs="Courier New" w:eastAsia="Courier New" w:hAnsi="Courier New"/>
          <w:sz w:val="16"/>
          <w:szCs w:val="16"/>
          <w:color w:val="auto"/>
        </w:rPr>
        <w:t>(16.0) (35.7) (91.9) (Increase) decrease in other current</w:t>
      </w:r>
    </w:p>
    <w:p>
      <w:pPr>
        <w:ind w:left="80"/>
        <w:spacing w:after="0"/>
        <w:rPr>
          <w:sz w:val="20"/>
          <w:szCs w:val="20"/>
          <w:color w:val="auto"/>
        </w:rPr>
      </w:pPr>
      <w:r>
        <w:rPr>
          <w:rFonts w:ascii="Courier New" w:cs="Courier New" w:eastAsia="Courier New" w:hAnsi="Courier New"/>
          <w:sz w:val="16"/>
          <w:szCs w:val="16"/>
          <w:color w:val="auto"/>
        </w:rPr>
        <w:t>assets.......... (27.1) 13.7 30.7 (Decrease) increase in</w:t>
      </w:r>
    </w:p>
    <w:p>
      <w:pPr>
        <w:ind w:left="280"/>
        <w:spacing w:after="0" w:line="237" w:lineRule="auto"/>
        <w:rPr>
          <w:sz w:val="20"/>
          <w:szCs w:val="20"/>
          <w:color w:val="auto"/>
        </w:rPr>
      </w:pPr>
      <w:r>
        <w:rPr>
          <w:rFonts w:ascii="Courier New" w:cs="Courier New" w:eastAsia="Courier New" w:hAnsi="Courier New"/>
          <w:sz w:val="16"/>
          <w:szCs w:val="16"/>
          <w:color w:val="auto"/>
        </w:rPr>
        <w:t>accounts payable, accrued expenses and other current</w:t>
      </w:r>
    </w:p>
    <w:p>
      <w:pPr>
        <w:ind w:left="40"/>
        <w:spacing w:after="0"/>
        <w:rPr>
          <w:sz w:val="20"/>
          <w:szCs w:val="20"/>
          <w:color w:val="auto"/>
        </w:rPr>
      </w:pPr>
      <w:r>
        <w:rPr>
          <w:rFonts w:ascii="Courier New" w:cs="Courier New" w:eastAsia="Courier New" w:hAnsi="Courier New"/>
          <w:sz w:val="16"/>
          <w:szCs w:val="16"/>
          <w:color w:val="auto"/>
        </w:rPr>
        <w:t>liabilities............ (93.9) (133.8) 719.9 --------- --</w:t>
      </w:r>
    </w:p>
    <w:p>
      <w:pPr>
        <w:ind w:left="40"/>
        <w:spacing w:after="0" w:line="238" w:lineRule="auto"/>
        <w:rPr>
          <w:sz w:val="20"/>
          <w:szCs w:val="20"/>
          <w:color w:val="auto"/>
        </w:rPr>
      </w:pPr>
      <w:r>
        <w:rPr>
          <w:rFonts w:ascii="Courier New" w:cs="Courier New" w:eastAsia="Courier New" w:hAnsi="Courier New"/>
          <w:sz w:val="16"/>
          <w:szCs w:val="16"/>
          <w:color w:val="auto"/>
        </w:rPr>
        <w:t>------- --------- (152.8) (351.6) 569.2 Net cash provided</w:t>
      </w:r>
    </w:p>
    <w:p>
      <w:pPr>
        <w:ind w:left="880"/>
        <w:spacing w:after="0"/>
        <w:rPr>
          <w:sz w:val="20"/>
          <w:szCs w:val="20"/>
          <w:color w:val="auto"/>
        </w:rPr>
      </w:pPr>
      <w:r>
        <w:rPr>
          <w:rFonts w:ascii="Courier New" w:cs="Courier New" w:eastAsia="Courier New" w:hAnsi="Courier New"/>
          <w:sz w:val="16"/>
          <w:szCs w:val="16"/>
          <w:color w:val="auto"/>
        </w:rPr>
        <w:t>by operating activities from continuing</w:t>
      </w:r>
    </w:p>
    <w:p>
      <w:pPr>
        <w:ind w:left="220"/>
        <w:spacing w:after="0" w:line="238" w:lineRule="auto"/>
        <w:rPr>
          <w:sz w:val="20"/>
          <w:szCs w:val="20"/>
          <w:color w:val="auto"/>
        </w:rPr>
      </w:pPr>
      <w:r>
        <w:rPr>
          <w:rFonts w:ascii="Courier New" w:cs="Courier New" w:eastAsia="Courier New" w:hAnsi="Courier New"/>
          <w:sz w:val="16"/>
          <w:szCs w:val="16"/>
          <w:color w:val="auto"/>
        </w:rPr>
        <w:t>operations........................... 1,229.5 1,219.3</w:t>
      </w:r>
    </w:p>
    <w:p>
      <w:pPr>
        <w:ind w:left="500"/>
        <w:spacing w:after="0"/>
        <w:rPr>
          <w:sz w:val="20"/>
          <w:szCs w:val="20"/>
          <w:color w:val="auto"/>
        </w:rPr>
      </w:pPr>
      <w:r>
        <w:rPr>
          <w:rFonts w:ascii="Courier New" w:cs="Courier New" w:eastAsia="Courier New" w:hAnsi="Courier New"/>
          <w:sz w:val="16"/>
          <w:szCs w:val="16"/>
          <w:color w:val="auto"/>
        </w:rPr>
        <w:t>1,249.4 --------- --------- --------- FINANCING</w:t>
      </w:r>
    </w:p>
    <w:p>
      <w:pPr>
        <w:ind w:left="1580"/>
        <w:spacing w:after="0" w:line="237" w:lineRule="auto"/>
        <w:rPr>
          <w:sz w:val="20"/>
          <w:szCs w:val="20"/>
          <w:color w:val="auto"/>
        </w:rPr>
      </w:pPr>
      <w:r>
        <w:rPr>
          <w:rFonts w:ascii="Courier New" w:cs="Courier New" w:eastAsia="Courier New" w:hAnsi="Courier New"/>
          <w:sz w:val="16"/>
          <w:szCs w:val="16"/>
          <w:color w:val="auto"/>
        </w:rPr>
        <w:t>ACTIVITIES Proceeds from</w:t>
      </w:r>
    </w:p>
    <w:p>
      <w:pPr>
        <w:ind w:left="280"/>
        <w:spacing w:after="0"/>
        <w:rPr>
          <w:sz w:val="20"/>
          <w:szCs w:val="20"/>
          <w:color w:val="auto"/>
        </w:rPr>
      </w:pPr>
      <w:r>
        <w:rPr>
          <w:rFonts w:ascii="Courier New" w:cs="Courier New" w:eastAsia="Courier New" w:hAnsi="Courier New"/>
          <w:sz w:val="16"/>
          <w:szCs w:val="16"/>
          <w:color w:val="auto"/>
        </w:rPr>
        <w:t>borrowings.................................. 5,686.4</w:t>
      </w:r>
    </w:p>
    <w:p>
      <w:pPr>
        <w:ind w:left="600"/>
        <w:spacing w:after="0" w:line="238" w:lineRule="auto"/>
        <w:rPr>
          <w:sz w:val="20"/>
          <w:szCs w:val="20"/>
          <w:color w:val="auto"/>
        </w:rPr>
      </w:pPr>
      <w:r>
        <w:rPr>
          <w:rFonts w:ascii="Courier New" w:cs="Courier New" w:eastAsia="Courier New" w:hAnsi="Courier New"/>
          <w:sz w:val="16"/>
          <w:szCs w:val="16"/>
          <w:color w:val="auto"/>
        </w:rPr>
        <w:t>5,435.3 2,786.6 Retirements and repayments of</w:t>
      </w:r>
    </w:p>
    <w:p>
      <w:pPr>
        <w:ind w:left="460"/>
        <w:spacing w:after="0"/>
        <w:rPr>
          <w:sz w:val="20"/>
          <w:szCs w:val="20"/>
          <w:color w:val="auto"/>
        </w:rPr>
      </w:pPr>
      <w:r>
        <w:rPr>
          <w:rFonts w:ascii="Courier New" w:cs="Courier New" w:eastAsia="Courier New" w:hAnsi="Courier New"/>
          <w:sz w:val="16"/>
          <w:szCs w:val="16"/>
          <w:color w:val="auto"/>
        </w:rPr>
        <w:t>debt........................ (4,187.7) (5,356.5)</w:t>
      </w:r>
    </w:p>
    <w:p>
      <w:pPr>
        <w:ind w:left="280"/>
        <w:spacing w:after="0" w:line="238" w:lineRule="auto"/>
        <w:rPr>
          <w:sz w:val="20"/>
          <w:szCs w:val="20"/>
          <w:color w:val="auto"/>
        </w:rPr>
      </w:pPr>
      <w:r>
        <w:rPr>
          <w:rFonts w:ascii="Courier New" w:cs="Courier New" w:eastAsia="Courier New" w:hAnsi="Courier New"/>
          <w:sz w:val="16"/>
          <w:szCs w:val="16"/>
          <w:color w:val="auto"/>
        </w:rPr>
        <w:t>(1,368.2) Issuances of common stock and sales of put</w:t>
      </w:r>
    </w:p>
    <w:p>
      <w:pPr>
        <w:ind w:left="1920"/>
        <w:spacing w:after="0"/>
        <w:rPr>
          <w:sz w:val="20"/>
          <w:szCs w:val="20"/>
          <w:color w:val="auto"/>
        </w:rPr>
      </w:pPr>
      <w:r>
        <w:rPr>
          <w:rFonts w:ascii="Courier New" w:cs="Courier New" w:eastAsia="Courier New" w:hAnsi="Courier New"/>
          <w:sz w:val="16"/>
          <w:szCs w:val="16"/>
          <w:color w:val="auto"/>
        </w:rPr>
        <w:t>options on common</w:t>
      </w:r>
    </w:p>
    <w:p>
      <w:pPr>
        <w:ind w:left="220"/>
        <w:spacing w:after="0" w:line="237" w:lineRule="auto"/>
        <w:rPr>
          <w:sz w:val="20"/>
          <w:szCs w:val="20"/>
          <w:color w:val="auto"/>
        </w:rPr>
      </w:pPr>
      <w:r>
        <w:rPr>
          <w:rFonts w:ascii="Courier New" w:cs="Courier New" w:eastAsia="Courier New" w:hAnsi="Courier New"/>
          <w:sz w:val="16"/>
          <w:szCs w:val="16"/>
          <w:color w:val="auto"/>
        </w:rPr>
        <w:t>stock........................................... 27.2</w:t>
      </w:r>
    </w:p>
    <w:p>
      <w:pPr>
        <w:ind w:left="1260"/>
        <w:spacing w:after="0"/>
        <w:rPr>
          <w:sz w:val="20"/>
          <w:szCs w:val="20"/>
          <w:color w:val="auto"/>
        </w:rPr>
      </w:pPr>
      <w:r>
        <w:rPr>
          <w:rFonts w:ascii="Courier New" w:cs="Courier New" w:eastAsia="Courier New" w:hAnsi="Courier New"/>
          <w:sz w:val="16"/>
          <w:szCs w:val="16"/>
          <w:color w:val="auto"/>
        </w:rPr>
        <w:t>30.5 17.1 Repurchases of common</w:t>
      </w:r>
    </w:p>
    <w:p>
      <w:pPr>
        <w:ind w:left="320"/>
        <w:spacing w:after="0" w:line="238" w:lineRule="auto"/>
        <w:rPr>
          <w:sz w:val="20"/>
          <w:szCs w:val="20"/>
          <w:color w:val="auto"/>
        </w:rPr>
      </w:pPr>
      <w:r>
        <w:rPr>
          <w:rFonts w:ascii="Courier New" w:cs="Courier New" w:eastAsia="Courier New" w:hAnsi="Courier New"/>
          <w:sz w:val="16"/>
          <w:szCs w:val="16"/>
          <w:color w:val="auto"/>
        </w:rPr>
        <w:t>stock............................... (27.1) (324.9)</w:t>
      </w:r>
    </w:p>
    <w:p>
      <w:pPr>
        <w:ind w:left="2440"/>
        <w:spacing w:after="0"/>
        <w:rPr>
          <w:sz w:val="20"/>
          <w:szCs w:val="20"/>
          <w:color w:val="auto"/>
        </w:rPr>
      </w:pPr>
      <w:r>
        <w:rPr>
          <w:rFonts w:ascii="Courier New" w:cs="Courier New" w:eastAsia="Courier New" w:hAnsi="Courier New"/>
          <w:sz w:val="16"/>
          <w:szCs w:val="16"/>
          <w:color w:val="auto"/>
        </w:rPr>
        <w:t>(30.7)</w:t>
      </w:r>
    </w:p>
    <w:p>
      <w:pPr>
        <w:spacing w:after="0" w:line="238" w:lineRule="auto"/>
        <w:rPr>
          <w:sz w:val="20"/>
          <w:szCs w:val="20"/>
          <w:color w:val="auto"/>
        </w:rPr>
      </w:pPr>
      <w:r>
        <w:rPr>
          <w:rFonts w:ascii="Courier New" w:cs="Courier New" w:eastAsia="Courier New" w:hAnsi="Courier New"/>
          <w:sz w:val="16"/>
          <w:szCs w:val="16"/>
          <w:color w:val="auto"/>
        </w:rPr>
        <w:t>Dividends.................................................</w:t>
      </w:r>
    </w:p>
    <w:p>
      <w:pPr>
        <w:ind w:left="1580"/>
        <w:spacing w:after="0"/>
        <w:rPr>
          <w:sz w:val="20"/>
          <w:szCs w:val="20"/>
          <w:color w:val="auto"/>
        </w:rPr>
      </w:pPr>
      <w:r>
        <w:rPr>
          <w:rFonts w:ascii="Courier New" w:cs="Courier New" w:eastAsia="Courier New" w:hAnsi="Courier New"/>
          <w:sz w:val="16"/>
          <w:szCs w:val="16"/>
          <w:color w:val="auto"/>
        </w:rPr>
        <w:t>(9.4) Deferred financing</w:t>
      </w:r>
    </w:p>
    <w:p>
      <w:pPr>
        <w:ind w:left="220"/>
        <w:spacing w:after="0" w:line="237" w:lineRule="auto"/>
        <w:rPr>
          <w:sz w:val="20"/>
          <w:szCs w:val="20"/>
          <w:color w:val="auto"/>
        </w:rPr>
      </w:pPr>
      <w:r>
        <w:rPr>
          <w:rFonts w:ascii="Courier New" w:cs="Courier New" w:eastAsia="Courier New" w:hAnsi="Courier New"/>
          <w:sz w:val="16"/>
          <w:szCs w:val="16"/>
          <w:color w:val="auto"/>
        </w:rPr>
        <w:t>costs.................................. (22.5) (55.8)</w:t>
      </w:r>
    </w:p>
    <w:p>
      <w:pPr>
        <w:ind w:left="2440"/>
        <w:spacing w:after="0"/>
        <w:rPr>
          <w:sz w:val="20"/>
          <w:szCs w:val="20"/>
          <w:color w:val="auto"/>
        </w:rPr>
      </w:pPr>
      <w:r>
        <w:rPr>
          <w:rFonts w:ascii="Courier New" w:cs="Courier New" w:eastAsia="Courier New" w:hAnsi="Courier New"/>
          <w:sz w:val="16"/>
          <w:szCs w:val="16"/>
          <w:color w:val="auto"/>
        </w:rPr>
        <w:t>(51.0)</w:t>
      </w:r>
    </w:p>
    <w:p>
      <w:pPr>
        <w:spacing w:after="0" w:line="238" w:lineRule="auto"/>
        <w:rPr>
          <w:sz w:val="20"/>
          <w:szCs w:val="20"/>
          <w:color w:val="auto"/>
        </w:rPr>
      </w:pPr>
      <w:r>
        <w:rPr>
          <w:rFonts w:ascii="Courier New" w:cs="Courier New" w:eastAsia="Courier New" w:hAnsi="Courier New"/>
          <w:sz w:val="16"/>
          <w:szCs w:val="16"/>
          <w:color w:val="auto"/>
        </w:rPr>
        <w:t>Other.....................................................</w:t>
      </w:r>
    </w:p>
    <w:p>
      <w:pPr>
        <w:ind w:left="80"/>
        <w:spacing w:after="0"/>
        <w:rPr>
          <w:sz w:val="20"/>
          <w:szCs w:val="20"/>
          <w:color w:val="auto"/>
        </w:rPr>
      </w:pPr>
      <w:r>
        <w:rPr>
          <w:rFonts w:ascii="Courier New" w:cs="Courier New" w:eastAsia="Courier New" w:hAnsi="Courier New"/>
          <w:sz w:val="16"/>
          <w:szCs w:val="16"/>
          <w:color w:val="auto"/>
        </w:rPr>
        <w:t>(3.0) --------- --------- --------- Net cash provided by</w:t>
      </w:r>
    </w:p>
    <w:p>
      <w:pPr>
        <w:ind w:left="560"/>
        <w:spacing w:after="0" w:line="238" w:lineRule="auto"/>
        <w:rPr>
          <w:sz w:val="20"/>
          <w:szCs w:val="20"/>
          <w:color w:val="auto"/>
        </w:rPr>
      </w:pPr>
      <w:r>
        <w:rPr>
          <w:rFonts w:ascii="Courier New" w:cs="Courier New" w:eastAsia="Courier New" w:hAnsi="Courier New"/>
          <w:sz w:val="16"/>
          <w:szCs w:val="16"/>
          <w:color w:val="auto"/>
        </w:rPr>
        <w:t>(used in) financing activities from continuing</w:t>
      </w:r>
    </w:p>
    <w:p>
      <w:pPr>
        <w:ind w:left="40"/>
        <w:spacing w:after="0"/>
        <w:rPr>
          <w:sz w:val="20"/>
          <w:szCs w:val="20"/>
          <w:color w:val="auto"/>
        </w:rPr>
      </w:pPr>
      <w:r>
        <w:rPr>
          <w:rFonts w:ascii="Courier New" w:cs="Courier New" w:eastAsia="Courier New" w:hAnsi="Courier New"/>
          <w:sz w:val="16"/>
          <w:szCs w:val="16"/>
          <w:color w:val="auto"/>
        </w:rPr>
        <w:t>operations........... 1,476.3 (271.4) 1,341.4 --------- -</w:t>
      </w:r>
    </w:p>
    <w:p>
      <w:pPr>
        <w:ind w:left="40"/>
        <w:spacing w:after="0" w:line="237" w:lineRule="auto"/>
        <w:rPr>
          <w:sz w:val="20"/>
          <w:szCs w:val="20"/>
          <w:color w:val="auto"/>
        </w:rPr>
      </w:pPr>
      <w:r>
        <w:rPr>
          <w:rFonts w:ascii="Courier New" w:cs="Courier New" w:eastAsia="Courier New" w:hAnsi="Courier New"/>
          <w:sz w:val="16"/>
          <w:szCs w:val="16"/>
          <w:color w:val="auto"/>
        </w:rPr>
        <w:t>-------- --------- INVESTING ACTIVITIES Acquisitions, net</w:t>
      </w:r>
    </w:p>
    <w:p>
      <w:pPr>
        <w:ind w:left="360"/>
        <w:spacing w:after="0"/>
        <w:rPr>
          <w:sz w:val="20"/>
          <w:szCs w:val="20"/>
          <w:color w:val="auto"/>
        </w:rPr>
      </w:pPr>
      <w:r>
        <w:rPr>
          <w:rFonts w:ascii="Courier New" w:cs="Courier New" w:eastAsia="Courier New" w:hAnsi="Courier New"/>
          <w:sz w:val="16"/>
          <w:szCs w:val="16"/>
          <w:color w:val="auto"/>
        </w:rPr>
        <w:t>of cash acquired........................ (1,329.0)</w:t>
      </w:r>
    </w:p>
    <w:p>
      <w:pPr>
        <w:ind w:left="420"/>
        <w:spacing w:after="0" w:line="238" w:lineRule="auto"/>
        <w:rPr>
          <w:sz w:val="20"/>
          <w:szCs w:val="20"/>
          <w:color w:val="auto"/>
        </w:rPr>
      </w:pPr>
      <w:r>
        <w:rPr>
          <w:rFonts w:ascii="Courier New" w:cs="Courier New" w:eastAsia="Courier New" w:hAnsi="Courier New"/>
          <w:sz w:val="16"/>
          <w:szCs w:val="16"/>
          <w:color w:val="auto"/>
        </w:rPr>
        <w:t>(187.3) (755.2) Proceeds from liquidated damages,</w:t>
      </w:r>
    </w:p>
    <w:p>
      <w:pPr>
        <w:ind w:left="140"/>
        <w:spacing w:after="0"/>
        <w:rPr>
          <w:sz w:val="20"/>
          <w:szCs w:val="20"/>
          <w:color w:val="auto"/>
        </w:rPr>
      </w:pPr>
      <w:r>
        <w:rPr>
          <w:rFonts w:ascii="Courier New" w:cs="Courier New" w:eastAsia="Courier New" w:hAnsi="Courier New"/>
          <w:sz w:val="16"/>
          <w:szCs w:val="16"/>
          <w:color w:val="auto"/>
        </w:rPr>
        <w:t>net..................... 1,460.0 Proceeds from sales of</w:t>
      </w:r>
    </w:p>
    <w:p>
      <w:pPr>
        <w:ind w:left="940"/>
        <w:spacing w:after="0" w:line="238" w:lineRule="auto"/>
        <w:rPr>
          <w:sz w:val="20"/>
          <w:szCs w:val="20"/>
          <w:color w:val="auto"/>
        </w:rPr>
      </w:pPr>
      <w:r>
        <w:rPr>
          <w:rFonts w:ascii="Courier New" w:cs="Courier New" w:eastAsia="Courier New" w:hAnsi="Courier New"/>
          <w:sz w:val="16"/>
          <w:szCs w:val="16"/>
          <w:color w:val="auto"/>
        </w:rPr>
        <w:t>(purchases of) short-term investments,</w:t>
      </w:r>
    </w:p>
    <w:p>
      <w:pPr>
        <w:ind w:left="80"/>
        <w:spacing w:after="0"/>
        <w:rPr>
          <w:sz w:val="20"/>
          <w:szCs w:val="20"/>
          <w:color w:val="auto"/>
        </w:rPr>
      </w:pPr>
      <w:r>
        <w:rPr>
          <w:rFonts w:ascii="Courier New" w:cs="Courier New" w:eastAsia="Courier New" w:hAnsi="Courier New"/>
          <w:sz w:val="16"/>
          <w:szCs w:val="16"/>
          <w:color w:val="auto"/>
        </w:rPr>
        <w:t>net....................................... (6.2) 1,028.1</w:t>
      </w:r>
    </w:p>
    <w:p>
      <w:pPr>
        <w:ind w:left="320"/>
        <w:spacing w:after="0" w:line="237" w:lineRule="auto"/>
        <w:rPr>
          <w:sz w:val="20"/>
          <w:szCs w:val="20"/>
          <w:color w:val="auto"/>
        </w:rPr>
      </w:pPr>
      <w:r>
        <w:rPr>
          <w:rFonts w:ascii="Courier New" w:cs="Courier New" w:eastAsia="Courier New" w:hAnsi="Courier New"/>
          <w:sz w:val="16"/>
          <w:szCs w:val="16"/>
          <w:color w:val="auto"/>
        </w:rPr>
        <w:t>(1,035.5) Capital contributions to and purchases of</w:t>
      </w:r>
    </w:p>
    <w:p>
      <w:pPr>
        <w:ind w:left="220"/>
        <w:spacing w:after="0"/>
        <w:rPr>
          <w:sz w:val="20"/>
          <w:szCs w:val="20"/>
          <w:color w:val="auto"/>
        </w:rPr>
      </w:pPr>
      <w:r>
        <w:rPr>
          <w:rFonts w:ascii="Courier New" w:cs="Courier New" w:eastAsia="Courier New" w:hAnsi="Courier New"/>
          <w:sz w:val="16"/>
          <w:szCs w:val="16"/>
          <w:color w:val="auto"/>
        </w:rPr>
        <w:t>investments..... (317.0) (1,010.7) (2,012.2) Proceeds</w:t>
      </w:r>
    </w:p>
    <w:p>
      <w:pPr>
        <w:ind w:left="40"/>
        <w:spacing w:after="0" w:line="238" w:lineRule="auto"/>
        <w:rPr>
          <w:sz w:val="20"/>
          <w:szCs w:val="20"/>
          <w:color w:val="auto"/>
        </w:rPr>
      </w:pPr>
      <w:r>
        <w:rPr>
          <w:rFonts w:ascii="Courier New" w:cs="Courier New" w:eastAsia="Courier New" w:hAnsi="Courier New"/>
          <w:sz w:val="16"/>
          <w:szCs w:val="16"/>
          <w:color w:val="auto"/>
        </w:rPr>
        <w:t>from sales of investments........................ 1,172.8</w:t>
      </w:r>
    </w:p>
    <w:p>
      <w:pPr>
        <w:ind w:left="1820"/>
        <w:spacing w:after="0"/>
        <w:rPr>
          <w:sz w:val="20"/>
          <w:szCs w:val="20"/>
          <w:color w:val="auto"/>
        </w:rPr>
      </w:pPr>
      <w:r>
        <w:rPr>
          <w:rFonts w:ascii="Courier New" w:cs="Courier New" w:eastAsia="Courier New" w:hAnsi="Courier New"/>
          <w:sz w:val="16"/>
          <w:szCs w:val="16"/>
          <w:color w:val="auto"/>
        </w:rPr>
        <w:t>997.3 599.8 Capital</w:t>
      </w:r>
    </w:p>
    <w:p>
      <w:pPr>
        <w:ind w:left="360"/>
        <w:spacing w:after="0" w:line="238" w:lineRule="auto"/>
        <w:rPr>
          <w:sz w:val="20"/>
          <w:szCs w:val="20"/>
          <w:color w:val="auto"/>
        </w:rPr>
      </w:pPr>
      <w:r>
        <w:rPr>
          <w:rFonts w:ascii="Courier New" w:cs="Courier New" w:eastAsia="Courier New" w:hAnsi="Courier New"/>
          <w:sz w:val="16"/>
          <w:szCs w:val="16"/>
          <w:color w:val="auto"/>
        </w:rPr>
        <w:t>expenditures......................................</w:t>
      </w:r>
    </w:p>
    <w:p>
      <w:pPr>
        <w:ind w:left="180"/>
        <w:spacing w:after="0"/>
        <w:rPr>
          <w:sz w:val="20"/>
          <w:szCs w:val="20"/>
          <w:color w:val="auto"/>
        </w:rPr>
      </w:pPr>
      <w:r>
        <w:rPr>
          <w:rFonts w:ascii="Courier New" w:cs="Courier New" w:eastAsia="Courier New" w:hAnsi="Courier New"/>
          <w:sz w:val="16"/>
          <w:szCs w:val="16"/>
          <w:color w:val="auto"/>
        </w:rPr>
        <w:t>(2,181.7) (1,636.8) (893.8) Sale of subsidiary, net of</w:t>
      </w:r>
    </w:p>
    <w:p>
      <w:pPr>
        <w:ind w:left="360"/>
        <w:spacing w:after="0" w:line="237" w:lineRule="auto"/>
        <w:rPr>
          <w:sz w:val="20"/>
          <w:szCs w:val="20"/>
          <w:color w:val="auto"/>
        </w:rPr>
      </w:pPr>
      <w:r>
        <w:rPr>
          <w:rFonts w:ascii="Courier New" w:cs="Courier New" w:eastAsia="Courier New" w:hAnsi="Courier New"/>
          <w:sz w:val="16"/>
          <w:szCs w:val="16"/>
          <w:color w:val="auto"/>
        </w:rPr>
        <w:t>cash sold...................... 361.1 Additions to</w:t>
      </w:r>
    </w:p>
    <w:p>
      <w:pPr>
        <w:ind w:left="220"/>
        <w:spacing w:after="0"/>
        <w:rPr>
          <w:sz w:val="20"/>
          <w:szCs w:val="20"/>
          <w:color w:val="auto"/>
        </w:rPr>
      </w:pPr>
      <w:r>
        <w:rPr>
          <w:rFonts w:ascii="Courier New" w:cs="Courier New" w:eastAsia="Courier New" w:hAnsi="Courier New"/>
          <w:sz w:val="16"/>
          <w:szCs w:val="16"/>
          <w:color w:val="auto"/>
        </w:rPr>
        <w:t>intangible and other noncurrent assets....... (346.2)</w:t>
      </w:r>
    </w:p>
    <w:p>
      <w:pPr>
        <w:ind w:left="180"/>
        <w:spacing w:after="0" w:line="238" w:lineRule="auto"/>
        <w:rPr>
          <w:sz w:val="20"/>
          <w:szCs w:val="20"/>
          <w:color w:val="auto"/>
        </w:rPr>
      </w:pPr>
      <w:r>
        <w:rPr>
          <w:rFonts w:ascii="Courier New" w:cs="Courier New" w:eastAsia="Courier New" w:hAnsi="Courier New"/>
          <w:sz w:val="16"/>
          <w:szCs w:val="16"/>
          <w:color w:val="auto"/>
        </w:rPr>
        <w:t>(409.2) (263.5) --------- --------- --------- Net cash</w:t>
      </w:r>
    </w:p>
    <w:p>
      <w:pPr>
        <w:ind w:left="660"/>
        <w:spacing w:after="0"/>
        <w:rPr>
          <w:sz w:val="20"/>
          <w:szCs w:val="20"/>
          <w:color w:val="auto"/>
        </w:rPr>
      </w:pPr>
      <w:r>
        <w:rPr>
          <w:rFonts w:ascii="Courier New" w:cs="Courier New" w:eastAsia="Courier New" w:hAnsi="Courier New"/>
          <w:sz w:val="16"/>
          <w:szCs w:val="16"/>
          <w:color w:val="auto"/>
        </w:rPr>
        <w:t>used in investing activities from continuing</w:t>
      </w:r>
    </w:p>
    <w:p>
      <w:pPr>
        <w:ind w:left="40"/>
        <w:spacing w:after="0" w:line="238" w:lineRule="auto"/>
        <w:rPr>
          <w:sz w:val="20"/>
          <w:szCs w:val="20"/>
          <w:color w:val="auto"/>
        </w:rPr>
      </w:pPr>
      <w:r>
        <w:rPr>
          <w:rFonts w:ascii="Courier New" w:cs="Courier New" w:eastAsia="Courier New" w:hAnsi="Courier New"/>
          <w:sz w:val="16"/>
          <w:szCs w:val="16"/>
          <w:color w:val="auto"/>
        </w:rPr>
        <w:t>operations........................... (3,007.3) (1,218.6)</w:t>
      </w:r>
    </w:p>
    <w:p>
      <w:pPr>
        <w:ind w:left="360"/>
        <w:spacing w:after="0"/>
        <w:rPr>
          <w:sz w:val="20"/>
          <w:szCs w:val="20"/>
          <w:color w:val="auto"/>
        </w:rPr>
      </w:pPr>
      <w:r>
        <w:rPr>
          <w:rFonts w:ascii="Courier New" w:cs="Courier New" w:eastAsia="Courier New" w:hAnsi="Courier New"/>
          <w:sz w:val="16"/>
          <w:szCs w:val="16"/>
          <w:color w:val="auto"/>
        </w:rPr>
        <w:t>(2,539.3) --------- --------- --------- (DECREASE)</w:t>
      </w:r>
    </w:p>
    <w:p>
      <w:pPr>
        <w:ind w:left="320"/>
        <w:spacing w:after="0" w:line="237" w:lineRule="auto"/>
        <w:rPr>
          <w:sz w:val="20"/>
          <w:szCs w:val="20"/>
          <w:color w:val="auto"/>
        </w:rPr>
      </w:pPr>
      <w:r>
        <w:rPr>
          <w:rFonts w:ascii="Courier New" w:cs="Courier New" w:eastAsia="Courier New" w:hAnsi="Courier New"/>
          <w:sz w:val="16"/>
          <w:szCs w:val="16"/>
          <w:color w:val="auto"/>
        </w:rPr>
        <w:t>INCREASE IN CASH AND CASH EQUIVALENTS -- CONTINUING</w:t>
      </w:r>
    </w:p>
    <w:p>
      <w:pPr>
        <w:ind w:left="220"/>
        <w:spacing w:after="0"/>
        <w:rPr>
          <w:sz w:val="20"/>
          <w:szCs w:val="20"/>
          <w:color w:val="auto"/>
        </w:rPr>
      </w:pPr>
      <w:r>
        <w:rPr>
          <w:rFonts w:ascii="Courier New" w:cs="Courier New" w:eastAsia="Courier New" w:hAnsi="Courier New"/>
          <w:sz w:val="16"/>
          <w:szCs w:val="16"/>
          <w:color w:val="auto"/>
        </w:rPr>
        <w:t>OPERATIONS...................... (301.5) (270.7) 51.5</w:t>
      </w:r>
    </w:p>
    <w:p>
      <w:pPr>
        <w:ind w:left="880"/>
        <w:spacing w:after="0" w:line="238" w:lineRule="auto"/>
        <w:rPr>
          <w:sz w:val="20"/>
          <w:szCs w:val="20"/>
          <w:color w:val="auto"/>
        </w:rPr>
      </w:pPr>
      <w:r>
        <w:rPr>
          <w:rFonts w:ascii="Courier New" w:cs="Courier New" w:eastAsia="Courier New" w:hAnsi="Courier New"/>
          <w:sz w:val="16"/>
          <w:szCs w:val="16"/>
          <w:color w:val="auto"/>
        </w:rPr>
        <w:t>CASH AND CASH EQUIVALENTS, beginning of</w:t>
      </w:r>
    </w:p>
    <w:p>
      <w:pPr>
        <w:ind w:left="40"/>
        <w:spacing w:after="0"/>
        <w:rPr>
          <w:sz w:val="20"/>
          <w:szCs w:val="20"/>
          <w:color w:val="auto"/>
        </w:rPr>
      </w:pPr>
      <w:r>
        <w:rPr>
          <w:rFonts w:ascii="Courier New" w:cs="Courier New" w:eastAsia="Courier New" w:hAnsi="Courier New"/>
          <w:sz w:val="16"/>
          <w:szCs w:val="16"/>
          <w:color w:val="auto"/>
        </w:rPr>
        <w:t>year................ 651.5 922.2 870.7 --------- --------</w:t>
      </w:r>
    </w:p>
    <w:p>
      <w:pPr>
        <w:ind w:left="600"/>
        <w:spacing w:after="0" w:line="238" w:lineRule="auto"/>
        <w:rPr>
          <w:sz w:val="20"/>
          <w:szCs w:val="20"/>
          <w:color w:val="auto"/>
        </w:rPr>
      </w:pPr>
      <w:r>
        <w:rPr>
          <w:rFonts w:ascii="Courier New" w:cs="Courier New" w:eastAsia="Courier New" w:hAnsi="Courier New"/>
          <w:sz w:val="16"/>
          <w:szCs w:val="16"/>
          <w:color w:val="auto"/>
        </w:rPr>
        <w:t>- --------- CASH AND CASH EQUIVALENTS, end of</w:t>
      </w:r>
    </w:p>
    <w:p>
      <w:pPr>
        <w:ind w:left="360"/>
        <w:spacing w:after="0"/>
        <w:rPr>
          <w:sz w:val="20"/>
          <w:szCs w:val="20"/>
          <w:color w:val="auto"/>
        </w:rPr>
      </w:pPr>
      <w:r>
        <w:rPr>
          <w:rFonts w:ascii="Courier New" w:cs="Courier New" w:eastAsia="Courier New" w:hAnsi="Courier New"/>
          <w:sz w:val="16"/>
          <w:szCs w:val="16"/>
          <w:color w:val="auto"/>
        </w:rPr>
        <w:t>year...................... $ 350.0 $ 651.5 $ 922.2</w:t>
      </w:r>
    </w:p>
    <w:p>
      <w:pPr>
        <w:ind w:left="1360"/>
        <w:spacing w:after="0" w:line="238" w:lineRule="auto"/>
        <w:rPr>
          <w:sz w:val="20"/>
          <w:szCs w:val="20"/>
          <w:color w:val="auto"/>
        </w:rPr>
      </w:pPr>
      <w:r>
        <w:rPr>
          <w:rFonts w:ascii="Courier New" w:cs="Courier New" w:eastAsia="Courier New" w:hAnsi="Courier New"/>
          <w:sz w:val="16"/>
          <w:szCs w:val="16"/>
          <w:color w:val="auto"/>
        </w:rPr>
        <w:t>========= ========= =========</w:t>
      </w:r>
    </w:p>
    <w:p>
      <w:pPr>
        <w:spacing w:after="0" w:line="360"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See notes to consolidated financial statements.</w:t>
      </w:r>
    </w:p>
    <w:p>
      <w:pPr>
        <w:ind w:left="3660"/>
        <w:spacing w:after="0"/>
        <w:rPr>
          <w:sz w:val="20"/>
          <w:szCs w:val="20"/>
          <w:color w:val="auto"/>
        </w:rPr>
      </w:pPr>
      <w:r>
        <w:rPr>
          <w:rFonts w:ascii="Courier New" w:cs="Courier New" w:eastAsia="Courier New" w:hAnsi="Courier New"/>
          <w:sz w:val="16"/>
          <w:szCs w:val="16"/>
          <w:color w:val="auto"/>
        </w:rPr>
        <w:t>F-91</w:t>
      </w:r>
    </w:p>
    <w:p>
      <w:pPr>
        <w:sectPr>
          <w:pgSz w:w="11900" w:h="16909" w:orient="portrait"/>
          <w:cols w:equalWidth="0" w:num="1">
            <w:col w:w="10219"/>
          </w:cols>
          <w:pgMar w:left="240" w:top="654" w:right="1440" w:bottom="0" w:gutter="0" w:footer="0" w:header="0"/>
        </w:sectPr>
      </w:pPr>
    </w:p>
    <w:bookmarkStart w:id="280" w:name="page281"/>
    <w:bookmarkEnd w:id="280"/>
    <w:p>
      <w:pPr>
        <w:spacing w:after="0" w:line="7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85" w:lineRule="exact"/>
        <w:rPr>
          <w:sz w:val="20"/>
          <w:szCs w:val="20"/>
          <w:color w:val="auto"/>
        </w:rPr>
      </w:pPr>
    </w:p>
    <w:p>
      <w:pPr>
        <w:ind w:left="40" w:right="4319" w:firstLine="1550"/>
        <w:spacing w:after="0" w:line="236" w:lineRule="auto"/>
        <w:rPr>
          <w:sz w:val="20"/>
          <w:szCs w:val="20"/>
          <w:color w:val="auto"/>
        </w:rPr>
      </w:pPr>
      <w:r>
        <w:rPr>
          <w:rFonts w:ascii="Courier New" w:cs="Courier New" w:eastAsia="Courier New" w:hAnsi="Courier New"/>
          <w:sz w:val="16"/>
          <w:szCs w:val="16"/>
          <w:color w:val="auto"/>
        </w:rPr>
        <w:t>CONSOLIDATED STATEMENT OF STOCKHOLDERS' EQUITY PREFERRED STOCK COMMON STOCK RETAINED ----</w:t>
      </w:r>
    </w:p>
    <w:p>
      <w:pPr>
        <w:ind w:left="180"/>
        <w:spacing w:after="0"/>
        <w:rPr>
          <w:sz w:val="20"/>
          <w:szCs w:val="20"/>
          <w:color w:val="auto"/>
        </w:rPr>
      </w:pPr>
      <w:r>
        <w:rPr>
          <w:rFonts w:ascii="Courier New" w:cs="Courier New" w:eastAsia="Courier New" w:hAnsi="Courier New"/>
          <w:sz w:val="16"/>
          <w:szCs w:val="16"/>
          <w:color w:val="auto"/>
        </w:rPr>
        <w:t>----------- ---------------------------</w:t>
      </w:r>
    </w:p>
    <w:p>
      <w:pPr>
        <w:ind w:left="80"/>
        <w:spacing w:after="0" w:line="237" w:lineRule="auto"/>
        <w:rPr>
          <w:sz w:val="20"/>
          <w:szCs w:val="20"/>
          <w:color w:val="auto"/>
        </w:rPr>
      </w:pPr>
      <w:r>
        <w:rPr>
          <w:rFonts w:ascii="Courier New" w:cs="Courier New" w:eastAsia="Courier New" w:hAnsi="Courier New"/>
          <w:sz w:val="16"/>
          <w:szCs w:val="16"/>
          <w:color w:val="auto"/>
        </w:rPr>
        <w:t>EARNINGS SERIES SERIES CLASS A ADDITIONAL</w:t>
      </w:r>
    </w:p>
    <w:p>
      <w:pPr>
        <w:ind w:left="140"/>
        <w:spacing w:after="0"/>
        <w:rPr>
          <w:sz w:val="20"/>
          <w:szCs w:val="20"/>
          <w:color w:val="auto"/>
        </w:rPr>
      </w:pPr>
      <w:r>
        <w:rPr>
          <w:rFonts w:ascii="Courier New" w:cs="Courier New" w:eastAsia="Courier New" w:hAnsi="Courier New"/>
          <w:sz w:val="16"/>
          <w:szCs w:val="16"/>
          <w:color w:val="auto"/>
        </w:rPr>
        <w:t>(ACCUMULATED A B SPECIAL CLASS A CLASS B</w:t>
      </w:r>
    </w:p>
    <w:p>
      <w:pPr>
        <w:ind w:left="40"/>
        <w:spacing w:after="0" w:line="238" w:lineRule="auto"/>
        <w:rPr>
          <w:sz w:val="20"/>
          <w:szCs w:val="20"/>
          <w:color w:val="auto"/>
        </w:rPr>
      </w:pPr>
      <w:r>
        <w:rPr>
          <w:rFonts w:ascii="Courier New" w:cs="Courier New" w:eastAsia="Courier New" w:hAnsi="Courier New"/>
          <w:sz w:val="16"/>
          <w:szCs w:val="16"/>
          <w:color w:val="auto"/>
        </w:rPr>
        <w:t>CAPITAL DEFICIT) ------ ------ ------- ---</w:t>
      </w:r>
    </w:p>
    <w:p>
      <w:pPr>
        <w:ind w:left="800" w:hanging="478"/>
        <w:spacing w:after="0"/>
        <w:tabs>
          <w:tab w:leader="none" w:pos="80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BALANCE, JANUARY 1,</w:t>
      </w:r>
    </w:p>
    <w:p>
      <w:pPr>
        <w:ind w:left="220"/>
        <w:spacing w:after="0" w:line="237" w:lineRule="auto"/>
        <w:rPr>
          <w:sz w:val="20"/>
          <w:szCs w:val="20"/>
          <w:color w:val="auto"/>
        </w:rPr>
      </w:pPr>
      <w:r>
        <w:rPr>
          <w:rFonts w:ascii="Courier New" w:cs="Courier New" w:eastAsia="Courier New" w:hAnsi="Courier New"/>
          <w:sz w:val="16"/>
          <w:szCs w:val="16"/>
          <w:color w:val="auto"/>
        </w:rPr>
        <w:t>1999..................... $31.9 $540.7</w:t>
      </w:r>
    </w:p>
    <w:p>
      <w:pPr>
        <w:ind w:left="220"/>
        <w:spacing w:after="0"/>
        <w:rPr>
          <w:sz w:val="20"/>
          <w:szCs w:val="20"/>
          <w:color w:val="auto"/>
        </w:rPr>
      </w:pPr>
      <w:r>
        <w:rPr>
          <w:rFonts w:ascii="Courier New" w:cs="Courier New" w:eastAsia="Courier New" w:hAnsi="Courier New"/>
          <w:sz w:val="16"/>
          <w:szCs w:val="16"/>
          <w:color w:val="auto"/>
        </w:rPr>
        <w:t>$698.4 $31.7 $9.4 $ 2,941.7 $(1,488.2)</w:t>
      </w:r>
    </w:p>
    <w:p>
      <w:pPr>
        <w:ind w:left="840"/>
        <w:spacing w:after="0" w:line="238" w:lineRule="auto"/>
        <w:rPr>
          <w:sz w:val="20"/>
          <w:szCs w:val="20"/>
          <w:color w:val="auto"/>
        </w:rPr>
      </w:pPr>
      <w:r>
        <w:rPr>
          <w:rFonts w:ascii="Courier New" w:cs="Courier New" w:eastAsia="Courier New" w:hAnsi="Courier New"/>
          <w:sz w:val="16"/>
          <w:szCs w:val="16"/>
          <w:color w:val="auto"/>
        </w:rPr>
        <w:t>Comprehensive income: Net</w:t>
      </w:r>
    </w:p>
    <w:p>
      <w:pPr>
        <w:ind w:left="180"/>
        <w:spacing w:after="0"/>
        <w:rPr>
          <w:sz w:val="20"/>
          <w:szCs w:val="20"/>
          <w:color w:val="auto"/>
        </w:rPr>
      </w:pPr>
      <w:r>
        <w:rPr>
          <w:rFonts w:ascii="Courier New" w:cs="Courier New" w:eastAsia="Courier New" w:hAnsi="Courier New"/>
          <w:sz w:val="16"/>
          <w:szCs w:val="16"/>
          <w:color w:val="auto"/>
        </w:rPr>
        <w:t>income.................................</w:t>
      </w:r>
    </w:p>
    <w:p>
      <w:pPr>
        <w:ind w:left="220"/>
        <w:spacing w:after="0" w:line="238" w:lineRule="auto"/>
        <w:rPr>
          <w:sz w:val="20"/>
          <w:szCs w:val="20"/>
          <w:color w:val="auto"/>
        </w:rPr>
      </w:pPr>
      <w:r>
        <w:rPr>
          <w:rFonts w:ascii="Courier New" w:cs="Courier New" w:eastAsia="Courier New" w:hAnsi="Courier New"/>
          <w:sz w:val="16"/>
          <w:szCs w:val="16"/>
          <w:color w:val="auto"/>
        </w:rPr>
        <w:t>1,065.7 Unrealized gains on marketable</w:t>
      </w:r>
    </w:p>
    <w:p>
      <w:pPr>
        <w:ind w:left="320"/>
        <w:spacing w:after="0"/>
        <w:rPr>
          <w:sz w:val="20"/>
          <w:szCs w:val="20"/>
          <w:color w:val="auto"/>
        </w:rPr>
      </w:pPr>
      <w:r>
        <w:rPr>
          <w:rFonts w:ascii="Courier New" w:cs="Courier New" w:eastAsia="Courier New" w:hAnsi="Courier New"/>
          <w:sz w:val="16"/>
          <w:szCs w:val="16"/>
          <w:color w:val="auto"/>
        </w:rPr>
        <w:t>securities, net of deferred taxes of</w:t>
      </w:r>
    </w:p>
    <w:p>
      <w:pPr>
        <w:ind w:left="460"/>
        <w:spacing w:after="0" w:line="237" w:lineRule="auto"/>
        <w:rPr>
          <w:sz w:val="20"/>
          <w:szCs w:val="20"/>
          <w:color w:val="auto"/>
        </w:rPr>
      </w:pPr>
      <w:r>
        <w:rPr>
          <w:rFonts w:ascii="Courier New" w:cs="Courier New" w:eastAsia="Courier New" w:hAnsi="Courier New"/>
          <w:sz w:val="16"/>
          <w:szCs w:val="16"/>
          <w:color w:val="auto"/>
        </w:rPr>
        <w:t>$2,891.9........ Reclassification</w:t>
      </w:r>
    </w:p>
    <w:p>
      <w:pPr>
        <w:ind w:left="280"/>
        <w:spacing w:after="0"/>
        <w:rPr>
          <w:sz w:val="20"/>
          <w:szCs w:val="20"/>
          <w:color w:val="auto"/>
        </w:rPr>
      </w:pPr>
      <w:r>
        <w:rPr>
          <w:rFonts w:ascii="Courier New" w:cs="Courier New" w:eastAsia="Courier New" w:hAnsi="Courier New"/>
          <w:sz w:val="16"/>
          <w:szCs w:val="16"/>
          <w:color w:val="auto"/>
        </w:rPr>
        <w:t>adjustments for gains included in net</w:t>
      </w:r>
    </w:p>
    <w:p>
      <w:pPr>
        <w:ind w:left="500"/>
        <w:spacing w:after="0" w:line="238" w:lineRule="auto"/>
        <w:rPr>
          <w:sz w:val="20"/>
          <w:szCs w:val="20"/>
          <w:color w:val="auto"/>
        </w:rPr>
      </w:pPr>
      <w:r>
        <w:rPr>
          <w:rFonts w:ascii="Courier New" w:cs="Courier New" w:eastAsia="Courier New" w:hAnsi="Courier New"/>
          <w:sz w:val="16"/>
          <w:szCs w:val="16"/>
          <w:color w:val="auto"/>
        </w:rPr>
        <w:t>income, net of deferred taxes of</w:t>
      </w:r>
    </w:p>
    <w:p>
      <w:pPr>
        <w:ind w:left="500"/>
        <w:spacing w:after="0"/>
        <w:rPr>
          <w:sz w:val="20"/>
          <w:szCs w:val="20"/>
          <w:color w:val="auto"/>
        </w:rPr>
      </w:pPr>
      <w:r>
        <w:rPr>
          <w:rFonts w:ascii="Courier New" w:cs="Courier New" w:eastAsia="Courier New" w:hAnsi="Courier New"/>
          <w:sz w:val="16"/>
          <w:szCs w:val="16"/>
          <w:color w:val="auto"/>
        </w:rPr>
        <w:t>$161.7..........................</w:t>
      </w:r>
    </w:p>
    <w:p>
      <w:pPr>
        <w:ind w:left="980"/>
        <w:spacing w:after="0" w:line="238" w:lineRule="auto"/>
        <w:rPr>
          <w:sz w:val="20"/>
          <w:szCs w:val="20"/>
          <w:color w:val="auto"/>
        </w:rPr>
      </w:pPr>
      <w:r>
        <w:rPr>
          <w:rFonts w:ascii="Courier New" w:cs="Courier New" w:eastAsia="Courier New" w:hAnsi="Courier New"/>
          <w:sz w:val="16"/>
          <w:szCs w:val="16"/>
          <w:color w:val="auto"/>
        </w:rPr>
        <w:t>Cumulative translation</w:t>
      </w:r>
    </w:p>
    <w:p>
      <w:pPr>
        <w:ind w:left="140"/>
        <w:spacing w:after="0"/>
        <w:rPr>
          <w:sz w:val="20"/>
          <w:szCs w:val="20"/>
          <w:color w:val="auto"/>
        </w:rPr>
      </w:pPr>
      <w:r>
        <w:rPr>
          <w:rFonts w:ascii="Courier New" w:cs="Courier New" w:eastAsia="Courier New" w:hAnsi="Courier New"/>
          <w:sz w:val="16"/>
          <w:szCs w:val="16"/>
          <w:color w:val="auto"/>
        </w:rPr>
        <w:t>adjustments......... Total comprehensive</w:t>
      </w:r>
    </w:p>
    <w:p>
      <w:pPr>
        <w:ind w:left="840"/>
        <w:spacing w:after="0" w:line="237" w:lineRule="auto"/>
        <w:rPr>
          <w:sz w:val="20"/>
          <w:szCs w:val="20"/>
          <w:color w:val="auto"/>
        </w:rPr>
      </w:pPr>
      <w:r>
        <w:rPr>
          <w:rFonts w:ascii="Courier New" w:cs="Courier New" w:eastAsia="Courier New" w:hAnsi="Courier New"/>
          <w:sz w:val="16"/>
          <w:szCs w:val="16"/>
          <w:color w:val="auto"/>
        </w:rPr>
        <w:t>income...................</w:t>
      </w:r>
    </w:p>
    <w:p>
      <w:pPr>
        <w:spacing w:after="0"/>
        <w:rPr>
          <w:sz w:val="20"/>
          <w:szCs w:val="20"/>
          <w:color w:val="auto"/>
        </w:rPr>
      </w:pPr>
      <w:r>
        <w:rPr>
          <w:rFonts w:ascii="Courier New" w:cs="Courier New" w:eastAsia="Courier New" w:hAnsi="Courier New"/>
          <w:sz w:val="16"/>
          <w:szCs w:val="16"/>
          <w:color w:val="auto"/>
        </w:rPr>
        <w:t>Acquisition................................</w:t>
      </w:r>
    </w:p>
    <w:p>
      <w:pPr>
        <w:ind w:left="1020"/>
        <w:spacing w:after="0" w:line="238" w:lineRule="auto"/>
        <w:rPr>
          <w:sz w:val="20"/>
          <w:szCs w:val="20"/>
          <w:color w:val="auto"/>
        </w:rPr>
      </w:pPr>
      <w:r>
        <w:rPr>
          <w:rFonts w:ascii="Courier New" w:cs="Courier New" w:eastAsia="Courier New" w:hAnsi="Courier New"/>
          <w:sz w:val="16"/>
          <w:szCs w:val="16"/>
          <w:color w:val="auto"/>
        </w:rPr>
        <w:t>8.5 283.2 Exercise of</w:t>
      </w:r>
    </w:p>
    <w:p>
      <w:pPr>
        <w:ind w:left="140"/>
        <w:spacing w:after="0"/>
        <w:rPr>
          <w:sz w:val="20"/>
          <w:szCs w:val="20"/>
          <w:color w:val="auto"/>
        </w:rPr>
      </w:pPr>
      <w:r>
        <w:rPr>
          <w:rFonts w:ascii="Courier New" w:cs="Courier New" w:eastAsia="Courier New" w:hAnsi="Courier New"/>
          <w:sz w:val="16"/>
          <w:szCs w:val="16"/>
          <w:color w:val="auto"/>
        </w:rPr>
        <w:t>options........................ 2.2 23.7</w:t>
      </w:r>
    </w:p>
    <w:p>
      <w:pPr>
        <w:ind w:left="980"/>
        <w:spacing w:after="0" w:line="238" w:lineRule="auto"/>
        <w:rPr>
          <w:sz w:val="20"/>
          <w:szCs w:val="20"/>
          <w:color w:val="auto"/>
        </w:rPr>
      </w:pPr>
      <w:r>
        <w:rPr>
          <w:rFonts w:ascii="Courier New" w:cs="Courier New" w:eastAsia="Courier New" w:hAnsi="Courier New"/>
          <w:sz w:val="16"/>
          <w:szCs w:val="16"/>
          <w:color w:val="auto"/>
        </w:rPr>
        <w:t>Conversion of Series A</w:t>
      </w:r>
    </w:p>
    <w:p>
      <w:pPr>
        <w:ind w:left="320"/>
        <w:spacing w:after="0"/>
        <w:rPr>
          <w:sz w:val="20"/>
          <w:szCs w:val="20"/>
          <w:color w:val="auto"/>
        </w:rPr>
      </w:pPr>
      <w:r>
        <w:rPr>
          <w:rFonts w:ascii="Courier New" w:cs="Courier New" w:eastAsia="Courier New" w:hAnsi="Courier New"/>
          <w:sz w:val="16"/>
          <w:szCs w:val="16"/>
          <w:color w:val="auto"/>
        </w:rPr>
        <w:t>preferred........... (31.9) 2.7 29.2</w:t>
      </w:r>
    </w:p>
    <w:p>
      <w:pPr>
        <w:ind w:left="1080"/>
        <w:spacing w:after="0" w:line="237" w:lineRule="auto"/>
        <w:rPr>
          <w:sz w:val="20"/>
          <w:szCs w:val="20"/>
          <w:color w:val="auto"/>
        </w:rPr>
      </w:pPr>
      <w:r>
        <w:rPr>
          <w:rFonts w:ascii="Courier New" w:cs="Courier New" w:eastAsia="Courier New" w:hAnsi="Courier New"/>
          <w:sz w:val="16"/>
          <w:szCs w:val="16"/>
          <w:color w:val="auto"/>
        </w:rPr>
        <w:t>Retirement of common</w:t>
      </w:r>
    </w:p>
    <w:p>
      <w:pPr>
        <w:ind w:left="80"/>
        <w:spacing w:after="0"/>
        <w:rPr>
          <w:sz w:val="20"/>
          <w:szCs w:val="20"/>
          <w:color w:val="auto"/>
        </w:rPr>
      </w:pPr>
      <w:r>
        <w:rPr>
          <w:rFonts w:ascii="Courier New" w:cs="Courier New" w:eastAsia="Courier New" w:hAnsi="Courier New"/>
          <w:sz w:val="16"/>
          <w:szCs w:val="16"/>
          <w:color w:val="auto"/>
        </w:rPr>
        <w:t>stock................. (0.8) (4.6) (25.3)</w:t>
      </w:r>
    </w:p>
    <w:p>
      <w:pPr>
        <w:ind w:left="880"/>
        <w:spacing w:after="0" w:line="238" w:lineRule="auto"/>
        <w:rPr>
          <w:sz w:val="20"/>
          <w:szCs w:val="20"/>
          <w:color w:val="auto"/>
        </w:rPr>
      </w:pPr>
      <w:r>
        <w:rPr>
          <w:rFonts w:ascii="Courier New" w:cs="Courier New" w:eastAsia="Courier New" w:hAnsi="Courier New"/>
          <w:sz w:val="16"/>
          <w:szCs w:val="16"/>
          <w:color w:val="auto"/>
        </w:rPr>
        <w:t>Cash dividends, Series A</w:t>
      </w:r>
    </w:p>
    <w:p>
      <w:pPr>
        <w:ind w:left="460"/>
        <w:spacing w:after="0"/>
        <w:rPr>
          <w:sz w:val="20"/>
          <w:szCs w:val="20"/>
          <w:color w:val="auto"/>
        </w:rPr>
      </w:pPr>
      <w:r>
        <w:rPr>
          <w:rFonts w:ascii="Courier New" w:cs="Courier New" w:eastAsia="Courier New" w:hAnsi="Courier New"/>
          <w:sz w:val="16"/>
          <w:szCs w:val="16"/>
          <w:color w:val="auto"/>
        </w:rPr>
        <w:t>preferred......... (0.8) Series B</w:t>
      </w:r>
    </w:p>
    <w:p>
      <w:pPr>
        <w:ind w:left="180"/>
        <w:spacing w:after="0" w:line="238" w:lineRule="auto"/>
        <w:rPr>
          <w:sz w:val="20"/>
          <w:szCs w:val="20"/>
          <w:color w:val="auto"/>
        </w:rPr>
      </w:pPr>
      <w:r>
        <w:rPr>
          <w:rFonts w:ascii="Courier New" w:cs="Courier New" w:eastAsia="Courier New" w:hAnsi="Courier New"/>
          <w:sz w:val="16"/>
          <w:szCs w:val="16"/>
          <w:color w:val="auto"/>
        </w:rPr>
        <w:t>preferred dividends............... 28.9</w:t>
      </w:r>
    </w:p>
    <w:p>
      <w:pPr>
        <w:ind w:left="1440"/>
        <w:spacing w:after="0"/>
        <w:rPr>
          <w:sz w:val="20"/>
          <w:szCs w:val="20"/>
          <w:color w:val="auto"/>
        </w:rPr>
      </w:pPr>
      <w:r>
        <w:rPr>
          <w:rFonts w:ascii="Courier New" w:cs="Courier New" w:eastAsia="Courier New" w:hAnsi="Courier New"/>
          <w:sz w:val="16"/>
          <w:szCs w:val="16"/>
          <w:color w:val="auto"/>
        </w:rPr>
        <w:t>(28.9) Share</w:t>
      </w:r>
    </w:p>
    <w:p>
      <w:pPr>
        <w:ind w:left="80"/>
        <w:spacing w:after="0" w:line="237" w:lineRule="auto"/>
        <w:rPr>
          <w:sz w:val="20"/>
          <w:szCs w:val="20"/>
          <w:color w:val="auto"/>
        </w:rPr>
      </w:pPr>
      <w:r>
        <w:rPr>
          <w:rFonts w:ascii="Courier New" w:cs="Courier New" w:eastAsia="Courier New" w:hAnsi="Courier New"/>
          <w:sz w:val="16"/>
          <w:szCs w:val="16"/>
          <w:color w:val="auto"/>
        </w:rPr>
        <w:t>exchange............................. 4.6</w:t>
      </w:r>
    </w:p>
    <w:p>
      <w:pPr>
        <w:ind w:left="320"/>
        <w:spacing w:after="0"/>
        <w:rPr>
          <w:sz w:val="20"/>
          <w:szCs w:val="20"/>
          <w:color w:val="auto"/>
        </w:rPr>
      </w:pPr>
      <w:r>
        <w:rPr>
          <w:rFonts w:ascii="Courier New" w:cs="Courier New" w:eastAsia="Courier New" w:hAnsi="Courier New"/>
          <w:sz w:val="16"/>
          <w:szCs w:val="16"/>
          <w:color w:val="auto"/>
        </w:rPr>
        <w:t>(4.9) 172.3 (172.0) Temporary equity</w:t>
      </w:r>
    </w:p>
    <w:p>
      <w:pPr>
        <w:ind w:left="40"/>
        <w:spacing w:after="0" w:line="238" w:lineRule="auto"/>
        <w:rPr>
          <w:sz w:val="20"/>
          <w:szCs w:val="20"/>
          <w:color w:val="auto"/>
        </w:rPr>
      </w:pPr>
      <w:r>
        <w:rPr>
          <w:rFonts w:ascii="Courier New" w:cs="Courier New" w:eastAsia="Courier New" w:hAnsi="Courier New"/>
          <w:sz w:val="16"/>
          <w:szCs w:val="16"/>
          <w:color w:val="auto"/>
        </w:rPr>
        <w:t>related to put options.... 111.2 ----- ---</w:t>
      </w:r>
    </w:p>
    <w:p>
      <w:pPr>
        <w:ind w:left="460" w:hanging="372"/>
        <w:spacing w:after="0"/>
        <w:tabs>
          <w:tab w:leader="none" w:pos="46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 DECEMBER 31,</w:t>
      </w:r>
    </w:p>
    <w:p>
      <w:pPr>
        <w:ind w:left="140"/>
        <w:spacing w:after="0" w:line="237" w:lineRule="auto"/>
        <w:rPr>
          <w:sz w:val="20"/>
          <w:szCs w:val="20"/>
          <w:color w:val="auto"/>
        </w:rPr>
      </w:pPr>
      <w:r>
        <w:rPr>
          <w:rFonts w:ascii="Courier New" w:cs="Courier New" w:eastAsia="Courier New" w:hAnsi="Courier New"/>
          <w:sz w:val="16"/>
          <w:szCs w:val="16"/>
          <w:color w:val="auto"/>
        </w:rPr>
        <w:t>1999................... 569.6 716.4 26.0</w:t>
      </w:r>
    </w:p>
    <w:p>
      <w:pPr>
        <w:jc w:val="center"/>
        <w:ind w:right="6199"/>
        <w:spacing w:after="0"/>
        <w:rPr>
          <w:sz w:val="20"/>
          <w:szCs w:val="20"/>
          <w:color w:val="auto"/>
        </w:rPr>
      </w:pPr>
      <w:r>
        <w:rPr>
          <w:rFonts w:ascii="Courier New" w:cs="Courier New" w:eastAsia="Courier New" w:hAnsi="Courier New"/>
          <w:sz w:val="16"/>
          <w:szCs w:val="16"/>
          <w:color w:val="auto"/>
        </w:rPr>
        <w:t>9.4 3,527.0 (619.8) Comprehensive income:</w:t>
      </w:r>
    </w:p>
    <w:p>
      <w:pPr>
        <w:jc w:val="center"/>
        <w:ind w:right="6199"/>
        <w:spacing w:after="0" w:line="238" w:lineRule="auto"/>
        <w:rPr>
          <w:sz w:val="20"/>
          <w:szCs w:val="20"/>
          <w:color w:val="auto"/>
        </w:rPr>
      </w:pPr>
      <w:r>
        <w:rPr>
          <w:rFonts w:ascii="Courier New" w:cs="Courier New" w:eastAsia="Courier New" w:hAnsi="Courier New"/>
          <w:sz w:val="16"/>
          <w:szCs w:val="16"/>
          <w:color w:val="auto"/>
        </w:rPr>
        <w:t>Net</w:t>
      </w:r>
    </w:p>
    <w:p>
      <w:pPr>
        <w:ind w:left="180"/>
        <w:spacing w:after="0"/>
        <w:rPr>
          <w:sz w:val="20"/>
          <w:szCs w:val="20"/>
          <w:color w:val="auto"/>
        </w:rPr>
      </w:pPr>
      <w:r>
        <w:rPr>
          <w:rFonts w:ascii="Courier New" w:cs="Courier New" w:eastAsia="Courier New" w:hAnsi="Courier New"/>
          <w:sz w:val="16"/>
          <w:szCs w:val="16"/>
          <w:color w:val="auto"/>
        </w:rPr>
        <w:t>income.................................</w:t>
      </w:r>
    </w:p>
    <w:p>
      <w:pPr>
        <w:jc w:val="center"/>
        <w:ind w:right="6199"/>
        <w:spacing w:after="0" w:line="238" w:lineRule="auto"/>
        <w:rPr>
          <w:sz w:val="20"/>
          <w:szCs w:val="20"/>
          <w:color w:val="auto"/>
        </w:rPr>
      </w:pPr>
      <w:r>
        <w:rPr>
          <w:rFonts w:ascii="Courier New" w:cs="Courier New" w:eastAsia="Courier New" w:hAnsi="Courier New"/>
          <w:sz w:val="16"/>
          <w:szCs w:val="16"/>
          <w:color w:val="auto"/>
        </w:rPr>
        <w:t>2,021.5 Unrealized losses on marketable</w:t>
      </w:r>
    </w:p>
    <w:p>
      <w:pPr>
        <w:jc w:val="center"/>
        <w:ind w:right="6199"/>
        <w:spacing w:after="0"/>
        <w:rPr>
          <w:sz w:val="20"/>
          <w:szCs w:val="20"/>
          <w:color w:val="auto"/>
        </w:rPr>
      </w:pPr>
      <w:r>
        <w:rPr>
          <w:rFonts w:ascii="Courier New" w:cs="Courier New" w:eastAsia="Courier New" w:hAnsi="Courier New"/>
          <w:sz w:val="16"/>
          <w:szCs w:val="16"/>
          <w:color w:val="auto"/>
        </w:rPr>
        <w:t>securities, net of deferred taxes of</w:t>
      </w:r>
    </w:p>
    <w:p>
      <w:pPr>
        <w:ind w:left="460"/>
        <w:spacing w:after="0" w:line="237" w:lineRule="auto"/>
        <w:rPr>
          <w:sz w:val="20"/>
          <w:szCs w:val="20"/>
          <w:color w:val="auto"/>
        </w:rPr>
      </w:pPr>
      <w:r>
        <w:rPr>
          <w:rFonts w:ascii="Courier New" w:cs="Courier New" w:eastAsia="Courier New" w:hAnsi="Courier New"/>
          <w:sz w:val="16"/>
          <w:szCs w:val="16"/>
          <w:color w:val="auto"/>
        </w:rPr>
        <w:t>$2,789.3........ Reclassification</w:t>
      </w:r>
    </w:p>
    <w:p>
      <w:pPr>
        <w:ind w:left="280"/>
        <w:spacing w:after="0"/>
        <w:rPr>
          <w:sz w:val="20"/>
          <w:szCs w:val="20"/>
          <w:color w:val="auto"/>
        </w:rPr>
      </w:pPr>
      <w:r>
        <w:rPr>
          <w:rFonts w:ascii="Courier New" w:cs="Courier New" w:eastAsia="Courier New" w:hAnsi="Courier New"/>
          <w:sz w:val="16"/>
          <w:szCs w:val="16"/>
          <w:color w:val="auto"/>
        </w:rPr>
        <w:t>adjustments for gains included in net</w:t>
      </w:r>
    </w:p>
    <w:p>
      <w:pPr>
        <w:ind w:left="500"/>
        <w:spacing w:after="0" w:line="238" w:lineRule="auto"/>
        <w:rPr>
          <w:sz w:val="20"/>
          <w:szCs w:val="20"/>
          <w:color w:val="auto"/>
        </w:rPr>
      </w:pPr>
      <w:r>
        <w:rPr>
          <w:rFonts w:ascii="Courier New" w:cs="Courier New" w:eastAsia="Courier New" w:hAnsi="Courier New"/>
          <w:sz w:val="16"/>
          <w:szCs w:val="16"/>
          <w:color w:val="auto"/>
        </w:rPr>
        <w:t>income, net of deferred taxes of</w:t>
      </w:r>
    </w:p>
    <w:p>
      <w:pPr>
        <w:ind w:left="500"/>
        <w:spacing w:after="0"/>
        <w:rPr>
          <w:sz w:val="20"/>
          <w:szCs w:val="20"/>
          <w:color w:val="auto"/>
        </w:rPr>
      </w:pPr>
      <w:r>
        <w:rPr>
          <w:rFonts w:ascii="Courier New" w:cs="Courier New" w:eastAsia="Courier New" w:hAnsi="Courier New"/>
          <w:sz w:val="16"/>
          <w:szCs w:val="16"/>
          <w:color w:val="auto"/>
        </w:rPr>
        <w:t>$266.0..........................</w:t>
      </w:r>
    </w:p>
    <w:p>
      <w:pPr>
        <w:ind w:left="980"/>
        <w:spacing w:after="0" w:line="238" w:lineRule="auto"/>
        <w:rPr>
          <w:sz w:val="20"/>
          <w:szCs w:val="20"/>
          <w:color w:val="auto"/>
        </w:rPr>
      </w:pPr>
      <w:r>
        <w:rPr>
          <w:rFonts w:ascii="Courier New" w:cs="Courier New" w:eastAsia="Courier New" w:hAnsi="Courier New"/>
          <w:sz w:val="16"/>
          <w:szCs w:val="16"/>
          <w:color w:val="auto"/>
        </w:rPr>
        <w:t>Cumulative translation</w:t>
      </w:r>
    </w:p>
    <w:p>
      <w:pPr>
        <w:ind w:left="140"/>
        <w:spacing w:after="0"/>
        <w:rPr>
          <w:sz w:val="20"/>
          <w:szCs w:val="20"/>
          <w:color w:val="auto"/>
        </w:rPr>
      </w:pPr>
      <w:r>
        <w:rPr>
          <w:rFonts w:ascii="Courier New" w:cs="Courier New" w:eastAsia="Courier New" w:hAnsi="Courier New"/>
          <w:sz w:val="16"/>
          <w:szCs w:val="16"/>
          <w:color w:val="auto"/>
        </w:rPr>
        <w:t>adjustments......... Total comprehensive</w:t>
      </w:r>
    </w:p>
    <w:p>
      <w:pPr>
        <w:ind w:left="840"/>
        <w:spacing w:after="0" w:line="237" w:lineRule="auto"/>
        <w:rPr>
          <w:sz w:val="20"/>
          <w:szCs w:val="20"/>
          <w:color w:val="auto"/>
        </w:rPr>
      </w:pPr>
      <w:r>
        <w:rPr>
          <w:rFonts w:ascii="Courier New" w:cs="Courier New" w:eastAsia="Courier New" w:hAnsi="Courier New"/>
          <w:sz w:val="16"/>
          <w:szCs w:val="16"/>
          <w:color w:val="auto"/>
        </w:rPr>
        <w:t>loss.....................</w:t>
      </w:r>
    </w:p>
    <w:p>
      <w:pPr>
        <w:spacing w:after="0"/>
        <w:rPr>
          <w:sz w:val="20"/>
          <w:szCs w:val="20"/>
          <w:color w:val="auto"/>
        </w:rPr>
      </w:pPr>
      <w:r>
        <w:rPr>
          <w:rFonts w:ascii="Courier New" w:cs="Courier New" w:eastAsia="Courier New" w:hAnsi="Courier New"/>
          <w:sz w:val="16"/>
          <w:szCs w:val="16"/>
          <w:color w:val="auto"/>
        </w:rPr>
        <w:t>Acquisitions...............................</w:t>
      </w:r>
    </w:p>
    <w:p>
      <w:pPr>
        <w:ind w:left="840"/>
        <w:spacing w:after="0" w:line="238" w:lineRule="auto"/>
        <w:rPr>
          <w:sz w:val="20"/>
          <w:szCs w:val="20"/>
          <w:color w:val="auto"/>
        </w:rPr>
      </w:pPr>
      <w:r>
        <w:rPr>
          <w:rFonts w:ascii="Courier New" w:cs="Courier New" w:eastAsia="Courier New" w:hAnsi="Courier New"/>
          <w:sz w:val="16"/>
          <w:szCs w:val="16"/>
          <w:color w:val="auto"/>
        </w:rPr>
        <w:t>155.7 7,585.2 Exercise of</w:t>
      </w:r>
    </w:p>
    <w:p>
      <w:pPr>
        <w:ind w:left="140"/>
        <w:spacing w:after="0"/>
        <w:rPr>
          <w:sz w:val="20"/>
          <w:szCs w:val="20"/>
          <w:color w:val="auto"/>
        </w:rPr>
      </w:pPr>
      <w:r>
        <w:rPr>
          <w:rFonts w:ascii="Courier New" w:cs="Courier New" w:eastAsia="Courier New" w:hAnsi="Courier New"/>
          <w:sz w:val="16"/>
          <w:szCs w:val="16"/>
          <w:color w:val="auto"/>
        </w:rPr>
        <w:t>options........................ 2.6 53.9</w:t>
      </w:r>
    </w:p>
    <w:p>
      <w:pPr>
        <w:ind w:left="740"/>
        <w:spacing w:after="0" w:line="238" w:lineRule="auto"/>
        <w:rPr>
          <w:sz w:val="20"/>
          <w:szCs w:val="20"/>
          <w:color w:val="auto"/>
        </w:rPr>
      </w:pPr>
      <w:r>
        <w:rPr>
          <w:rFonts w:ascii="Courier New" w:cs="Courier New" w:eastAsia="Courier New" w:hAnsi="Courier New"/>
          <w:sz w:val="16"/>
          <w:szCs w:val="16"/>
          <w:color w:val="auto"/>
        </w:rPr>
        <w:t>(27.7) Retirement of common</w:t>
      </w:r>
    </w:p>
    <w:p>
      <w:pPr>
        <w:ind w:left="80"/>
        <w:spacing w:after="0"/>
        <w:rPr>
          <w:sz w:val="20"/>
          <w:szCs w:val="20"/>
          <w:color w:val="auto"/>
        </w:rPr>
      </w:pPr>
      <w:r>
        <w:rPr>
          <w:rFonts w:ascii="Courier New" w:cs="Courier New" w:eastAsia="Courier New" w:hAnsi="Courier New"/>
          <w:sz w:val="16"/>
          <w:szCs w:val="16"/>
          <w:color w:val="auto"/>
        </w:rPr>
        <w:t>stock................. (6.0) (3.1) (42.3)</w:t>
      </w:r>
    </w:p>
    <w:p>
      <w:pPr>
        <w:ind w:left="600"/>
        <w:spacing w:after="0" w:line="237" w:lineRule="auto"/>
        <w:rPr>
          <w:sz w:val="20"/>
          <w:szCs w:val="20"/>
          <w:color w:val="auto"/>
        </w:rPr>
      </w:pPr>
      <w:r>
        <w:rPr>
          <w:rFonts w:ascii="Courier New" w:cs="Courier New" w:eastAsia="Courier New" w:hAnsi="Courier New"/>
          <w:sz w:val="16"/>
          <w:szCs w:val="16"/>
          <w:color w:val="auto"/>
        </w:rPr>
        <w:t>(273.5) Conversion of Series B</w:t>
      </w:r>
    </w:p>
    <w:p>
      <w:pPr>
        <w:ind w:left="180"/>
        <w:spacing w:after="0"/>
        <w:rPr>
          <w:sz w:val="20"/>
          <w:szCs w:val="20"/>
          <w:color w:val="auto"/>
        </w:rPr>
      </w:pPr>
      <w:r>
        <w:rPr>
          <w:rFonts w:ascii="Courier New" w:cs="Courier New" w:eastAsia="Courier New" w:hAnsi="Courier New"/>
          <w:sz w:val="16"/>
          <w:szCs w:val="16"/>
          <w:color w:val="auto"/>
        </w:rPr>
        <w:t>preferred........... (533.6) 38.3 495.3</w:t>
      </w:r>
    </w:p>
    <w:p>
      <w:pPr>
        <w:ind w:left="1160"/>
        <w:spacing w:after="0" w:line="238" w:lineRule="auto"/>
        <w:rPr>
          <w:sz w:val="20"/>
          <w:szCs w:val="20"/>
          <w:color w:val="auto"/>
        </w:rPr>
      </w:pPr>
      <w:r>
        <w:rPr>
          <w:rFonts w:ascii="Courier New" w:cs="Courier New" w:eastAsia="Courier New" w:hAnsi="Courier New"/>
          <w:sz w:val="16"/>
          <w:szCs w:val="16"/>
          <w:color w:val="auto"/>
        </w:rPr>
        <w:t>Series B preferred</w:t>
      </w:r>
    </w:p>
    <w:p>
      <w:pPr>
        <w:ind w:left="40"/>
        <w:spacing w:after="0"/>
        <w:rPr>
          <w:sz w:val="20"/>
          <w:szCs w:val="20"/>
          <w:color w:val="auto"/>
        </w:rPr>
      </w:pPr>
      <w:r>
        <w:rPr>
          <w:rFonts w:ascii="Courier New" w:cs="Courier New" w:eastAsia="Courier New" w:hAnsi="Courier New"/>
          <w:sz w:val="16"/>
          <w:szCs w:val="16"/>
          <w:color w:val="auto"/>
        </w:rPr>
        <w:t>dividends............... 23.5 (23.5) Share</w:t>
      </w:r>
    </w:p>
    <w:p>
      <w:pPr>
        <w:ind w:left="80"/>
        <w:spacing w:after="0" w:line="238" w:lineRule="auto"/>
        <w:rPr>
          <w:sz w:val="20"/>
          <w:szCs w:val="20"/>
          <w:color w:val="auto"/>
        </w:rPr>
      </w:pPr>
      <w:r>
        <w:rPr>
          <w:rFonts w:ascii="Courier New" w:cs="Courier New" w:eastAsia="Courier New" w:hAnsi="Courier New"/>
          <w:sz w:val="16"/>
          <w:szCs w:val="16"/>
          <w:color w:val="auto"/>
        </w:rPr>
        <w:t>exchange............................. 1.0</w:t>
      </w:r>
    </w:p>
    <w:p>
      <w:pPr>
        <w:ind w:left="40"/>
        <w:spacing w:after="0"/>
        <w:rPr>
          <w:sz w:val="20"/>
          <w:szCs w:val="20"/>
          <w:color w:val="auto"/>
        </w:rPr>
      </w:pPr>
      <w:r>
        <w:rPr>
          <w:rFonts w:ascii="Courier New" w:cs="Courier New" w:eastAsia="Courier New" w:hAnsi="Courier New"/>
          <w:sz w:val="16"/>
          <w:szCs w:val="16"/>
          <w:color w:val="auto"/>
        </w:rPr>
        <w:t>(1.1) 44.1 (44.0) Temporary equity related</w:t>
      </w:r>
    </w:p>
    <w:tbl>
      <w:tblPr>
        <w:tblLayout w:type="fixed"/>
        <w:tblInd w:w="40" w:type="dxa"/>
        <w:tblCellMar>
          <w:top w:w="0" w:type="dxa"/>
          <w:left w:w="0" w:type="dxa"/>
          <w:bottom w:w="0" w:type="dxa"/>
          <w:right w:w="0" w:type="dxa"/>
        </w:tblCellMar>
      </w:tblPr>
      <w:tr>
        <w:trPr>
          <w:trHeight w:val="180"/>
        </w:trPr>
        <w:tc>
          <w:tcPr>
            <w:tcW w:w="17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to put options....</w:t>
            </w:r>
          </w:p>
        </w:tc>
        <w:tc>
          <w:tcPr>
            <w:tcW w:w="2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(40.9) ----- ------ ---</w:t>
            </w:r>
          </w:p>
        </w:tc>
      </w:tr>
    </w:tbl>
    <w:p>
      <w:pPr>
        <w:ind w:left="800" w:hanging="384"/>
        <w:spacing w:after="0"/>
        <w:tabs>
          <w:tab w:leader="none" w:pos="80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 DECEMBER 31,</w:t>
      </w:r>
    </w:p>
    <w:p>
      <w:pPr>
        <w:ind w:left="180"/>
        <w:spacing w:after="0" w:line="237" w:lineRule="auto"/>
        <w:rPr>
          <w:sz w:val="20"/>
          <w:szCs w:val="20"/>
          <w:color w:val="auto"/>
        </w:rPr>
      </w:pPr>
      <w:r>
        <w:rPr>
          <w:rFonts w:ascii="Courier New" w:cs="Courier New" w:eastAsia="Courier New" w:hAnsi="Courier New"/>
          <w:sz w:val="16"/>
          <w:szCs w:val="16"/>
          <w:color w:val="auto"/>
        </w:rPr>
        <w:t>2000................... 59.5 908.0 21.8</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9.4 11,598.8 1,056.5 Comprehensive income:</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Net</w:t>
      </w:r>
    </w:p>
    <w:p>
      <w:pPr>
        <w:ind w:left="180"/>
        <w:spacing w:after="0"/>
        <w:rPr>
          <w:sz w:val="20"/>
          <w:szCs w:val="20"/>
          <w:color w:val="auto"/>
        </w:rPr>
      </w:pPr>
      <w:r>
        <w:rPr>
          <w:rFonts w:ascii="Courier New" w:cs="Courier New" w:eastAsia="Courier New" w:hAnsi="Courier New"/>
          <w:sz w:val="16"/>
          <w:szCs w:val="16"/>
          <w:color w:val="auto"/>
        </w:rPr>
        <w:t>income.................................</w:t>
      </w:r>
    </w:p>
    <w:p>
      <w:pPr>
        <w:jc w:val="center"/>
        <w:ind w:right="6199"/>
        <w:spacing w:after="0" w:line="237" w:lineRule="auto"/>
        <w:rPr>
          <w:sz w:val="20"/>
          <w:szCs w:val="20"/>
          <w:color w:val="auto"/>
        </w:rPr>
      </w:pPr>
      <w:r>
        <w:rPr>
          <w:rFonts w:ascii="Courier New" w:cs="Courier New" w:eastAsia="Courier New" w:hAnsi="Courier New"/>
          <w:sz w:val="16"/>
          <w:szCs w:val="16"/>
          <w:color w:val="auto"/>
        </w:rPr>
        <w:t>608.6 Unrealized gains on marketable</w:t>
      </w:r>
    </w:p>
    <w:p>
      <w:pPr>
        <w:jc w:val="center"/>
        <w:ind w:right="6199"/>
        <w:spacing w:after="0"/>
        <w:rPr>
          <w:sz w:val="20"/>
          <w:szCs w:val="20"/>
          <w:color w:val="auto"/>
        </w:rPr>
      </w:pPr>
      <w:r>
        <w:rPr>
          <w:rFonts w:ascii="Courier New" w:cs="Courier New" w:eastAsia="Courier New" w:hAnsi="Courier New"/>
          <w:sz w:val="16"/>
          <w:szCs w:val="16"/>
          <w:color w:val="auto"/>
        </w:rPr>
        <w:t>securities, net of deferred taxes of</w:t>
      </w:r>
    </w:p>
    <w:p>
      <w:pPr>
        <w:jc w:val="center"/>
        <w:ind w:right="6199"/>
        <w:spacing w:after="0" w:line="238" w:lineRule="auto"/>
        <w:rPr>
          <w:sz w:val="20"/>
          <w:szCs w:val="20"/>
          <w:color w:val="auto"/>
        </w:rPr>
      </w:pPr>
      <w:r>
        <w:rPr>
          <w:rFonts w:ascii="Courier New" w:cs="Courier New" w:eastAsia="Courier New" w:hAnsi="Courier New"/>
          <w:sz w:val="16"/>
          <w:szCs w:val="16"/>
          <w:color w:val="auto"/>
        </w:rPr>
        <w:t>$114.4.......... Reclassification</w:t>
      </w:r>
    </w:p>
    <w:p>
      <w:pPr>
        <w:jc w:val="center"/>
        <w:ind w:right="6199"/>
        <w:spacing w:after="0"/>
        <w:rPr>
          <w:sz w:val="20"/>
          <w:szCs w:val="20"/>
          <w:color w:val="auto"/>
        </w:rPr>
      </w:pPr>
      <w:r>
        <w:rPr>
          <w:rFonts w:ascii="Courier New" w:cs="Courier New" w:eastAsia="Courier New" w:hAnsi="Courier New"/>
          <w:sz w:val="16"/>
          <w:szCs w:val="16"/>
          <w:color w:val="auto"/>
        </w:rPr>
        <w:t>adjustments for gains included in net</w:t>
      </w:r>
    </w:p>
    <w:p>
      <w:pPr>
        <w:ind w:left="500"/>
        <w:spacing w:after="0" w:line="238" w:lineRule="auto"/>
        <w:rPr>
          <w:sz w:val="20"/>
          <w:szCs w:val="20"/>
          <w:color w:val="auto"/>
        </w:rPr>
      </w:pPr>
      <w:r>
        <w:rPr>
          <w:rFonts w:ascii="Courier New" w:cs="Courier New" w:eastAsia="Courier New" w:hAnsi="Courier New"/>
          <w:sz w:val="16"/>
          <w:szCs w:val="16"/>
          <w:color w:val="auto"/>
        </w:rPr>
        <w:t>income, net of deferred taxes of</w:t>
      </w:r>
    </w:p>
    <w:p>
      <w:pPr>
        <w:ind w:left="500"/>
        <w:spacing w:after="0"/>
        <w:rPr>
          <w:sz w:val="20"/>
          <w:szCs w:val="20"/>
          <w:color w:val="auto"/>
        </w:rPr>
      </w:pPr>
      <w:r>
        <w:rPr>
          <w:rFonts w:ascii="Courier New" w:cs="Courier New" w:eastAsia="Courier New" w:hAnsi="Courier New"/>
          <w:sz w:val="16"/>
          <w:szCs w:val="16"/>
          <w:color w:val="auto"/>
        </w:rPr>
        <w:t>$264.4..........................</w:t>
      </w:r>
    </w:p>
    <w:p>
      <w:pPr>
        <w:jc w:val="center"/>
        <w:ind w:right="6199"/>
        <w:spacing w:after="0" w:line="237" w:lineRule="auto"/>
        <w:rPr>
          <w:sz w:val="20"/>
          <w:szCs w:val="20"/>
          <w:color w:val="auto"/>
        </w:rPr>
      </w:pPr>
      <w:r>
        <w:rPr>
          <w:rFonts w:ascii="Courier New" w:cs="Courier New" w:eastAsia="Courier New" w:hAnsi="Courier New"/>
          <w:sz w:val="16"/>
          <w:szCs w:val="16"/>
          <w:color w:val="auto"/>
        </w:rPr>
        <w:t>Unrealized losses on effective portion of</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cash flow hedges, net of deferred taxes of</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$0.3..................................</w:t>
      </w:r>
    </w:p>
    <w:p>
      <w:pPr>
        <w:jc w:val="center"/>
        <w:ind w:right="6199"/>
        <w:spacing w:after="0"/>
        <w:rPr>
          <w:sz w:val="20"/>
          <w:szCs w:val="20"/>
          <w:color w:val="auto"/>
        </w:rPr>
      </w:pPr>
      <w:r>
        <w:rPr>
          <w:rFonts w:ascii="Courier New" w:cs="Courier New" w:eastAsia="Courier New" w:hAnsi="Courier New"/>
          <w:sz w:val="16"/>
          <w:szCs w:val="16"/>
          <w:color w:val="auto"/>
        </w:rPr>
        <w:t>Cumulative translation</w:t>
      </w:r>
    </w:p>
    <w:p>
      <w:pPr>
        <w:ind w:left="140"/>
        <w:spacing w:after="0" w:line="237" w:lineRule="auto"/>
        <w:rPr>
          <w:sz w:val="20"/>
          <w:szCs w:val="20"/>
          <w:color w:val="auto"/>
        </w:rPr>
      </w:pPr>
      <w:r>
        <w:rPr>
          <w:rFonts w:ascii="Courier New" w:cs="Courier New" w:eastAsia="Courier New" w:hAnsi="Courier New"/>
          <w:sz w:val="16"/>
          <w:szCs w:val="16"/>
          <w:color w:val="auto"/>
        </w:rPr>
        <w:t>adjustments......... Total comprehensive</w:t>
      </w:r>
    </w:p>
    <w:p>
      <w:pPr>
        <w:ind w:left="280"/>
        <w:spacing w:after="0"/>
        <w:rPr>
          <w:sz w:val="20"/>
          <w:szCs w:val="20"/>
          <w:color w:val="auto"/>
        </w:rPr>
      </w:pPr>
      <w:r>
        <w:rPr>
          <w:rFonts w:ascii="Courier New" w:cs="Courier New" w:eastAsia="Courier New" w:hAnsi="Courier New"/>
          <w:sz w:val="16"/>
          <w:szCs w:val="16"/>
          <w:color w:val="auto"/>
        </w:rPr>
        <w:t>income................... Exercise of</w:t>
      </w:r>
    </w:p>
    <w:p>
      <w:pPr>
        <w:ind w:left="140"/>
        <w:spacing w:after="0" w:line="238" w:lineRule="auto"/>
        <w:rPr>
          <w:sz w:val="20"/>
          <w:szCs w:val="20"/>
          <w:color w:val="auto"/>
        </w:rPr>
      </w:pPr>
      <w:r>
        <w:rPr>
          <w:rFonts w:ascii="Courier New" w:cs="Courier New" w:eastAsia="Courier New" w:hAnsi="Courier New"/>
          <w:sz w:val="16"/>
          <w:szCs w:val="16"/>
          <w:color w:val="auto"/>
        </w:rPr>
        <w:t>options........................ 2.5 53.3</w:t>
      </w:r>
    </w:p>
    <w:p>
      <w:pPr>
        <w:ind w:left="740"/>
        <w:spacing w:after="0"/>
        <w:rPr>
          <w:sz w:val="20"/>
          <w:szCs w:val="20"/>
          <w:color w:val="auto"/>
        </w:rPr>
      </w:pPr>
      <w:r>
        <w:rPr>
          <w:rFonts w:ascii="Courier New" w:cs="Courier New" w:eastAsia="Courier New" w:hAnsi="Courier New"/>
          <w:sz w:val="16"/>
          <w:szCs w:val="16"/>
          <w:color w:val="auto"/>
        </w:rPr>
        <w:t>(17.3) Retirement of common</w:t>
      </w:r>
    </w:p>
    <w:p>
      <w:pPr>
        <w:ind w:left="40"/>
        <w:spacing w:after="0" w:line="238" w:lineRule="auto"/>
        <w:rPr>
          <w:sz w:val="20"/>
          <w:szCs w:val="20"/>
          <w:color w:val="auto"/>
        </w:rPr>
      </w:pPr>
      <w:r>
        <w:rPr>
          <w:rFonts w:ascii="Courier New" w:cs="Courier New" w:eastAsia="Courier New" w:hAnsi="Courier New"/>
          <w:sz w:val="16"/>
          <w:szCs w:val="16"/>
          <w:color w:val="auto"/>
        </w:rPr>
        <w:t>stock................. (0.8) (10.0) (16.3)</w:t>
      </w:r>
    </w:p>
    <w:p>
      <w:pPr>
        <w:ind w:left="980"/>
        <w:spacing w:after="0"/>
        <w:rPr>
          <w:sz w:val="20"/>
          <w:szCs w:val="20"/>
          <w:color w:val="auto"/>
        </w:rPr>
      </w:pPr>
      <w:r>
        <w:rPr>
          <w:rFonts w:ascii="Courier New" w:cs="Courier New" w:eastAsia="Courier New" w:hAnsi="Courier New"/>
          <w:sz w:val="16"/>
          <w:szCs w:val="16"/>
          <w:color w:val="auto"/>
        </w:rPr>
        <w:t>Conversion of Series B</w:t>
      </w:r>
    </w:p>
    <w:p>
      <w:pPr>
        <w:ind w:left="320"/>
        <w:spacing w:after="0" w:line="237" w:lineRule="auto"/>
        <w:rPr>
          <w:sz w:val="20"/>
          <w:szCs w:val="20"/>
          <w:color w:val="auto"/>
        </w:rPr>
      </w:pPr>
      <w:r>
        <w:rPr>
          <w:rFonts w:ascii="Courier New" w:cs="Courier New" w:eastAsia="Courier New" w:hAnsi="Courier New"/>
          <w:sz w:val="16"/>
          <w:szCs w:val="16"/>
          <w:color w:val="auto"/>
        </w:rPr>
        <w:t>preferred........... (59.5) 4.2 55.3</w:t>
      </w:r>
    </w:p>
    <w:p>
      <w:pPr>
        <w:ind w:left="560"/>
        <w:spacing w:after="0"/>
        <w:rPr>
          <w:sz w:val="20"/>
          <w:szCs w:val="20"/>
          <w:color w:val="auto"/>
        </w:rPr>
      </w:pPr>
      <w:r>
        <w:rPr>
          <w:rFonts w:ascii="Courier New" w:cs="Courier New" w:eastAsia="Courier New" w:hAnsi="Courier New"/>
          <w:sz w:val="16"/>
          <w:szCs w:val="16"/>
          <w:color w:val="auto"/>
        </w:rPr>
        <w:t>Temporary equity related to put</w:t>
      </w:r>
    </w:p>
    <w:p>
      <w:pPr>
        <w:ind w:left="40"/>
        <w:spacing w:after="0" w:line="238" w:lineRule="auto"/>
        <w:rPr>
          <w:sz w:val="20"/>
          <w:szCs w:val="20"/>
          <w:color w:val="auto"/>
        </w:rPr>
      </w:pPr>
      <w:r>
        <w:rPr>
          <w:rFonts w:ascii="Courier New" w:cs="Courier New" w:eastAsia="Courier New" w:hAnsi="Courier New"/>
          <w:sz w:val="16"/>
          <w:szCs w:val="16"/>
          <w:color w:val="auto"/>
        </w:rPr>
        <w:t>options.... 54.6 ----- ------ ------ -----</w:t>
      </w:r>
    </w:p>
    <w:p>
      <w:pPr>
        <w:sectPr>
          <w:pgSz w:w="11900" w:h="16908" w:orient="portrait"/>
          <w:cols w:equalWidth="0" w:num="1">
            <w:col w:w="10219"/>
          </w:cols>
          <w:pgMar w:left="240" w:top="654" w:right="1440" w:bottom="0" w:gutter="0" w:footer="0" w:header="0"/>
        </w:sectPr>
      </w:pPr>
    </w:p>
    <w:bookmarkStart w:id="281" w:name="page282"/>
    <w:bookmarkEnd w:id="281"/>
    <w:p>
      <w:pPr>
        <w:ind w:left="40"/>
        <w:spacing w:after="0"/>
        <w:rPr>
          <w:sz w:val="20"/>
          <w:szCs w:val="20"/>
          <w:color w:val="auto"/>
        </w:rPr>
      </w:pPr>
      <w:r>
        <w:rPr>
          <w:rFonts w:ascii="Courier New" w:cs="Courier New" w:eastAsia="Courier New" w:hAnsi="Courier New"/>
          <w:sz w:val="16"/>
          <w:szCs w:val="16"/>
          <w:color w:val="auto"/>
        </w:rPr>
        <w:t>---- --------- --------- BALANCE, DECEMBER</w:t>
      </w:r>
    </w:p>
    <w:p>
      <w:pPr>
        <w:ind w:left="220"/>
        <w:spacing w:after="0"/>
        <w:rPr>
          <w:sz w:val="20"/>
          <w:szCs w:val="20"/>
          <w:color w:val="auto"/>
        </w:rPr>
      </w:pPr>
      <w:r>
        <w:rPr>
          <w:rFonts w:ascii="Courier New" w:cs="Courier New" w:eastAsia="Courier New" w:hAnsi="Courier New"/>
          <w:sz w:val="16"/>
          <w:szCs w:val="16"/>
          <w:color w:val="auto"/>
        </w:rPr>
        <w:t>31, 2001................... $ $ $913.9</w:t>
      </w:r>
    </w:p>
    <w:p>
      <w:pPr>
        <w:ind w:left="320"/>
        <w:spacing w:after="0" w:line="237" w:lineRule="auto"/>
        <w:rPr>
          <w:sz w:val="20"/>
          <w:szCs w:val="20"/>
          <w:color w:val="auto"/>
        </w:rPr>
      </w:pPr>
      <w:r>
        <w:rPr>
          <w:rFonts w:ascii="Courier New" w:cs="Courier New" w:eastAsia="Courier New" w:hAnsi="Courier New"/>
          <w:sz w:val="16"/>
          <w:szCs w:val="16"/>
          <w:color w:val="auto"/>
        </w:rPr>
        <w:t>$21.8 $9.4 $11,752.0 $ 1,631.5 =====</w:t>
      </w:r>
    </w:p>
    <w:p>
      <w:pPr>
        <w:ind w:left="420"/>
        <w:spacing w:after="0"/>
        <w:rPr>
          <w:sz w:val="20"/>
          <w:szCs w:val="20"/>
          <w:color w:val="auto"/>
        </w:rPr>
      </w:pPr>
      <w:r>
        <w:rPr>
          <w:rFonts w:ascii="Courier New" w:cs="Courier New" w:eastAsia="Courier New" w:hAnsi="Courier New"/>
          <w:sz w:val="16"/>
          <w:szCs w:val="16"/>
          <w:color w:val="auto"/>
        </w:rPr>
        <w:t>====== ====== ===== ==== =========</w:t>
      </w:r>
    </w:p>
    <w:p>
      <w:pPr>
        <w:ind w:left="1580"/>
        <w:spacing w:after="0" w:line="238" w:lineRule="auto"/>
        <w:rPr>
          <w:sz w:val="20"/>
          <w:szCs w:val="20"/>
          <w:color w:val="auto"/>
        </w:rPr>
      </w:pPr>
      <w:r>
        <w:rPr>
          <w:rFonts w:ascii="Courier New" w:cs="Courier New" w:eastAsia="Courier New" w:hAnsi="Courier New"/>
          <w:sz w:val="16"/>
          <w:szCs w:val="16"/>
          <w:color w:val="auto"/>
        </w:rPr>
        <w:t>=========</w:t>
      </w:r>
    </w:p>
    <w:p>
      <w:pPr>
        <w:ind w:left="220"/>
        <w:spacing w:after="0"/>
        <w:rPr>
          <w:sz w:val="20"/>
          <w:szCs w:val="20"/>
          <w:color w:val="auto"/>
        </w:rPr>
      </w:pPr>
      <w:r>
        <w:rPr>
          <w:rFonts w:ascii="Courier New" w:cs="Courier New" w:eastAsia="Courier New" w:hAnsi="Courier New"/>
          <w:sz w:val="16"/>
          <w:szCs w:val="16"/>
          <w:color w:val="auto"/>
        </w:rPr>
        <w:t>ACCUMULATED OTHER COMPREHENSIVE INCOME</w:t>
      </w:r>
    </w:p>
    <w:p>
      <w:pPr>
        <w:ind w:left="40"/>
        <w:spacing w:after="0" w:line="238" w:lineRule="auto"/>
        <w:rPr>
          <w:sz w:val="20"/>
          <w:szCs w:val="20"/>
          <w:color w:val="auto"/>
        </w:rPr>
      </w:pPr>
      <w:r>
        <w:rPr>
          <w:rFonts w:ascii="Courier New" w:cs="Courier New" w:eastAsia="Courier New" w:hAnsi="Courier New"/>
          <w:sz w:val="16"/>
          <w:szCs w:val="16"/>
          <w:color w:val="auto"/>
        </w:rPr>
        <w:t>(LOSS) ------------------------ UNREALIZED</w:t>
      </w:r>
    </w:p>
    <w:p>
      <w:pPr>
        <w:ind w:left="280"/>
        <w:spacing w:after="0"/>
        <w:rPr>
          <w:sz w:val="20"/>
          <w:szCs w:val="20"/>
          <w:color w:val="auto"/>
        </w:rPr>
      </w:pPr>
      <w:r>
        <w:rPr>
          <w:rFonts w:ascii="Courier New" w:cs="Courier New" w:eastAsia="Courier New" w:hAnsi="Courier New"/>
          <w:sz w:val="16"/>
          <w:szCs w:val="16"/>
          <w:color w:val="auto"/>
        </w:rPr>
        <w:t>CUMULATIVE GAINS TRANSLATION (LOSSES)</w:t>
      </w:r>
    </w:p>
    <w:p>
      <w:pPr>
        <w:ind w:left="40"/>
        <w:spacing w:after="0" w:line="237" w:lineRule="auto"/>
        <w:rPr>
          <w:sz w:val="20"/>
          <w:szCs w:val="20"/>
          <w:color w:val="auto"/>
        </w:rPr>
      </w:pPr>
      <w:r>
        <w:rPr>
          <w:rFonts w:ascii="Courier New" w:cs="Courier New" w:eastAsia="Courier New" w:hAnsi="Courier New"/>
          <w:sz w:val="16"/>
          <w:szCs w:val="16"/>
          <w:color w:val="auto"/>
        </w:rPr>
        <w:t>ADJUSTMENTS TOTAL ---------- ----------- -</w:t>
      </w:r>
    </w:p>
    <w:p>
      <w:pPr>
        <w:ind w:left="180"/>
        <w:spacing w:after="0"/>
        <w:rPr>
          <w:sz w:val="20"/>
          <w:szCs w:val="20"/>
          <w:color w:val="auto"/>
        </w:rPr>
      </w:pPr>
      <w:r>
        <w:rPr>
          <w:rFonts w:ascii="Courier New" w:cs="Courier New" w:eastAsia="Courier New" w:hAnsi="Courier New"/>
          <w:sz w:val="16"/>
          <w:szCs w:val="16"/>
          <w:color w:val="auto"/>
        </w:rPr>
        <w:t>-------- (DOLLARS IN MILLIONS) BALANCE,</w:t>
      </w:r>
    </w:p>
    <w:p>
      <w:pPr>
        <w:ind w:left="320"/>
        <w:spacing w:after="0" w:line="238" w:lineRule="auto"/>
        <w:rPr>
          <w:sz w:val="20"/>
          <w:szCs w:val="20"/>
          <w:color w:val="auto"/>
        </w:rPr>
      </w:pPr>
      <w:r>
        <w:rPr>
          <w:rFonts w:ascii="Courier New" w:cs="Courier New" w:eastAsia="Courier New" w:hAnsi="Courier New"/>
          <w:sz w:val="16"/>
          <w:szCs w:val="16"/>
          <w:color w:val="auto"/>
        </w:rPr>
        <w:t>JANUARY 1, 1999.....................</w:t>
      </w:r>
    </w:p>
    <w:p>
      <w:pPr>
        <w:ind w:left="220"/>
        <w:spacing w:after="0"/>
        <w:rPr>
          <w:sz w:val="20"/>
          <w:szCs w:val="20"/>
          <w:color w:val="auto"/>
        </w:rPr>
      </w:pPr>
      <w:r>
        <w:rPr>
          <w:rFonts w:ascii="Courier New" w:cs="Courier New" w:eastAsia="Courier New" w:hAnsi="Courier New"/>
          <w:sz w:val="16"/>
          <w:szCs w:val="16"/>
          <w:color w:val="auto"/>
        </w:rPr>
        <w:t>$1,049.5 $ 0.2 $ 3,815.3 Comprehensive</w:t>
      </w:r>
    </w:p>
    <w:p>
      <w:pPr>
        <w:ind w:left="1500"/>
        <w:spacing w:after="0" w:line="238" w:lineRule="auto"/>
        <w:rPr>
          <w:sz w:val="20"/>
          <w:szCs w:val="20"/>
          <w:color w:val="auto"/>
        </w:rPr>
      </w:pPr>
      <w:r>
        <w:rPr>
          <w:rFonts w:ascii="Courier New" w:cs="Courier New" w:eastAsia="Courier New" w:hAnsi="Courier New"/>
          <w:sz w:val="16"/>
          <w:szCs w:val="16"/>
          <w:color w:val="auto"/>
        </w:rPr>
        <w:t>income: Net</w:t>
      </w:r>
    </w:p>
    <w:p>
      <w:pPr>
        <w:ind w:left="180"/>
        <w:spacing w:after="0"/>
        <w:rPr>
          <w:sz w:val="20"/>
          <w:szCs w:val="20"/>
          <w:color w:val="auto"/>
        </w:rPr>
      </w:pPr>
      <w:r>
        <w:rPr>
          <w:rFonts w:ascii="Courier New" w:cs="Courier New" w:eastAsia="Courier New" w:hAnsi="Courier New"/>
          <w:sz w:val="16"/>
          <w:szCs w:val="16"/>
          <w:color w:val="auto"/>
        </w:rPr>
        <w:t>income.................................</w:t>
      </w:r>
    </w:p>
    <w:p>
      <w:pPr>
        <w:ind w:left="40"/>
        <w:spacing w:after="0" w:line="237" w:lineRule="auto"/>
        <w:rPr>
          <w:sz w:val="20"/>
          <w:szCs w:val="20"/>
          <w:color w:val="auto"/>
        </w:rPr>
      </w:pPr>
      <w:r>
        <w:rPr>
          <w:rFonts w:ascii="Courier New" w:cs="Courier New" w:eastAsia="Courier New" w:hAnsi="Courier New"/>
          <w:sz w:val="16"/>
          <w:szCs w:val="16"/>
          <w:color w:val="auto"/>
        </w:rPr>
        <w:t>Unrealized gains on marketable securities,</w:t>
      </w:r>
    </w:p>
    <w:p>
      <w:pPr>
        <w:ind w:left="80"/>
        <w:spacing w:after="0"/>
        <w:rPr>
          <w:sz w:val="20"/>
          <w:szCs w:val="20"/>
          <w:color w:val="auto"/>
        </w:rPr>
      </w:pPr>
      <w:r>
        <w:rPr>
          <w:rFonts w:ascii="Courier New" w:cs="Courier New" w:eastAsia="Courier New" w:hAnsi="Courier New"/>
          <w:sz w:val="16"/>
          <w:szCs w:val="16"/>
          <w:color w:val="auto"/>
        </w:rPr>
        <w:t>net of deferred taxes of $2,891.9........</w:t>
      </w:r>
    </w:p>
    <w:p>
      <w:pPr>
        <w:jc w:val="center"/>
        <w:ind w:right="6199"/>
        <w:spacing w:after="0" w:line="238" w:lineRule="auto"/>
        <w:rPr>
          <w:sz w:val="20"/>
          <w:szCs w:val="20"/>
          <w:color w:val="auto"/>
        </w:rPr>
      </w:pPr>
      <w:r>
        <w:rPr>
          <w:rFonts w:ascii="Courier New" w:cs="Courier New" w:eastAsia="Courier New" w:hAnsi="Courier New"/>
          <w:sz w:val="16"/>
          <w:szCs w:val="16"/>
          <w:color w:val="auto"/>
        </w:rPr>
        <w:t>5,370.6 Reclassification adjustments for</w:t>
      </w:r>
    </w:p>
    <w:p>
      <w:pPr>
        <w:jc w:val="center"/>
        <w:ind w:right="6199"/>
        <w:spacing w:after="0"/>
        <w:rPr>
          <w:sz w:val="20"/>
          <w:szCs w:val="20"/>
          <w:color w:val="auto"/>
        </w:rPr>
      </w:pPr>
      <w:r>
        <w:rPr>
          <w:rFonts w:ascii="Courier New" w:cs="Courier New" w:eastAsia="Courier New" w:hAnsi="Courier New"/>
          <w:sz w:val="16"/>
          <w:szCs w:val="16"/>
          <w:color w:val="auto"/>
        </w:rPr>
        <w:t>gains included in net income, net of</w:t>
      </w:r>
    </w:p>
    <w:p>
      <w:pPr>
        <w:ind w:left="1220"/>
        <w:spacing w:after="0" w:line="238" w:lineRule="auto"/>
        <w:rPr>
          <w:sz w:val="20"/>
          <w:szCs w:val="20"/>
          <w:color w:val="auto"/>
        </w:rPr>
      </w:pPr>
      <w:r>
        <w:rPr>
          <w:rFonts w:ascii="Courier New" w:cs="Courier New" w:eastAsia="Courier New" w:hAnsi="Courier New"/>
          <w:sz w:val="16"/>
          <w:szCs w:val="16"/>
          <w:color w:val="auto"/>
        </w:rPr>
        <w:t>deferred taxes of</w:t>
      </w:r>
    </w:p>
    <w:p>
      <w:pPr>
        <w:ind w:left="140"/>
        <w:spacing w:after="0"/>
        <w:rPr>
          <w:sz w:val="20"/>
          <w:szCs w:val="20"/>
          <w:color w:val="auto"/>
        </w:rPr>
      </w:pPr>
      <w:r>
        <w:rPr>
          <w:rFonts w:ascii="Courier New" w:cs="Courier New" w:eastAsia="Courier New" w:hAnsi="Courier New"/>
          <w:sz w:val="16"/>
          <w:szCs w:val="16"/>
          <w:color w:val="auto"/>
        </w:rPr>
        <w:t>$161.7.......................... (300.3)</w:t>
      </w:r>
    </w:p>
    <w:p>
      <w:pPr>
        <w:ind w:left="980"/>
        <w:spacing w:after="0" w:line="237" w:lineRule="auto"/>
        <w:rPr>
          <w:sz w:val="20"/>
          <w:szCs w:val="20"/>
          <w:color w:val="auto"/>
        </w:rPr>
      </w:pPr>
      <w:r>
        <w:rPr>
          <w:rFonts w:ascii="Courier New" w:cs="Courier New" w:eastAsia="Courier New" w:hAnsi="Courier New"/>
          <w:sz w:val="16"/>
          <w:szCs w:val="16"/>
          <w:color w:val="auto"/>
        </w:rPr>
        <w:t>Cumulative translation</w:t>
      </w:r>
    </w:p>
    <w:p>
      <w:pPr>
        <w:ind w:left="500"/>
        <w:spacing w:after="0"/>
        <w:rPr>
          <w:sz w:val="20"/>
          <w:szCs w:val="20"/>
          <w:color w:val="auto"/>
        </w:rPr>
      </w:pPr>
      <w:r>
        <w:rPr>
          <w:rFonts w:ascii="Courier New" w:cs="Courier New" w:eastAsia="Courier New" w:hAnsi="Courier New"/>
          <w:sz w:val="16"/>
          <w:szCs w:val="16"/>
          <w:color w:val="auto"/>
        </w:rPr>
        <w:t>adjustments......... (7.3) Total</w:t>
      </w:r>
    </w:p>
    <w:p>
      <w:pPr>
        <w:ind w:left="180"/>
        <w:spacing w:after="0" w:line="238" w:lineRule="auto"/>
        <w:rPr>
          <w:sz w:val="20"/>
          <w:szCs w:val="20"/>
          <w:color w:val="auto"/>
        </w:rPr>
      </w:pPr>
      <w:r>
        <w:rPr>
          <w:rFonts w:ascii="Courier New" w:cs="Courier New" w:eastAsia="Courier New" w:hAnsi="Courier New"/>
          <w:sz w:val="16"/>
          <w:szCs w:val="16"/>
          <w:color w:val="auto"/>
        </w:rPr>
        <w:t>comprehensive income...................</w:t>
      </w:r>
    </w:p>
    <w:p>
      <w:pPr>
        <w:ind w:left="1680"/>
        <w:spacing w:after="0"/>
        <w:rPr>
          <w:sz w:val="20"/>
          <w:szCs w:val="20"/>
          <w:color w:val="auto"/>
        </w:rPr>
      </w:pPr>
      <w:r>
        <w:rPr>
          <w:rFonts w:ascii="Courier New" w:cs="Courier New" w:eastAsia="Courier New" w:hAnsi="Courier New"/>
          <w:sz w:val="16"/>
          <w:szCs w:val="16"/>
          <w:color w:val="auto"/>
        </w:rPr>
        <w:t>6,128.7</w:t>
      </w:r>
    </w:p>
    <w:p>
      <w:pPr>
        <w:spacing w:after="0" w:line="238" w:lineRule="auto"/>
        <w:rPr>
          <w:sz w:val="20"/>
          <w:szCs w:val="20"/>
          <w:color w:val="auto"/>
        </w:rPr>
      </w:pPr>
      <w:r>
        <w:rPr>
          <w:rFonts w:ascii="Courier New" w:cs="Courier New" w:eastAsia="Courier New" w:hAnsi="Courier New"/>
          <w:sz w:val="16"/>
          <w:szCs w:val="16"/>
          <w:color w:val="auto"/>
        </w:rPr>
        <w:t>Acquisition................................</w:t>
      </w:r>
    </w:p>
    <w:p>
      <w:pPr>
        <w:ind w:left="1220"/>
        <w:spacing w:after="0"/>
        <w:rPr>
          <w:sz w:val="20"/>
          <w:szCs w:val="20"/>
          <w:color w:val="auto"/>
        </w:rPr>
      </w:pPr>
      <w:r>
        <w:rPr>
          <w:rFonts w:ascii="Courier New" w:cs="Courier New" w:eastAsia="Courier New" w:hAnsi="Courier New"/>
          <w:sz w:val="16"/>
          <w:szCs w:val="16"/>
          <w:color w:val="auto"/>
        </w:rPr>
        <w:t>291.7 Exercise of</w:t>
      </w:r>
    </w:p>
    <w:p>
      <w:pPr>
        <w:ind w:left="320"/>
        <w:spacing w:after="0" w:line="237" w:lineRule="auto"/>
        <w:rPr>
          <w:sz w:val="20"/>
          <w:szCs w:val="20"/>
          <w:color w:val="auto"/>
        </w:rPr>
      </w:pPr>
      <w:r>
        <w:rPr>
          <w:rFonts w:ascii="Courier New" w:cs="Courier New" w:eastAsia="Courier New" w:hAnsi="Courier New"/>
          <w:sz w:val="16"/>
          <w:szCs w:val="16"/>
          <w:color w:val="auto"/>
        </w:rPr>
        <w:t>options........................ 25.9</w:t>
      </w:r>
    </w:p>
    <w:p>
      <w:pPr>
        <w:ind w:left="980"/>
        <w:spacing w:after="0"/>
        <w:rPr>
          <w:sz w:val="20"/>
          <w:szCs w:val="20"/>
          <w:color w:val="auto"/>
        </w:rPr>
      </w:pPr>
      <w:r>
        <w:rPr>
          <w:rFonts w:ascii="Courier New" w:cs="Courier New" w:eastAsia="Courier New" w:hAnsi="Courier New"/>
          <w:sz w:val="16"/>
          <w:szCs w:val="16"/>
          <w:color w:val="auto"/>
        </w:rPr>
        <w:t>Conversion of Series A</w:t>
      </w:r>
    </w:p>
    <w:p>
      <w:pPr>
        <w:ind w:left="80"/>
        <w:spacing w:after="0" w:line="238" w:lineRule="auto"/>
        <w:rPr>
          <w:sz w:val="20"/>
          <w:szCs w:val="20"/>
          <w:color w:val="auto"/>
        </w:rPr>
      </w:pPr>
      <w:r>
        <w:rPr>
          <w:rFonts w:ascii="Courier New" w:cs="Courier New" w:eastAsia="Courier New" w:hAnsi="Courier New"/>
          <w:sz w:val="16"/>
          <w:szCs w:val="16"/>
          <w:color w:val="auto"/>
        </w:rPr>
        <w:t>preferred........... Retirement of common</w:t>
      </w:r>
    </w:p>
    <w:p>
      <w:pPr>
        <w:ind w:left="420"/>
        <w:spacing w:after="0"/>
        <w:rPr>
          <w:sz w:val="20"/>
          <w:szCs w:val="20"/>
          <w:color w:val="auto"/>
        </w:rPr>
      </w:pPr>
      <w:r>
        <w:rPr>
          <w:rFonts w:ascii="Courier New" w:cs="Courier New" w:eastAsia="Courier New" w:hAnsi="Courier New"/>
          <w:sz w:val="16"/>
          <w:szCs w:val="16"/>
          <w:color w:val="auto"/>
        </w:rPr>
        <w:t>stock................. (30.7) Cash</w:t>
      </w:r>
    </w:p>
    <w:p>
      <w:pPr>
        <w:ind w:left="220"/>
        <w:spacing w:after="0" w:line="238" w:lineRule="auto"/>
        <w:rPr>
          <w:sz w:val="20"/>
          <w:szCs w:val="20"/>
          <w:color w:val="auto"/>
        </w:rPr>
      </w:pPr>
      <w:r>
        <w:rPr>
          <w:rFonts w:ascii="Courier New" w:cs="Courier New" w:eastAsia="Courier New" w:hAnsi="Courier New"/>
          <w:sz w:val="16"/>
          <w:szCs w:val="16"/>
          <w:color w:val="auto"/>
        </w:rPr>
        <w:t>dividends, Series A preferred.........</w:t>
      </w:r>
    </w:p>
    <w:p>
      <w:pPr>
        <w:ind w:left="880"/>
        <w:spacing w:after="0"/>
        <w:rPr>
          <w:sz w:val="20"/>
          <w:szCs w:val="20"/>
          <w:color w:val="auto"/>
        </w:rPr>
      </w:pPr>
      <w:r>
        <w:rPr>
          <w:rFonts w:ascii="Courier New" w:cs="Courier New" w:eastAsia="Courier New" w:hAnsi="Courier New"/>
          <w:sz w:val="16"/>
          <w:szCs w:val="16"/>
          <w:color w:val="auto"/>
        </w:rPr>
        <w:t>(0.8) Series B preferred</w:t>
      </w:r>
    </w:p>
    <w:p>
      <w:pPr>
        <w:ind w:left="600"/>
        <w:spacing w:after="0" w:line="237" w:lineRule="auto"/>
        <w:rPr>
          <w:sz w:val="20"/>
          <w:szCs w:val="20"/>
          <w:color w:val="auto"/>
        </w:rPr>
      </w:pPr>
      <w:r>
        <w:rPr>
          <w:rFonts w:ascii="Courier New" w:cs="Courier New" w:eastAsia="Courier New" w:hAnsi="Courier New"/>
          <w:sz w:val="16"/>
          <w:szCs w:val="16"/>
          <w:color w:val="auto"/>
        </w:rPr>
        <w:t>dividends............... Share</w:t>
      </w:r>
    </w:p>
    <w:p>
      <w:pPr>
        <w:ind w:left="280"/>
        <w:spacing w:after="0"/>
        <w:rPr>
          <w:sz w:val="20"/>
          <w:szCs w:val="20"/>
          <w:color w:val="auto"/>
        </w:rPr>
      </w:pPr>
      <w:r>
        <w:rPr>
          <w:rFonts w:ascii="Courier New" w:cs="Courier New" w:eastAsia="Courier New" w:hAnsi="Courier New"/>
          <w:sz w:val="16"/>
          <w:szCs w:val="16"/>
          <w:color w:val="auto"/>
        </w:rPr>
        <w:t>exchange.............................</w:t>
      </w:r>
    </w:p>
    <w:p>
      <w:pPr>
        <w:ind w:left="560"/>
        <w:spacing w:after="0" w:line="238" w:lineRule="auto"/>
        <w:rPr>
          <w:sz w:val="20"/>
          <w:szCs w:val="20"/>
          <w:color w:val="auto"/>
        </w:rPr>
      </w:pPr>
      <w:r>
        <w:rPr>
          <w:rFonts w:ascii="Courier New" w:cs="Courier New" w:eastAsia="Courier New" w:hAnsi="Courier New"/>
          <w:sz w:val="16"/>
          <w:szCs w:val="16"/>
          <w:color w:val="auto"/>
        </w:rPr>
        <w:t>Temporary equity related to put</w:t>
      </w:r>
    </w:p>
    <w:p>
      <w:pPr>
        <w:ind w:left="40"/>
        <w:spacing w:after="0"/>
        <w:rPr>
          <w:sz w:val="20"/>
          <w:szCs w:val="20"/>
          <w:color w:val="auto"/>
        </w:rPr>
      </w:pPr>
      <w:r>
        <w:rPr>
          <w:rFonts w:ascii="Courier New" w:cs="Courier New" w:eastAsia="Courier New" w:hAnsi="Courier New"/>
          <w:sz w:val="16"/>
          <w:szCs w:val="16"/>
          <w:color w:val="auto"/>
        </w:rPr>
        <w:t>options.... 111.2 -------- ------ --------</w:t>
      </w:r>
    </w:p>
    <w:p>
      <w:pPr>
        <w:ind w:left="940"/>
        <w:spacing w:after="0" w:line="238" w:lineRule="auto"/>
        <w:rPr>
          <w:sz w:val="20"/>
          <w:szCs w:val="20"/>
          <w:color w:val="auto"/>
        </w:rPr>
      </w:pPr>
      <w:r>
        <w:rPr>
          <w:rFonts w:ascii="Courier New" w:cs="Courier New" w:eastAsia="Courier New" w:hAnsi="Courier New"/>
          <w:sz w:val="16"/>
          <w:szCs w:val="16"/>
          <w:color w:val="auto"/>
        </w:rPr>
        <w:t>- BALANCE, DECEMBER 31,</w:t>
      </w:r>
    </w:p>
    <w:p>
      <w:pPr>
        <w:ind w:left="280"/>
        <w:spacing w:after="0"/>
        <w:rPr>
          <w:sz w:val="20"/>
          <w:szCs w:val="20"/>
          <w:color w:val="auto"/>
        </w:rPr>
      </w:pPr>
      <w:r>
        <w:rPr>
          <w:rFonts w:ascii="Courier New" w:cs="Courier New" w:eastAsia="Courier New" w:hAnsi="Courier New"/>
          <w:sz w:val="16"/>
          <w:szCs w:val="16"/>
          <w:color w:val="auto"/>
        </w:rPr>
        <w:t>1999................... 6,119.8 (7.1)</w:t>
      </w:r>
    </w:p>
    <w:p>
      <w:pPr>
        <w:ind w:left="420"/>
        <w:spacing w:after="0" w:line="237" w:lineRule="auto"/>
        <w:rPr>
          <w:sz w:val="20"/>
          <w:szCs w:val="20"/>
          <w:color w:val="auto"/>
        </w:rPr>
      </w:pPr>
      <w:r>
        <w:rPr>
          <w:rFonts w:ascii="Courier New" w:cs="Courier New" w:eastAsia="Courier New" w:hAnsi="Courier New"/>
          <w:sz w:val="16"/>
          <w:szCs w:val="16"/>
          <w:color w:val="auto"/>
        </w:rPr>
        <w:t>10,341.3 Comprehensive income: Net</w:t>
      </w:r>
    </w:p>
    <w:p>
      <w:pPr>
        <w:ind w:left="180"/>
        <w:spacing w:after="0"/>
        <w:rPr>
          <w:sz w:val="20"/>
          <w:szCs w:val="20"/>
          <w:color w:val="auto"/>
        </w:rPr>
      </w:pPr>
      <w:r>
        <w:rPr>
          <w:rFonts w:ascii="Courier New" w:cs="Courier New" w:eastAsia="Courier New" w:hAnsi="Courier New"/>
          <w:sz w:val="16"/>
          <w:szCs w:val="16"/>
          <w:color w:val="auto"/>
        </w:rPr>
        <w:t>income.................................</w:t>
      </w:r>
    </w:p>
    <w:p>
      <w:pPr>
        <w:ind w:left="560"/>
        <w:spacing w:after="0" w:line="238" w:lineRule="auto"/>
        <w:rPr>
          <w:sz w:val="20"/>
          <w:szCs w:val="20"/>
          <w:color w:val="auto"/>
        </w:rPr>
      </w:pPr>
      <w:r>
        <w:rPr>
          <w:rFonts w:ascii="Courier New" w:cs="Courier New" w:eastAsia="Courier New" w:hAnsi="Courier New"/>
          <w:sz w:val="16"/>
          <w:szCs w:val="16"/>
          <w:color w:val="auto"/>
        </w:rPr>
        <w:t>Unrealized losses on marketable</w:t>
      </w:r>
    </w:p>
    <w:p>
      <w:pPr>
        <w:ind w:left="320"/>
        <w:spacing w:after="0"/>
        <w:rPr>
          <w:sz w:val="20"/>
          <w:szCs w:val="20"/>
          <w:color w:val="auto"/>
        </w:rPr>
      </w:pPr>
      <w:r>
        <w:rPr>
          <w:rFonts w:ascii="Courier New" w:cs="Courier New" w:eastAsia="Courier New" w:hAnsi="Courier New"/>
          <w:sz w:val="16"/>
          <w:szCs w:val="16"/>
          <w:color w:val="auto"/>
        </w:rPr>
        <w:t>securities, net of deferred taxes of</w:t>
      </w:r>
    </w:p>
    <w:p>
      <w:pPr>
        <w:ind w:left="800"/>
        <w:spacing w:after="0" w:line="238" w:lineRule="auto"/>
        <w:rPr>
          <w:sz w:val="20"/>
          <w:szCs w:val="20"/>
          <w:color w:val="auto"/>
        </w:rPr>
      </w:pPr>
      <w:r>
        <w:rPr>
          <w:rFonts w:ascii="Courier New" w:cs="Courier New" w:eastAsia="Courier New" w:hAnsi="Courier New"/>
          <w:sz w:val="16"/>
          <w:szCs w:val="16"/>
          <w:color w:val="auto"/>
        </w:rPr>
        <w:t>$2,789.3........ (5,180.1)</w:t>
      </w:r>
    </w:p>
    <w:p>
      <w:pPr>
        <w:ind w:left="220"/>
        <w:spacing w:after="0"/>
        <w:rPr>
          <w:sz w:val="20"/>
          <w:szCs w:val="20"/>
          <w:color w:val="auto"/>
        </w:rPr>
      </w:pPr>
      <w:r>
        <w:rPr>
          <w:rFonts w:ascii="Courier New" w:cs="Courier New" w:eastAsia="Courier New" w:hAnsi="Courier New"/>
          <w:sz w:val="16"/>
          <w:szCs w:val="16"/>
          <w:color w:val="auto"/>
        </w:rPr>
        <w:t>Reclassification adjustments for gains</w:t>
      </w:r>
    </w:p>
    <w:p>
      <w:pPr>
        <w:ind w:left="180"/>
        <w:spacing w:after="0" w:line="237" w:lineRule="auto"/>
        <w:rPr>
          <w:sz w:val="20"/>
          <w:szCs w:val="20"/>
          <w:color w:val="auto"/>
        </w:rPr>
      </w:pPr>
      <w:r>
        <w:rPr>
          <w:rFonts w:ascii="Courier New" w:cs="Courier New" w:eastAsia="Courier New" w:hAnsi="Courier New"/>
          <w:sz w:val="16"/>
          <w:szCs w:val="16"/>
          <w:color w:val="auto"/>
        </w:rPr>
        <w:t>included in net income, net of deferred</w:t>
      </w:r>
    </w:p>
    <w:p>
      <w:pPr>
        <w:ind w:left="80"/>
        <w:spacing w:after="0"/>
        <w:rPr>
          <w:sz w:val="20"/>
          <w:szCs w:val="20"/>
          <w:color w:val="auto"/>
        </w:rPr>
      </w:pPr>
      <w:r>
        <w:rPr>
          <w:rFonts w:ascii="Courier New" w:cs="Courier New" w:eastAsia="Courier New" w:hAnsi="Courier New"/>
          <w:sz w:val="16"/>
          <w:szCs w:val="16"/>
          <w:color w:val="auto"/>
        </w:rPr>
        <w:t>taxes of $266.0..........................</w:t>
      </w:r>
    </w:p>
    <w:p>
      <w:pPr>
        <w:ind w:left="600"/>
        <w:spacing w:after="0" w:line="238" w:lineRule="auto"/>
        <w:rPr>
          <w:sz w:val="20"/>
          <w:szCs w:val="20"/>
          <w:color w:val="auto"/>
        </w:rPr>
      </w:pPr>
      <w:r>
        <w:rPr>
          <w:rFonts w:ascii="Courier New" w:cs="Courier New" w:eastAsia="Courier New" w:hAnsi="Courier New"/>
          <w:sz w:val="16"/>
          <w:szCs w:val="16"/>
          <w:color w:val="auto"/>
        </w:rPr>
        <w:t>(494.0) Cumulative translation</w:t>
      </w:r>
    </w:p>
    <w:p>
      <w:pPr>
        <w:ind w:left="500"/>
        <w:spacing w:after="0"/>
        <w:rPr>
          <w:sz w:val="20"/>
          <w:szCs w:val="20"/>
          <w:color w:val="auto"/>
        </w:rPr>
      </w:pPr>
      <w:r>
        <w:rPr>
          <w:rFonts w:ascii="Courier New" w:cs="Courier New" w:eastAsia="Courier New" w:hAnsi="Courier New"/>
          <w:sz w:val="16"/>
          <w:szCs w:val="16"/>
          <w:color w:val="auto"/>
        </w:rPr>
        <w:t>adjustments......... (6.2) Total</w:t>
      </w:r>
    </w:p>
    <w:p>
      <w:pPr>
        <w:ind w:left="180"/>
        <w:spacing w:after="0" w:line="238" w:lineRule="auto"/>
        <w:rPr>
          <w:sz w:val="20"/>
          <w:szCs w:val="20"/>
          <w:color w:val="auto"/>
        </w:rPr>
      </w:pPr>
      <w:r>
        <w:rPr>
          <w:rFonts w:ascii="Courier New" w:cs="Courier New" w:eastAsia="Courier New" w:hAnsi="Courier New"/>
          <w:sz w:val="16"/>
          <w:szCs w:val="16"/>
          <w:color w:val="auto"/>
        </w:rPr>
        <w:t>comprehensive loss.....................</w:t>
      </w:r>
    </w:p>
    <w:p>
      <w:pPr>
        <w:ind w:left="1580"/>
        <w:spacing w:after="0"/>
        <w:rPr>
          <w:sz w:val="20"/>
          <w:szCs w:val="20"/>
          <w:color w:val="auto"/>
        </w:rPr>
      </w:pPr>
      <w:r>
        <w:rPr>
          <w:rFonts w:ascii="Courier New" w:cs="Courier New" w:eastAsia="Courier New" w:hAnsi="Courier New"/>
          <w:sz w:val="16"/>
          <w:szCs w:val="16"/>
          <w:color w:val="auto"/>
        </w:rPr>
        <w:t>(3,658.8)</w:t>
      </w:r>
    </w:p>
    <w:p>
      <w:pPr>
        <w:spacing w:after="0" w:line="237" w:lineRule="auto"/>
        <w:rPr>
          <w:sz w:val="20"/>
          <w:szCs w:val="20"/>
          <w:color w:val="auto"/>
        </w:rPr>
      </w:pPr>
      <w:r>
        <w:rPr>
          <w:rFonts w:ascii="Courier New" w:cs="Courier New" w:eastAsia="Courier New" w:hAnsi="Courier New"/>
          <w:sz w:val="16"/>
          <w:szCs w:val="16"/>
          <w:color w:val="auto"/>
        </w:rPr>
        <w:t>Acquisitions...............................</w:t>
      </w:r>
    </w:p>
    <w:p>
      <w:pPr>
        <w:ind w:left="1120"/>
        <w:spacing w:after="0"/>
        <w:rPr>
          <w:sz w:val="20"/>
          <w:szCs w:val="20"/>
          <w:color w:val="auto"/>
        </w:rPr>
      </w:pPr>
      <w:r>
        <w:rPr>
          <w:rFonts w:ascii="Courier New" w:cs="Courier New" w:eastAsia="Courier New" w:hAnsi="Courier New"/>
          <w:sz w:val="16"/>
          <w:szCs w:val="16"/>
          <w:color w:val="auto"/>
        </w:rPr>
        <w:t>7,740.9 Exercise of</w:t>
      </w:r>
    </w:p>
    <w:p>
      <w:pPr>
        <w:ind w:left="320"/>
        <w:spacing w:after="0" w:line="238" w:lineRule="auto"/>
        <w:rPr>
          <w:sz w:val="20"/>
          <w:szCs w:val="20"/>
          <w:color w:val="auto"/>
        </w:rPr>
      </w:pPr>
      <w:r>
        <w:rPr>
          <w:rFonts w:ascii="Courier New" w:cs="Courier New" w:eastAsia="Courier New" w:hAnsi="Courier New"/>
          <w:sz w:val="16"/>
          <w:szCs w:val="16"/>
          <w:color w:val="auto"/>
        </w:rPr>
        <w:t>options........................ 28.8</w:t>
      </w:r>
    </w:p>
    <w:p>
      <w:pPr>
        <w:ind w:left="1080"/>
        <w:spacing w:after="0"/>
        <w:rPr>
          <w:sz w:val="20"/>
          <w:szCs w:val="20"/>
          <w:color w:val="auto"/>
        </w:rPr>
      </w:pPr>
      <w:r>
        <w:rPr>
          <w:rFonts w:ascii="Courier New" w:cs="Courier New" w:eastAsia="Courier New" w:hAnsi="Courier New"/>
          <w:sz w:val="16"/>
          <w:szCs w:val="16"/>
          <w:color w:val="auto"/>
        </w:rPr>
        <w:t>Retirement of common</w:t>
      </w:r>
    </w:p>
    <w:p>
      <w:pPr>
        <w:ind w:left="80"/>
        <w:spacing w:after="0" w:line="238" w:lineRule="auto"/>
        <w:rPr>
          <w:sz w:val="20"/>
          <w:szCs w:val="20"/>
          <w:color w:val="auto"/>
        </w:rPr>
      </w:pPr>
      <w:r>
        <w:rPr>
          <w:rFonts w:ascii="Courier New" w:cs="Courier New" w:eastAsia="Courier New" w:hAnsi="Courier New"/>
          <w:sz w:val="16"/>
          <w:szCs w:val="16"/>
          <w:color w:val="auto"/>
        </w:rPr>
        <w:t>stock................. (324.9) Conversion</w:t>
      </w:r>
    </w:p>
    <w:p>
      <w:pPr>
        <w:ind w:left="80"/>
        <w:spacing w:after="0"/>
        <w:rPr>
          <w:sz w:val="20"/>
          <w:szCs w:val="20"/>
          <w:color w:val="auto"/>
        </w:rPr>
      </w:pPr>
      <w:r>
        <w:rPr>
          <w:rFonts w:ascii="Courier New" w:cs="Courier New" w:eastAsia="Courier New" w:hAnsi="Courier New"/>
          <w:sz w:val="16"/>
          <w:szCs w:val="16"/>
          <w:color w:val="auto"/>
        </w:rPr>
        <w:t>of Series B preferred........... Series B</w:t>
      </w:r>
    </w:p>
    <w:p>
      <w:pPr>
        <w:ind w:left="140"/>
        <w:spacing w:after="0" w:line="237" w:lineRule="auto"/>
        <w:rPr>
          <w:sz w:val="20"/>
          <w:szCs w:val="20"/>
          <w:color w:val="auto"/>
        </w:rPr>
      </w:pPr>
      <w:r>
        <w:rPr>
          <w:rFonts w:ascii="Courier New" w:cs="Courier New" w:eastAsia="Courier New" w:hAnsi="Courier New"/>
          <w:sz w:val="16"/>
          <w:szCs w:val="16"/>
          <w:color w:val="auto"/>
        </w:rPr>
        <w:t>preferred dividends............... Share</w:t>
      </w:r>
    </w:p>
    <w:p>
      <w:pPr>
        <w:ind w:left="280"/>
        <w:spacing w:after="0"/>
        <w:rPr>
          <w:sz w:val="20"/>
          <w:szCs w:val="20"/>
          <w:color w:val="auto"/>
        </w:rPr>
      </w:pPr>
      <w:r>
        <w:rPr>
          <w:rFonts w:ascii="Courier New" w:cs="Courier New" w:eastAsia="Courier New" w:hAnsi="Courier New"/>
          <w:sz w:val="16"/>
          <w:szCs w:val="16"/>
          <w:color w:val="auto"/>
        </w:rPr>
        <w:t>exchange.............................</w:t>
      </w:r>
    </w:p>
    <w:p>
      <w:pPr>
        <w:ind w:left="560"/>
        <w:spacing w:after="0" w:line="238" w:lineRule="auto"/>
        <w:rPr>
          <w:sz w:val="20"/>
          <w:szCs w:val="20"/>
          <w:color w:val="auto"/>
        </w:rPr>
      </w:pPr>
      <w:r>
        <w:rPr>
          <w:rFonts w:ascii="Courier New" w:cs="Courier New" w:eastAsia="Courier New" w:hAnsi="Courier New"/>
          <w:sz w:val="16"/>
          <w:szCs w:val="16"/>
          <w:color w:val="auto"/>
        </w:rPr>
        <w:t>Temporary equity related to put</w:t>
      </w:r>
    </w:p>
    <w:tbl>
      <w:tblPr>
        <w:tblLayout w:type="fixed"/>
        <w:tblInd w:w="40" w:type="dxa"/>
        <w:tblCellMar>
          <w:top w:w="0" w:type="dxa"/>
          <w:left w:w="0" w:type="dxa"/>
          <w:bottom w:w="0" w:type="dxa"/>
          <w:right w:w="0" w:type="dxa"/>
        </w:tblCellMar>
      </w:tblPr>
      <w:tr>
        <w:trPr>
          <w:trHeight w:val="181"/>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options</w:t>
            </w:r>
          </w:p>
        </w:tc>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w w:val="97"/>
              </w:rPr>
              <w:t>.... (40.9) -------- ------ -------</w:t>
            </w:r>
          </w:p>
        </w:tc>
      </w:tr>
      <w:tr>
        <w:trPr>
          <w:trHeight w:val="180"/>
        </w:trPr>
        <w:tc>
          <w:tcPr>
            <w:tcW w:w="660" w:type="dxa"/>
            <w:vAlign w:val="bottom"/>
          </w:tcPr>
          <w:p>
            <w:pPr>
              <w:spacing w:after="0"/>
              <w:rPr>
                <w:sz w:val="15"/>
                <w:szCs w:val="15"/>
                <w:color w:val="auto"/>
              </w:rPr>
            </w:pPr>
          </w:p>
        </w:tc>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w w:val="97"/>
              </w:rPr>
              <w:t>-- BALANCE, DECEMBER 31,</w:t>
            </w:r>
          </w:p>
        </w:tc>
        <w:tc>
          <w:tcPr>
            <w:tcW w:w="840" w:type="dxa"/>
            <w:vAlign w:val="bottom"/>
          </w:tcPr>
          <w:p>
            <w:pPr>
              <w:spacing w:after="0"/>
              <w:rPr>
                <w:sz w:val="15"/>
                <w:szCs w:val="15"/>
                <w:color w:val="auto"/>
              </w:rPr>
            </w:pPr>
          </w:p>
        </w:tc>
      </w:tr>
      <w:tr>
        <w:trPr>
          <w:trHeight w:val="180"/>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2440" w:type="dxa"/>
            <w:vAlign w:val="bottom"/>
          </w:tcPr>
          <w:p>
            <w:pPr>
              <w:spacing w:after="0"/>
              <w:rPr>
                <w:sz w:val="20"/>
                <w:szCs w:val="20"/>
                <w:color w:val="auto"/>
              </w:rPr>
            </w:pPr>
            <w:r>
              <w:rPr>
                <w:rFonts w:ascii="Courier New" w:cs="Courier New" w:eastAsia="Courier New" w:hAnsi="Courier New"/>
                <w:sz w:val="16"/>
                <w:szCs w:val="16"/>
                <w:color w:val="auto"/>
              </w:rPr>
              <w:t>................... 445.7</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(13.3)</w:t>
            </w:r>
          </w:p>
        </w:tc>
      </w:tr>
    </w:tbl>
    <w:p>
      <w:pPr>
        <w:jc w:val="center"/>
        <w:ind w:right="6199"/>
        <w:spacing w:after="0"/>
        <w:rPr>
          <w:sz w:val="20"/>
          <w:szCs w:val="20"/>
          <w:color w:val="auto"/>
        </w:rPr>
      </w:pPr>
      <w:r>
        <w:rPr>
          <w:rFonts w:ascii="Courier New" w:cs="Courier New" w:eastAsia="Courier New" w:hAnsi="Courier New"/>
          <w:sz w:val="16"/>
          <w:szCs w:val="16"/>
          <w:color w:val="auto"/>
        </w:rPr>
        <w:t>14,086.4 Comprehensive income: Net</w:t>
      </w:r>
    </w:p>
    <w:p>
      <w:pPr>
        <w:ind w:left="180"/>
        <w:spacing w:after="0" w:line="237" w:lineRule="auto"/>
        <w:rPr>
          <w:sz w:val="20"/>
          <w:szCs w:val="20"/>
          <w:color w:val="auto"/>
        </w:rPr>
      </w:pPr>
      <w:r>
        <w:rPr>
          <w:rFonts w:ascii="Courier New" w:cs="Courier New" w:eastAsia="Courier New" w:hAnsi="Courier New"/>
          <w:sz w:val="16"/>
          <w:szCs w:val="16"/>
          <w:color w:val="auto"/>
        </w:rPr>
        <w:t>income.................................</w:t>
      </w:r>
    </w:p>
    <w:p>
      <w:pPr>
        <w:ind w:left="40"/>
        <w:spacing w:after="0"/>
        <w:rPr>
          <w:sz w:val="20"/>
          <w:szCs w:val="20"/>
          <w:color w:val="auto"/>
        </w:rPr>
      </w:pPr>
      <w:r>
        <w:rPr>
          <w:rFonts w:ascii="Courier New" w:cs="Courier New" w:eastAsia="Courier New" w:hAnsi="Courier New"/>
          <w:sz w:val="16"/>
          <w:szCs w:val="16"/>
          <w:color w:val="auto"/>
        </w:rPr>
        <w:t>Unrealized gains on marketable securities,</w:t>
      </w:r>
    </w:p>
    <w:p>
      <w:pPr>
        <w:ind w:left="80"/>
        <w:spacing w:after="0" w:line="238" w:lineRule="auto"/>
        <w:rPr>
          <w:sz w:val="20"/>
          <w:szCs w:val="20"/>
          <w:color w:val="auto"/>
        </w:rPr>
      </w:pPr>
      <w:r>
        <w:rPr>
          <w:rFonts w:ascii="Courier New" w:cs="Courier New" w:eastAsia="Courier New" w:hAnsi="Courier New"/>
          <w:sz w:val="16"/>
          <w:szCs w:val="16"/>
          <w:color w:val="auto"/>
        </w:rPr>
        <w:t>net of deferred taxes of $114.4..........</w:t>
      </w:r>
    </w:p>
    <w:p>
      <w:pPr>
        <w:jc w:val="center"/>
        <w:ind w:right="6199"/>
        <w:spacing w:after="0"/>
        <w:rPr>
          <w:sz w:val="20"/>
          <w:szCs w:val="20"/>
          <w:color w:val="auto"/>
        </w:rPr>
      </w:pPr>
      <w:r>
        <w:rPr>
          <w:rFonts w:ascii="Courier New" w:cs="Courier New" w:eastAsia="Courier New" w:hAnsi="Courier New"/>
          <w:sz w:val="16"/>
          <w:szCs w:val="16"/>
          <w:color w:val="auto"/>
        </w:rPr>
        <w:t>212.5 Reclassification adjustments for</w:t>
      </w:r>
    </w:p>
    <w:p>
      <w:pPr>
        <w:jc w:val="center"/>
        <w:ind w:right="6199"/>
        <w:spacing w:after="0" w:line="238" w:lineRule="auto"/>
        <w:rPr>
          <w:sz w:val="20"/>
          <w:szCs w:val="20"/>
          <w:color w:val="auto"/>
        </w:rPr>
      </w:pPr>
      <w:r>
        <w:rPr>
          <w:rFonts w:ascii="Courier New" w:cs="Courier New" w:eastAsia="Courier New" w:hAnsi="Courier New"/>
          <w:sz w:val="16"/>
          <w:szCs w:val="16"/>
          <w:color w:val="auto"/>
        </w:rPr>
        <w:t>gains included in net income, net of</w:t>
      </w:r>
    </w:p>
    <w:tbl>
      <w:tblPr>
        <w:tblLayout w:type="fixed"/>
        <w:tblInd w:w="14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318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deferred taxes of</w:t>
            </w:r>
          </w:p>
        </w:tc>
      </w:tr>
      <w:tr>
        <w:trPr>
          <w:trHeight w:val="180"/>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$264.4</w:t>
            </w:r>
          </w:p>
        </w:tc>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w w:val="96"/>
              </w:rPr>
              <w:t>.......................... (491.1)</w:t>
            </w:r>
          </w:p>
        </w:tc>
      </w:tr>
    </w:tbl>
    <w:p>
      <w:pPr>
        <w:jc w:val="center"/>
        <w:ind w:right="6199"/>
        <w:spacing w:after="0"/>
        <w:rPr>
          <w:sz w:val="20"/>
          <w:szCs w:val="20"/>
          <w:color w:val="auto"/>
        </w:rPr>
      </w:pPr>
      <w:r>
        <w:rPr>
          <w:rFonts w:ascii="Courier New" w:cs="Courier New" w:eastAsia="Courier New" w:hAnsi="Courier New"/>
          <w:sz w:val="16"/>
          <w:szCs w:val="16"/>
          <w:color w:val="auto"/>
        </w:rPr>
        <w:t>Unrealized losses on effective portion of</w:t>
      </w:r>
    </w:p>
    <w:p>
      <w:pPr>
        <w:spacing w:after="0" w:line="3"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cash flow hedges, net of deferred taxes of</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$0.3..................................</w:t>
      </w:r>
    </w:p>
    <w:p>
      <w:pPr>
        <w:jc w:val="center"/>
        <w:ind w:right="6199"/>
        <w:spacing w:after="0"/>
        <w:rPr>
          <w:sz w:val="20"/>
          <w:szCs w:val="20"/>
          <w:color w:val="auto"/>
        </w:rPr>
      </w:pPr>
      <w:r>
        <w:rPr>
          <w:rFonts w:ascii="Courier New" w:cs="Courier New" w:eastAsia="Courier New" w:hAnsi="Courier New"/>
          <w:sz w:val="16"/>
          <w:szCs w:val="16"/>
          <w:color w:val="auto"/>
        </w:rPr>
        <w:t>(0.6) Cumulative translation</w:t>
      </w:r>
    </w:p>
    <w:p>
      <w:pPr>
        <w:ind w:left="500"/>
        <w:spacing w:after="0" w:line="237" w:lineRule="auto"/>
        <w:rPr>
          <w:sz w:val="20"/>
          <w:szCs w:val="20"/>
          <w:color w:val="auto"/>
        </w:rPr>
      </w:pPr>
      <w:r>
        <w:rPr>
          <w:rFonts w:ascii="Courier New" w:cs="Courier New" w:eastAsia="Courier New" w:hAnsi="Courier New"/>
          <w:sz w:val="16"/>
          <w:szCs w:val="16"/>
          <w:color w:val="auto"/>
        </w:rPr>
        <w:t>adjustments......... (8.8) Total</w:t>
      </w:r>
    </w:p>
    <w:p>
      <w:pPr>
        <w:ind w:left="180"/>
        <w:spacing w:after="0"/>
        <w:rPr>
          <w:sz w:val="20"/>
          <w:szCs w:val="20"/>
          <w:color w:val="auto"/>
        </w:rPr>
      </w:pPr>
      <w:r>
        <w:rPr>
          <w:rFonts w:ascii="Courier New" w:cs="Courier New" w:eastAsia="Courier New" w:hAnsi="Courier New"/>
          <w:sz w:val="16"/>
          <w:szCs w:val="16"/>
          <w:color w:val="auto"/>
        </w:rPr>
        <w:t>comprehensive income...................</w:t>
      </w:r>
    </w:p>
    <w:p>
      <w:pPr>
        <w:ind w:left="1220"/>
        <w:spacing w:after="0" w:line="238" w:lineRule="auto"/>
        <w:rPr>
          <w:sz w:val="20"/>
          <w:szCs w:val="20"/>
          <w:color w:val="auto"/>
        </w:rPr>
      </w:pPr>
      <w:r>
        <w:rPr>
          <w:rFonts w:ascii="Courier New" w:cs="Courier New" w:eastAsia="Courier New" w:hAnsi="Courier New"/>
          <w:sz w:val="16"/>
          <w:szCs w:val="16"/>
          <w:color w:val="auto"/>
        </w:rPr>
        <w:t>320.6 Exercise of</w:t>
      </w:r>
    </w:p>
    <w:p>
      <w:pPr>
        <w:ind w:left="320"/>
        <w:spacing w:after="0"/>
        <w:rPr>
          <w:sz w:val="20"/>
          <w:szCs w:val="20"/>
          <w:color w:val="auto"/>
        </w:rPr>
      </w:pPr>
      <w:r>
        <w:rPr>
          <w:rFonts w:ascii="Courier New" w:cs="Courier New" w:eastAsia="Courier New" w:hAnsi="Courier New"/>
          <w:sz w:val="16"/>
          <w:szCs w:val="16"/>
          <w:color w:val="auto"/>
        </w:rPr>
        <w:t>options........................ 38.5</w:t>
      </w:r>
    </w:p>
    <w:p>
      <w:pPr>
        <w:ind w:left="1080"/>
        <w:spacing w:after="0" w:line="238" w:lineRule="auto"/>
        <w:rPr>
          <w:sz w:val="20"/>
          <w:szCs w:val="20"/>
          <w:color w:val="auto"/>
        </w:rPr>
      </w:pPr>
      <w:r>
        <w:rPr>
          <w:rFonts w:ascii="Courier New" w:cs="Courier New" w:eastAsia="Courier New" w:hAnsi="Courier New"/>
          <w:sz w:val="16"/>
          <w:szCs w:val="16"/>
          <w:color w:val="auto"/>
        </w:rPr>
        <w:t>Retirement of common</w:t>
      </w:r>
    </w:p>
    <w:p>
      <w:pPr>
        <w:ind w:left="140"/>
        <w:spacing w:after="0"/>
        <w:rPr>
          <w:sz w:val="20"/>
          <w:szCs w:val="20"/>
          <w:color w:val="auto"/>
        </w:rPr>
      </w:pPr>
      <w:r>
        <w:rPr>
          <w:rFonts w:ascii="Courier New" w:cs="Courier New" w:eastAsia="Courier New" w:hAnsi="Courier New"/>
          <w:sz w:val="16"/>
          <w:szCs w:val="16"/>
          <w:color w:val="auto"/>
        </w:rPr>
        <w:t>stock................. (27.1) Conversion</w:t>
      </w:r>
    </w:p>
    <w:p>
      <w:pPr>
        <w:ind w:left="40"/>
        <w:spacing w:after="0" w:line="237" w:lineRule="auto"/>
        <w:rPr>
          <w:sz w:val="20"/>
          <w:szCs w:val="20"/>
          <w:color w:val="auto"/>
        </w:rPr>
      </w:pPr>
      <w:r>
        <w:rPr>
          <w:rFonts w:ascii="Courier New" w:cs="Courier New" w:eastAsia="Courier New" w:hAnsi="Courier New"/>
          <w:sz w:val="16"/>
          <w:szCs w:val="16"/>
          <w:color w:val="auto"/>
        </w:rPr>
        <w:t>of Series B preferred........... Temporary</w:t>
      </w:r>
    </w:p>
    <w:p>
      <w:pPr>
        <w:ind w:left="40"/>
        <w:spacing w:after="0"/>
        <w:rPr>
          <w:sz w:val="20"/>
          <w:szCs w:val="20"/>
          <w:color w:val="auto"/>
        </w:rPr>
      </w:pPr>
      <w:r>
        <w:rPr>
          <w:rFonts w:ascii="Courier New" w:cs="Courier New" w:eastAsia="Courier New" w:hAnsi="Courier New"/>
          <w:sz w:val="16"/>
          <w:szCs w:val="16"/>
          <w:color w:val="auto"/>
        </w:rPr>
        <w:t>equity related to put options.... 54.6 ---</w:t>
      </w:r>
    </w:p>
    <w:p>
      <w:pPr>
        <w:ind w:left="140"/>
        <w:spacing w:after="0" w:line="238" w:lineRule="auto"/>
        <w:rPr>
          <w:sz w:val="20"/>
          <w:szCs w:val="20"/>
          <w:color w:val="auto"/>
        </w:rPr>
      </w:pPr>
      <w:r>
        <w:rPr>
          <w:rFonts w:ascii="Courier New" w:cs="Courier New" w:eastAsia="Courier New" w:hAnsi="Courier New"/>
          <w:sz w:val="16"/>
          <w:szCs w:val="16"/>
          <w:color w:val="auto"/>
        </w:rPr>
        <w:t>----- ------ --------- BALANCE, DECEMBER</w:t>
      </w:r>
    </w:p>
    <w:p>
      <w:pPr>
        <w:ind w:left="360"/>
        <w:spacing w:after="0"/>
        <w:rPr>
          <w:sz w:val="20"/>
          <w:szCs w:val="20"/>
          <w:color w:val="auto"/>
        </w:rPr>
      </w:pPr>
      <w:r>
        <w:rPr>
          <w:rFonts w:ascii="Courier New" w:cs="Courier New" w:eastAsia="Courier New" w:hAnsi="Courier New"/>
          <w:sz w:val="16"/>
          <w:szCs w:val="16"/>
          <w:color w:val="auto"/>
        </w:rPr>
        <w:t>31, 2001................... $ 166.5</w:t>
      </w:r>
    </w:p>
    <w:p>
      <w:pPr>
        <w:jc w:val="center"/>
        <w:ind w:right="6199"/>
        <w:spacing w:after="0" w:line="238" w:lineRule="auto"/>
        <w:rPr>
          <w:sz w:val="20"/>
          <w:szCs w:val="20"/>
          <w:color w:val="auto"/>
        </w:rPr>
      </w:pPr>
      <w:r>
        <w:rPr>
          <w:rFonts w:ascii="Courier New" w:cs="Courier New" w:eastAsia="Courier New" w:hAnsi="Courier New"/>
          <w:sz w:val="16"/>
          <w:szCs w:val="16"/>
          <w:color w:val="auto"/>
        </w:rPr>
        <w:t>$(22.1) $14,473.0 ======== ======</w:t>
      </w:r>
    </w:p>
    <w:p>
      <w:pPr>
        <w:jc w:val="center"/>
        <w:ind w:right="6199"/>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F-92</w:t>
      </w:r>
    </w:p>
    <w:p>
      <w:pPr>
        <w:sectPr>
          <w:pgSz w:w="11900" w:h="16838" w:orient="portrait"/>
          <w:cols w:equalWidth="0" w:num="1">
            <w:col w:w="10219"/>
          </w:cols>
          <w:pgMar w:left="240" w:top="137" w:right="1440" w:bottom="0" w:gutter="0" w:footer="0" w:header="0"/>
        </w:sectPr>
      </w:pPr>
    </w:p>
    <w:bookmarkStart w:id="282" w:name="page283"/>
    <w:bookmarkEnd w:id="282"/>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179" w:lineRule="exact"/>
        <w:rPr>
          <w:sz w:val="20"/>
          <w:szCs w:val="20"/>
          <w:color w:val="auto"/>
        </w:rPr>
      </w:pPr>
    </w:p>
    <w:p>
      <w:pPr>
        <w:ind w:left="384" w:hanging="384"/>
        <w:spacing w:after="0"/>
        <w:tabs>
          <w:tab w:leader="none" w:pos="384"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w:t>
      </w:r>
    </w:p>
    <w:p>
      <w:pPr>
        <w:spacing w:after="0" w:line="185"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Comcast Corporation and its subsidiaries (the "Company") is involved in three principal lines of business: cable, commerce and content.</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Company's cable business is principally involved in the development, management and operation of broadband communications networks in the United States ("US"). The Company's consolidated cable operations served approximately 8.5 million subscribers and passed approximately 13.9 million homes as of December 31, 2001.</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commerce operations consist of the Company's consolidated subsidiary, QVC, Inc. and subsidiaries ("QVC"). Through QVC, an electronic retailer, the Company markets a wide variety of products directly to consumers primarily on merchandise-focused television programs. QVC was available, on a full and part-time basis, to approximately 82.1 million homes in the US, approximately 9.5 million homes in the United Kingdom ("UK"), approximately 23.6 million homes in Germany and approximately 3.6 million homes in Japan as of December 31, 2001.</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Content is provided through the Company's consolidated subsidiaries including Comcast Spectacor, Comcast SportsNet ("CSN"), Comcast SportsNet Mid-Atlantic ("CSN Mid-Atlantic"), Comcast Sports Southeast ("CSS"), E! Entertainment Television, Inc. ("E! Entertainment"), The Golf Channel ("TGC"), Outdoor Life Network ("OLN") and G4 Media, LLC ("G4 Media"), and through other programming investments (see Note 5).</w:t>
      </w:r>
    </w:p>
    <w:p>
      <w:pPr>
        <w:spacing w:after="0" w:line="189"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Company's cable and commerce operations represent the Company's two reportable segments under accounting principles generally accepted in the United States. The Company's three 24-hour regional sports programming networks, which consist of CSN, CSN Mid-Atlantic and CSS, derive a substantial portion of their revenues from the Company's cable operations. In 2001, as a result of a change in its internal reporting structure, the Company's regional sports programming networks are included in the Company's cable segment for all periods presented. See Note 12 for a summary of the Company's financial data by business segment.</w:t>
      </w:r>
    </w:p>
    <w:p>
      <w:pPr>
        <w:spacing w:after="0" w:line="173" w:lineRule="exact"/>
        <w:rPr>
          <w:sz w:val="20"/>
          <w:szCs w:val="20"/>
          <w:color w:val="auto"/>
        </w:rPr>
      </w:pPr>
    </w:p>
    <w:p>
      <w:pPr>
        <w:ind w:left="184" w:right="5899" w:hanging="184"/>
        <w:spacing w:after="0" w:line="471" w:lineRule="auto"/>
        <w:tabs>
          <w:tab w:leader="none" w:pos="371"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BASIS OF CONSOLIDATION</w:t>
      </w:r>
    </w:p>
    <w:p>
      <w:pPr>
        <w:spacing w:after="0" w:line="10"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all entities that the Company directly or indirectly controls. All significant intercompany accounts and transactions among consolidated entities have been eliminated.</w:t>
      </w:r>
    </w:p>
    <w:p>
      <w:pPr>
        <w:spacing w:after="0" w:line="18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MANAGEMENT'S USE OF ESTIMATES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 prepares its financial statements in conformity with accounting principles generally accepted in the United States which require management to make estimates and assumptions that affect the reported amounts and disclosures. Actual results could differ from those estimates. Estimates are used when accounting for certain items such as sales returns and allowances, allowances for doubtful accounts, reserves for inventory obsolescence, investments and derivative financial instruments, depreciation and amortization, asset impairment, non-monetary transactions and contingencies.</w:t>
      </w:r>
    </w:p>
    <w:p>
      <w:pPr>
        <w:spacing w:after="0" w:line="168"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FAIR VALUES</w:t>
      </w:r>
    </w:p>
    <w:p>
      <w:pPr>
        <w:spacing w:after="0" w:line="18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The Company has determined the estimated fair value amounts presented in these consolidated financial statements using available market information and appropriate methodologies. However, considerable judgment is required in interpreting market data to develop the estimates of fair value. The</w:t>
      </w:r>
    </w:p>
    <w:p>
      <w:pPr>
        <w:ind w:left="3664"/>
        <w:spacing w:after="0" w:line="236" w:lineRule="auto"/>
        <w:rPr>
          <w:sz w:val="20"/>
          <w:szCs w:val="20"/>
          <w:color w:val="auto"/>
        </w:rPr>
      </w:pPr>
      <w:r>
        <w:rPr>
          <w:rFonts w:ascii="Courier New" w:cs="Courier New" w:eastAsia="Courier New" w:hAnsi="Courier New"/>
          <w:sz w:val="16"/>
          <w:szCs w:val="16"/>
          <w:color w:val="auto"/>
        </w:rPr>
        <w:t>F-93</w:t>
      </w:r>
    </w:p>
    <w:p>
      <w:pPr>
        <w:sectPr>
          <w:pgSz w:w="11900" w:h="16838" w:orient="portrait"/>
          <w:cols w:equalWidth="0" w:num="1">
            <w:col w:w="10223"/>
          </w:cols>
          <w:pgMar w:left="236" w:top="654" w:right="1440" w:bottom="1440" w:gutter="0" w:footer="0" w:header="0"/>
        </w:sectPr>
      </w:pPr>
    </w:p>
    <w:bookmarkStart w:id="283" w:name="page284"/>
    <w:bookmarkEnd w:id="283"/>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estimates presented in these consolidated financial statements are not necessarily indicative of the amounts that the Company could realize in a current market exchange. The use of different market assumptions and/or estimation methodologies may have a material effect on the estimated fair value amounts. The Company based these fair value estimates on pertinent information available to management as of December 31, 2001 and 2000. The Company has not comprehensively updated these fair value estimates for purposes of these consolidated financial statements since such dates.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Cash equivalents consist principally of commercial paper, money market funds, US Government obligations and certificates of deposit with maturities of three months or less when purchased. The carrying amounts of the Company's cash equivalents approximate their fair values.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INVENTORIES -- ELECTRONIC RETAILING</w:t>
      </w:r>
    </w:p>
    <w:p>
      <w:pPr>
        <w:spacing w:after="0" w:line="185" w:lineRule="exact"/>
        <w:rPr>
          <w:sz w:val="20"/>
          <w:szCs w:val="20"/>
          <w:color w:val="auto"/>
        </w:rPr>
      </w:pPr>
    </w:p>
    <w:p>
      <w:pPr>
        <w:jc w:val="both"/>
        <w:ind w:right="2899" w:firstLine="469"/>
        <w:spacing w:after="0" w:line="263" w:lineRule="auto"/>
        <w:rPr>
          <w:sz w:val="20"/>
          <w:szCs w:val="20"/>
          <w:color w:val="auto"/>
        </w:rPr>
      </w:pPr>
      <w:r>
        <w:rPr>
          <w:rFonts w:ascii="Courier New" w:cs="Courier New" w:eastAsia="Courier New" w:hAnsi="Courier New"/>
          <w:sz w:val="15"/>
          <w:szCs w:val="15"/>
          <w:color w:val="auto"/>
        </w:rPr>
        <w:t>Inventories are stated at the lower of cost or market. Cost is determined by the average cost method, which approximates the first-in, first-out method.</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Investments consist principally of equity securities.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years, which is consistent with the estimated lives of the underlying assets.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Unrealized gains or losses resulting from changes in fair value between measurement dates for trading securities are recorded as a component of investment income.</w:t>
      </w:r>
    </w:p>
    <w:p>
      <w:pPr>
        <w:spacing w:after="0" w:line="185"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Restricted publicly traded investments and investments in privately held companies are stated at cost, adjusted for any known diminution in value (see Note 6).</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AND EQUIPMENT</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The Company records property and equipment at cost. Depreciation is provided by the straight-line method over estimated useful lives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Buildings</w:t>
            </w:r>
          </w:p>
        </w:tc>
        <w:tc>
          <w:tcPr>
            <w:tcW w:w="4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and improvements..................................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Operating</w:t>
            </w:r>
          </w:p>
        </w:tc>
        <w:tc>
          <w:tcPr>
            <w:tcW w:w="4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facilities........................................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5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Other equipment.............................................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bl>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capitalizes improvements that extend asset lives and expenses other repairs and maintenance charges as incurred. The cost and related accumulated depreciation applicable to assets sold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F-94</w:t>
      </w:r>
    </w:p>
    <w:p>
      <w:pPr>
        <w:sectPr>
          <w:pgSz w:w="11900" w:h="16838" w:orient="portrait"/>
          <w:cols w:equalWidth="0" w:num="1">
            <w:col w:w="10219"/>
          </w:cols>
          <w:pgMar w:left="240" w:top="473" w:right="1440" w:bottom="1440" w:gutter="0" w:footer="0" w:header="0"/>
        </w:sectPr>
      </w:pPr>
    </w:p>
    <w:bookmarkStart w:id="284" w:name="page285"/>
    <w:bookmarkEnd w:id="284"/>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or retired are removed from the accounts and the gain or loss on disposition is recognized as a component of depreciation expense.</w:t>
      </w:r>
    </w:p>
    <w:p>
      <w:pPr>
        <w:spacing w:after="0" w:line="18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The Company capitalizes the costs associated with the construction of cable transmission and distribution facilities and new cable service installations. Costs include all direct labor and materials, as well as certain indirect costs.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INTANGIBLE ASSETS</w:t>
      </w:r>
    </w:p>
    <w:p>
      <w:pPr>
        <w:spacing w:after="0" w:line="185" w:lineRule="exact"/>
        <w:rPr>
          <w:sz w:val="20"/>
          <w:szCs w:val="20"/>
          <w:color w:val="auto"/>
        </w:rPr>
      </w:pPr>
    </w:p>
    <w:p>
      <w:pPr>
        <w:jc w:val="both"/>
        <w:ind w:right="2899" w:firstLine="469"/>
        <w:spacing w:after="0" w:line="259" w:lineRule="auto"/>
        <w:rPr>
          <w:sz w:val="20"/>
          <w:szCs w:val="20"/>
          <w:color w:val="auto"/>
        </w:rPr>
      </w:pPr>
      <w:r>
        <w:rPr>
          <w:rFonts w:ascii="Courier New" w:cs="Courier New" w:eastAsia="Courier New" w:hAnsi="Courier New"/>
          <w:sz w:val="15"/>
          <w:szCs w:val="15"/>
          <w:color w:val="auto"/>
        </w:rPr>
        <w:t>Goodwill is the excess of the acquisition cost of an acquired entity over the fair value of the identifiable net assets acquired. The Company amortizes goodwill over estimated useful lives ranging principally from 20 to 30 years.</w:t>
      </w:r>
    </w:p>
    <w:p>
      <w:pPr>
        <w:spacing w:after="0" w:line="171"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Cable franchise operating rights represent the value attributed to agreements with local authorities that allow access to homes in cable service areas acquired in connection with a business combination. The Company capitalizes these contractual rights and amortizes them over the term of the related franchise agreements. Costs incurred by the Company in negotiating and renewing franchise agreements are included in other intangible assets and are amortized on a straight-line basis over the term of the franchise renewal period, generally 10 to 15 years.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Other intangible assets consist principally of cable and satellite television distribution rights, cable system franchise renewal costs, contractual operating rights, computer software, programming costs and rights, license acquisition costs and non-competition agreements. The Company capitalizes these costs and amortizes them on a straight-line basis over the term of the related agreements or estimated useful life.</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Certain of the Company's content subsidiaries and QVC have entered into multi-year affiliation agreements with various cable and satellite system operators for carriage of their respective programming. The Company capitalizes cable or satellite distribution rights and amortizes them on a straight-line basis over the term of the related distribution agreements of 5 to 15 years.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See Note 3 for a discussion of the expected impact of adoption of Statement of Financial Accounting Standards ("SFAS") No. 141, "Business Combinations" ("SFAS No. 141") and SFAS No. 142, "Goodwill and Other Intangible Assets" ("SFAS No. 142").</w:t>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VALUATION OF LONG-LIVED ASSETS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periodically evaluates the recoverability of its long-lived assets, including property and equipment and intangible assets, whenever events or changes in circumstances indicate that the carrying amount may not be recoverable. Such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FOREIGN CURRENCY TRANSLATION</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 translates assets and liabilities of its foreign subsidiaries, where the functional currency is the local currency, into US dollars at the December 31 exchange rate and records the related translation adjustments as a component of other comprehensive income. The Company translates revenues and expenses using average exchange rates prevailing during the year. Foreign currency transaction gains and losses are included in other income (expense).</w:t>
      </w:r>
    </w:p>
    <w:p>
      <w:pPr>
        <w:spacing w:after="0" w:line="17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F-95</w:t>
      </w:r>
    </w:p>
    <w:p>
      <w:pPr>
        <w:sectPr>
          <w:pgSz w:w="11900" w:h="16838" w:orient="portrait"/>
          <w:cols w:equalWidth="0" w:num="1">
            <w:col w:w="10219"/>
          </w:cols>
          <w:pgMar w:left="240" w:top="473" w:right="1440" w:bottom="1440" w:gutter="0" w:footer="0" w:header="0"/>
        </w:sectPr>
      </w:pPr>
    </w:p>
    <w:bookmarkStart w:id="285" w:name="page286"/>
    <w:bookmarkEnd w:id="285"/>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 RECOGNITION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recognizes video, high-speed Internet, and programming revenues as service is provided. The Company manages credit risk by disconnecting services to cable and high-speed Internet customers who are delinquent. The Company recognizes advertising sales revenue at estimated realizable values when the advertising is aired. Revenues derived from other sources are recognized when services are provided or events occur.</w:t>
      </w:r>
    </w:p>
    <w:p>
      <w:pPr>
        <w:spacing w:after="0" w:line="189"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The Company recognizes net sales from electronic retailing at the time of shipment to customers. The Company classifies all amounts billed to a customer for shipping and handling within net sales from electronic retailing. The Company's policy is to allow customers to return merchandise for up to thirty days after date of shipment. An allowance for returned merchandise is provided as a percentage of sales based on historical experience.</w:t>
      </w:r>
    </w:p>
    <w:p>
      <w:pPr>
        <w:spacing w:after="0" w:line="17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See Note 3 for a discussion of the expected impact of adoption of Emerging Issues Task Force ("EITF") 01-9, "Accounting for Consideration Given to a Customer (Including a Reseller of the Vendor's Products)" ("EITF 01-9") and EITF 01-14, "Income Statement Characterization of Reimbursements Received for 'Out-of-Pocket' Expenses Incurred" ("EITF 01-14").</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STOCK-BASED COMPENSATION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("APB") Opinion No. 25, "Accounting for Stock Issued to Employees," and related interpretations, as permitted by SFAS No. 123, "Accounting for Stock-Based Compensation."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 at the end of the year (see Note 8).</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POSTRETIREMENT AND POSTEMPLOYMENT BENEFITS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charges to operations the estimated costs of retiree benefits and benefits for former or inactive employees, after employment but before retirement, during the years the employees provide services.</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 INCOME</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Investment income includes interest income, dividend income and gains, net of losses, on the sales and exchanges of marketable securities and long-term investments. The Company recognizes gross realized gains and losses using the specific identification method. Investment income also includes unrealized gains or losses on trading securities, mark to market adjustments on derivatives and hedged items, and impairment losses resulting from adjustments to the net realizable value of certain of the Company's investments (see Note 6).</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F-96</w:t>
      </w:r>
    </w:p>
    <w:p>
      <w:pPr>
        <w:sectPr>
          <w:pgSz w:w="11900" w:h="16838" w:orient="portrait"/>
          <w:cols w:equalWidth="0" w:num="1">
            <w:col w:w="10219"/>
          </w:cols>
          <w:pgMar w:left="240" w:top="473" w:right="1440" w:bottom="1440" w:gutter="0" w:footer="0" w:header="0"/>
        </w:sectPr>
      </w:pPr>
    </w:p>
    <w:bookmarkStart w:id="286" w:name="page287"/>
    <w:bookmarkEnd w:id="286"/>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any, applied to the years during which temporary differences are expected to be settled, are reflected in the consolidated financial statements in the period of enactment (see Note 9).</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DERIVATIVE FINANCIAL INSTRUMENTS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Company uses derivative financial instruments for a number of purposes. The Company manages its exposure to fluctuations in interest rates by entering into interest rate exchange agreements ("Swaps"), interest rate cap agreements ("Caps") and interest rate collar agreements ("Collars"). The Company manages the cost of its share repurchases through the sale of equity put option contracts ("Comcast Put Options"). The Company manages its exposure to fluctuations in the value of certain of its investments by entering into equity collar agreements ("Equity Collars") and equity put option agreements ("Equity Put Options"). The Company makes investments in businesses, to some degree, through the purchase of equity call option or call warrant agreements ("Equity Warrants"). The Company has issued indexed debt instruments and entered into prepaid forward sale agreements ("Prepaid Forward Sales") whose value, in part, is derived from the market value of Sprint PCS common stock, and has also sold call options on certain of its investments in equity securities ("Covered Call Options") in order to monetize a portion of those investments.</w:t>
      </w:r>
    </w:p>
    <w:p>
      <w:pPr>
        <w:spacing w:after="0" w:line="178"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Prior to the adoption on January 1, 2001 of SFAS No. 133, "Accounting for Derivatives and Hedging Activities," as amended ("SFAS No. 133"), Swaps, Caps and Collars were matched with either fixed or variable rate debt and periodic cash payments were accrued on a settlement basis as an adjustment to interest expense. Any premiums associated with these instruments were amortized over their term and realized gains or losses as a result of the termination of the instruments were deferred and amortized over the remaining term of the underlying debt. Unrealized gains and losses as a result of these instruments were recognized when the underlying hedged item was extinguished or otherwise terminated.</w:t>
      </w:r>
    </w:p>
    <w:p>
      <w:pPr>
        <w:spacing w:after="0" w:line="187"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Equity Collars, Equity Put Options and Equity Warrants were marked to market on a current basis with the result included in accumulated other comprehensive income in the Company's consolidated balance sheet. Covered Call Options are marked to market on a current basis with the result included in investment income in the Company's consolidated statement of operations.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January 1, 2001, the Company adopted SFAS No. 133. SFAS No. 133 establishes accounting and reporting standards for derivative instruments, including certain derivative instruments embedded in other contracts and hedging activities. SFAS No. 133 requires that all derivative instruments, whether designated in hedging relationships or not, be recorded on the balance sheet at their fair values.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derivative instruments designated and effective as fair value hedges, such as the Company's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the Company's Variable to Fixed Swaps, the effective portion of any hedge is reported in other comprehensive income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When a fair value hedge is terminated, sold, exercised or has expired, the adjustment in the carrying amount of the fair value hedged item is deferred and recognized into earnings when the hedged item is recognized in earnings. When a hedged item is extinguished or sold, the adjustment in the carrying amount of the hedged item is recognized in earnings. When hedged variable rate debt is extinguished, the previously deferred effective portion of the hedge is written off similar to debt extinguishment costs.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F-97</w:t>
      </w:r>
    </w:p>
    <w:p>
      <w:pPr>
        <w:sectPr>
          <w:pgSz w:w="11900" w:h="16838" w:orient="portrait"/>
          <w:cols w:equalWidth="0" w:num="1">
            <w:col w:w="10219"/>
          </w:cols>
          <w:pgMar w:left="240" w:top="473" w:right="1440" w:bottom="1440" w:gutter="0" w:footer="0" w:header="0"/>
        </w:sectPr>
      </w:pPr>
    </w:p>
    <w:bookmarkStart w:id="287" w:name="page288"/>
    <w:bookmarkEnd w:id="287"/>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Subsequent to the adoption of SFAS No. 133, Equity Warrants are marked to market on a current basis with the result included in investment income in the Company's consolidated statement of operations.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Subsequent to the adoption of SFAS No. 133, derivative instruments embedded in other contracts, such as the Company's indexed debt instruments and Prepaid Forward Sale, are bifurcated into their host and derivative financial instrument components. The derivative component is recorded at its estimated fair value in the Company's consolidated balance sheet with changes in estimated fair value recorded in investment income.</w:t>
      </w:r>
    </w:p>
    <w:p>
      <w:pPr>
        <w:spacing w:after="0" w:line="189"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w:t>
      </w:r>
    </w:p>
    <w:p>
      <w:pPr>
        <w:spacing w:after="0" w:line="174"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Company periodically examines those instruments that have been entered into by the Company to hedge exposure to interest rate and equity price risks to ensure that the instruments are matched with underlying assets or liabilities, reduce the Company's risks relating to interest rates or equity prices and, through market value and sensitivity analysis, maintain a high correlation to the risk inherent in the hedged item. For those instruments that do not meet the above criteria, variations in their fair value are marked-to-market on a current basis in the Company's consolidated statement of operations.</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does not hold or issue any derivative financial instruments for trading purposes and is not a party to leveraged instruments (see Note 7). The Company manages the credit risks associated with its derivative financial instruments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Note 3 for a discussion of the impact of adoption of SFAS No. 133.</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SALE OF STOCK BY A SUBSIDIARY OR EQUITY METHOD INVESTEE</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 LENDING TRANSACTIONS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consolidated balance sheet.</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RECLASSIFICATIONS</w:t>
      </w:r>
    </w:p>
    <w:p>
      <w:pPr>
        <w:spacing w:after="0" w:line="185" w:lineRule="exact"/>
        <w:rPr>
          <w:sz w:val="20"/>
          <w:szCs w:val="20"/>
          <w:color w:val="auto"/>
        </w:rPr>
      </w:pPr>
    </w:p>
    <w:p>
      <w:pPr>
        <w:ind w:right="2899" w:firstLine="469"/>
        <w:spacing w:after="0" w:line="263" w:lineRule="auto"/>
        <w:rPr>
          <w:sz w:val="20"/>
          <w:szCs w:val="20"/>
          <w:color w:val="auto"/>
        </w:rPr>
      </w:pPr>
      <w:r>
        <w:rPr>
          <w:rFonts w:ascii="Courier New" w:cs="Courier New" w:eastAsia="Courier New" w:hAnsi="Courier New"/>
          <w:sz w:val="15"/>
          <w:szCs w:val="15"/>
          <w:color w:val="auto"/>
        </w:rPr>
        <w:t>Certain reclassifications have been made to the prior years' consolidated financial statements to conform to those classifications used in 2001.</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F-98</w:t>
      </w:r>
    </w:p>
    <w:p>
      <w:pPr>
        <w:sectPr>
          <w:pgSz w:w="11900" w:h="16838" w:orient="portrait"/>
          <w:cols w:equalWidth="0" w:num="1">
            <w:col w:w="10219"/>
          </w:cols>
          <w:pgMar w:left="240" w:top="473" w:right="1440" w:bottom="1440" w:gutter="0" w:footer="0" w:header="0"/>
        </w:sectPr>
      </w:pPr>
    </w:p>
    <w:bookmarkStart w:id="288" w:name="page289"/>
    <w:bookmarkEnd w:id="288"/>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104" w:right="6839" w:hanging="104"/>
        <w:spacing w:after="0" w:line="509" w:lineRule="auto"/>
        <w:tabs>
          <w:tab w:leader="none" w:pos="385"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SFAS NO. 133, AS AMENDED</w:t>
      </w:r>
    </w:p>
    <w:p>
      <w:pPr>
        <w:spacing w:after="0" w:line="1"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On January 1, 2001, the Company adopted SFAS No. 133. SFAS No. 133 establishes accounting and reporting standards for derivatives and hedging activities. SFAS No. 133 requires that all derivative instruments be reported on the balance sheet at their fair values.</w:t>
      </w:r>
    </w:p>
    <w:p>
      <w:pPr>
        <w:spacing w:after="0" w:line="186"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Upon adoption of SFAS No. 133, the Company recognized as income a cumulative effect of accounting change, net of related income taxes, of $384.5 million and a cumulative decrease in other comprehensive income, net of related income taxes, of $127.0 million.</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increase in income consisted of a $400.2 million adjustment to record the debt component of indexed debt at a discount from its value at maturity (see Note 7) and $191.3 million principally related to the reclassification of gains previously recognized as a component of accumulated other comprehensive income on the Company's equity derivative instruments, net of related deferred income taxes of $207.0 million (see Note 9).</w:t>
      </w:r>
    </w:p>
    <w:p>
      <w:pPr>
        <w:spacing w:after="0" w:line="189"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The decrease in other comprehensive income consisted principally of the reclassification of the gains noted above.</w:t>
      </w:r>
    </w:p>
    <w:p>
      <w:pPr>
        <w:spacing w:after="0" w:line="18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SFAS NO'S. 141 AND 142</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Financial Accounting Standards Board ("FASB") issued SFAS No. 141 and SFAS No. 142 in June 2001. These statements address how intangible assets that are acquired individually, with a group of other assets or in connection with a business combination should be accounted for in financial statements upon and subsequent to their acquisition. The new statements require that all business combinations initiated after June 30, 2001 be accounted for using the purchase method and establish specific criteria for the recognition of intangible assets separately from goodwill.</w:t>
      </w:r>
    </w:p>
    <w:p>
      <w:pPr>
        <w:spacing w:after="0" w:line="185" w:lineRule="exact"/>
        <w:rPr>
          <w:sz w:val="20"/>
          <w:szCs w:val="20"/>
          <w:color w:val="auto"/>
        </w:rPr>
      </w:pPr>
    </w:p>
    <w:p>
      <w:pPr>
        <w:jc w:val="both"/>
        <w:ind w:left="4" w:right="2999" w:firstLine="469"/>
        <w:spacing w:after="0" w:line="237" w:lineRule="auto"/>
        <w:rPr>
          <w:sz w:val="20"/>
          <w:szCs w:val="20"/>
          <w:color w:val="auto"/>
        </w:rPr>
      </w:pPr>
      <w:r>
        <w:rPr>
          <w:rFonts w:ascii="Courier New" w:cs="Courier New" w:eastAsia="Courier New" w:hAnsi="Courier New"/>
          <w:sz w:val="16"/>
          <w:szCs w:val="16"/>
          <w:color w:val="auto"/>
        </w:rPr>
        <w:t>The Company adopted SFAS No. 141 on July 1, 2001, as required by the new statement. The adoption of SFAS No. 141 did not have a material impact on the Company's financial condition or results of operations.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 adopted SFAS No. 142 on January 1, 2002, as required by the new statement. Upon adoption, the Company will no longer amortize goodwill and other indefinite lived intangible assets, which consist primarily of cable franchise operating rights. The Company will be required to test its goodwill and intangible assets that are determined to have an indefinite life for impairment at least annually. Other than in the period of adoption or in those periods in which the Company may record an asset impairment, the Company expects that the adoption of SFAS No. 142 will result in increased income as a result of reduced amortization expense.</w:t>
      </w:r>
    </w:p>
    <w:p>
      <w:pPr>
        <w:spacing w:after="0" w:line="186"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EITF of the FASB is expected to provide further guidance on certain implementation issues related to the adoption of SFAS No. 142 as it relates to identifiable intangible assets other than goodwill. Subject to further guidance to be provided, based upon the Company's interpretation of SFAS No. 142, the Company may record a charge as a cumulative effect of accounting change, net of related deferred income taxes, in an amount not expected to exceed $1.5 billion upon adoption of SFAS No. 142 on January 1, 2002.</w:t>
      </w:r>
    </w:p>
    <w:p>
      <w:pPr>
        <w:spacing w:after="0" w:line="185" w:lineRule="exact"/>
        <w:rPr>
          <w:sz w:val="20"/>
          <w:szCs w:val="20"/>
          <w:color w:val="auto"/>
        </w:rPr>
      </w:pPr>
    </w:p>
    <w:p>
      <w:pPr>
        <w:ind w:left="4" w:right="2899" w:firstLine="469"/>
        <w:spacing w:after="0" w:line="257" w:lineRule="auto"/>
        <w:rPr>
          <w:sz w:val="20"/>
          <w:szCs w:val="20"/>
          <w:color w:val="auto"/>
        </w:rPr>
      </w:pPr>
      <w:r>
        <w:rPr>
          <w:rFonts w:ascii="Courier New" w:cs="Courier New" w:eastAsia="Courier New" w:hAnsi="Courier New"/>
          <w:sz w:val="15"/>
          <w:szCs w:val="15"/>
          <w:color w:val="auto"/>
        </w:rPr>
        <w:t>Based on the Company's preliminary evaluation, the estimated effect of adoption of SFAS No. 142 would have been to decrease amortization expense by approximately $2.0 billion and to increase deferred income tax expense by approximately $600 million for the year ended December 31, 2001 (See Note 14).</w:t>
      </w:r>
    </w:p>
    <w:p>
      <w:pPr>
        <w:spacing w:after="0" w:line="16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F-99</w:t>
      </w:r>
    </w:p>
    <w:p>
      <w:pPr>
        <w:sectPr>
          <w:pgSz w:w="11900" w:h="16838" w:orient="portrait"/>
          <w:cols w:equalWidth="0" w:num="1">
            <w:col w:w="10223"/>
          </w:cols>
          <w:pgMar w:left="236" w:top="473" w:right="1440" w:bottom="1440" w:gutter="0" w:footer="0" w:header="0"/>
        </w:sectPr>
      </w:pPr>
    </w:p>
    <w:bookmarkStart w:id="289" w:name="page290"/>
    <w:bookmarkEnd w:id="289"/>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143</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While the Company is currently evaluating the impact the adoption of SFAS No. 143 will have on its financial condition and results of operations, it does not expect such impact to be material.</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144</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While the Company is currently evaluating the impact the adoption of SFAS No. 144 will have on its financial condition and results of operations, it does not expect such impact to be material.</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EITF 01-9</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November 2001, the EITF reached a consensus on EITF 01-9.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currently classifies the amortization of these distribution fees as expense in its consolidated statement of operations. Upon adoption of EITF 01-9 on January 1, 2002, the Company will reclassify certain of these distribution fees from expense to a revenue reduction for all periods presented in its consolidated statement of operations. The change in classification will have no impact on the Company's reported operating loss or financial condition. The effect of the reclassification of cable television and satellite broadcast distribution fees from expense to a reduction of revenue is to decrease the amounts reported in the Company's consolidated statement of operations as follows (in millions):</w:t>
      </w:r>
    </w:p>
    <w:p>
      <w:pPr>
        <w:spacing w:after="0" w:line="18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YEAR ENDED DECEMBER 31, -----------------------</w:t>
      </w:r>
    </w:p>
    <w:p>
      <w:pPr>
        <w:jc w:val="center"/>
        <w:ind w:right="5359"/>
        <w:spacing w:after="0"/>
        <w:rPr>
          <w:sz w:val="20"/>
          <w:szCs w:val="20"/>
          <w:color w:val="auto"/>
        </w:rPr>
      </w:pPr>
      <w:r>
        <w:rPr>
          <w:rFonts w:ascii="Courier New" w:cs="Courier New" w:eastAsia="Courier New" w:hAnsi="Courier New"/>
          <w:sz w:val="16"/>
          <w:szCs w:val="16"/>
          <w:color w:val="auto"/>
        </w:rPr>
        <w:t>2001 2000 1999 ------ ------ ----- Service</w:t>
      </w:r>
    </w:p>
    <w:p>
      <w:pPr>
        <w:spacing w:after="0" w:line="3"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revenues............................................</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$35.8 $17.3 $4.6 Selling, general and</w:t>
      </w:r>
    </w:p>
    <w:p>
      <w:pPr>
        <w:spacing w:after="0" w:line="4"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administrative expense................. $ 4.7 $ 5.3</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$4.2 Amortization</w:t>
      </w:r>
    </w:p>
    <w:p>
      <w:pPr>
        <w:jc w:val="center"/>
        <w:ind w:right="5359"/>
        <w:spacing w:after="0"/>
        <w:rPr>
          <w:sz w:val="20"/>
          <w:szCs w:val="20"/>
          <w:color w:val="auto"/>
        </w:rPr>
      </w:pPr>
      <w:r>
        <w:rPr>
          <w:rFonts w:ascii="Courier New" w:cs="Courier New" w:eastAsia="Courier New" w:hAnsi="Courier New"/>
          <w:sz w:val="16"/>
          <w:szCs w:val="16"/>
          <w:color w:val="auto"/>
        </w:rPr>
        <w:t>expense........................................</w:t>
      </w:r>
    </w:p>
    <w:p>
      <w:pPr>
        <w:jc w:val="center"/>
        <w:ind w:right="5359"/>
        <w:spacing w:after="0" w:line="237" w:lineRule="auto"/>
        <w:rPr>
          <w:sz w:val="20"/>
          <w:szCs w:val="20"/>
          <w:color w:val="auto"/>
        </w:rPr>
      </w:pPr>
      <w:r>
        <w:rPr>
          <w:rFonts w:ascii="Courier New" w:cs="Courier New" w:eastAsia="Courier New" w:hAnsi="Courier New"/>
          <w:sz w:val="16"/>
          <w:szCs w:val="16"/>
          <w:color w:val="auto"/>
        </w:rPr>
        <w:t>$31.1 $12.0 $0.4</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EITF 01-14</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currently classifies cable franchise fees collected from its cable subscribers as a reduction of the related franchise fee expense included within selling, general and administrative expenses in its consolidated statement of operations.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F-100</w:t>
      </w:r>
    </w:p>
    <w:p>
      <w:pPr>
        <w:sectPr>
          <w:pgSz w:w="11900" w:h="16838" w:orient="portrait"/>
          <w:cols w:equalWidth="0" w:num="1">
            <w:col w:w="10219"/>
          </w:cols>
          <w:pgMar w:left="240" w:top="473" w:right="1440" w:bottom="1440" w:gutter="0" w:footer="0" w:header="0"/>
        </w:sectPr>
      </w:pPr>
    </w:p>
    <w:bookmarkStart w:id="290" w:name="page291"/>
    <w:bookmarkEnd w:id="290"/>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EITF 01-14, by analogy, applies to franchise fees. Upon adoption of EITF 01-14 on January 1, 2002, the Company will reclassify franchise fees collected from cable subscribers from a reduction of selling, general and administrative expenses to a component of service revenues in its consolidated statement of operations. The change in classification will have no impact on the Company's reported operating income (loss) or financial condition. The effect of the reclassification of cable franchise fees is to increase the amounts reported in the Company's consolidated statement of operations as follows (in millions):</w:t>
      </w:r>
    </w:p>
    <w:p>
      <w:pPr>
        <w:spacing w:after="0" w:line="168" w:lineRule="exact"/>
        <w:rPr>
          <w:sz w:val="20"/>
          <w:szCs w:val="20"/>
          <w:color w:val="auto"/>
        </w:rPr>
      </w:pPr>
    </w:p>
    <w:p>
      <w:pPr>
        <w:ind w:left="144"/>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4" w:type="dxa"/>
        <w:tblCellMar>
          <w:top w:w="0" w:type="dxa"/>
          <w:left w:w="0" w:type="dxa"/>
          <w:bottom w:w="0" w:type="dxa"/>
          <w:right w:w="0" w:type="dxa"/>
        </w:tblCellMar>
      </w:tblPr>
      <w:tr>
        <w:trPr>
          <w:trHeight w:val="180"/>
        </w:trPr>
        <w:tc>
          <w:tcPr>
            <w:tcW w:w="1780" w:type="dxa"/>
            <w:vAlign w:val="bottom"/>
          </w:tcPr>
          <w:p>
            <w:pPr>
              <w:jc w:val="right"/>
              <w:ind w:right="29"/>
              <w:spacing w:after="0"/>
              <w:rPr>
                <w:sz w:val="20"/>
                <w:szCs w:val="20"/>
                <w:color w:val="auto"/>
              </w:rPr>
            </w:pPr>
            <w:r>
              <w:rPr>
                <w:rFonts w:ascii="Courier New" w:cs="Courier New" w:eastAsia="Courier New" w:hAnsi="Courier New"/>
                <w:sz w:val="16"/>
                <w:szCs w:val="16"/>
                <w:color w:val="auto"/>
              </w:rPr>
              <w:t>2001 2000 1999</w:t>
            </w: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2080" w:type="dxa"/>
            <w:vAlign w:val="bottom"/>
          </w:tcPr>
          <w:p>
            <w:pPr>
              <w:ind w:left="20"/>
              <w:spacing w:after="0"/>
              <w:rPr>
                <w:sz w:val="20"/>
                <w:szCs w:val="20"/>
                <w:color w:val="auto"/>
              </w:rPr>
            </w:pPr>
            <w:r>
              <w:rPr>
                <w:rFonts w:ascii="Courier New" w:cs="Courier New" w:eastAsia="Courier New" w:hAnsi="Courier New"/>
                <w:sz w:val="16"/>
                <w:szCs w:val="16"/>
                <w:color w:val="auto"/>
              </w:rPr>
              <w:t>------ ------ Service</w:t>
            </w:r>
          </w:p>
        </w:tc>
      </w:tr>
      <w:tr>
        <w:trPr>
          <w:trHeight w:val="180"/>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revenues...........................................</w:t>
            </w:r>
          </w:p>
        </w:tc>
        <w:tc>
          <w:tcPr>
            <w:tcW w:w="2080" w:type="dxa"/>
            <w:vAlign w:val="bottom"/>
          </w:tcPr>
          <w:p>
            <w:pPr>
              <w:spacing w:after="0"/>
              <w:rPr>
                <w:sz w:val="15"/>
                <w:szCs w:val="15"/>
                <w:color w:val="auto"/>
              </w:rPr>
            </w:pPr>
          </w:p>
        </w:tc>
      </w:tr>
      <w:tr>
        <w:trPr>
          <w:trHeight w:val="180"/>
        </w:trPr>
        <w:tc>
          <w:tcPr>
            <w:tcW w:w="1780" w:type="dxa"/>
            <w:vAlign w:val="bottom"/>
          </w:tcPr>
          <w:p>
            <w:pPr>
              <w:jc w:val="right"/>
              <w:ind w:right="29"/>
              <w:spacing w:after="0"/>
              <w:rPr>
                <w:sz w:val="20"/>
                <w:szCs w:val="20"/>
                <w:color w:val="auto"/>
              </w:rPr>
            </w:pPr>
            <w:r>
              <w:rPr>
                <w:rFonts w:ascii="Courier New" w:cs="Courier New" w:eastAsia="Courier New" w:hAnsi="Courier New"/>
                <w:sz w:val="16"/>
                <w:szCs w:val="16"/>
                <w:color w:val="auto"/>
              </w:rPr>
              <w:t>$192.3 $152.3</w:t>
            </w: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$105.6</w:t>
            </w:r>
          </w:p>
        </w:tc>
        <w:tc>
          <w:tcPr>
            <w:tcW w:w="208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r>
      <w:tr>
        <w:trPr>
          <w:trHeight w:val="180"/>
        </w:trPr>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administrative expense................</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$192.3</w:t>
            </w:r>
          </w:p>
        </w:tc>
      </w:tr>
      <w:tr>
        <w:trPr>
          <w:trHeight w:val="180"/>
        </w:trPr>
        <w:tc>
          <w:tcPr>
            <w:tcW w:w="17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$152.3</w:t>
            </w:r>
          </w:p>
        </w:tc>
        <w:tc>
          <w:tcPr>
            <w:tcW w:w="2080" w:type="dxa"/>
            <w:vAlign w:val="bottom"/>
          </w:tcPr>
          <w:p>
            <w:pPr>
              <w:ind w:left="20"/>
              <w:spacing w:after="0"/>
              <w:rPr>
                <w:sz w:val="20"/>
                <w:szCs w:val="20"/>
                <w:color w:val="auto"/>
              </w:rPr>
            </w:pPr>
            <w:r>
              <w:rPr>
                <w:rFonts w:ascii="Courier New" w:cs="Courier New" w:eastAsia="Courier New" w:hAnsi="Courier New"/>
                <w:sz w:val="16"/>
                <w:szCs w:val="16"/>
                <w:color w:val="auto"/>
              </w:rPr>
              <w:t>$105.6</w:t>
            </w:r>
          </w:p>
        </w:tc>
      </w:tr>
    </w:tbl>
    <w:p>
      <w:pPr>
        <w:spacing w:after="0" w:line="360" w:lineRule="exact"/>
        <w:rPr>
          <w:sz w:val="20"/>
          <w:szCs w:val="20"/>
          <w:color w:val="auto"/>
        </w:rPr>
      </w:pPr>
    </w:p>
    <w:p>
      <w:pPr>
        <w:ind w:left="384" w:hanging="384"/>
        <w:spacing w:after="0"/>
        <w:tabs>
          <w:tab w:leader="none" w:pos="384"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Earnings for common stockholders per common share is computed by dividing net income, after deduction of preferred stock dividends, when applicable, by the weighted average number of common shares outstanding during the period on a basic and diluted basis.</w:t>
      </w:r>
    </w:p>
    <w:p>
      <w:pPr>
        <w:spacing w:after="0" w:line="186" w:lineRule="exact"/>
        <w:rPr>
          <w:sz w:val="20"/>
          <w:szCs w:val="20"/>
          <w:color w:val="auto"/>
        </w:rPr>
      </w:pPr>
    </w:p>
    <w:p>
      <w:pPr>
        <w:ind w:left="4" w:right="3379" w:firstLine="469"/>
        <w:spacing w:after="0" w:line="237"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for common stockholders per common share ("Diluted EPS") for the years presented.</w:t>
      </w:r>
    </w:p>
    <w:p>
      <w:pPr>
        <w:spacing w:after="0" w:line="180"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YEAR ENDED DECEMBER 31, ----------------------------</w:t>
      </w:r>
    </w:p>
    <w:p>
      <w:pPr>
        <w:jc w:val="center"/>
        <w:ind w:right="5155"/>
        <w:spacing w:after="0"/>
        <w:rPr>
          <w:sz w:val="20"/>
          <w:szCs w:val="20"/>
          <w:color w:val="auto"/>
        </w:rPr>
      </w:pPr>
      <w:r>
        <w:rPr>
          <w:rFonts w:ascii="Courier New" w:cs="Courier New" w:eastAsia="Courier New" w:hAnsi="Courier New"/>
          <w:sz w:val="16"/>
          <w:szCs w:val="16"/>
          <w:color w:val="auto"/>
        </w:rPr>
        <w:t>2001 2000 1999 ------ -------- -------- (AMOUNTS IN</w:t>
      </w:r>
    </w:p>
    <w:p>
      <w:pPr>
        <w:jc w:val="center"/>
        <w:ind w:right="5155"/>
        <w:spacing w:after="0" w:line="237" w:lineRule="auto"/>
        <w:rPr>
          <w:sz w:val="20"/>
          <w:szCs w:val="20"/>
          <w:color w:val="auto"/>
        </w:rPr>
      </w:pPr>
      <w:r>
        <w:rPr>
          <w:rFonts w:ascii="Courier New" w:cs="Courier New" w:eastAsia="Courier New" w:hAnsi="Courier New"/>
          <w:sz w:val="16"/>
          <w:szCs w:val="16"/>
          <w:color w:val="auto"/>
        </w:rPr>
        <w:t>MILLIONS, EXCEPT PER SHARE DATA) Net income for</w:t>
      </w:r>
    </w:p>
    <w:p>
      <w:pPr>
        <w:jc w:val="center"/>
        <w:ind w:right="5155"/>
        <w:spacing w:after="0"/>
        <w:rPr>
          <w:sz w:val="20"/>
          <w:szCs w:val="20"/>
          <w:color w:val="auto"/>
        </w:rPr>
      </w:pPr>
      <w:r>
        <w:rPr>
          <w:rFonts w:ascii="Courier New" w:cs="Courier New" w:eastAsia="Courier New" w:hAnsi="Courier New"/>
          <w:sz w:val="16"/>
          <w:szCs w:val="16"/>
          <w:color w:val="auto"/>
        </w:rPr>
        <w:t>common stockholders...................... $608.6</w:t>
      </w:r>
    </w:p>
    <w:p>
      <w:pPr>
        <w:jc w:val="center"/>
        <w:ind w:right="5155"/>
        <w:spacing w:after="0" w:line="238" w:lineRule="auto"/>
        <w:rPr>
          <w:sz w:val="20"/>
          <w:szCs w:val="20"/>
          <w:color w:val="auto"/>
        </w:rPr>
      </w:pPr>
      <w:r>
        <w:rPr>
          <w:rFonts w:ascii="Courier New" w:cs="Courier New" w:eastAsia="Courier New" w:hAnsi="Courier New"/>
          <w:sz w:val="16"/>
          <w:szCs w:val="16"/>
          <w:color w:val="auto"/>
        </w:rPr>
        <w:t>$1,998.0 $1,036.0 Preferred</w:t>
      </w:r>
    </w:p>
    <w:p>
      <w:pPr>
        <w:jc w:val="center"/>
        <w:ind w:right="5155"/>
        <w:spacing w:after="0"/>
        <w:rPr>
          <w:sz w:val="20"/>
          <w:szCs w:val="20"/>
          <w:color w:val="auto"/>
        </w:rPr>
      </w:pPr>
      <w:r>
        <w:rPr>
          <w:rFonts w:ascii="Courier New" w:cs="Courier New" w:eastAsia="Courier New" w:hAnsi="Courier New"/>
          <w:sz w:val="16"/>
          <w:szCs w:val="16"/>
          <w:color w:val="auto"/>
        </w:rPr>
        <w:t>dividends..................................... 23.5</w:t>
      </w:r>
    </w:p>
    <w:p>
      <w:pPr>
        <w:jc w:val="center"/>
        <w:ind w:right="5155"/>
        <w:spacing w:after="0" w:line="238" w:lineRule="auto"/>
        <w:rPr>
          <w:sz w:val="20"/>
          <w:szCs w:val="20"/>
          <w:color w:val="auto"/>
        </w:rPr>
      </w:pPr>
      <w:r>
        <w:rPr>
          <w:rFonts w:ascii="Courier New" w:cs="Courier New" w:eastAsia="Courier New" w:hAnsi="Courier New"/>
          <w:sz w:val="16"/>
          <w:szCs w:val="16"/>
          <w:color w:val="auto"/>
        </w:rPr>
        <w:t>29.7 ------ -------- -------- Net income for common</w:t>
      </w:r>
    </w:p>
    <w:p>
      <w:pPr>
        <w:jc w:val="center"/>
        <w:ind w:right="5155"/>
        <w:spacing w:after="0"/>
        <w:rPr>
          <w:sz w:val="20"/>
          <w:szCs w:val="20"/>
          <w:color w:val="auto"/>
        </w:rPr>
      </w:pPr>
      <w:r>
        <w:rPr>
          <w:rFonts w:ascii="Courier New" w:cs="Courier New" w:eastAsia="Courier New" w:hAnsi="Courier New"/>
          <w:sz w:val="16"/>
          <w:szCs w:val="16"/>
          <w:color w:val="auto"/>
        </w:rPr>
        <w:t>stockholders used for Diluted</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EPS...................................................</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$608.6 $2,021.5 $1,065.7 ====== ======== ========</w:t>
      </w:r>
    </w:p>
    <w:p>
      <w:pPr>
        <w:jc w:val="center"/>
        <w:ind w:right="5155"/>
        <w:spacing w:after="0"/>
        <w:rPr>
          <w:sz w:val="20"/>
          <w:szCs w:val="20"/>
          <w:color w:val="auto"/>
        </w:rPr>
      </w:pPr>
      <w:r>
        <w:rPr>
          <w:rFonts w:ascii="Courier New" w:cs="Courier New" w:eastAsia="Courier New" w:hAnsi="Courier New"/>
          <w:sz w:val="16"/>
          <w:szCs w:val="16"/>
          <w:color w:val="auto"/>
        </w:rPr>
        <w:t>Basic weighted average number of common shares</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outstanding...........................................</w:t>
      </w:r>
    </w:p>
    <w:p>
      <w:pPr>
        <w:spacing w:after="0" w:line="10"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949.7 890.7 749.1 Dilutive securities: Series A and B</w:t>
      </w:r>
    </w:p>
    <w:p>
      <w:pPr>
        <w:spacing w:after="0" w:line="10"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convertible preferred stock............ 1.0 42.5 44.0</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Stock option and restricted stock</w:t>
      </w:r>
    </w:p>
    <w:p>
      <w:pPr>
        <w:jc w:val="center"/>
        <w:ind w:right="5155"/>
        <w:spacing w:after="0"/>
        <w:rPr>
          <w:sz w:val="20"/>
          <w:szCs w:val="20"/>
          <w:color w:val="auto"/>
        </w:rPr>
      </w:pPr>
      <w:r>
        <w:rPr>
          <w:rFonts w:ascii="Courier New" w:cs="Courier New" w:eastAsia="Courier New" w:hAnsi="Courier New"/>
          <w:sz w:val="16"/>
          <w:szCs w:val="16"/>
          <w:color w:val="auto"/>
        </w:rPr>
        <w:t>plans............... 13.8 15.4 26.8 Put options on</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Class A Special Common Stock........... 0.1 ------ --</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 -------- Diluted weighted average number of</w:t>
      </w:r>
    </w:p>
    <w:p>
      <w:pPr>
        <w:jc w:val="center"/>
        <w:ind w:right="5155"/>
        <w:spacing w:after="0"/>
        <w:rPr>
          <w:sz w:val="20"/>
          <w:szCs w:val="20"/>
          <w:color w:val="auto"/>
        </w:rPr>
      </w:pPr>
      <w:r>
        <w:rPr>
          <w:rFonts w:ascii="Courier New" w:cs="Courier New" w:eastAsia="Courier New" w:hAnsi="Courier New"/>
          <w:sz w:val="16"/>
          <w:szCs w:val="16"/>
          <w:color w:val="auto"/>
        </w:rPr>
        <w:t>common shares</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964.5 948.7 819.9 ====== ======== ======== Diluted</w:t>
      </w:r>
    </w:p>
    <w:p>
      <w:pPr>
        <w:jc w:val="center"/>
        <w:ind w:right="5155"/>
        <w:spacing w:after="0"/>
        <w:rPr>
          <w:sz w:val="20"/>
          <w:szCs w:val="20"/>
          <w:color w:val="auto"/>
        </w:rPr>
      </w:pPr>
      <w:r>
        <w:rPr>
          <w:rFonts w:ascii="Courier New" w:cs="Courier New" w:eastAsia="Courier New" w:hAnsi="Courier New"/>
          <w:sz w:val="16"/>
          <w:szCs w:val="16"/>
          <w:color w:val="auto"/>
        </w:rPr>
        <w:t>earnings for common stockholders per common</w:t>
      </w:r>
    </w:p>
    <w:p>
      <w:pPr>
        <w:spacing w:after="0" w:line="3"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jc w:val="center"/>
        <w:ind w:right="5155"/>
        <w:spacing w:after="0"/>
        <w:rPr>
          <w:sz w:val="20"/>
          <w:szCs w:val="20"/>
          <w:color w:val="auto"/>
        </w:rPr>
      </w:pPr>
      <w:r>
        <w:rPr>
          <w:rFonts w:ascii="Courier New" w:cs="Courier New" w:eastAsia="Courier New" w:hAnsi="Courier New"/>
          <w:sz w:val="16"/>
          <w:szCs w:val="16"/>
          <w:color w:val="auto"/>
        </w:rPr>
        <w:t>$ 0.63 $ 2.13 $ 1.30 ====== ======== ========</w:t>
      </w:r>
    </w:p>
    <w:p>
      <w:pPr>
        <w:spacing w:after="0" w:line="365" w:lineRule="exact"/>
        <w:rPr>
          <w:sz w:val="20"/>
          <w:szCs w:val="20"/>
          <w:color w:val="auto"/>
        </w:rPr>
      </w:pPr>
    </w:p>
    <w:p>
      <w:pPr>
        <w:ind w:left="4" w:right="2899" w:firstLine="469"/>
        <w:spacing w:after="0" w:line="256" w:lineRule="auto"/>
        <w:rPr>
          <w:sz w:val="20"/>
          <w:szCs w:val="20"/>
          <w:color w:val="auto"/>
        </w:rPr>
      </w:pPr>
      <w:r>
        <w:rPr>
          <w:rFonts w:ascii="Courier New" w:cs="Courier New" w:eastAsia="Courier New" w:hAnsi="Courier New"/>
          <w:sz w:val="15"/>
          <w:szCs w:val="15"/>
          <w:color w:val="auto"/>
        </w:rPr>
        <w:t>Comcast Put Options on a weighted average 0.2 million shares, 1.5 million shares and 2.7 million shares of its Class A Special Common Stock (see Note 8) were outstanding during the years ended December 31, 2001, 2000 and 1999, respectively. Comcast Put Options outstanding during the years ended December 31, 2001 and 1999 were not included in the computation of Diluted EPS as the Comcast Put Options' exercise price was less than the average market price of the Company's Class A Special Common Stock during the periods.</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December 2000 and January 2001, the Company issued $1.478 billion principal amount at maturity of Zero Coupon Convertible Debentures due 2020 (the "Zero Coupon Debentures" -- see Note 7). The Zero Coupon Debentures may be converted at any time prior to maturity if the closing sale price of the Company's Class A Special Common Stock is greater than 110% of the accreted conversion price (as defined). The Zero Coupon Debentures were excluded from the computation of Diluted EPS in 2001 and</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F-101</w:t>
      </w:r>
    </w:p>
    <w:p>
      <w:pPr>
        <w:sectPr>
          <w:pgSz w:w="11900" w:h="16838" w:orient="portrait"/>
          <w:cols w:equalWidth="0" w:num="1">
            <w:col w:w="10223"/>
          </w:cols>
          <w:pgMar w:left="236" w:top="473" w:right="1440" w:bottom="1440" w:gutter="0" w:footer="0" w:header="0"/>
        </w:sectPr>
      </w:pPr>
    </w:p>
    <w:bookmarkStart w:id="291" w:name="page292"/>
    <w:bookmarkEnd w:id="291"/>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719"/>
        <w:spacing w:after="0" w:line="263" w:lineRule="auto"/>
        <w:rPr>
          <w:sz w:val="20"/>
          <w:szCs w:val="20"/>
          <w:color w:val="auto"/>
        </w:rPr>
      </w:pPr>
      <w:r>
        <w:rPr>
          <w:rFonts w:ascii="Courier New" w:cs="Courier New" w:eastAsia="Courier New" w:hAnsi="Courier New"/>
          <w:sz w:val="15"/>
          <w:szCs w:val="15"/>
          <w:color w:val="auto"/>
        </w:rPr>
        <w:t>2000 as the weighted average closing sale price of the Company's Class A Special Common Stock was not greater than 110% of the accreted conversion price.</w:t>
      </w:r>
    </w:p>
    <w:p>
      <w:pPr>
        <w:spacing w:after="0" w:line="169" w:lineRule="exact"/>
        <w:rPr>
          <w:sz w:val="20"/>
          <w:szCs w:val="20"/>
          <w:color w:val="auto"/>
        </w:rPr>
      </w:pPr>
    </w:p>
    <w:p>
      <w:pPr>
        <w:ind w:left="184" w:right="5539" w:hanging="184"/>
        <w:spacing w:after="0" w:line="509" w:lineRule="auto"/>
        <w:tabs>
          <w:tab w:leader="none" w:pos="371"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 AGREEMENT AND PLAN OF MERGER WITH AT&amp;T BROADBAND</w:t>
      </w:r>
    </w:p>
    <w:p>
      <w:pPr>
        <w:spacing w:after="0" w:line="1"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 Broadband") that AT&amp;T will spin off to its shareholders immediately prior to the combination. As of December 31, 2001, AT&amp;T Broadband served approximately 13.6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The combined company will also assume or incur approximately $20 billion of AT&amp;T Broadband debt. For each share of a class of common stock of Comcast that they hold at the time of the merger, each Comcast shareholder will receive one share of a corresponding class of stock of the combined company. The Company expects that the transaction will qualify as tax-free to both the Company and to AT&amp;T.</w:t>
      </w:r>
    </w:p>
    <w:p>
      <w:pPr>
        <w:spacing w:after="0" w:line="177"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The Company will account for the transaction as an acquisition under the purchase method of accounting, with the Company as the acquiring entity. The identification of the Company as the acquiring entity was made after careful consideration of all facts and circumstances, as follows:</w:t>
      </w:r>
    </w:p>
    <w:p>
      <w:pPr>
        <w:spacing w:after="0" w:line="186" w:lineRule="exact"/>
        <w:rPr>
          <w:sz w:val="20"/>
          <w:szCs w:val="20"/>
          <w:color w:val="auto"/>
        </w:rPr>
      </w:pPr>
    </w:p>
    <w:p>
      <w:pPr>
        <w:ind w:left="464" w:right="2719" w:firstLine="469"/>
        <w:spacing w:after="0" w:line="255" w:lineRule="auto"/>
        <w:rPr>
          <w:sz w:val="20"/>
          <w:szCs w:val="20"/>
          <w:color w:val="auto"/>
        </w:rPr>
      </w:pPr>
      <w:r>
        <w:rPr>
          <w:rFonts w:ascii="Courier New" w:cs="Courier New" w:eastAsia="Courier New" w:hAnsi="Courier New"/>
          <w:sz w:val="15"/>
          <w:szCs w:val="15"/>
          <w:color w:val="auto"/>
        </w:rPr>
        <w:t>Voting Rights in the New Combined Company. Former AT&amp;T shareholders will own approximately 53.7% of the combined company's economic interest and approximately 60.6% of the combined company's voting interest following the merger. Microsoft will own shares representing approximately 5.2% of the combined company's economic interest and 4.95% of the combined company's voting interest following the merger. No individual former AT&amp;T shareholder will have any significant ownership or voting interest following the merger. Brian L. Roberts, the Company's controlling shareholder and President ("Mr. Roberts"), either directly or through his control of a family holding company, will own an approximately 33.34% voting interest in the combined company following the merger (including a 33.33% non-dilutable voting interest through ownership of the Class B common stock of the combined company), and an approximately .8% economic interest. Mr. Roberts will hold the largest minority voting interest in the combined company. The next largest voting interest held by an individual shareholder will be 4.95%, held by Microsoft. Under the governing documents of the combined company, as a result of his ownership of the Class B stock, Mr. Roberts will have the right to approve any merger involving the combined company or any other transaction in which any other person would own more than 10 percent of the stock of the combined company, the right to approve any issuances of Class B stock, and any charter amendments or other actions that would limit the rights of the Class B stock.</w:t>
      </w:r>
    </w:p>
    <w:p>
      <w:pPr>
        <w:spacing w:after="0" w:line="357" w:lineRule="exact"/>
        <w:rPr>
          <w:sz w:val="20"/>
          <w:szCs w:val="20"/>
          <w:color w:val="auto"/>
        </w:rPr>
      </w:pPr>
    </w:p>
    <w:p>
      <w:pPr>
        <w:ind w:left="464" w:right="2819" w:firstLine="469"/>
        <w:spacing w:after="0" w:line="238" w:lineRule="auto"/>
        <w:rPr>
          <w:sz w:val="20"/>
          <w:szCs w:val="20"/>
          <w:color w:val="auto"/>
        </w:rPr>
      </w:pPr>
      <w:r>
        <w:rPr>
          <w:rFonts w:ascii="Courier New" w:cs="Courier New" w:eastAsia="Courier New" w:hAnsi="Courier New"/>
          <w:sz w:val="16"/>
          <w:szCs w:val="16"/>
          <w:color w:val="auto"/>
        </w:rPr>
        <w:t>Governance Arrangements Relating to the Board of Directors. The initial Board of the combined company will have twelve members, five of whom will be designated by the Company from its existing Board, five of whom will be designated by AT&amp;T from its existing Board, and two of whom will be jointly designated by the Company and AT&amp;T and will be independent persons. Except for pre-approved designees, the individuals designated by each of the Company and AT&amp;T will be mutually agreed upon by the Company and AT&amp;T. Pursuant to the terms of the merger agreement,</w:t>
      </w:r>
    </w:p>
    <w:p>
      <w:pPr>
        <w:spacing w:after="0" w:line="36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F-102</w:t>
      </w:r>
    </w:p>
    <w:p>
      <w:pPr>
        <w:sectPr>
          <w:pgSz w:w="11900" w:h="16838" w:orient="portrait"/>
          <w:cols w:equalWidth="0" w:num="1">
            <w:col w:w="10223"/>
          </w:cols>
          <w:pgMar w:left="236" w:top="474" w:right="1440" w:bottom="1440" w:gutter="0" w:footer="0" w:header="0"/>
        </w:sectPr>
      </w:pPr>
    </w:p>
    <w:bookmarkStart w:id="292" w:name="page293"/>
    <w:bookmarkEnd w:id="292"/>
    <w:p>
      <w:pPr>
        <w:jc w:val="center"/>
        <w:ind w:right="31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317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existing Company directors Ralph J. Roberts, Mr. Roberts, Sheldon M. Bonovitz, Julian A. Brodsky and Decker Anstrom have been pre-approved as Company director designees of the combined company and existing AT&amp;T director and Chairman C. Michael Armstrong ("Mr. Armstrong") is the sole pre-approved AT&amp;T director designee. The remaining four AT&amp;T designees are subject to the approval of the Company. All of the initial director designees will hold office until the 2004 annual meeting of the combined company shareholders. After this initial term, the entire Board will be elected annually. During the period before the 2004 annual meeting, Mr. Roberts will be the chairman of the Board committee that nominates the slate of directors for the combined company (the "Directors Nominating Committee") if he is the Chairman or the CEO of the combined company. The remaining four members of the Directors Nominating Committee will consist of one director designee who is an independent director selected by the Company's director designees, and three independent directors selected by the Company's director designees from the AT&amp;T director designees and the Company/AT&amp;T joint director designees. Since the initial director designees will hold office until the 2004 annual meeting, the Directors Nominating Committee would be expected to act only in order to fill vacancies that may occur in director positions prior to that meeting. After the 2004 annual meeting of shareholders, Mr. Roberts will continue to be the chairman of the Directors Nominating Committee of the combined company. The remaining four members of the Directors Nominating Committee will be selected by Mr. Roberts from among the combined company's independent directors. Nominations of the Directors Nominating Committee will be submitted directly to the shareholders without any requirement of Board approval or ratification.</w:t>
      </w:r>
    </w:p>
    <w:p>
      <w:pPr>
        <w:spacing w:after="0" w:line="197"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Governance Arrangements Relating to Management. The combined company will have an Office of the Chairman, comprised of the Chairman of the Board and the CEO, from the closing of the merger until the earlier to occur of:</w:t>
      </w:r>
    </w:p>
    <w:p>
      <w:pPr>
        <w:spacing w:after="0" w:line="2" w:lineRule="exact"/>
        <w:rPr>
          <w:sz w:val="20"/>
          <w:szCs w:val="20"/>
          <w:color w:val="auto"/>
        </w:rPr>
      </w:pPr>
    </w:p>
    <w:p>
      <w:pPr>
        <w:ind w:right="2719" w:firstLine="5"/>
        <w:spacing w:after="0" w:line="255" w:lineRule="auto"/>
        <w:tabs>
          <w:tab w:leader="none" w:pos="375"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2005 annual meeting of the shareholders, and (ii) the date on which Mr. Armstrong ceases to be Chairman of the Board. The Office of the Chairman will be the combined company's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Mr. Armstrong, AT&amp;T's Chairman of the Board, will be Chairman of the Board of the combined company. Mr. Armstrong will serve as Chairman of the Board until the 2005 annual meeting of shareholders, but he will serve as non-executive Chairman of the Board after April 1, 2004 and until the 2005 annual meeting of AT&amp;T Comcast shareholders. After the 2005 annual meeting of shareholders, or if Mr. Armstrong ceases to serve as Chairman of the Board prior to that date, Mr. Roberts will become the Chairman of the Board of the combined company. Removal of the Chairman of the Board will require the vote of at least 75% of the entire Board until the earlier to occur of: (i) the date on which neither Mr. Armstrong nor Mr. Roberts is Chairman of the Board, and (ii) the sixth anniversary of the 2004 annual meeting of shareholders. Mr. Roberts will be the CEO of the combined company. Mr. Roberts will also be President of the combined company for as long as he is the CEO. The CEO's powers and responsibilities will include: (i) the supervision and management of the combined company's business and operations, (ii) all matters related to officers and employees, including hiring and termination, (iii) all rights and powers typically exercised by the chief executive officer and president of a corporation, and (iv) the authority to call special meetings of the combined company Board. Removal of Mr. Roberts as CEO will require the vote of at least 75% of the entire Board until the earlier to occur of: (i) the date on which Mr. Roberts ceases to be CEO, and (ii) the sixth anniversary of the 2004 annual meeting of the combined company shareholders. Under the terms of the merger agreement, Mr. Roberts has the right to fill all senior management positions of the combined company after consultation with Mr. Armstrong.</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F-103</w:t>
      </w:r>
    </w:p>
    <w:p>
      <w:pPr>
        <w:sectPr>
          <w:pgSz w:w="11900" w:h="16838" w:orient="portrait"/>
          <w:cols w:equalWidth="0" w:num="1">
            <w:col w:w="9759"/>
          </w:cols>
          <w:pgMar w:left="700" w:top="473" w:right="1440" w:bottom="1440" w:gutter="0" w:footer="0" w:header="0"/>
        </w:sectPr>
      </w:pPr>
    </w:p>
    <w:bookmarkStart w:id="293" w:name="page294"/>
    <w:bookmarkEnd w:id="293"/>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60" w:right="2819" w:firstLine="469"/>
        <w:spacing w:after="0" w:line="237" w:lineRule="auto"/>
        <w:rPr>
          <w:sz w:val="20"/>
          <w:szCs w:val="20"/>
          <w:color w:val="auto"/>
        </w:rPr>
      </w:pPr>
      <w:r>
        <w:rPr>
          <w:rFonts w:ascii="Courier New" w:cs="Courier New" w:eastAsia="Courier New" w:hAnsi="Courier New"/>
          <w:sz w:val="16"/>
          <w:szCs w:val="16"/>
          <w:color w:val="auto"/>
        </w:rPr>
        <w:t>Other Factors. The Company made an unsolicited offer to purchase all of AT&amp;T Broadband. Subsequent to the Company's offer, AT&amp;T solicited bids from other potential purchasers.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headquarters of the combined company will be in Philadelphia, Pennsylvania, the current headquarters of the Company. An executive office will be maintained in the New York City metropolitan area until at least April 2005.</w:t>
      </w:r>
    </w:p>
    <w:p>
      <w:pPr>
        <w:spacing w:after="0" w:line="17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Company's current investment in shares of AT&amp;T common stock, to the extent still held by the Company at the time of the AT&amp;T Broadband spin-off and merger, will be exchanged into AT&amp;T shares (representing its Consumer Services and Business Services Groups). Therefore, the Company will continue to have an investment in the "selling company." Conversely, AT&amp;T Broadband's current investment in the Company will either be retired to treasury after the merger or used to settle related debt.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 * * * *</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Notwithstanding that the former AT&amp;T Broadband shareholders will, in the aggregate, receive the majority of the voting common stock of the combined company, the Company believes that this fact is outweighed by the totality of the other facts and circumstances described above, with the most significance being given to Mr. Roberts' non-dilutable minority voting interest, Mr. Roberts' role on the Nominating Committee of the Board of Directors, Mr. Roberts position as CEO and President, and Mr. Roberts' right to appoint other members of senior management.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transaction is subject to customary closing conditions and shareholder, regulatory and other approvals. The Company expects to close the transaction by the end of 2002.</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SERVICES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September 28, 2001, At Home Corporation ("At Home"), the Company's provider of high-speed Internet services, filed for protection under Chapter 11 of the U.S. Bankruptcy Code. In October 2001, the Company amended its agreement with At Home to continue service to the Company's existing and new subscribers during October and November 2001. The Company agreed to be charged a higher rate than it had incurred under its previous agreement. On December 3, 2001, the Company and At Home reached a definitive agreement, approved by the Bankruptcy Court, pursuant to which the Company paid $160 million to At Home and At Home agreed to continue to provide high-speed Internet services to existing and new subscribers through February 28, 2002. In December 2001, the Company began to transfer its high-speed Internet subscribers from the At Home network to the Company's new Company-owned and managed network. The Company completed this transition in February 2002.</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the fourth quarter of 2001, the Company recognized $139.5 million of net incremental expenses incurred in the continuation of service to and transition of the Company's high-speed Internet subscribers from At Home's network to the Company's own network. This charge is included in operating expenses in the Company's consolidated statement of operations.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OUTDOOR LIFE NETWORK</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October 30, 2001, the Company acquired from Fox Entertainment Group, Inc. ("Fox Entertainment"), a subsidiary of The News Corporation Limited ("News Corp.") the approximate 83.2% interest in OLN not previously owned by the Company. OLN is a 24-hour network devoted exclusively to adventure and the outdoor lifestyle with distribution to approximately 41 million subscribers. The Company made the acquisition to increase its investment in programming content. The estimated fair value of the additional interest of OLN acquired by the Company as of the closing date of the transaction was approximately $512 million, substantially all of which was allocated to affiliation agreements and goodwill in connection with the preliminary purchase price allocation. Upon closing of the acquisition, the Company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F-104</w:t>
      </w:r>
    </w:p>
    <w:p>
      <w:pPr>
        <w:sectPr>
          <w:pgSz w:w="11900" w:h="16838" w:orient="portrait"/>
          <w:cols w:equalWidth="0" w:num="1">
            <w:col w:w="10219"/>
          </w:cols>
          <w:pgMar w:left="240" w:top="473" w:right="1440" w:bottom="1440" w:gutter="0" w:footer="0" w:header="0"/>
        </w:sectPr>
      </w:pPr>
    </w:p>
    <w:bookmarkStart w:id="294" w:name="page295"/>
    <w:bookmarkEnd w:id="294"/>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exchanged its 14.5% interest in the Speedvision Network ("SVN"), together with a previously made loan, for Fox Entertainment's interest in OLN. In connection with the exchange of its interest in SVN, the Company recorded to other income a pre-tax gain of $106.7 million, representing the difference between the estimated fair value of the Company's interest in SVN as of the closing date of the transaction and the Company's cost basis in SVN. The Company no longer owns any interest in SVN and now owns 100% of OLN.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BALTIMORE, MARYLAND SYSTEM ACQUISITION</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On June 30, 2001, the Company acquired the cable system serving approximately 112,000 subscribers in Baltimore City, Maryland from AT&amp;T for $518.7 million in cash. The purchase price is subject to adjustment.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CONTROLLING INTEREST IN THE GOLF CHANNEL</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June 8, 2001, the Company acquired the approximate 30.8% interest in TGC held by Fox Entertainment. In addition, Fox Entertainment and News Corp. agreed to a five-year non-competition agreement. The Company paid aggregate consideration of $364.9 million in cash. The Company previously accounted for TGC under the equity method. The Company now owns approximately 91.0% of TGC and consolidates TGC.</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CABLE SYSTEMS ACQUISITION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April 30, 2001, the Company acquired cable systems serving approximately 585,000 subscribers from AT&amp;T in exchange for approximately 63.9 million shares of AT&amp;T common stock then held by the Company. The market value of the AT&amp;T shares was approximately $1.423 billion, based on the price of the AT&amp;T common stock on the closing date of the transaction. The transaction is expected to qualify as tax free to both the Company and to AT&amp;T.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HOME TEAM SPORTS ACQUISITION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February 14, 2001, the Company acquired Home Team Sports (now known as CSN Mid-Atlantic), a regional sports programming network with distribution to approximately 4.8 million homes in the Mid-Atlantic region, from Viacom, Inc. ("Viacom") and Affiliated Regional Communications, Ltd. (an affiliate of Fox Cable Network Services, LLC ("Fox")). The Company also agreed to increase the distribution of certain of Viacom's and Fox's programming networks on certain of the Company's cable systems. The estimated fair value of Home Team Sports as of the closing date of the acquisition was $240.0 million.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ADELPHIA CABLE SYSTEMS EXCHANGE</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a pre-tax gain of $1.199 billion, representing the difference between the estimated fair value of $1.799 billion as of the closing date of the transaction and the Company's cost basis in the systems exchanged.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CABLE SYSTEMS EXCHANGE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December 31, 2000, the Company completed its cable systems exchange with AT&amp;T. The Company received cable systems serving approximately 770,000 subscribers from AT&amp;T and AT&amp;T received certain of the Company's cable systems serving approximately 700,000 subscribers. The Company</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F-105</w:t>
      </w:r>
    </w:p>
    <w:p>
      <w:pPr>
        <w:sectPr>
          <w:pgSz w:w="11900" w:h="16838" w:orient="portrait"/>
          <w:cols w:equalWidth="0" w:num="1">
            <w:col w:w="10219"/>
          </w:cols>
          <w:pgMar w:left="240" w:top="473" w:right="1440" w:bottom="1440" w:gutter="0" w:footer="0" w:header="0"/>
        </w:sectPr>
      </w:pPr>
    </w:p>
    <w:bookmarkStart w:id="295" w:name="page296"/>
    <w:bookmarkEnd w:id="295"/>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recorded to other income a pre-tax gain of $1.711 billion, representing the difference between the estimated fair value of $2.840 billion as of the closing date of the transaction and the Company's cost basis in the systems exchanged.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PRIME COMMUNICATIONS LLC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December 1998, the Company agreed to invest in Prime Communications LLC ("Prime"), a cable communications company serving approximately 406,000 subscribers. Pursuant to the terms of this agreement, in December 1998 the Company acquired from Prime a $50.0 million 12.75% subordinated note due 2008 issued by Prime. In July 1999, the Company made a loan to Prime in the form of a $733.5 million 6% ten year note, convertible into 90% of the equity of Prime. The Company made an additional $70.0 million in loans to Prime (on the same terms as the original loan). In August 2000, the note, plus accrued interest of $51.7 million on the note and the loans, was converted and the owners of Prime sold their remaining 10% equity interest in Prime to the Company for $87.7 million. As a result, the Company owns 100% of Prime and has assumed management control of Prime's operations. Upon closing, the Company assumed and immediately repaid $532.0 million of Prime's debt with proceeds from borrowings under existing credit facilities.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JONES INTERCABLE, INC.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April 1999, the Company acquired a controlling interest in Jones Intercable, Inc. ("Jones Intercable"), a cable communications company serving approximately 1.1 million subscribers, for aggregate consideration of $706.3 million in cash. In June 1999, the Company purchased an additional 1.0 million shares of Jones Intercable Class A Common Stock for $50.0 million in cash in a private transaction. The Company contributed its interest in Jones Intercable to Comcast Cable Communications, Inc. ("Comcast Cable"), an indirect wholly owned subsidiary of the Company.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March 2000, the Jones Intercable shareholders approved a merger agreement pursuant to which the Jones Intercable shareholders, including Comcast Cable, received 1.4 shares of the Company's Class A Special Common Stock in exchange for each share of Jones Intercable Class A Common Stock and Common Stock (the "Jones Merger") and Jones Intercable was merged with and into a wholly owned subsidiary of the Company. In connection with the closing of the Jones Merger, the Company issued approximately 58.9 million shares of its Class A Special Common Stock to the Jones Intercable shareholders, including approximately 23.3 million shares to a subsidiary of the Company and 35.6 million shares with a value of $1.727 billion to the public shareholders. As required under accounting principles generally accepted in the United States, the shares held by the subsidiary of the Company are presented as issued but not outstanding (held in treasury) in the Company's December 31, 2001 and 2000 consolidated balance sheet.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CALPERS' INTEREST IN JOINTLY OWNED CABLE PROPERTIES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February 2000, the Company acquired the California Public Employees Retirement System's ("CalPERS") 45% interest in Comcast MHCP Holdings, L.L.C. ("Comcast MHCP"), formerly a 55% owned consolidated subsidiary of the Company which serves subscribers in Michigan, New Jersey and Florida. As a result, the Company owns 100% of Comcast MHCP. The consideration was $750.0 million in cash.</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LENFEST COMMUNICATIONS, INC.</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January 2000, the Company acquired Lenfest Communications, Inc. ("Lenfest"), a cable communications company serving approximately 1.1 million subscribers primarily in the Philadelphia area</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F-106</w:t>
      </w:r>
    </w:p>
    <w:p>
      <w:pPr>
        <w:sectPr>
          <w:pgSz w:w="11900" w:h="16838" w:orient="portrait"/>
          <w:cols w:equalWidth="0" w:num="1">
            <w:col w:w="10219"/>
          </w:cols>
          <w:pgMar w:left="240" w:top="473" w:right="1440" w:bottom="1440" w:gutter="0" w:footer="0" w:header="0"/>
        </w:sectPr>
      </w:pPr>
    </w:p>
    <w:bookmarkStart w:id="296" w:name="page297"/>
    <w:bookmarkEnd w:id="296"/>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from AT&amp;T and the other Lenfest stockholders for approximately 120.1 million shares of the Company's Class A Special Common Stock with a value of $6.014 billion (the "Lenfest Acquisition"). In connection with the Lenfest Acquisition, the Company assumed approximately $1.326 billion of debt.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CONSOLIDATION OF COMCAST CABLEVISION OF GARDEN STATE, L.P.</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Comcast Cablevision of Garden State, L.P. ("Garden State Cable") (formerly Garden State Cablevision L.P.), a cable communications company serving approximately 216,000 subscribers in New Jersey, is a partnership which was owned 50% by Lenfest and 50% by the Company. The Company had accounted for its interest in Garden State Cable under the equity method. As a result of the Lenfest Acquisition, the Company owns 100% of Garden State Cable. As such, the operating results of Garden State Cable have been included in the Company's consolidated statement of operations from the date of the Lenfest Acquisition.</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GREATER PHILADELPHIA CABLEVISION, INC.</w:t>
      </w:r>
    </w:p>
    <w:p>
      <w:pPr>
        <w:spacing w:after="0" w:line="185" w:lineRule="exact"/>
        <w:rPr>
          <w:sz w:val="20"/>
          <w:szCs w:val="20"/>
          <w:color w:val="auto"/>
        </w:rPr>
      </w:pPr>
    </w:p>
    <w:p>
      <w:pPr>
        <w:jc w:val="both"/>
        <w:ind w:right="2899" w:firstLine="469"/>
        <w:spacing w:after="0" w:line="254" w:lineRule="auto"/>
        <w:rPr>
          <w:sz w:val="20"/>
          <w:szCs w:val="20"/>
          <w:color w:val="auto"/>
        </w:rPr>
      </w:pPr>
      <w:r>
        <w:rPr>
          <w:rFonts w:ascii="Courier New" w:cs="Courier New" w:eastAsia="Courier New" w:hAnsi="Courier New"/>
          <w:sz w:val="15"/>
          <w:szCs w:val="15"/>
          <w:color w:val="auto"/>
        </w:rPr>
        <w:t>In June 1999, the Company acquired Greater Philadelphia Cablevision, Inc. ("Greater Philadelphia"), a cable communications company serving approximately 79,000 subscribers in Philadelphia from Greater Media, Inc. for approximately</w:t>
      </w:r>
    </w:p>
    <w:p>
      <w:pPr>
        <w:spacing w:after="0" w:line="2"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8.5 million shares of the Company's Class A Special Common Stock with a value of $291.7 million.</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acquisitions completed by the Company during the three years in the period ended December 31, 2001 were accounted for under the purchase method of accounting. As such, the Company's results include the operating results of the acquired businesses from the dates of acquisition. During the fourth quarter of 2001, the Company recorded the final purchase price allocation related to the Company's cable systems exchange with AT&amp;T and related to the Company's acquisitions of Home Team Sports and TGC. The allocation of the purchase price for the other 2001 acquisitions and the cable systems exchange with Adelphia made by the Company is preliminary pending completion of final appraisals. The Company's cable systems exchanges with Adelphia and AT&amp;T and certain of the Company's acquisitions had no significant impact on the Company's consolidated statement of cash flows due to their noncash nature (see Note 10).</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UNAUDITED PRO FORMA INFORMATION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and cable systems exchanges made by the Company in 2001 each occurred on January 1, 2000, the acquisitions and cable systems exchanges made by the Company in 2000 each occurred on January 1, 1999, and the acquisitions made by the Company in 1999 each occurred on January 1, 1998. This information is based on historical results of operations, adjusted for acquisition costs, and, in the opinion of management, is not necessarily indicative of what the results would have been had the Company operated the entities acquired since such dates.</w:t>
      </w:r>
    </w:p>
    <w:p>
      <w:pPr>
        <w:spacing w:after="0" w:line="18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jc w:val="center"/>
        <w:ind w:right="5059"/>
        <w:spacing w:after="0"/>
        <w:rPr>
          <w:sz w:val="20"/>
          <w:szCs w:val="20"/>
          <w:color w:val="auto"/>
        </w:rPr>
      </w:pPr>
      <w:r>
        <w:rPr>
          <w:rFonts w:ascii="Courier New" w:cs="Courier New" w:eastAsia="Courier New" w:hAnsi="Courier New"/>
          <w:sz w:val="16"/>
          <w:szCs w:val="16"/>
          <w:color w:val="auto"/>
        </w:rPr>
        <w:t>2001 2000 1999 -------- -------- -------- (AMOUNTS IN</w:t>
      </w:r>
    </w:p>
    <w:p>
      <w:pPr>
        <w:jc w:val="center"/>
        <w:ind w:right="5059"/>
        <w:spacing w:after="0" w:line="237" w:lineRule="auto"/>
        <w:rPr>
          <w:sz w:val="20"/>
          <w:szCs w:val="20"/>
          <w:color w:val="auto"/>
        </w:rPr>
      </w:pPr>
      <w:r>
        <w:rPr>
          <w:rFonts w:ascii="Courier New" w:cs="Courier New" w:eastAsia="Courier New" w:hAnsi="Courier New"/>
          <w:sz w:val="16"/>
          <w:szCs w:val="16"/>
          <w:color w:val="auto"/>
        </w:rPr>
        <w:t>MILLIONS, EXCEPT PER SHARE DATA)</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5"/>
          <w:szCs w:val="15"/>
          <w:color w:val="auto"/>
        </w:rPr>
        <w:t>Revenues...............................................</w:t>
      </w:r>
    </w:p>
    <w:p>
      <w:pPr>
        <w:spacing w:after="0" w:line="10"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5"/>
          <w:szCs w:val="15"/>
          <w:color w:val="auto"/>
        </w:rPr>
        <w:t>$9,926.9 $9,012.2 $7,566.5 Income before extraordinary</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items and cumulative effect of accounting</w:t>
      </w:r>
    </w:p>
    <w:p>
      <w:pPr>
        <w:jc w:val="center"/>
        <w:ind w:right="5059"/>
        <w:spacing w:after="0"/>
        <w:rPr>
          <w:sz w:val="20"/>
          <w:szCs w:val="20"/>
          <w:color w:val="auto"/>
        </w:rPr>
      </w:pPr>
      <w:r>
        <w:rPr>
          <w:rFonts w:ascii="Courier New" w:cs="Courier New" w:eastAsia="Courier New" w:hAnsi="Courier New"/>
          <w:sz w:val="16"/>
          <w:szCs w:val="16"/>
          <w:color w:val="auto"/>
        </w:rPr>
        <w:t>change................................. $ 150.2</w:t>
      </w:r>
    </w:p>
    <w:p>
      <w:pPr>
        <w:jc w:val="center"/>
        <w:ind w:right="5059"/>
        <w:spacing w:after="0" w:line="237" w:lineRule="auto"/>
        <w:rPr>
          <w:sz w:val="20"/>
          <w:szCs w:val="20"/>
          <w:color w:val="auto"/>
        </w:rPr>
      </w:pPr>
      <w:r>
        <w:rPr>
          <w:rFonts w:ascii="Courier New" w:cs="Courier New" w:eastAsia="Courier New" w:hAnsi="Courier New"/>
          <w:sz w:val="16"/>
          <w:szCs w:val="16"/>
          <w:color w:val="auto"/>
        </w:rPr>
        <w:t>$1,652.3 $ 252.2 Net</w:t>
      </w:r>
    </w:p>
    <w:p>
      <w:pPr>
        <w:jc w:val="center"/>
        <w:ind w:right="5059"/>
        <w:spacing w:after="0"/>
        <w:rPr>
          <w:sz w:val="20"/>
          <w:szCs w:val="20"/>
          <w:color w:val="auto"/>
        </w:rPr>
      </w:pPr>
      <w:r>
        <w:rPr>
          <w:rFonts w:ascii="Courier New" w:cs="Courier New" w:eastAsia="Courier New" w:hAnsi="Courier New"/>
          <w:sz w:val="16"/>
          <w:szCs w:val="16"/>
          <w:color w:val="auto"/>
        </w:rPr>
        <w:t>income............................................. $</w:t>
      </w:r>
    </w:p>
    <w:p>
      <w:pPr>
        <w:jc w:val="center"/>
        <w:ind w:right="5059"/>
        <w:spacing w:after="0" w:line="238" w:lineRule="auto"/>
        <w:rPr>
          <w:sz w:val="20"/>
          <w:szCs w:val="20"/>
          <w:color w:val="auto"/>
        </w:rPr>
      </w:pPr>
      <w:r>
        <w:rPr>
          <w:rFonts w:ascii="Courier New" w:cs="Courier New" w:eastAsia="Courier New" w:hAnsi="Courier New"/>
          <w:sz w:val="16"/>
          <w:szCs w:val="16"/>
          <w:color w:val="auto"/>
        </w:rPr>
        <w:t>533.2 $1,628.7 $ 201.2 Diluted</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5"/>
          <w:szCs w:val="15"/>
          <w:color w:val="auto"/>
        </w:rPr>
        <w:t>EPS............................................ $ 0.55</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$ 1.68 $ 0.21</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F-107</w:t>
      </w:r>
    </w:p>
    <w:p>
      <w:pPr>
        <w:sectPr>
          <w:pgSz w:w="11900" w:h="16838" w:orient="portrait"/>
          <w:cols w:equalWidth="0" w:num="1">
            <w:col w:w="10219"/>
          </w:cols>
          <w:pgMar w:left="240" w:top="473" w:right="1440" w:bottom="1440" w:gutter="0" w:footer="0" w:header="0"/>
        </w:sectPr>
      </w:pPr>
    </w:p>
    <w:bookmarkStart w:id="297" w:name="page298"/>
    <w:bookmarkEnd w:id="297"/>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ind w:left="1120"/>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SALE OF COMCAST CELLULAR CORPORATION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July 1999, the Company sold Comcast Cellular Corporation ("Comcast Cellular") to SBC Communications, Inc. for $361.1 million in cash and the assumption of $1.315 billion of Comcast Cellular debt, and recognized a gain on the sale of $355.9 million, net of income tax expense. The results of operations of Comcast Cellular have been presented as a discontinued operation in accordance with APB Opinion No. 30, "Reporting the Results of</w:t>
      </w:r>
    </w:p>
    <w:p>
      <w:pPr>
        <w:spacing w:after="0" w:line="8"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Operations -- Reporting the Effects of Disposal of a Segment of a Business, and Extraordinary, Unusual and Infrequently Occurring Events and Transactions." During the year ended December 31, 1999, the Company recognized losses from discontinued operations of $20.1 million.</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In August 2000, the Company obtained the right to exchange its At Home Series A Common Stock with AT&amp;T and waived certain of its At Home Board level and shareholder rights under a stockholders agreement (the "Share Exchange Agreement" -- see Note 6). The Company also agreed to cause its existing appointee to the At Home Board of Directors to resign. In connection with the transaction, the Company recorded to other income a pre-tax gain of $1.045 billion, representing the estimated fair value of the investment as of the closing date.</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In August 2000, the Company exchanged all of the capital stock of a wholly owned subsidiary which held certain wireless licenses for approximately 3.2 million shares of AT&amp;T common stock. In connection with the exchange, the Company recorded to other income a pre-tax gain of $98.1 million, representing the difference between the fair value of the AT&amp;T shares received of $100.0 million and the Company's cost basis in the subsidiary.</w:t>
      </w:r>
    </w:p>
    <w:p>
      <w:pPr>
        <w:spacing w:after="0" w:line="17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May 1999, the Company received a $1.5 billion termination fee as liquidated damages from MediaOne Group, Inc. ("MediaOne") as a result of MediaOne's termination of its Agreement and Plan of Merger with the Company dated March 1999. The termination fee, net of transaction costs, was recorded to other income in the Company's consolidated statement of operations.</w:t>
      </w:r>
    </w:p>
    <w:p>
      <w:pPr>
        <w:spacing w:after="0" w:line="182"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6.</w:t>
        <w:tab/>
        <w:t>INVESTMENTS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280"/>
        <w:spacing w:after="0"/>
        <w:rPr>
          <w:sz w:val="20"/>
          <w:szCs w:val="20"/>
          <w:color w:val="auto"/>
        </w:rPr>
      </w:pPr>
      <w:r>
        <w:rPr>
          <w:rFonts w:ascii="Courier New" w:cs="Courier New" w:eastAsia="Courier New" w:hAnsi="Courier New"/>
          <w:sz w:val="16"/>
          <w:szCs w:val="16"/>
          <w:color w:val="auto"/>
        </w:rPr>
        <w:t>------- (DOLLARS IN MILLIONS) Fair value method AT&amp;T</w:t>
      </w:r>
    </w:p>
    <w:p>
      <w:pPr>
        <w:ind w:left="220"/>
        <w:spacing w:after="0" w:line="237" w:lineRule="auto"/>
        <w:rPr>
          <w:sz w:val="20"/>
          <w:szCs w:val="20"/>
          <w:color w:val="auto"/>
        </w:rPr>
      </w:pPr>
      <w:r>
        <w:rPr>
          <w:rFonts w:ascii="Courier New" w:cs="Courier New" w:eastAsia="Courier New" w:hAnsi="Courier New"/>
          <w:sz w:val="16"/>
          <w:szCs w:val="16"/>
          <w:color w:val="auto"/>
        </w:rPr>
        <w:t>Corp.................................................</w:t>
      </w:r>
    </w:p>
    <w:p>
      <w:pPr>
        <w:ind w:left="1120"/>
        <w:spacing w:after="0"/>
        <w:rPr>
          <w:sz w:val="20"/>
          <w:szCs w:val="20"/>
          <w:color w:val="auto"/>
        </w:rPr>
      </w:pPr>
      <w:r>
        <w:rPr>
          <w:rFonts w:ascii="Courier New" w:cs="Courier New" w:eastAsia="Courier New" w:hAnsi="Courier New"/>
          <w:sz w:val="16"/>
          <w:szCs w:val="16"/>
          <w:color w:val="auto"/>
        </w:rPr>
        <w:t>$1,514.9 $1,174.3 Sprint Corp. PCS</w:t>
      </w:r>
    </w:p>
    <w:p>
      <w:pPr>
        <w:ind w:left="40"/>
        <w:spacing w:after="0" w:line="238" w:lineRule="auto"/>
        <w:rPr>
          <w:sz w:val="20"/>
          <w:szCs w:val="20"/>
          <w:color w:val="auto"/>
        </w:rPr>
      </w:pPr>
      <w:r>
        <w:rPr>
          <w:rFonts w:ascii="Courier New" w:cs="Courier New" w:eastAsia="Courier New" w:hAnsi="Courier New"/>
          <w:sz w:val="16"/>
          <w:szCs w:val="16"/>
          <w:color w:val="auto"/>
        </w:rPr>
        <w:t>Group.................................... 2,109.5 2,149.8</w:t>
      </w:r>
    </w:p>
    <w:p>
      <w:pPr>
        <w:spacing w:after="0"/>
        <w:rPr>
          <w:sz w:val="20"/>
          <w:szCs w:val="20"/>
          <w:color w:val="auto"/>
        </w:rPr>
      </w:pPr>
      <w:r>
        <w:rPr>
          <w:rFonts w:ascii="Courier New" w:cs="Courier New" w:eastAsia="Courier New" w:hAnsi="Courier New"/>
          <w:sz w:val="16"/>
          <w:szCs w:val="16"/>
          <w:color w:val="auto"/>
        </w:rPr>
        <w:t>Other.....................................................</w:t>
      </w:r>
    </w:p>
    <w:p>
      <w:pPr>
        <w:ind w:left="280"/>
        <w:spacing w:after="0" w:line="238" w:lineRule="auto"/>
        <w:rPr>
          <w:sz w:val="20"/>
          <w:szCs w:val="20"/>
          <w:color w:val="auto"/>
        </w:rPr>
      </w:pPr>
      <w:r>
        <w:rPr>
          <w:rFonts w:ascii="Courier New" w:cs="Courier New" w:eastAsia="Courier New" w:hAnsi="Courier New"/>
          <w:sz w:val="16"/>
          <w:szCs w:val="16"/>
          <w:color w:val="auto"/>
        </w:rPr>
        <w:t>136.1 1,873.0 -------- -------- 3,760.5 5,197.1 Cost</w:t>
      </w:r>
    </w:p>
    <w:p>
      <w:pPr>
        <w:ind w:left="140"/>
        <w:spacing w:after="0"/>
        <w:rPr>
          <w:sz w:val="20"/>
          <w:szCs w:val="20"/>
          <w:color w:val="auto"/>
        </w:rPr>
      </w:pPr>
      <w:r>
        <w:rPr>
          <w:rFonts w:ascii="Courier New" w:cs="Courier New" w:eastAsia="Courier New" w:hAnsi="Courier New"/>
          <w:sz w:val="16"/>
          <w:szCs w:val="16"/>
          <w:color w:val="auto"/>
        </w:rPr>
        <w:t>method.................................................</w:t>
      </w:r>
    </w:p>
    <w:p>
      <w:pPr>
        <w:ind w:left="1860"/>
        <w:spacing w:after="0" w:line="237" w:lineRule="auto"/>
        <w:rPr>
          <w:sz w:val="20"/>
          <w:szCs w:val="20"/>
          <w:color w:val="auto"/>
        </w:rPr>
      </w:pPr>
      <w:r>
        <w:rPr>
          <w:rFonts w:ascii="Courier New" w:cs="Courier New" w:eastAsia="Courier New" w:hAnsi="Courier New"/>
          <w:sz w:val="16"/>
          <w:szCs w:val="16"/>
          <w:color w:val="auto"/>
        </w:rPr>
        <w:t>155.2 128.4 Equity</w:t>
      </w:r>
    </w:p>
    <w:p>
      <w:pPr>
        <w:ind w:left="220"/>
        <w:spacing w:after="0"/>
        <w:rPr>
          <w:sz w:val="20"/>
          <w:szCs w:val="20"/>
          <w:color w:val="auto"/>
        </w:rPr>
      </w:pPr>
      <w:r>
        <w:rPr>
          <w:rFonts w:ascii="Courier New" w:cs="Courier New" w:eastAsia="Courier New" w:hAnsi="Courier New"/>
          <w:sz w:val="16"/>
          <w:szCs w:val="16"/>
          <w:color w:val="auto"/>
        </w:rPr>
        <w:t>method...............................................</w:t>
      </w:r>
    </w:p>
    <w:p>
      <w:pPr>
        <w:ind w:left="1080"/>
        <w:spacing w:after="0" w:line="238" w:lineRule="auto"/>
        <w:rPr>
          <w:sz w:val="20"/>
          <w:szCs w:val="20"/>
          <w:color w:val="auto"/>
        </w:rPr>
      </w:pPr>
      <w:r>
        <w:rPr>
          <w:rFonts w:ascii="Courier New" w:cs="Courier New" w:eastAsia="Courier New" w:hAnsi="Courier New"/>
          <w:sz w:val="16"/>
          <w:szCs w:val="16"/>
          <w:color w:val="auto"/>
        </w:rPr>
        <w:t>386.7 396.1 -------- -------- Total</w:t>
      </w:r>
    </w:p>
    <w:p>
      <w:pPr>
        <w:ind w:left="40"/>
        <w:spacing w:after="0"/>
        <w:rPr>
          <w:sz w:val="20"/>
          <w:szCs w:val="20"/>
          <w:color w:val="auto"/>
        </w:rPr>
      </w:pPr>
      <w:r>
        <w:rPr>
          <w:rFonts w:ascii="Courier New" w:cs="Courier New" w:eastAsia="Courier New" w:hAnsi="Courier New"/>
          <w:sz w:val="16"/>
          <w:szCs w:val="16"/>
          <w:color w:val="auto"/>
        </w:rPr>
        <w:t>investments...................................... 4,302.4</w:t>
      </w:r>
    </w:p>
    <w:p>
      <w:pPr>
        <w:ind w:left="1720"/>
        <w:spacing w:after="0" w:line="238" w:lineRule="auto"/>
        <w:rPr>
          <w:sz w:val="20"/>
          <w:szCs w:val="20"/>
          <w:color w:val="auto"/>
        </w:rPr>
      </w:pPr>
      <w:r>
        <w:rPr>
          <w:rFonts w:ascii="Courier New" w:cs="Courier New" w:eastAsia="Courier New" w:hAnsi="Courier New"/>
          <w:sz w:val="16"/>
          <w:szCs w:val="16"/>
          <w:color w:val="auto"/>
        </w:rPr>
        <w:t>5,721.6 Less, current</w:t>
      </w:r>
    </w:p>
    <w:p>
      <w:pPr>
        <w:ind w:left="180"/>
        <w:spacing w:after="0"/>
        <w:rPr>
          <w:sz w:val="20"/>
          <w:szCs w:val="20"/>
          <w:color w:val="auto"/>
        </w:rPr>
      </w:pPr>
      <w:r>
        <w:rPr>
          <w:rFonts w:ascii="Courier New" w:cs="Courier New" w:eastAsia="Courier New" w:hAnsi="Courier New"/>
          <w:sz w:val="16"/>
          <w:szCs w:val="16"/>
          <w:color w:val="auto"/>
        </w:rPr>
        <w:t>investments................................... 2,623.2</w:t>
      </w:r>
    </w:p>
    <w:p>
      <w:pPr>
        <w:ind w:left="980"/>
        <w:spacing w:after="0" w:line="237" w:lineRule="auto"/>
        <w:rPr>
          <w:sz w:val="20"/>
          <w:szCs w:val="20"/>
          <w:color w:val="auto"/>
        </w:rPr>
      </w:pPr>
      <w:r>
        <w:rPr>
          <w:rFonts w:ascii="Courier New" w:cs="Courier New" w:eastAsia="Courier New" w:hAnsi="Courier New"/>
          <w:sz w:val="16"/>
          <w:szCs w:val="16"/>
          <w:color w:val="auto"/>
        </w:rPr>
        <w:t>3,059.7 -------- -------- Non-current</w:t>
      </w:r>
    </w:p>
    <w:p>
      <w:pPr>
        <w:ind w:left="40"/>
        <w:spacing w:after="0"/>
        <w:rPr>
          <w:sz w:val="20"/>
          <w:szCs w:val="20"/>
          <w:color w:val="auto"/>
        </w:rPr>
      </w:pPr>
      <w:r>
        <w:rPr>
          <w:rFonts w:ascii="Courier New" w:cs="Courier New" w:eastAsia="Courier New" w:hAnsi="Courier New"/>
          <w:sz w:val="16"/>
          <w:szCs w:val="16"/>
          <w:color w:val="auto"/>
        </w:rPr>
        <w:t>investments..................................... $1,679.2</w:t>
      </w:r>
    </w:p>
    <w:p>
      <w:pPr>
        <w:ind w:left="1500"/>
        <w:spacing w:after="0" w:line="238" w:lineRule="auto"/>
        <w:rPr>
          <w:sz w:val="20"/>
          <w:szCs w:val="20"/>
          <w:color w:val="auto"/>
        </w:rPr>
      </w:pPr>
      <w:r>
        <w:rPr>
          <w:rFonts w:ascii="Courier New" w:cs="Courier New" w:eastAsia="Courier New" w:hAnsi="Courier New"/>
          <w:sz w:val="16"/>
          <w:szCs w:val="16"/>
          <w:color w:val="auto"/>
        </w:rPr>
        <w:t>$2,661.9 ======== ========</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F-108</w:t>
      </w:r>
    </w:p>
    <w:p>
      <w:pPr>
        <w:sectPr>
          <w:pgSz w:w="11900" w:h="16838" w:orient="portrait"/>
          <w:cols w:equalWidth="0" w:num="1">
            <w:col w:w="10219"/>
          </w:cols>
          <w:pgMar w:left="240" w:top="473" w:right="1440" w:bottom="1440" w:gutter="0" w:footer="0" w:header="0"/>
        </w:sectPr>
      </w:pPr>
    </w:p>
    <w:bookmarkStart w:id="298" w:name="page299"/>
    <w:bookmarkEnd w:id="298"/>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FAIR VALUE METHOD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these investments as of December 31, 2001 and 2000 of $280.3 million and $707.1 million, respectively, have been reported in the Company's consolidated balance sheet principally as a component of other comprehensive income, net of related deferred income taxes of $95.3 million and $240.0 million, respectively.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cost, fair value and gross unrealized gains and losses related to the</w:t>
      </w:r>
    </w:p>
    <w:p>
      <w:pPr>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1540"/>
        <w:spacing w:after="0"/>
        <w:rPr>
          <w:sz w:val="20"/>
          <w:szCs w:val="20"/>
          <w:color w:val="auto"/>
        </w:rPr>
      </w:pPr>
      <w:r>
        <w:rPr>
          <w:rFonts w:ascii="Courier New" w:cs="Courier New" w:eastAsia="Courier New" w:hAnsi="Courier New"/>
          <w:sz w:val="16"/>
          <w:szCs w:val="16"/>
          <w:color w:val="auto"/>
        </w:rPr>
        <w:t>----- (DOLLARS IN MILLIONS)</w:t>
      </w:r>
    </w:p>
    <w:p>
      <w:pPr>
        <w:spacing w:after="0" w:line="3"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Cost........................................................</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$1,355.0 $4,490.0 Gross unrealized</w:t>
      </w:r>
    </w:p>
    <w:p>
      <w:pPr>
        <w:jc w:val="center"/>
        <w:ind w:right="4599"/>
        <w:spacing w:after="0"/>
        <w:rPr>
          <w:sz w:val="20"/>
          <w:szCs w:val="20"/>
          <w:color w:val="auto"/>
        </w:rPr>
      </w:pPr>
      <w:r>
        <w:rPr>
          <w:rFonts w:ascii="Courier New" w:cs="Courier New" w:eastAsia="Courier New" w:hAnsi="Courier New"/>
          <w:sz w:val="16"/>
          <w:szCs w:val="16"/>
          <w:color w:val="auto"/>
        </w:rPr>
        <w:t>gains...................................... 283.2 1,887.6</w:t>
      </w:r>
    </w:p>
    <w:p>
      <w:pPr>
        <w:jc w:val="center"/>
        <w:ind w:right="4599"/>
        <w:spacing w:after="0" w:line="237" w:lineRule="auto"/>
        <w:rPr>
          <w:sz w:val="20"/>
          <w:szCs w:val="20"/>
          <w:color w:val="auto"/>
        </w:rPr>
      </w:pPr>
      <w:r>
        <w:rPr>
          <w:rFonts w:ascii="Courier New" w:cs="Courier New" w:eastAsia="Courier New" w:hAnsi="Courier New"/>
          <w:sz w:val="16"/>
          <w:szCs w:val="16"/>
          <w:color w:val="auto"/>
        </w:rPr>
        <w:t>Gross unrealized</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losses..................................... (2.9) (1,180.5)</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 Fair</w:t>
      </w:r>
    </w:p>
    <w:p>
      <w:pPr>
        <w:jc w:val="center"/>
        <w:ind w:right="4599"/>
        <w:spacing w:after="0"/>
        <w:rPr>
          <w:sz w:val="20"/>
          <w:szCs w:val="20"/>
          <w:color w:val="auto"/>
        </w:rPr>
      </w:pPr>
      <w:r>
        <w:rPr>
          <w:rFonts w:ascii="Courier New" w:cs="Courier New" w:eastAsia="Courier New" w:hAnsi="Courier New"/>
          <w:sz w:val="16"/>
          <w:szCs w:val="16"/>
          <w:color w:val="auto"/>
        </w:rPr>
        <w:t>value..................................................</w:t>
      </w:r>
    </w:p>
    <w:p>
      <w:pPr>
        <w:jc w:val="center"/>
        <w:ind w:right="4599"/>
        <w:spacing w:after="0" w:line="237" w:lineRule="auto"/>
        <w:rPr>
          <w:sz w:val="20"/>
          <w:szCs w:val="20"/>
          <w:color w:val="auto"/>
        </w:rPr>
      </w:pPr>
      <w:r>
        <w:rPr>
          <w:rFonts w:ascii="Courier New" w:cs="Courier New" w:eastAsia="Courier New" w:hAnsi="Courier New"/>
          <w:sz w:val="16"/>
          <w:szCs w:val="16"/>
          <w:color w:val="auto"/>
        </w:rPr>
        <w:t>$1,635.3 $5,197.1 ======== ========</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June 2001, the Company and AT&amp;T entered into an Amended and Restated Share Issuance Agreement (the "Share Issuance Agreement"). AT&amp;T issued to the Company approximately 80.3 million unregistered shares of AT&amp;T common stock and the Company agreed to settle its right under the Share Exchange Agreement (see Note 5 -- Other Income) to exchange an aggregate 31.2 million At Home shares and warrants held by the Company for shares of AT&amp;T common stock. The Company has registration rights, subject to customary restrictions, which allow the Company to require AT&amp;T to register the AT&amp;T shares received. Under the terms of the Share Issuance Agreement, the Company retained the At Home shares and warrants held by it. The Company recorded to investment income a pre-tax gain of $296.3 million, representing the fair value of the increased consideration received by the Company to settle its right under the Share Exchange Agreement.</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August 2001, the Company entered into a ten year Prepaid Forward Sale of 4.0 million shares of Sprint PCS common stock held by the Company with a fair value of approximately $98 million and the Company received $78.3 million in cash. At maturity, the counterparty is entitled to receive between 2.5 million and 4.0 million shares of Sprint PCS common stock, or an equivalent amount of cash at the Company's option, based upon the market value of Sprint PCS common stock at that time. The Company split the Prepaid Forward Sale into its liability and derivative components and recorded both components of the Prepaid Forward Sale obligation in other long-term liabilities. The Company records the change in the fair value of the derivative component and the accretion of the liability component to investment income.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F-109</w:t>
      </w:r>
    </w:p>
    <w:p>
      <w:pPr>
        <w:sectPr>
          <w:pgSz w:w="11900" w:h="16838" w:orient="portrait"/>
          <w:cols w:equalWidth="0" w:num="1">
            <w:col w:w="10219"/>
          </w:cols>
          <w:pgMar w:left="240" w:top="474" w:right="1440" w:bottom="1440" w:gutter="0" w:footer="0" w:header="0"/>
        </w:sectPr>
      </w:pPr>
    </w:p>
    <w:bookmarkStart w:id="299" w:name="page300"/>
    <w:bookmarkEnd w:id="299"/>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INVESTMENT INCOME</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Investment income includes the following (in millions):</w:t>
      </w:r>
    </w:p>
    <w:p>
      <w:pPr>
        <w:spacing w:after="0" w:line="17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 ENDED DECEMBER 31, -------------------------- 2001</w:t>
      </w:r>
    </w:p>
    <w:p>
      <w:pPr>
        <w:jc w:val="center"/>
        <w:ind w:right="4975"/>
        <w:spacing w:after="0"/>
        <w:rPr>
          <w:sz w:val="20"/>
          <w:szCs w:val="20"/>
          <w:color w:val="auto"/>
        </w:rPr>
      </w:pPr>
      <w:r>
        <w:rPr>
          <w:rFonts w:ascii="Courier New" w:cs="Courier New" w:eastAsia="Courier New" w:hAnsi="Courier New"/>
          <w:sz w:val="16"/>
          <w:szCs w:val="16"/>
          <w:color w:val="auto"/>
        </w:rPr>
        <w:t>2000 1999 -------- ------ ------ Interest and dividend</w:t>
      </w:r>
    </w:p>
    <w:p>
      <w:pPr>
        <w:jc w:val="center"/>
        <w:ind w:right="4975"/>
        <w:spacing w:after="0" w:line="237" w:lineRule="auto"/>
        <w:rPr>
          <w:sz w:val="20"/>
          <w:szCs w:val="20"/>
          <w:color w:val="auto"/>
        </w:rPr>
      </w:pPr>
      <w:r>
        <w:rPr>
          <w:rFonts w:ascii="Courier New" w:cs="Courier New" w:eastAsia="Courier New" w:hAnsi="Courier New"/>
          <w:sz w:val="16"/>
          <w:szCs w:val="16"/>
          <w:color w:val="auto"/>
        </w:rPr>
        <w:t>income.............................. $ 76.5 $171.6</w:t>
      </w:r>
    </w:p>
    <w:p>
      <w:pPr>
        <w:jc w:val="center"/>
        <w:ind w:right="4975"/>
        <w:spacing w:after="0"/>
        <w:rPr>
          <w:sz w:val="20"/>
          <w:szCs w:val="20"/>
          <w:color w:val="auto"/>
        </w:rPr>
      </w:pPr>
      <w:r>
        <w:rPr>
          <w:rFonts w:ascii="Courier New" w:cs="Courier New" w:eastAsia="Courier New" w:hAnsi="Courier New"/>
          <w:sz w:val="16"/>
          <w:szCs w:val="16"/>
          <w:color w:val="auto"/>
        </w:rPr>
        <w:t>$172.5 Gains on sales and exchanges of investments,</w:t>
      </w:r>
    </w:p>
    <w:p>
      <w:pPr>
        <w:jc w:val="center"/>
        <w:ind w:right="4975"/>
        <w:spacing w:after="0" w:line="238" w:lineRule="auto"/>
        <w:rPr>
          <w:sz w:val="20"/>
          <w:szCs w:val="20"/>
          <w:color w:val="auto"/>
        </w:rPr>
      </w:pPr>
      <w:r>
        <w:rPr>
          <w:rFonts w:ascii="Courier New" w:cs="Courier New" w:eastAsia="Courier New" w:hAnsi="Courier New"/>
          <w:sz w:val="16"/>
          <w:szCs w:val="16"/>
          <w:color w:val="auto"/>
        </w:rPr>
        <w:t>net.......... 485.2 886.7 510.6 Investment impairment</w:t>
      </w:r>
    </w:p>
    <w:p>
      <w:pPr>
        <w:jc w:val="center"/>
        <w:ind w:right="4975"/>
        <w:spacing w:after="0"/>
        <w:rPr>
          <w:sz w:val="20"/>
          <w:szCs w:val="20"/>
          <w:color w:val="auto"/>
        </w:rPr>
      </w:pPr>
      <w:r>
        <w:rPr>
          <w:rFonts w:ascii="Courier New" w:cs="Courier New" w:eastAsia="Courier New" w:hAnsi="Courier New"/>
          <w:sz w:val="16"/>
          <w:szCs w:val="16"/>
          <w:color w:val="auto"/>
        </w:rPr>
        <w:t>losses.............................. (972.4) (74.4)</w:t>
      </w:r>
    </w:p>
    <w:p>
      <w:pPr>
        <w:jc w:val="center"/>
        <w:ind w:right="4975"/>
        <w:spacing w:after="0" w:line="238" w:lineRule="auto"/>
        <w:rPr>
          <w:sz w:val="20"/>
          <w:szCs w:val="20"/>
          <w:color w:val="auto"/>
        </w:rPr>
      </w:pPr>
      <w:r>
        <w:rPr>
          <w:rFonts w:ascii="Courier New" w:cs="Courier New" w:eastAsia="Courier New" w:hAnsi="Courier New"/>
          <w:sz w:val="16"/>
          <w:szCs w:val="16"/>
          <w:color w:val="auto"/>
        </w:rPr>
        <w:t>(35.5) Reclassification of unrealized</w:t>
      </w:r>
    </w:p>
    <w:p>
      <w:pPr>
        <w:jc w:val="center"/>
        <w:ind w:right="4975"/>
        <w:spacing w:after="0"/>
        <w:rPr>
          <w:sz w:val="20"/>
          <w:szCs w:val="20"/>
          <w:color w:val="auto"/>
        </w:rPr>
      </w:pPr>
      <w:r>
        <w:rPr>
          <w:rFonts w:ascii="Courier New" w:cs="Courier New" w:eastAsia="Courier New" w:hAnsi="Courier New"/>
          <w:sz w:val="16"/>
          <w:szCs w:val="16"/>
          <w:color w:val="auto"/>
        </w:rPr>
        <w:t>gains...................... 1,330.3 Unrealized gain on</w:t>
      </w:r>
    </w:p>
    <w:p>
      <w:pPr>
        <w:jc w:val="center"/>
        <w:ind w:right="4975"/>
        <w:spacing w:after="0" w:line="237" w:lineRule="auto"/>
        <w:rPr>
          <w:sz w:val="20"/>
          <w:szCs w:val="20"/>
          <w:color w:val="auto"/>
        </w:rPr>
      </w:pPr>
      <w:r>
        <w:rPr>
          <w:rFonts w:ascii="Courier New" w:cs="Courier New" w:eastAsia="Courier New" w:hAnsi="Courier New"/>
          <w:sz w:val="16"/>
          <w:szCs w:val="16"/>
          <w:color w:val="auto"/>
        </w:rPr>
        <w:t>Sprint PCS common stock................ 284.4 Mark to</w:t>
      </w:r>
    </w:p>
    <w:p>
      <w:pPr>
        <w:spacing w:after="0" w:line="5"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5"/>
          <w:szCs w:val="15"/>
          <w:color w:val="auto"/>
        </w:rPr>
        <w:t>market adjustments on derivatives related to Sprint PCS</w:t>
      </w:r>
    </w:p>
    <w:p>
      <w:pPr>
        <w:spacing w:after="0" w:line="5"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6"/>
          <w:szCs w:val="16"/>
          <w:color w:val="auto"/>
        </w:rPr>
        <w:t>common stock................................. (184.6)</w:t>
      </w:r>
    </w:p>
    <w:p>
      <w:pPr>
        <w:jc w:val="center"/>
        <w:ind w:right="4975"/>
        <w:spacing w:after="0"/>
        <w:rPr>
          <w:sz w:val="20"/>
          <w:szCs w:val="20"/>
          <w:color w:val="auto"/>
        </w:rPr>
      </w:pPr>
      <w:r>
        <w:rPr>
          <w:rFonts w:ascii="Courier New" w:cs="Courier New" w:eastAsia="Courier New" w:hAnsi="Courier New"/>
          <w:sz w:val="16"/>
          <w:szCs w:val="16"/>
          <w:color w:val="auto"/>
        </w:rPr>
        <w:t>Mark to market adjustments on derivatives and hedged</w:t>
      </w:r>
    </w:p>
    <w:p>
      <w:pPr>
        <w:spacing w:after="0" w:line="3"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5"/>
          <w:szCs w:val="15"/>
          <w:color w:val="auto"/>
        </w:rPr>
        <w:t>items...................................................</w:t>
      </w:r>
    </w:p>
    <w:p>
      <w:pPr>
        <w:spacing w:after="0" w:line="5"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6"/>
          <w:szCs w:val="16"/>
          <w:color w:val="auto"/>
        </w:rPr>
        <w:t>42.3 Settlement of call</w:t>
      </w:r>
    </w:p>
    <w:p>
      <w:pPr>
        <w:spacing w:after="0" w:line="4"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5"/>
          <w:szCs w:val="15"/>
          <w:color w:val="auto"/>
        </w:rPr>
        <w:t>options................................ (18.1) --------</w:t>
      </w:r>
    </w:p>
    <w:p>
      <w:pPr>
        <w:spacing w:after="0" w:line="5" w:lineRule="exact"/>
        <w:rPr>
          <w:sz w:val="20"/>
          <w:szCs w:val="20"/>
          <w:color w:val="auto"/>
        </w:rPr>
      </w:pPr>
    </w:p>
    <w:p>
      <w:pPr>
        <w:jc w:val="center"/>
        <w:ind w:right="4975"/>
        <w:spacing w:after="0"/>
        <w:rPr>
          <w:sz w:val="20"/>
          <w:szCs w:val="20"/>
          <w:color w:val="auto"/>
        </w:rPr>
      </w:pPr>
      <w:r>
        <w:rPr>
          <w:rFonts w:ascii="Courier New" w:cs="Courier New" w:eastAsia="Courier New" w:hAnsi="Courier New"/>
          <w:sz w:val="16"/>
          <w:szCs w:val="16"/>
          <w:color w:val="auto"/>
        </w:rPr>
        <w:t>------ ------ Investment</w:t>
      </w:r>
    </w:p>
    <w:p>
      <w:pPr>
        <w:jc w:val="center"/>
        <w:ind w:right="4975"/>
        <w:spacing w:after="0"/>
        <w:rPr>
          <w:sz w:val="20"/>
          <w:szCs w:val="20"/>
          <w:color w:val="auto"/>
        </w:rPr>
      </w:pPr>
      <w:r>
        <w:rPr>
          <w:rFonts w:ascii="Courier New" w:cs="Courier New" w:eastAsia="Courier New" w:hAnsi="Courier New"/>
          <w:sz w:val="16"/>
          <w:szCs w:val="16"/>
          <w:color w:val="auto"/>
        </w:rPr>
        <w:t>income.................................... $1,061.7</w:t>
      </w:r>
    </w:p>
    <w:p>
      <w:pPr>
        <w:jc w:val="center"/>
        <w:ind w:right="4975"/>
        <w:spacing w:after="0" w:line="237" w:lineRule="auto"/>
        <w:rPr>
          <w:sz w:val="20"/>
          <w:szCs w:val="20"/>
          <w:color w:val="auto"/>
        </w:rPr>
      </w:pPr>
      <w:r>
        <w:rPr>
          <w:rFonts w:ascii="Courier New" w:cs="Courier New" w:eastAsia="Courier New" w:hAnsi="Courier New"/>
          <w:sz w:val="16"/>
          <w:szCs w:val="16"/>
          <w:color w:val="auto"/>
        </w:rPr>
        <w:t>$983.9 $629.5 ======== ====== ======</w:t>
      </w:r>
    </w:p>
    <w:p>
      <w:pPr>
        <w:spacing w:after="0" w:line="36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investment impairment loss for the year ended December 31, 2001 relates</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w w:val="98"/>
              </w:rPr>
              <w:t>principally to an other than</w:t>
            </w:r>
          </w:p>
        </w:tc>
        <w:tc>
          <w:tcPr>
            <w:tcW w:w="47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temporary decline in the Company's investment in</w:t>
            </w:r>
          </w:p>
        </w:tc>
      </w:tr>
      <w:tr>
        <w:trPr>
          <w:trHeight w:val="180"/>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w w:val="98"/>
              </w:rPr>
              <w:t>AT&amp;T, a portion of which was</w:t>
            </w:r>
          </w:p>
        </w:tc>
        <w:tc>
          <w:tcPr>
            <w:tcW w:w="4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exchanged on April 30, 2001 (see Note 5 --</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AT&amp;T</w:t>
            </w:r>
          </w:p>
        </w:tc>
      </w:tr>
      <w:tr>
        <w:trPr>
          <w:trHeight w:val="180"/>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Cable Systems Acquisition).</w:t>
            </w:r>
          </w:p>
        </w:tc>
        <w:tc>
          <w:tcPr>
            <w:tcW w:w="2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61"/>
        </w:trPr>
        <w:tc>
          <w:tcPr>
            <w:tcW w:w="1920" w:type="dxa"/>
            <w:vAlign w:val="bottom"/>
          </w:tcPr>
          <w:p>
            <w:pPr>
              <w:ind w:left="460"/>
              <w:spacing w:after="0"/>
              <w:rPr>
                <w:sz w:val="20"/>
                <w:szCs w:val="20"/>
                <w:color w:val="auto"/>
              </w:rPr>
            </w:pPr>
            <w:r>
              <w:rPr>
                <w:rFonts w:ascii="Courier New" w:cs="Courier New" w:eastAsia="Courier New" w:hAnsi="Courier New"/>
                <w:sz w:val="16"/>
                <w:szCs w:val="16"/>
                <w:color w:val="auto"/>
                <w:w w:val="99"/>
              </w:rPr>
              <w:t>During the year</w:t>
            </w:r>
          </w:p>
        </w:tc>
        <w:tc>
          <w:tcPr>
            <w:tcW w:w="47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ended December 31, 2001, the Company wrote-off its</w:t>
            </w:r>
          </w:p>
        </w:tc>
        <w:tc>
          <w:tcPr>
            <w:tcW w:w="700" w:type="dxa"/>
            <w:vAlign w:val="bottom"/>
          </w:tcPr>
          <w:p>
            <w:pPr>
              <w:spacing w:after="0"/>
              <w:rPr>
                <w:sz w:val="24"/>
                <w:szCs w:val="24"/>
                <w:color w:val="auto"/>
              </w:rPr>
            </w:pPr>
          </w:p>
        </w:tc>
      </w:tr>
      <w:tr>
        <w:trPr>
          <w:trHeight w:val="180"/>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w w:val="98"/>
              </w:rPr>
              <w:t>investment in At Home common</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w w:val="98"/>
              </w:rPr>
              <w:t>stock based upon a decline</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 the investment that</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was considered other</w:t>
            </w:r>
          </w:p>
        </w:tc>
        <w:tc>
          <w:tcPr>
            <w:tcW w:w="32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than temporary. In connection with</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the realization of this</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impairment loss, the</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w w:val="98"/>
              </w:rPr>
              <w:t>reclassified to investment</w:t>
            </w: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income the accumulated</w:t>
            </w:r>
          </w:p>
        </w:tc>
      </w:tr>
    </w:tbl>
    <w:p>
      <w:pPr>
        <w:spacing w:after="0" w:line="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unrealized gain of $237.9 million on the Company's investment in At Home common stock which was previously recorded as a component of accumulated other comprehensive income. The Company recorded this accumulated unrealized gain prior to the Company's designation of its right under the Share Exchange Agreement as a hedge of the Company's investment in the At Home common stock (see Note 5 -- Other Income).</w:t>
      </w:r>
    </w:p>
    <w:p>
      <w:pPr>
        <w:spacing w:after="0" w:line="189"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Company reclassified its investment in Sprint PCS from an available for sale security to a trading security in connection with the adoption of SFAS No.</w:t>
      </w:r>
    </w:p>
    <w:p>
      <w:pPr>
        <w:spacing w:after="0" w:line="1" w:lineRule="exact"/>
        <w:rPr>
          <w:sz w:val="20"/>
          <w:szCs w:val="20"/>
          <w:color w:val="auto"/>
        </w:rPr>
      </w:pPr>
    </w:p>
    <w:p>
      <w:pPr>
        <w:ind w:left="4" w:right="2819" w:hanging="4"/>
        <w:spacing w:after="0" w:line="237" w:lineRule="auto"/>
        <w:tabs>
          <w:tab w:leader="none" w:pos="473"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the Company reclassified to investment income the accumulated unrealized gain of $1.092 billion on the Company's investment in Sprint PCS which was previously recorded as a component of accumulated other comprehensive income.</w:t>
      </w:r>
    </w:p>
    <w:p>
      <w:pPr>
        <w:spacing w:after="0" w:line="18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EQUITY PRICE RISK</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During 1999, the Company entered into Equity Collars covering $1.365 billion notional amount of the Company's Sprint PCS common stock, which are accounted for at fair value. The Equity Collars limit the Company's exposure to and benefits from price fluctuations in the underlying Sprint PCS common stock. During 2001, $483.7 million notional amount of Equity Collars matured and the Company sold or entered into Prepaid Forward Sales of the related Sprint PCS common stock. The remaining $881.0 million notional amount of Equity Collars mature between 2002 and 2003. As the Company had accounted for the Equity Collars as a hedge, changes in the value of the Equity Collars were substantially offset by changes in the value of the Sprint PCS common stock which was also marked-to-market through accumulated other comprehensive income in the Company's consolidated balance sheet through December 31, 2000.</w:t>
      </w:r>
    </w:p>
    <w:p>
      <w:pPr>
        <w:spacing w:after="0" w:line="18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F-110</w:t>
      </w:r>
    </w:p>
    <w:p>
      <w:pPr>
        <w:sectPr>
          <w:pgSz w:w="11900" w:h="16838" w:orient="portrait"/>
          <w:cols w:equalWidth="0" w:num="1">
            <w:col w:w="10223"/>
          </w:cols>
          <w:pgMar w:left="236" w:top="474" w:right="1440" w:bottom="1440" w:gutter="0" w:footer="0" w:header="0"/>
        </w:sectPr>
      </w:pPr>
    </w:p>
    <w:bookmarkStart w:id="300" w:name="page301"/>
    <w:bookmarkEnd w:id="300"/>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EQUITY METHOD</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Company records its proportionate interests in the net income (loss) of certain of its equity method investees in arrears. The Company's recorded investments exceed its proportionate interests in the book value of the investees' net assets by $188.7 million as of December 31, 2001 (principally related to the Company's investment in Susquehanna Cable). Such excess is being amortized to equity in net income or loss, over a period of twenty years, which is consistent with the estimated lives of the underlying assets. The original cost of investments accounted for under the equity method totaled $479.8 million and $506.5 million as of December 31, 2001 and 2000, respectively. Upon adoption of SFAS No. 142, the Company will no longer amortize this excess but rather will continue to test such excess for impairment in accordance with APB Opinion 18, "The Equity Method of Accounting for Investments in Common Stock."</w:t>
      </w:r>
    </w:p>
    <w:p>
      <w:pPr>
        <w:spacing w:after="0" w:line="178"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8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COST METHOD</w:t>
      </w:r>
    </w:p>
    <w:p>
      <w:pPr>
        <w:spacing w:after="0" w:line="18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It is not practicable to estimate the fair value of the Company's investments in privately held companies, accounted for under the cost method, due to a lack of quoted market prices.</w:t>
      </w:r>
    </w:p>
    <w:p>
      <w:pPr>
        <w:spacing w:after="0" w:line="180" w:lineRule="exact"/>
        <w:rPr>
          <w:sz w:val="20"/>
          <w:szCs w:val="20"/>
          <w:color w:val="auto"/>
        </w:rPr>
      </w:pPr>
    </w:p>
    <w:p>
      <w:pPr>
        <w:ind w:left="384" w:hanging="384"/>
        <w:spacing w:after="0"/>
        <w:tabs>
          <w:tab w:leader="none" w:pos="384"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DECEMBER 31, --------------------- 2001 2000 ---</w:t>
      </w:r>
    </w:p>
    <w:p>
      <w:pPr>
        <w:ind w:left="384"/>
        <w:spacing w:after="0"/>
        <w:rPr>
          <w:sz w:val="20"/>
          <w:szCs w:val="20"/>
          <w:color w:val="auto"/>
        </w:rPr>
      </w:pPr>
      <w:r>
        <w:rPr>
          <w:rFonts w:ascii="Courier New" w:cs="Courier New" w:eastAsia="Courier New" w:hAnsi="Courier New"/>
          <w:sz w:val="16"/>
          <w:szCs w:val="16"/>
          <w:color w:val="auto"/>
        </w:rPr>
        <w:t>------ --------- (IN MILLIONS) Commercial</w:t>
      </w:r>
    </w:p>
    <w:p>
      <w:pPr>
        <w:ind w:left="4"/>
        <w:spacing w:after="0" w:line="237" w:lineRule="auto"/>
        <w:rPr>
          <w:sz w:val="20"/>
          <w:szCs w:val="20"/>
          <w:color w:val="auto"/>
        </w:rPr>
      </w:pPr>
      <w:r>
        <w:rPr>
          <w:rFonts w:ascii="Courier New" w:cs="Courier New" w:eastAsia="Courier New" w:hAnsi="Courier New"/>
          <w:sz w:val="16"/>
          <w:szCs w:val="16"/>
          <w:color w:val="auto"/>
        </w:rPr>
        <w:t>Paper............................................</w:t>
      </w:r>
    </w:p>
    <w:p>
      <w:pPr>
        <w:ind w:left="84"/>
        <w:spacing w:after="0"/>
        <w:rPr>
          <w:sz w:val="20"/>
          <w:szCs w:val="20"/>
          <w:color w:val="auto"/>
        </w:rPr>
      </w:pPr>
      <w:r>
        <w:rPr>
          <w:rFonts w:ascii="Courier New" w:cs="Courier New" w:eastAsia="Courier New" w:hAnsi="Courier New"/>
          <w:sz w:val="16"/>
          <w:szCs w:val="16"/>
          <w:color w:val="auto"/>
        </w:rPr>
        <w:t>$ 397.3 $ 1,323.5 Notes payable to banks due in</w:t>
      </w:r>
    </w:p>
    <w:tbl>
      <w:tblPr>
        <w:tblLayout w:type="fixed"/>
        <w:tblInd w:w="44" w:type="dxa"/>
        <w:tblCellMar>
          <w:top w:w="0" w:type="dxa"/>
          <w:left w:w="0" w:type="dxa"/>
          <w:bottom w:w="0" w:type="dxa"/>
          <w:right w:w="0" w:type="dxa"/>
        </w:tblCellMar>
      </w:tblPr>
      <w:tr>
        <w:trPr>
          <w:trHeight w:val="180"/>
        </w:trPr>
        <w:tc>
          <w:tcPr>
            <w:tcW w:w="2340" w:type="dxa"/>
            <w:vAlign w:val="bottom"/>
            <w:gridSpan w:val="2"/>
          </w:tcPr>
          <w:p>
            <w:pPr>
              <w:jc w:val="right"/>
              <w:spacing w:after="0" w:line="180" w:lineRule="exact"/>
              <w:rPr>
                <w:sz w:val="20"/>
                <w:szCs w:val="20"/>
                <w:color w:val="auto"/>
              </w:rPr>
            </w:pPr>
            <w:r>
              <w:rPr>
                <w:rFonts w:ascii="Courier New" w:cs="Courier New" w:eastAsia="Courier New" w:hAnsi="Courier New"/>
                <w:sz w:val="16"/>
                <w:szCs w:val="16"/>
                <w:color w:val="auto"/>
                <w:w w:val="96"/>
              </w:rPr>
              <w:t>installments through 2009</w:t>
            </w:r>
          </w:p>
        </w:tc>
        <w:tc>
          <w:tcPr>
            <w:tcW w:w="2160" w:type="dxa"/>
            <w:vAlign w:val="bottom"/>
            <w:gridSpan w:val="5"/>
          </w:tcPr>
          <w:p>
            <w:pPr>
              <w:jc w:val="right"/>
              <w:spacing w:after="0" w:line="180" w:lineRule="exact"/>
              <w:rPr>
                <w:sz w:val="20"/>
                <w:szCs w:val="20"/>
                <w:color w:val="auto"/>
              </w:rPr>
            </w:pPr>
            <w:r>
              <w:rPr>
                <w:rFonts w:ascii="Courier New" w:cs="Courier New" w:eastAsia="Courier New" w:hAnsi="Courier New"/>
                <w:sz w:val="16"/>
                <w:szCs w:val="16"/>
                <w:color w:val="auto"/>
                <w:w w:val="96"/>
              </w:rPr>
              <w:t>..... 1,222.7 1,751.4 9</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7"/>
              </w:rPr>
              <w:t>5/8%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2002...............................</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200.0</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200.0</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8 1/8%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2004...............................</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320.4</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299.9</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8 3/8%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2005...............................</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697.0</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696.3</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6 3/8%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2006...............................</w:t>
            </w:r>
          </w:p>
        </w:tc>
        <w:tc>
          <w:tcPr>
            <w:tcW w:w="74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511.3</w:t>
            </w:r>
          </w:p>
        </w:tc>
        <w:tc>
          <w:tcPr>
            <w:tcW w:w="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8</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0"/>
        </w:trPr>
        <w:tc>
          <w:tcPr>
            <w:tcW w:w="3080" w:type="dxa"/>
            <w:vAlign w:val="bottom"/>
            <w:gridSpan w:val="3"/>
          </w:tcPr>
          <w:p>
            <w:pPr>
              <w:jc w:val="center"/>
              <w:ind w:left="1364"/>
              <w:spacing w:after="0"/>
              <w:rPr>
                <w:sz w:val="20"/>
                <w:szCs w:val="20"/>
                <w:color w:val="auto"/>
              </w:rPr>
            </w:pPr>
            <w:r>
              <w:rPr>
                <w:rFonts w:ascii="Courier New" w:cs="Courier New" w:eastAsia="Courier New" w:hAnsi="Courier New"/>
                <w:sz w:val="16"/>
                <w:szCs w:val="16"/>
                <w:color w:val="auto"/>
                <w:w w:val="98"/>
              </w:rPr>
              <w:t>Senior notes, due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2007...............................</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597.5</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597.2</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8 7/8%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2007...............................</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249.1</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249.0</w:t>
            </w:r>
          </w:p>
        </w:tc>
      </w:tr>
      <w:tr>
        <w:trPr>
          <w:trHeight w:val="180"/>
        </w:trPr>
        <w:tc>
          <w:tcPr>
            <w:tcW w:w="3940" w:type="dxa"/>
            <w:vAlign w:val="bottom"/>
            <w:gridSpan w:val="4"/>
          </w:tcPr>
          <w:p>
            <w:pPr>
              <w:jc w:val="center"/>
              <w:ind w:left="504"/>
              <w:spacing w:after="0"/>
              <w:rPr>
                <w:sz w:val="20"/>
                <w:szCs w:val="20"/>
                <w:color w:val="auto"/>
              </w:rPr>
            </w:pPr>
            <w:r>
              <w:rPr>
                <w:rFonts w:ascii="Courier New" w:cs="Courier New" w:eastAsia="Courier New" w:hAnsi="Courier New"/>
                <w:sz w:val="16"/>
                <w:szCs w:val="16"/>
                <w:color w:val="auto"/>
                <w:w w:val="97"/>
              </w:rPr>
              <w:t>6.20%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2008................................</w:t>
            </w:r>
          </w:p>
        </w:tc>
        <w:tc>
          <w:tcPr>
            <w:tcW w:w="7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798.4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798.2</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7 5/8%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2008...............................</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206.1</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197.1</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7 5/8%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2008...............................</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147.7</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147.4</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6 7/8%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2009...............................</w:t>
            </w:r>
          </w:p>
        </w:tc>
        <w:tc>
          <w:tcPr>
            <w:tcW w:w="74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751.5</w:t>
            </w:r>
          </w:p>
        </w:tc>
        <w:tc>
          <w:tcPr>
            <w:tcW w:w="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6</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0"/>
        </w:trPr>
        <w:tc>
          <w:tcPr>
            <w:tcW w:w="3080" w:type="dxa"/>
            <w:vAlign w:val="bottom"/>
            <w:gridSpan w:val="3"/>
          </w:tcPr>
          <w:p>
            <w:pPr>
              <w:jc w:val="center"/>
              <w:ind w:left="1364"/>
              <w:spacing w:after="0"/>
              <w:rPr>
                <w:sz w:val="20"/>
                <w:szCs w:val="20"/>
                <w:color w:val="auto"/>
              </w:rPr>
            </w:pPr>
            <w:r>
              <w:rPr>
                <w:rFonts w:ascii="Courier New" w:cs="Courier New" w:eastAsia="Courier New" w:hAnsi="Courier New"/>
                <w:sz w:val="16"/>
                <w:szCs w:val="16"/>
                <w:color w:val="auto"/>
                <w:w w:val="98"/>
              </w:rPr>
              <w:t>Senior notes, due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2011...............................</w:t>
            </w:r>
          </w:p>
        </w:tc>
        <w:tc>
          <w:tcPr>
            <w:tcW w:w="74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993.1</w:t>
            </w:r>
          </w:p>
        </w:tc>
        <w:tc>
          <w:tcPr>
            <w:tcW w:w="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7</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3080" w:type="dxa"/>
            <w:vAlign w:val="bottom"/>
            <w:gridSpan w:val="3"/>
          </w:tcPr>
          <w:p>
            <w:pPr>
              <w:jc w:val="center"/>
              <w:ind w:left="1364"/>
              <w:spacing w:after="0"/>
              <w:rPr>
                <w:sz w:val="20"/>
                <w:szCs w:val="20"/>
                <w:color w:val="auto"/>
              </w:rPr>
            </w:pPr>
            <w:r>
              <w:rPr>
                <w:rFonts w:ascii="Courier New" w:cs="Courier New" w:eastAsia="Courier New" w:hAnsi="Courier New"/>
                <w:sz w:val="16"/>
                <w:szCs w:val="16"/>
                <w:color w:val="auto"/>
                <w:w w:val="98"/>
              </w:rPr>
              <w:t>Senior notes, due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2013...............................</w:t>
            </w:r>
          </w:p>
        </w:tc>
        <w:tc>
          <w:tcPr>
            <w:tcW w:w="74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748.4</w:t>
            </w:r>
          </w:p>
        </w:tc>
        <w:tc>
          <w:tcPr>
            <w:tcW w:w="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8</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80"/>
        </w:trPr>
        <w:tc>
          <w:tcPr>
            <w:tcW w:w="3080" w:type="dxa"/>
            <w:vAlign w:val="bottom"/>
            <w:gridSpan w:val="3"/>
          </w:tcPr>
          <w:p>
            <w:pPr>
              <w:jc w:val="center"/>
              <w:ind w:left="1364"/>
              <w:spacing w:after="0"/>
              <w:rPr>
                <w:sz w:val="20"/>
                <w:szCs w:val="20"/>
                <w:color w:val="auto"/>
              </w:rPr>
            </w:pPr>
            <w:r>
              <w:rPr>
                <w:rFonts w:ascii="Courier New" w:cs="Courier New" w:eastAsia="Courier New" w:hAnsi="Courier New"/>
                <w:sz w:val="16"/>
                <w:szCs w:val="16"/>
                <w:color w:val="auto"/>
                <w:w w:val="98"/>
              </w:rPr>
              <w:t>Senior notes, due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2017...............................</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545.9</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545.8</w:t>
            </w:r>
          </w:p>
        </w:tc>
      </w:tr>
      <w:tr>
        <w:trPr>
          <w:trHeight w:val="180"/>
        </w:trPr>
        <w:tc>
          <w:tcPr>
            <w:tcW w:w="3940" w:type="dxa"/>
            <w:vAlign w:val="bottom"/>
            <w:gridSpan w:val="4"/>
          </w:tcPr>
          <w:p>
            <w:pPr>
              <w:jc w:val="center"/>
              <w:ind w:left="484"/>
              <w:spacing w:after="0"/>
              <w:rPr>
                <w:sz w:val="20"/>
                <w:szCs w:val="20"/>
                <w:color w:val="auto"/>
              </w:rPr>
            </w:pPr>
            <w:r>
              <w:rPr>
                <w:rFonts w:ascii="Courier New" w:cs="Courier New" w:eastAsia="Courier New" w:hAnsi="Courier New"/>
                <w:sz w:val="16"/>
                <w:szCs w:val="16"/>
                <w:color w:val="auto"/>
                <w:w w:val="98"/>
              </w:rPr>
              <w:t>8 1/2% Senior notes, due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2027...............................</w:t>
            </w:r>
          </w:p>
        </w:tc>
        <w:tc>
          <w:tcPr>
            <w:tcW w:w="740" w:type="dxa"/>
            <w:vAlign w:val="bottom"/>
          </w:tcPr>
          <w:p>
            <w:pPr>
              <w:spacing w:after="0"/>
              <w:rPr>
                <w:sz w:val="15"/>
                <w:szCs w:val="15"/>
                <w:color w:val="auto"/>
              </w:rPr>
            </w:pPr>
          </w:p>
        </w:tc>
        <w:tc>
          <w:tcPr>
            <w:tcW w:w="9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249.6</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249.6</w:t>
            </w:r>
          </w:p>
        </w:tc>
      </w:tr>
      <w:tr>
        <w:trPr>
          <w:trHeight w:val="180"/>
        </w:trPr>
        <w:tc>
          <w:tcPr>
            <w:tcW w:w="450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10 1/4% Senior subordinated debentures, due</w:t>
            </w:r>
          </w:p>
        </w:tc>
      </w:tr>
      <w:tr>
        <w:trPr>
          <w:trHeight w:val="180"/>
        </w:trPr>
        <w:tc>
          <w:tcPr>
            <w:tcW w:w="2120" w:type="dxa"/>
            <w:vAlign w:val="bottom"/>
          </w:tcPr>
          <w:p>
            <w:pPr>
              <w:jc w:val="right"/>
              <w:ind w:right="24"/>
              <w:spacing w:after="0"/>
              <w:rPr>
                <w:sz w:val="20"/>
                <w:szCs w:val="20"/>
                <w:color w:val="auto"/>
              </w:rPr>
            </w:pPr>
            <w:r>
              <w:rPr>
                <w:rFonts w:ascii="Courier New" w:cs="Courier New" w:eastAsia="Courier New" w:hAnsi="Courier New"/>
                <w:sz w:val="16"/>
                <w:szCs w:val="16"/>
                <w:color w:val="auto"/>
              </w:rPr>
              <w:t>2001............</w:t>
            </w:r>
          </w:p>
        </w:tc>
        <w:tc>
          <w:tcPr>
            <w:tcW w:w="18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5"/>
              </w:rPr>
              <w:t>100.4 10 1/2% Senior</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398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1"/>
              </w:rPr>
              <w:t>subordinated debentures, due 2006............</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4040" w:type="dxa"/>
            <w:vAlign w:val="bottom"/>
            <w:gridSpan w:val="6"/>
          </w:tcPr>
          <w:p>
            <w:pPr>
              <w:jc w:val="center"/>
              <w:ind w:left="404"/>
              <w:spacing w:after="0"/>
              <w:rPr>
                <w:sz w:val="20"/>
                <w:szCs w:val="20"/>
                <w:color w:val="auto"/>
              </w:rPr>
            </w:pPr>
            <w:r>
              <w:rPr>
                <w:rFonts w:ascii="Courier New" w:cs="Courier New" w:eastAsia="Courier New" w:hAnsi="Courier New"/>
                <w:sz w:val="16"/>
                <w:szCs w:val="16"/>
                <w:color w:val="auto"/>
                <w:w w:val="97"/>
              </w:rPr>
              <w:t>133.0 123.8 8 1/4% Senior subordinated</w:t>
            </w:r>
          </w:p>
        </w:tc>
        <w:tc>
          <w:tcPr>
            <w:tcW w:w="460" w:type="dxa"/>
            <w:vAlign w:val="bottom"/>
          </w:tcPr>
          <w:p>
            <w:pPr>
              <w:spacing w:after="0"/>
              <w:rPr>
                <w:sz w:val="15"/>
                <w:szCs w:val="15"/>
                <w:color w:val="auto"/>
              </w:rPr>
            </w:pP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debentures, due 2008.............</w:t>
            </w:r>
          </w:p>
        </w:tc>
        <w:tc>
          <w:tcPr>
            <w:tcW w:w="740" w:type="dxa"/>
            <w:vAlign w:val="bottom"/>
          </w:tcPr>
          <w:p>
            <w:pPr>
              <w:spacing w:after="0"/>
              <w:rPr>
                <w:sz w:val="15"/>
                <w:szCs w:val="15"/>
                <w:color w:val="auto"/>
              </w:rPr>
            </w:pPr>
          </w:p>
        </w:tc>
        <w:tc>
          <w:tcPr>
            <w:tcW w:w="14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154.3 149.1 10</w:t>
            </w:r>
          </w:p>
        </w:tc>
      </w:tr>
      <w:tr>
        <w:trPr>
          <w:trHeight w:val="180"/>
        </w:trPr>
        <w:tc>
          <w:tcPr>
            <w:tcW w:w="450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7"/>
              </w:rPr>
              <w:t>5/8% Senior subordinated debentures, due</w:t>
            </w:r>
          </w:p>
        </w:tc>
      </w:tr>
      <w:tr>
        <w:trPr>
          <w:trHeight w:val="180"/>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2012............</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247.8</w:t>
            </w:r>
          </w:p>
        </w:tc>
        <w:tc>
          <w:tcPr>
            <w:tcW w:w="8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257.0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541"/>
        </w:trPr>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F-111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23"/>
          </w:cols>
          <w:pgMar w:left="236" w:top="473" w:right="1440" w:bottom="1440" w:gutter="0" w:footer="0" w:header="0"/>
        </w:sectPr>
      </w:pPr>
    </w:p>
    <w:bookmarkStart w:id="301" w:name="page302"/>
    <w:bookmarkEnd w:id="301"/>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w:t>
      </w:r>
    </w:p>
    <w:p>
      <w:pPr>
        <w:ind w:left="140"/>
        <w:spacing w:after="0"/>
        <w:rPr>
          <w:sz w:val="20"/>
          <w:szCs w:val="20"/>
          <w:color w:val="auto"/>
        </w:rPr>
      </w:pPr>
      <w:r>
        <w:rPr>
          <w:rFonts w:ascii="Courier New" w:cs="Courier New" w:eastAsia="Courier New" w:hAnsi="Courier New"/>
          <w:sz w:val="16"/>
          <w:szCs w:val="16"/>
          <w:color w:val="auto"/>
        </w:rPr>
        <w:t>-------- --------- (IN MILLIONS) Zero Coupon</w:t>
      </w:r>
    </w:p>
    <w:p>
      <w:pPr>
        <w:ind w:left="940"/>
        <w:spacing w:after="0" w:line="237" w:lineRule="auto"/>
        <w:rPr>
          <w:sz w:val="20"/>
          <w:szCs w:val="20"/>
          <w:color w:val="auto"/>
        </w:rPr>
      </w:pPr>
      <w:r>
        <w:rPr>
          <w:rFonts w:ascii="Courier New" w:cs="Courier New" w:eastAsia="Courier New" w:hAnsi="Courier New"/>
          <w:sz w:val="16"/>
          <w:szCs w:val="16"/>
          <w:color w:val="auto"/>
        </w:rPr>
        <w:t>Convertible Debentures, due</w:t>
      </w:r>
    </w:p>
    <w:p>
      <w:pPr>
        <w:ind w:left="40"/>
        <w:spacing w:after="0"/>
        <w:rPr>
          <w:sz w:val="20"/>
          <w:szCs w:val="20"/>
          <w:color w:val="auto"/>
        </w:rPr>
      </w:pPr>
      <w:r>
        <w:rPr>
          <w:rFonts w:ascii="Courier New" w:cs="Courier New" w:eastAsia="Courier New" w:hAnsi="Courier New"/>
          <w:sz w:val="16"/>
          <w:szCs w:val="16"/>
          <w:color w:val="auto"/>
        </w:rPr>
        <w:t>2020................ 1,096.4 1,002.0 7% Disney</w:t>
      </w:r>
    </w:p>
    <w:p>
      <w:pPr>
        <w:ind w:left="1720"/>
        <w:spacing w:after="0" w:line="238" w:lineRule="auto"/>
        <w:rPr>
          <w:sz w:val="20"/>
          <w:szCs w:val="20"/>
          <w:color w:val="auto"/>
        </w:rPr>
      </w:pPr>
      <w:r>
        <w:rPr>
          <w:rFonts w:ascii="Courier New" w:cs="Courier New" w:eastAsia="Courier New" w:hAnsi="Courier New"/>
          <w:sz w:val="16"/>
          <w:szCs w:val="16"/>
          <w:color w:val="auto"/>
        </w:rPr>
        <w:t>Notes, due</w:t>
      </w:r>
    </w:p>
    <w:p>
      <w:pPr>
        <w:ind w:left="80"/>
        <w:spacing w:after="0"/>
        <w:rPr>
          <w:sz w:val="20"/>
          <w:szCs w:val="20"/>
          <w:color w:val="auto"/>
        </w:rPr>
      </w:pPr>
      <w:r>
        <w:rPr>
          <w:rFonts w:ascii="Courier New" w:cs="Courier New" w:eastAsia="Courier New" w:hAnsi="Courier New"/>
          <w:sz w:val="16"/>
          <w:szCs w:val="16"/>
          <w:color w:val="auto"/>
        </w:rPr>
        <w:t>2007................................... 132.8</w:t>
      </w:r>
    </w:p>
    <w:p>
      <w:pPr>
        <w:ind w:left="500"/>
        <w:spacing w:after="0" w:line="238" w:lineRule="auto"/>
        <w:rPr>
          <w:sz w:val="20"/>
          <w:szCs w:val="20"/>
          <w:color w:val="auto"/>
        </w:rPr>
      </w:pPr>
      <w:r>
        <w:rPr>
          <w:rFonts w:ascii="Courier New" w:cs="Courier New" w:eastAsia="Courier New" w:hAnsi="Courier New"/>
          <w:sz w:val="16"/>
          <w:szCs w:val="16"/>
          <w:color w:val="auto"/>
        </w:rPr>
        <w:t>132.8 ZONES at principal amount, due</w:t>
      </w:r>
    </w:p>
    <w:p>
      <w:pPr>
        <w:ind w:left="80"/>
        <w:spacing w:after="0"/>
        <w:rPr>
          <w:sz w:val="20"/>
          <w:szCs w:val="20"/>
          <w:color w:val="auto"/>
        </w:rPr>
      </w:pPr>
      <w:r>
        <w:rPr>
          <w:rFonts w:ascii="Courier New" w:cs="Courier New" w:eastAsia="Courier New" w:hAnsi="Courier New"/>
          <w:sz w:val="16"/>
          <w:szCs w:val="16"/>
          <w:color w:val="auto"/>
        </w:rPr>
        <w:t>2029......................... 1,612.6 1,806.8</w:t>
      </w:r>
    </w:p>
    <w:p>
      <w:pPr>
        <w:ind w:left="780"/>
        <w:spacing w:after="0" w:line="237" w:lineRule="auto"/>
        <w:rPr>
          <w:sz w:val="20"/>
          <w:szCs w:val="20"/>
          <w:color w:val="auto"/>
        </w:rPr>
      </w:pPr>
      <w:r>
        <w:rPr>
          <w:rFonts w:ascii="Courier New" w:cs="Courier New" w:eastAsia="Courier New" w:hAnsi="Courier New"/>
          <w:sz w:val="16"/>
          <w:szCs w:val="16"/>
          <w:color w:val="auto"/>
        </w:rPr>
        <w:t>Other, including capital lease</w:t>
      </w:r>
    </w:p>
    <w:p>
      <w:pPr>
        <w:ind w:left="40"/>
        <w:spacing w:after="0"/>
        <w:rPr>
          <w:sz w:val="20"/>
          <w:szCs w:val="20"/>
          <w:color w:val="auto"/>
        </w:rPr>
      </w:pPr>
      <w:r>
        <w:rPr>
          <w:rFonts w:ascii="Courier New" w:cs="Courier New" w:eastAsia="Courier New" w:hAnsi="Courier New"/>
          <w:sz w:val="16"/>
          <w:szCs w:val="16"/>
          <w:color w:val="auto"/>
        </w:rPr>
        <w:t>obligations.................. 188.9 184.0 ----</w:t>
      </w:r>
    </w:p>
    <w:p>
      <w:pPr>
        <w:ind w:left="40"/>
        <w:spacing w:after="0" w:line="238" w:lineRule="auto"/>
        <w:rPr>
          <w:sz w:val="20"/>
          <w:szCs w:val="20"/>
          <w:color w:val="auto"/>
        </w:rPr>
      </w:pPr>
      <w:r>
        <w:rPr>
          <w:rFonts w:ascii="Courier New" w:cs="Courier New" w:eastAsia="Courier New" w:hAnsi="Courier New"/>
          <w:sz w:val="16"/>
          <w:szCs w:val="16"/>
          <w:color w:val="auto"/>
        </w:rPr>
        <w:t>----- --------- 12,201.8 10,811.3 Less current</w:t>
      </w:r>
    </w:p>
    <w:p>
      <w:pPr>
        <w:spacing w:after="0"/>
        <w:rPr>
          <w:sz w:val="20"/>
          <w:szCs w:val="20"/>
          <w:color w:val="auto"/>
        </w:rPr>
      </w:pPr>
      <w:r>
        <w:rPr>
          <w:rFonts w:ascii="Courier New" w:cs="Courier New" w:eastAsia="Courier New" w:hAnsi="Courier New"/>
          <w:sz w:val="16"/>
          <w:szCs w:val="16"/>
          <w:color w:val="auto"/>
        </w:rPr>
        <w:t>portion........................................</w:t>
      </w:r>
    </w:p>
    <w:p>
      <w:pPr>
        <w:ind w:left="280"/>
        <w:spacing w:after="0" w:line="238" w:lineRule="auto"/>
        <w:rPr>
          <w:sz w:val="20"/>
          <w:szCs w:val="20"/>
          <w:color w:val="auto"/>
        </w:rPr>
      </w:pPr>
      <w:r>
        <w:rPr>
          <w:rFonts w:ascii="Courier New" w:cs="Courier New" w:eastAsia="Courier New" w:hAnsi="Courier New"/>
          <w:sz w:val="16"/>
          <w:szCs w:val="16"/>
          <w:color w:val="auto"/>
        </w:rPr>
        <w:t>460.2 293.9 --------- --------- $11,741.6</w:t>
      </w:r>
    </w:p>
    <w:p>
      <w:pPr>
        <w:ind w:left="840"/>
        <w:spacing w:after="0"/>
        <w:rPr>
          <w:sz w:val="20"/>
          <w:szCs w:val="20"/>
          <w:color w:val="auto"/>
        </w:rPr>
      </w:pPr>
      <w:r>
        <w:rPr>
          <w:rFonts w:ascii="Courier New" w:cs="Courier New" w:eastAsia="Courier New" w:hAnsi="Courier New"/>
          <w:sz w:val="16"/>
          <w:szCs w:val="16"/>
          <w:color w:val="auto"/>
        </w:rPr>
        <w:t>$10,517.4 ========= =========</w:t>
      </w:r>
    </w:p>
    <w:p>
      <w:pPr>
        <w:spacing w:after="0" w:line="364"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Maturities of long-term debt outstanding as of December 31, 2001 for the four years after 2002 are as follows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2003.......................................................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73.2</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2004.......................................................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331.0</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2005.......................................................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2,026.2</w:t>
            </w:r>
          </w:p>
        </w:tc>
      </w:tr>
      <w:tr>
        <w:trPr>
          <w:trHeight w:val="180"/>
        </w:trPr>
        <w:tc>
          <w:tcPr>
            <w:tcW w:w="56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2006.......................................................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653.2</w:t>
            </w:r>
          </w:p>
        </w:tc>
      </w:tr>
    </w:tbl>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SENIOR NOTES OFFERINGS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During 2001, Comcast Cable sold an aggregate of $3.0 billion of public debt. The Company used substantially all of the net proceeds from the offerings to repay a portion of the amounts outstanding under Comcast Cable's commercial paper program and revolving credit facility, and to fund acquisitions.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ZERO COUPON CONVERTIBLE DEBENTURES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December 2000, the Company issued $1.285 billion principal amount at maturity of Zero Coupon Debentures for proceeds of $1.002 billion. In January 2001, the Company issued an additional $192.8 million principal amount at maturity of Zero Coupon Debentures for proceeds of $150.3 million. The Company used substantially all of the net proceeds from the offering to repay a portion of the amounts outstanding under Comcast Cable's commercial paper program and revolving credit facility.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85" w:lineRule="exact"/>
        <w:rPr>
          <w:sz w:val="20"/>
          <w:szCs w:val="20"/>
          <w:color w:val="auto"/>
        </w:rPr>
      </w:pPr>
    </w:p>
    <w:p>
      <w:pPr>
        <w:ind w:right="3179" w:firstLine="469"/>
        <w:spacing w:after="0" w:line="259" w:lineRule="auto"/>
        <w:rPr>
          <w:sz w:val="20"/>
          <w:szCs w:val="20"/>
          <w:color w:val="auto"/>
        </w:rPr>
      </w:pPr>
      <w:r>
        <w:rPr>
          <w:rFonts w:ascii="Courier New" w:cs="Courier New" w:eastAsia="Courier New" w:hAnsi="Courier New"/>
          <w:sz w:val="15"/>
          <w:szCs w:val="15"/>
          <w:color w:val="auto"/>
        </w:rPr>
        <w:t>On December 17, 2001, the Company amended the terms of the Zero Coupon Debentures to permit holders of the Zero Coupon Debentures to require the Company to repurchase the Zero Coupon Debentures on December 19, 2002.</w:t>
      </w:r>
    </w:p>
    <w:p>
      <w:pPr>
        <w:spacing w:after="0" w:line="17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may require the Company to repurchase the Zero Coupon Debentures on December 19, 2001, 2002, 2003, 2005, 2010 and 2015. The Company may choose to pay the repurchase price for 2001, 2002, 2003 and 2005 repurchases in cash or shares of its Class A Special Common Stock or a combination of cash and shares of its Class A Special Common Stock. The Company may pay the repurchase price for the 2010 and 2015 repurchases in cash only.</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F-112</w:t>
      </w:r>
    </w:p>
    <w:p>
      <w:pPr>
        <w:sectPr>
          <w:pgSz w:w="11900" w:h="16838" w:orient="portrait"/>
          <w:cols w:equalWidth="0" w:num="1">
            <w:col w:w="10219"/>
          </w:cols>
          <w:pgMar w:left="240" w:top="473" w:right="1440" w:bottom="1440" w:gutter="0" w:footer="0" w:header="0"/>
        </w:sectPr>
      </w:pPr>
    </w:p>
    <w:bookmarkStart w:id="302" w:name="page303"/>
    <w:bookmarkEnd w:id="302"/>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On December 19, 2001, holders of an aggregate of $70.3 million accreted value of Zero Coupon Debentures exercised their right to have the Company repurchase their Zero Coupon Debentures for cash. The Company financed the redemption with available cash.</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w:t>
      </w:r>
    </w:p>
    <w:p>
      <w:pPr>
        <w:spacing w:after="0" w:line="186" w:lineRule="exact"/>
        <w:rPr>
          <w:sz w:val="20"/>
          <w:szCs w:val="20"/>
          <w:color w:val="auto"/>
        </w:rPr>
      </w:pPr>
    </w:p>
    <w:p>
      <w:pPr>
        <w:ind w:left="4" w:right="2999" w:firstLine="469"/>
        <w:spacing w:after="0" w:line="256" w:lineRule="auto"/>
        <w:rPr>
          <w:sz w:val="20"/>
          <w:szCs w:val="20"/>
          <w:color w:val="auto"/>
        </w:rPr>
      </w:pPr>
      <w:r>
        <w:rPr>
          <w:rFonts w:ascii="Courier New" w:cs="Courier New" w:eastAsia="Courier New" w:hAnsi="Courier New"/>
          <w:sz w:val="15"/>
          <w:szCs w:val="15"/>
          <w:color w:val="auto"/>
        </w:rPr>
        <w:t>Amounts outstanding under the Zero Coupon Debentures are classified as long-term in the Company's consolidated balance sheet as of December 31, 2001 and 2000 as the Company has both the ability and the intent to refinance the Zero Coupon Debentures on a long-term basis with amounts available under the Comcast Cable Revolver (see "Commercial Paper" below) in the event holders of the Zero Coupon Debentures exercise their rights to require the Company to repurchase the Zero Coupon Debentures in December 2002.</w:t>
      </w:r>
    </w:p>
    <w:p>
      <w:pPr>
        <w:spacing w:after="0" w:line="16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COMMERCIAL PAPER</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senior bank credit facility consists of a $2.25 billion, five-year revolving credit facility and a $2.25 billion, 364-day revolving credit facility (together, the "Comcast Cable Revolver"). The 364-day revolving credit facility supports Comcast Cable's commercial paper program. Amounts outstanding under the commercial paper program are classified as long-term in the Company's consolidated balance sheet as of December 31, 2001 and 2000 as the Company has both the ability and the intent to refinance these obligations, if necessary, on a long-term basis with amounts available under the Comcast Cable Revolver.</w:t>
      </w:r>
    </w:p>
    <w:p>
      <w:pPr>
        <w:spacing w:after="0" w:line="181"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ZONES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Stock. Prior to maturity, each ZONES is exchangeable at the holder's option for an amount of cash equal to 95% of the market value of Sprint PCS Stock.</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Prior to the adoption of SFAS No. 133 on January 1, 2001, the Company accounted for the ZONES as an indexed debt instrument since the maturity value is dependent upon the fair value of Sprint PCS Stock. Therefore, the carrying value of the ZONES was adjusted each balance sheet date to reflect the fair value of the underlying Sprint PCS Stock with the change included in income (expense) related to indexed debt in the Company's consolidated statement of operations. As of December 31, 2001, the number of Sprint PCS shares held by the Company exceeded the number of ZONES outstanding.</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Upon adoption of SFAS No. 133, the Company split the ZONES into their derivative and debt components. In connection with the adoption of SFAS No. 133, the Company recorded the debt component of the ZONES at a discount from its value at maturity resulting in a reduction in the outstanding balance of the ZONES of $400.2 million (see Note 3).</w:t>
      </w:r>
    </w:p>
    <w:p>
      <w:pPr>
        <w:spacing w:after="0" w:line="187"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Company recorded the increase in the fair value of the ZONES (see Note</w:t>
      </w:r>
    </w:p>
    <w:p>
      <w:pPr>
        <w:spacing w:after="0" w:line="10" w:lineRule="exact"/>
        <w:rPr>
          <w:sz w:val="20"/>
          <w:szCs w:val="20"/>
          <w:color w:val="auto"/>
        </w:rPr>
      </w:pPr>
    </w:p>
    <w:p>
      <w:pPr>
        <w:ind w:left="4" w:right="2819" w:hanging="4"/>
        <w:spacing w:after="0" w:line="236" w:lineRule="auto"/>
        <w:tabs>
          <w:tab w:leader="none" w:pos="285"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the increase in the carrying value of the debt component of the ZONES as follows (in millions):</w:t>
      </w:r>
    </w:p>
    <w:p>
      <w:pPr>
        <w:spacing w:after="0" w:line="180"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YEAR ENDED DECEMBER</w:t>
      </w:r>
    </w:p>
    <w:p>
      <w:pPr>
        <w:ind w:left="44"/>
        <w:spacing w:after="0"/>
        <w:rPr>
          <w:sz w:val="20"/>
          <w:szCs w:val="20"/>
          <w:color w:val="auto"/>
        </w:rPr>
      </w:pPr>
      <w:r>
        <w:rPr>
          <w:rFonts w:ascii="Courier New" w:cs="Courier New" w:eastAsia="Courier New" w:hAnsi="Courier New"/>
          <w:sz w:val="16"/>
          <w:szCs w:val="16"/>
          <w:color w:val="auto"/>
        </w:rPr>
        <w:t>31, 2001 -----------</w:t>
      </w:r>
    </w:p>
    <w:p>
      <w:pPr>
        <w:spacing w:after="0" w:line="3" w:lineRule="exact"/>
        <w:rPr>
          <w:sz w:val="20"/>
          <w:szCs w:val="20"/>
          <w:color w:val="auto"/>
        </w:rPr>
      </w:pPr>
    </w:p>
    <w:p>
      <w:pPr>
        <w:ind w:left="44" w:right="8299" w:firstLine="327"/>
        <w:spacing w:after="0" w:line="254" w:lineRule="auto"/>
        <w:tabs>
          <w:tab w:leader="none" w:pos="56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derivative component</w:t>
      </w:r>
    </w:p>
    <w:p>
      <w:pPr>
        <w:ind w:left="3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investment</w:t>
      </w:r>
    </w:p>
    <w:p>
      <w:pPr>
        <w:ind w:left="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expense...... $183.8</w:t>
      </w:r>
    </w:p>
    <w:p>
      <w:pPr>
        <w:ind w:left="2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Increase in debt</w:t>
      </w:r>
    </w:p>
    <w:p>
      <w:pPr>
        <w:ind w:left="4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component to</w:t>
      </w:r>
    </w:p>
    <w:p>
      <w:pPr>
        <w:ind w:left="6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interest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expense..............</w:t>
      </w:r>
    </w:p>
    <w:p>
      <w:pPr>
        <w:ind w:left="7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$ 22.2</w:t>
      </w:r>
    </w:p>
    <w:p>
      <w:pPr>
        <w:spacing w:after="0" w:line="35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F-113</w:t>
      </w:r>
    </w:p>
    <w:p>
      <w:pPr>
        <w:sectPr>
          <w:pgSz w:w="11900" w:h="16838" w:orient="portrait"/>
          <w:cols w:equalWidth="0" w:num="1">
            <w:col w:w="10223"/>
          </w:cols>
          <w:pgMar w:left="236" w:top="473" w:right="1440" w:bottom="1440" w:gutter="0" w:footer="0" w:header="0"/>
        </w:sectPr>
      </w:pPr>
    </w:p>
    <w:bookmarkStart w:id="303" w:name="page304"/>
    <w:bookmarkEnd w:id="303"/>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EXTRAORDINARY ITEMS</w:t>
      </w:r>
    </w:p>
    <w:p>
      <w:pPr>
        <w:spacing w:after="0" w:line="185" w:lineRule="exact"/>
        <w:rPr>
          <w:sz w:val="20"/>
          <w:szCs w:val="20"/>
          <w:color w:val="auto"/>
        </w:rPr>
      </w:pPr>
    </w:p>
    <w:p>
      <w:pPr>
        <w:ind w:left="4" w:right="3279" w:firstLine="469"/>
        <w:spacing w:after="0" w:line="259" w:lineRule="auto"/>
        <w:rPr>
          <w:sz w:val="20"/>
          <w:szCs w:val="20"/>
          <w:color w:val="auto"/>
        </w:rPr>
      </w:pPr>
      <w:r>
        <w:rPr>
          <w:rFonts w:ascii="Courier New" w:cs="Courier New" w:eastAsia="Courier New" w:hAnsi="Courier New"/>
          <w:sz w:val="15"/>
          <w:szCs w:val="15"/>
          <w:color w:val="auto"/>
        </w:rPr>
        <w:t>Extraordinary items consist of unamortized debt issue costs and debt extinguishment costs, net of related tax benefits, expensed principally in connection with the redemptions and refinancings of certain indebtedness.</w:t>
      </w:r>
    </w:p>
    <w:p>
      <w:pPr>
        <w:spacing w:after="0" w:line="166"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INTEREST RATES</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Bank debt interest rates vary based upon one or more of the following rates at the option of the Company:</w:t>
      </w:r>
    </w:p>
    <w:p>
      <w:pPr>
        <w:spacing w:after="0" w:line="180"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Prime rate to prime plus .75%;</w:t>
      </w:r>
    </w:p>
    <w:p>
      <w:pPr>
        <w:ind w:left="744"/>
        <w:spacing w:after="0"/>
        <w:rPr>
          <w:sz w:val="20"/>
          <w:szCs w:val="20"/>
          <w:color w:val="auto"/>
        </w:rPr>
      </w:pPr>
      <w:r>
        <w:rPr>
          <w:rFonts w:ascii="Courier New" w:cs="Courier New" w:eastAsia="Courier New" w:hAnsi="Courier New"/>
          <w:sz w:val="16"/>
          <w:szCs w:val="16"/>
          <w:color w:val="auto"/>
        </w:rPr>
        <w:t>Federal Funds rate plus .5% to 1.25%; and</w:t>
      </w:r>
    </w:p>
    <w:p>
      <w:pPr>
        <w:ind w:left="744"/>
        <w:spacing w:after="0" w:line="237" w:lineRule="auto"/>
        <w:rPr>
          <w:sz w:val="20"/>
          <w:szCs w:val="20"/>
          <w:color w:val="auto"/>
        </w:rPr>
      </w:pPr>
      <w:r>
        <w:rPr>
          <w:rFonts w:ascii="Courier New" w:cs="Courier New" w:eastAsia="Courier New" w:hAnsi="Courier New"/>
          <w:sz w:val="16"/>
          <w:szCs w:val="16"/>
          <w:color w:val="auto"/>
        </w:rPr>
        <w:t>LIBOR plus .19% to 1.875%.</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As of December 31, 2001 and 2000, the Company's effective weighted average interest rate on its variable rate debt outstanding was 2.70% and 7.34%, respectively.</w:t>
      </w:r>
    </w:p>
    <w:p>
      <w:pPr>
        <w:spacing w:after="0" w:line="18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INTEREST RATE RISK MANAGEMENT</w:t>
      </w:r>
    </w:p>
    <w:p>
      <w:pPr>
        <w:spacing w:after="0" w:line="185" w:lineRule="exact"/>
        <w:rPr>
          <w:sz w:val="20"/>
          <w:szCs w:val="20"/>
          <w:color w:val="auto"/>
        </w:rPr>
      </w:pPr>
    </w:p>
    <w:p>
      <w:pPr>
        <w:ind w:left="4" w:right="2999" w:firstLine="469"/>
        <w:spacing w:after="0" w:line="257" w:lineRule="auto"/>
        <w:rPr>
          <w:sz w:val="20"/>
          <w:szCs w:val="20"/>
          <w:color w:val="auto"/>
        </w:rPr>
      </w:pPr>
      <w:r>
        <w:rPr>
          <w:rFonts w:ascii="Courier New" w:cs="Courier New" w:eastAsia="Courier New" w:hAnsi="Courier New"/>
          <w:sz w:val="15"/>
          <w:szCs w:val="15"/>
          <w:color w:val="auto"/>
        </w:rPr>
        <w:t>The Company is exposed to the market risk of adverse changes in interest rates. To manage the volatility relating to these exposures, the Company's policy is to maintain a mix of fixed and variable rate debt and to enter into various interest rate derivative transactions as described below.</w:t>
      </w:r>
    </w:p>
    <w:p>
      <w:pPr>
        <w:spacing w:after="0" w:line="174"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187" w:lineRule="exact"/>
        <w:rPr>
          <w:sz w:val="20"/>
          <w:szCs w:val="20"/>
          <w:color w:val="auto"/>
        </w:rPr>
      </w:pPr>
    </w:p>
    <w:p>
      <w:pPr>
        <w:ind w:left="4" w:right="299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terms of the Company's existing Swaps (dollars in millions):</w:t>
      </w:r>
    </w:p>
    <w:p>
      <w:pPr>
        <w:spacing w:after="0" w:line="180" w:lineRule="exact"/>
        <w:rPr>
          <w:sz w:val="20"/>
          <w:szCs w:val="20"/>
          <w:color w:val="auto"/>
        </w:rPr>
      </w:pPr>
    </w:p>
    <w:p>
      <w:pPr>
        <w:jc w:val="center"/>
        <w:ind w:right="8335"/>
        <w:spacing w:after="0"/>
        <w:rPr>
          <w:sz w:val="20"/>
          <w:szCs w:val="20"/>
          <w:color w:val="auto"/>
        </w:rPr>
      </w:pPr>
      <w:r>
        <w:rPr>
          <w:rFonts w:ascii="Courier New" w:cs="Courier New" w:eastAsia="Courier New" w:hAnsi="Courier New"/>
          <w:sz w:val="16"/>
          <w:szCs w:val="16"/>
          <w:color w:val="auto"/>
        </w:rPr>
        <w:t>NOTIONAL AVERAGE</w:t>
      </w:r>
    </w:p>
    <w:p>
      <w:pPr>
        <w:jc w:val="center"/>
        <w:ind w:right="8335"/>
        <w:spacing w:after="0"/>
        <w:rPr>
          <w:sz w:val="20"/>
          <w:szCs w:val="20"/>
          <w:color w:val="auto"/>
        </w:rPr>
      </w:pPr>
      <w:r>
        <w:rPr>
          <w:rFonts w:ascii="Courier New" w:cs="Courier New" w:eastAsia="Courier New" w:hAnsi="Courier New"/>
          <w:sz w:val="16"/>
          <w:szCs w:val="16"/>
          <w:color w:val="auto"/>
        </w:rPr>
        <w:t>ESTIMATED AMOUNT</w:t>
      </w:r>
    </w:p>
    <w:p>
      <w:pPr>
        <w:jc w:val="center"/>
        <w:ind w:right="8335"/>
        <w:spacing w:after="0" w:line="237" w:lineRule="auto"/>
        <w:rPr>
          <w:sz w:val="20"/>
          <w:szCs w:val="20"/>
          <w:color w:val="auto"/>
        </w:rPr>
      </w:pPr>
      <w:r>
        <w:rPr>
          <w:rFonts w:ascii="Courier New" w:cs="Courier New" w:eastAsia="Courier New" w:hAnsi="Courier New"/>
          <w:sz w:val="16"/>
          <w:szCs w:val="16"/>
          <w:color w:val="auto"/>
        </w:rPr>
        <w:t>MATURITIES INTEREST</w:t>
      </w:r>
    </w:p>
    <w:p>
      <w:pPr>
        <w:ind w:left="4"/>
        <w:spacing w:after="0"/>
        <w:rPr>
          <w:sz w:val="20"/>
          <w:szCs w:val="20"/>
          <w:color w:val="auto"/>
        </w:rPr>
      </w:pPr>
      <w:r>
        <w:rPr>
          <w:rFonts w:ascii="Courier New" w:cs="Courier New" w:eastAsia="Courier New" w:hAnsi="Courier New"/>
          <w:sz w:val="16"/>
          <w:szCs w:val="16"/>
          <w:color w:val="auto"/>
        </w:rPr>
        <w:t>RATE FAIR VALUE ----</w:t>
      </w:r>
    </w:p>
    <w:p>
      <w:pPr>
        <w:ind w:left="464" w:hanging="464"/>
        <w:spacing w:after="0" w:line="238" w:lineRule="auto"/>
        <w:tabs>
          <w:tab w:leader="none" w:pos="464"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As of December 31,</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Variable to</w:t>
      </w:r>
    </w:p>
    <w:p>
      <w:pPr>
        <w:ind w:left="7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Fixed</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Swaps...............</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$250.3 2002 - 2003</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4.9% $(5.5) Fixed to</w:t>
      </w: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Variable</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Swaps...............</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$950.0 2004 - 2008</w:t>
      </w:r>
    </w:p>
    <w:p>
      <w:pPr>
        <w:spacing w:after="0" w:line="3" w:lineRule="exact"/>
        <w:rPr>
          <w:rFonts w:ascii="Courier New" w:cs="Courier New" w:eastAsia="Courier New" w:hAnsi="Courier New"/>
          <w:sz w:val="16"/>
          <w:szCs w:val="16"/>
          <w:color w:val="auto"/>
        </w:rPr>
      </w:pPr>
    </w:p>
    <w:p>
      <w:pPr>
        <w:jc w:val="center"/>
        <w:ind w:left="4" w:right="8339" w:firstLine="188"/>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7.5% $46.8 As of December 31, 2000 Variable to Fixed Swaps...............</w:t>
      </w:r>
    </w:p>
    <w:p>
      <w:pPr>
        <w:spacing w:after="0" w:line="2" w:lineRule="exact"/>
        <w:rPr>
          <w:rFonts w:ascii="Courier New" w:cs="Courier New" w:eastAsia="Courier New" w:hAnsi="Courier New"/>
          <w:sz w:val="16"/>
          <w:szCs w:val="16"/>
          <w:color w:val="auto"/>
        </w:rPr>
      </w:pPr>
    </w:p>
    <w:p>
      <w:pPr>
        <w:jc w:val="center"/>
        <w:ind w:left="4" w:right="833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$377.7 2001 - 2003 5.2% $ 3.7 Fixed to Variable Swaps...............</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$450.0 2004 - 2008</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7.7% $ 3.2</w:t>
      </w:r>
    </w:p>
    <w:p>
      <w:pPr>
        <w:spacing w:after="0" w:line="364"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2001, 2000 and 1999 was not significant.</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F-114</w:t>
      </w:r>
    </w:p>
    <w:p>
      <w:pPr>
        <w:sectPr>
          <w:pgSz w:w="11900" w:h="16838" w:orient="portrait"/>
          <w:cols w:equalWidth="0" w:num="1">
            <w:col w:w="10223"/>
          </w:cols>
          <w:pgMar w:left="236" w:top="473" w:right="1440" w:bottom="648" w:gutter="0" w:footer="0" w:header="0"/>
        </w:sectPr>
      </w:pPr>
    </w:p>
    <w:bookmarkStart w:id="304" w:name="page305"/>
    <w:bookmarkEnd w:id="304"/>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jc w:val="both"/>
        <w:ind w:left="4" w:right="2999" w:firstLine="469"/>
        <w:spacing w:after="0" w:line="237" w:lineRule="auto"/>
        <w:rPr>
          <w:sz w:val="20"/>
          <w:szCs w:val="20"/>
          <w:color w:val="auto"/>
        </w:rPr>
      </w:pPr>
      <w:r>
        <w:rPr>
          <w:rFonts w:ascii="Courier New" w:cs="Courier New" w:eastAsia="Courier New" w:hAnsi="Courier New"/>
          <w:sz w:val="16"/>
          <w:szCs w:val="16"/>
          <w:color w:val="auto"/>
        </w:rPr>
        <w:t>During January and February 2002, the Company settled all $950.0 million notional amount of its Fixed to Variable Swaps and received proceeds of $56.8 million.</w:t>
      </w:r>
    </w:p>
    <w:p>
      <w:pPr>
        <w:spacing w:after="0" w:line="18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ESTIMATED FAIR VALUE</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Company's long-term debt had estimated fair values of $12.559 billion and $10.251 billion as of December 31, 2001 and 2000,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8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DEBT COVENANTS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Certain of the Company's subsidiaries' loan agreements contain restrictive covenants which, for example, limit the subsidiaries' ability to enter into arrangements for the acquisition of property and equipment, investments, mergers and the incurrence of additional debt. Certain of these agreements contain financial covenants which require that certain ratios and cash flow levels be maintained and contain certain restrictions on dividend payments and advances of funds to the Company. The Company and its subsidiaries were in compliance with all financial covenants for all periods presented.</w:t>
      </w:r>
    </w:p>
    <w:p>
      <w:pPr>
        <w:spacing w:after="0" w:line="173"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As of December 31, 2001, $246.9 million of the Company's cash, cash equivalents and short-term investments is restricted to use by subsidiaries of the Company under contractual or other arrangements. Restricted net assets of the Company's subsidiaries were approximately $1.233 billion as of December 31, 2001.</w:t>
      </w:r>
    </w:p>
    <w:p>
      <w:pPr>
        <w:spacing w:after="0" w:line="182"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LINES AND LETTERS OF CREDIT</w:t>
      </w:r>
    </w:p>
    <w:p>
      <w:pPr>
        <w:spacing w:after="0" w:line="185" w:lineRule="exact"/>
        <w:rPr>
          <w:sz w:val="20"/>
          <w:szCs w:val="20"/>
          <w:color w:val="auto"/>
        </w:rPr>
      </w:pPr>
    </w:p>
    <w:p>
      <w:pPr>
        <w:ind w:left="4" w:right="3099" w:firstLine="469"/>
        <w:spacing w:after="0" w:line="263" w:lineRule="auto"/>
        <w:rPr>
          <w:sz w:val="20"/>
          <w:szCs w:val="20"/>
          <w:color w:val="auto"/>
        </w:rPr>
      </w:pPr>
      <w:r>
        <w:rPr>
          <w:rFonts w:ascii="Courier New" w:cs="Courier New" w:eastAsia="Courier New" w:hAnsi="Courier New"/>
          <w:sz w:val="15"/>
          <w:szCs w:val="15"/>
          <w:color w:val="auto"/>
        </w:rPr>
        <w:t>As of December 31, 2001, certain subsidiaries of the Company had unused lines of credit of $3.460 billion under their respective credit facilities.</w:t>
      </w:r>
    </w:p>
    <w:p>
      <w:pPr>
        <w:spacing w:after="0" w:line="169"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As of December 31, 2001, the Company and certain of its subsidiaries had unused irrevocable standby letters of credit totaling $96.1 million to cover potential fundings under various agreements.</w:t>
      </w:r>
    </w:p>
    <w:p>
      <w:pPr>
        <w:spacing w:after="0" w:line="185" w:lineRule="exact"/>
        <w:rPr>
          <w:sz w:val="20"/>
          <w:szCs w:val="20"/>
          <w:color w:val="auto"/>
        </w:rPr>
      </w:pPr>
    </w:p>
    <w:p>
      <w:pPr>
        <w:ind w:left="104" w:right="7979" w:hanging="104"/>
        <w:spacing w:after="0" w:line="471" w:lineRule="auto"/>
        <w:tabs>
          <w:tab w:leader="none" w:pos="38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 PREFERRED STOCK</w:t>
      </w:r>
    </w:p>
    <w:p>
      <w:pPr>
        <w:spacing w:after="0" w:line="10"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17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Series B Preferred Stock had a 5.25% pay-in-kind annual dividend. Dividends were paid quarterly through the issuance of additional shares of Series B Preferred Stock (the "Additional Shares") and were cumulative from the issuance date (except that dividends on the Additional Shares accrued from the date such Additional Shares were issued). The Series B Preferred Stock, including the Additional Shares, was convertible, at the option of the holder, into approximately 42.5 million shares of the Company's Class A Special Common Stock, subject to adjustment in certain limited circumstances, which equaled an initial conversion price of $11.77 per share, increasing as a result of the Additional Shares to $16.96 per share on June 30, 2004. The Series B Preferred Stock was mandatorily redeemable on June 30, 2017, or, at the option of the Company beginning on June 30, 2004 or at the option of the holder on June 30, 2004 or on June 30, 2012. Upon redemption, the Company, at its option, could redeem</w:t>
      </w:r>
    </w:p>
    <w:p>
      <w:pPr>
        <w:spacing w:after="0" w:line="18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F-115</w:t>
      </w:r>
    </w:p>
    <w:p>
      <w:pPr>
        <w:sectPr>
          <w:pgSz w:w="11900" w:h="16838" w:orient="portrait"/>
          <w:cols w:equalWidth="0" w:num="1">
            <w:col w:w="10223"/>
          </w:cols>
          <w:pgMar w:left="236" w:top="473" w:right="1440" w:bottom="1440" w:gutter="0" w:footer="0" w:header="0"/>
        </w:sectPr>
      </w:pPr>
    </w:p>
    <w:bookmarkStart w:id="305" w:name="page306"/>
    <w:bookmarkEnd w:id="305"/>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the Series B Preferred Stock with cash, Class A Special Common Stock or a combination thereof. The Series B Preferred Stock was generally non-voting. In December 2000, the Company issued approximately 38.3 million shares of its Class A Special Common Stock to the holder in connection with the holder's election to convert $533.6 million at redemption value of Series B Preferred Stock. In March 2001, the Company issued approximately 4.2 million shares of its Class A Special Common Stock to the holder in connection with the holder's election to convert the remaining $59.5 million at redemption value of Series B Preferred Stock.</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Company's Class A Special Common Stock is generally nonvoting and each share of the Company's Class A Common Stock is entitled to one vote. Each share of the Company's Class B Common Stock is entitled to fifteen votes and is convertible, share for share, into Class A or Class A Special Common Stock, subject to certain restrictions.</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BOARD-AUTHORIZED REPURCHASE PROGRAMS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summarizes the Company's repurchases and sales of Comcast Put Options under its Board-authorized share repurchase programs (shares and dollars in millions):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0" w:type="dxa"/>
        <w:tblCellMar>
          <w:top w:w="0" w:type="dxa"/>
          <w:left w:w="0" w:type="dxa"/>
          <w:bottom w:w="0" w:type="dxa"/>
          <w:right w:w="0" w:type="dxa"/>
        </w:tblCellMar>
      </w:tblPr>
      <w:tr>
        <w:trPr>
          <w:trHeight w:val="180"/>
        </w:trPr>
        <w:tc>
          <w:tcPr>
            <w:tcW w:w="18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2001 2000 1999</w:t>
            </w:r>
          </w:p>
        </w:tc>
        <w:tc>
          <w:tcPr>
            <w:tcW w:w="2880" w:type="dxa"/>
            <w:vAlign w:val="bottom"/>
          </w:tcPr>
          <w:p>
            <w:pPr>
              <w:spacing w:after="0"/>
              <w:rPr>
                <w:sz w:val="20"/>
                <w:szCs w:val="20"/>
                <w:color w:val="auto"/>
              </w:rPr>
            </w:pPr>
            <w:r>
              <w:rPr>
                <w:rFonts w:ascii="Courier New" w:cs="Courier New" w:eastAsia="Courier New" w:hAnsi="Courier New"/>
                <w:sz w:val="16"/>
                <w:szCs w:val="16"/>
                <w:color w:val="auto"/>
              </w:rPr>
              <w:t>------ ------- ------ Shares</w:t>
            </w: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repurchased..........................................</w:t>
            </w:r>
          </w:p>
        </w:tc>
        <w:tc>
          <w:tcPr>
            <w:tcW w:w="2880" w:type="dxa"/>
            <w:vAlign w:val="bottom"/>
          </w:tcPr>
          <w:p>
            <w:pPr>
              <w:spacing w:after="0"/>
              <w:rPr>
                <w:sz w:val="15"/>
                <w:szCs w:val="15"/>
                <w:color w:val="auto"/>
              </w:rPr>
            </w:pPr>
          </w:p>
        </w:tc>
      </w:tr>
      <w:tr>
        <w:trPr>
          <w:trHeight w:val="180"/>
        </w:trPr>
        <w:tc>
          <w:tcPr>
            <w:tcW w:w="126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0.8</w:t>
            </w:r>
          </w:p>
        </w:tc>
        <w:tc>
          <w:tcPr>
            <w:tcW w:w="2880" w:type="dxa"/>
            <w:vAlign w:val="bottom"/>
          </w:tcPr>
          <w:p>
            <w:pPr>
              <w:spacing w:after="0"/>
              <w:rPr>
                <w:sz w:val="20"/>
                <w:szCs w:val="20"/>
                <w:color w:val="auto"/>
              </w:rPr>
            </w:pPr>
            <w:r>
              <w:rPr>
                <w:rFonts w:ascii="Courier New" w:cs="Courier New" w:eastAsia="Courier New" w:hAnsi="Courier New"/>
                <w:sz w:val="16"/>
                <w:szCs w:val="16"/>
                <w:color w:val="auto"/>
              </w:rPr>
              <w:t>9.1 1.0 Aggregate</w:t>
            </w: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consideration.....................................</w:t>
            </w:r>
          </w:p>
        </w:tc>
        <w:tc>
          <w:tcPr>
            <w:tcW w:w="2880" w:type="dxa"/>
            <w:vAlign w:val="bottom"/>
          </w:tcPr>
          <w:p>
            <w:pPr>
              <w:spacing w:after="0"/>
              <w:rPr>
                <w:sz w:val="15"/>
                <w:szCs w:val="15"/>
                <w:color w:val="auto"/>
              </w:rPr>
            </w:pPr>
          </w:p>
        </w:tc>
      </w:tr>
      <w:tr>
        <w:trPr>
          <w:trHeight w:val="180"/>
        </w:trPr>
        <w:tc>
          <w:tcPr>
            <w:tcW w:w="1260" w:type="dxa"/>
            <w:vAlign w:val="bottom"/>
          </w:tcPr>
          <w:p>
            <w:pPr>
              <w:jc w:val="right"/>
              <w:ind w:right="43"/>
              <w:spacing w:after="0"/>
              <w:rPr>
                <w:sz w:val="20"/>
                <w:szCs w:val="20"/>
                <w:color w:val="auto"/>
              </w:rPr>
            </w:pPr>
            <w:r>
              <w:rPr>
                <w:rFonts w:ascii="Courier New" w:cs="Courier New" w:eastAsia="Courier New" w:hAnsi="Courier New"/>
                <w:sz w:val="16"/>
                <w:szCs w:val="16"/>
                <w:color w:val="auto"/>
              </w:rPr>
              <w:t>$27.1</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$324.9</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$30.7 Comcast Put Options</w:t>
            </w:r>
          </w:p>
        </w:tc>
      </w:tr>
      <w:tr>
        <w:trPr>
          <w:trHeight w:val="180"/>
        </w:trPr>
        <w:tc>
          <w:tcPr>
            <w:tcW w:w="18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sold....................................</w:t>
            </w: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2.0 5.5</w:t>
            </w:r>
          </w:p>
        </w:tc>
      </w:tr>
    </w:tbl>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part of the Company's Board-authorized repurchase programs, the Company sold Comcast Put Options on shares of its Class A Special Common Stock. The Comcast Put Options give the holder the right to require the Company to repurchase such shares at specified prices on specific dates. All Comcast Put Options sold expired unexercised. The Company reclassified the amount it would have been obligated to pay to repurchase such shares had the Comcast Put Options been exercised, from common equity put options to additional capital upon expiration of the Comcast Put Options. The difference between the proceeds from the sale of the Comcast Put Options and their estimated fair value was not significant as of December 31, 2000.</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 PLANS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of December 31, 2001,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Comcast Option Plans. The Company maintains qualified and nonqualified stock option plans for certain employees, directors and other persons under which fixed stock options are granted and the option price is generally not less than the fair value of a share of the underlying stock at the date of grant (collectively, the "Comcast Option Plans"). Under the Comcast Option Plans, 55.9 million shares of Class A Special Common Stock were reserved as of December 31, 2001. Option terms are generally from five to 10 1/2 years, with options generally becoming exercisable between two and 9 1/2 years from the date of grant.</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F-116</w:t>
      </w:r>
    </w:p>
    <w:p>
      <w:pPr>
        <w:sectPr>
          <w:pgSz w:w="11900" w:h="16838" w:orient="portrait"/>
          <w:cols w:equalWidth="0" w:num="1">
            <w:col w:w="10219"/>
          </w:cols>
          <w:pgMar w:left="240" w:top="473" w:right="1440" w:bottom="1440" w:gutter="0" w:footer="0" w:header="0"/>
        </w:sectPr>
      </w:pPr>
    </w:p>
    <w:bookmarkStart w:id="306" w:name="page307"/>
    <w:bookmarkEnd w:id="306"/>
    <w:p>
      <w:pPr>
        <w:spacing w:after="0" w:line="6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activity of the Comcast Option Plans (options in thousands):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1999 ------------------- -</w:t>
      </w:r>
    </w:p>
    <w:p>
      <w:pPr>
        <w:ind w:left="40"/>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jc w:val="both"/>
        <w:ind w:left="220" w:right="6999" w:firstLine="7"/>
        <w:spacing w:after="0" w:line="254" w:lineRule="auto"/>
        <w:tabs>
          <w:tab w:leader="none" w:pos="501"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WEIGHTED- WEIGHTED-AVERAGE AVERAGE AVERAGE EXERCISE</w:t>
      </w:r>
    </w:p>
    <w:p>
      <w:pPr>
        <w:jc w:val="center"/>
        <w:ind w:right="6759"/>
        <w:spacing w:after="0" w:line="234" w:lineRule="auto"/>
        <w:rPr>
          <w:sz w:val="20"/>
          <w:szCs w:val="20"/>
          <w:color w:val="auto"/>
        </w:rPr>
      </w:pPr>
      <w:r>
        <w:rPr>
          <w:rFonts w:ascii="Courier New" w:cs="Courier New" w:eastAsia="Courier New" w:hAnsi="Courier New"/>
          <w:sz w:val="16"/>
          <w:szCs w:val="16"/>
          <w:color w:val="auto"/>
        </w:rPr>
        <w:t>EXERCISE EXERCISE CLASS A SPECIAL</w:t>
      </w:r>
    </w:p>
    <w:p>
      <w:pPr>
        <w:jc w:val="center"/>
        <w:ind w:right="6759"/>
        <w:spacing w:after="0"/>
        <w:rPr>
          <w:sz w:val="20"/>
          <w:szCs w:val="20"/>
          <w:color w:val="auto"/>
        </w:rPr>
      </w:pPr>
      <w:r>
        <w:rPr>
          <w:rFonts w:ascii="Courier New" w:cs="Courier New" w:eastAsia="Courier New" w:hAnsi="Courier New"/>
          <w:sz w:val="16"/>
          <w:szCs w:val="16"/>
          <w:color w:val="auto"/>
        </w:rPr>
        <w:t>COMMON STOCK OPTIONS PRICE OPTIONS</w:t>
      </w:r>
    </w:p>
    <w:p>
      <w:pPr>
        <w:jc w:val="center"/>
        <w:ind w:right="6759"/>
        <w:spacing w:after="0" w:line="238" w:lineRule="auto"/>
        <w:rPr>
          <w:sz w:val="20"/>
          <w:szCs w:val="20"/>
          <w:color w:val="auto"/>
        </w:rPr>
      </w:pPr>
      <w:r>
        <w:rPr>
          <w:rFonts w:ascii="Courier New" w:cs="Courier New" w:eastAsia="Courier New" w:hAnsi="Courier New"/>
          <w:sz w:val="16"/>
          <w:szCs w:val="16"/>
          <w:color w:val="auto"/>
        </w:rPr>
        <w:t>PRICE OPTIONS PRICE ----------------</w:t>
      </w:r>
    </w:p>
    <w:p>
      <w:pPr>
        <w:ind w:left="40"/>
        <w:spacing w:after="0"/>
        <w:rPr>
          <w:sz w:val="20"/>
          <w:szCs w:val="20"/>
          <w:color w:val="auto"/>
        </w:rPr>
      </w:pPr>
      <w:r>
        <w:rPr>
          <w:rFonts w:ascii="Courier New" w:cs="Courier New" w:eastAsia="Courier New" w:hAnsi="Courier New"/>
          <w:sz w:val="16"/>
          <w:szCs w:val="16"/>
          <w:color w:val="auto"/>
        </w:rPr>
        <w:t>------------ ------- --------- -----</w:t>
      </w:r>
    </w:p>
    <w:p>
      <w:pPr>
        <w:ind w:left="600" w:hanging="279"/>
        <w:spacing w:after="0" w:line="238" w:lineRule="auto"/>
        <w:tabs>
          <w:tab w:leader="none" w:pos="600"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at beginning of</w:t>
      </w:r>
    </w:p>
    <w:tbl>
      <w:tblPr>
        <w:tblLayout w:type="fixed"/>
        <w:tblInd w:w="0" w:type="dxa"/>
        <w:tblCellMar>
          <w:top w:w="0" w:type="dxa"/>
          <w:left w:w="0" w:type="dxa"/>
          <w:bottom w:w="0" w:type="dxa"/>
          <w:right w:w="0" w:type="dxa"/>
        </w:tblCellMar>
      </w:tblPr>
      <w:tr>
        <w:trPr>
          <w:trHeight w:val="179"/>
        </w:trPr>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year.....</w:t>
            </w:r>
          </w:p>
        </w:tc>
        <w:tc>
          <w:tcPr>
            <w:tcW w:w="248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rPr>
              <w:t>49,618 $23.69 40,416</w:t>
            </w:r>
          </w:p>
        </w:tc>
      </w:tr>
      <w:tr>
        <w:trPr>
          <w:trHeight w:val="180"/>
        </w:trPr>
        <w:tc>
          <w:tcPr>
            <w:tcW w:w="780" w:type="dxa"/>
            <w:vAlign w:val="bottom"/>
          </w:tcPr>
          <w:p>
            <w:pPr>
              <w:spacing w:after="0"/>
              <w:rPr>
                <w:sz w:val="15"/>
                <w:szCs w:val="15"/>
                <w:color w:val="auto"/>
              </w:rPr>
            </w:pPr>
          </w:p>
        </w:tc>
        <w:tc>
          <w:tcPr>
            <w:tcW w:w="660" w:type="dxa"/>
            <w:vAlign w:val="bottom"/>
            <w:gridSpan w:val="2"/>
          </w:tcPr>
          <w:p>
            <w:pPr>
              <w:jc w:val="right"/>
              <w:ind w:right="9"/>
              <w:spacing w:after="0"/>
              <w:rPr>
                <w:sz w:val="20"/>
                <w:szCs w:val="20"/>
                <w:color w:val="auto"/>
              </w:rPr>
            </w:pPr>
            <w:r>
              <w:rPr>
                <w:rFonts w:ascii="Courier New" w:cs="Courier New" w:eastAsia="Courier New" w:hAnsi="Courier New"/>
                <w:sz w:val="16"/>
                <w:szCs w:val="16"/>
                <w:color w:val="auto"/>
                <w:w w:val="97"/>
              </w:rPr>
              <w:t>$16.01</w:t>
            </w:r>
          </w:p>
        </w:tc>
        <w:tc>
          <w:tcPr>
            <w:tcW w:w="6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43,002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$11.09</w:t>
            </w:r>
          </w:p>
        </w:tc>
        <w:tc>
          <w:tcPr>
            <w:tcW w:w="660" w:type="dxa"/>
            <w:vAlign w:val="bottom"/>
          </w:tcPr>
          <w:p>
            <w:pPr>
              <w:spacing w:after="0"/>
              <w:rPr>
                <w:sz w:val="15"/>
                <w:szCs w:val="15"/>
                <w:color w:val="auto"/>
              </w:rPr>
            </w:pPr>
          </w:p>
        </w:tc>
      </w:tr>
      <w:tr>
        <w:trPr>
          <w:trHeight w:val="180"/>
        </w:trPr>
        <w:tc>
          <w:tcPr>
            <w:tcW w:w="8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2"/>
              </w:rPr>
              <w:t>Granted..............................</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10,084</w:t>
            </w:r>
          </w:p>
        </w:tc>
        <w:tc>
          <w:tcPr>
            <w:tcW w:w="248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37.52 15,300 39.43 7,403</w:t>
            </w:r>
          </w:p>
        </w:tc>
      </w:tr>
      <w:tr>
        <w:trPr>
          <w:trHeight w:val="180"/>
        </w:trPr>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5"/>
              </w:rPr>
              <w:t>34.16</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Exercised</w:t>
            </w:r>
          </w:p>
        </w:tc>
        <w:tc>
          <w:tcPr>
            <w:tcW w:w="12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(3,360)</w:t>
            </w:r>
          </w:p>
        </w:tc>
        <w:tc>
          <w:tcPr>
            <w:tcW w:w="6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6"/>
                <w:szCs w:val="16"/>
                <w:color w:val="auto"/>
              </w:rPr>
              <w:t>10.62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(4,805)</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8.60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(7,527)</w:t>
            </w:r>
          </w:p>
        </w:tc>
      </w:tr>
      <w:tr>
        <w:trPr>
          <w:trHeight w:val="180"/>
        </w:trPr>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8"/>
              </w:rPr>
              <w:t>6.76</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8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2"/>
              </w:rPr>
              <w:t>Canceled.............................</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ind w:left="740" w:hanging="560"/>
        <w:spacing w:after="0"/>
        <w:tabs>
          <w:tab w:leader="none" w:pos="740"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30.69 (1,293) 25.98 (2,462)</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12.90 ------ ------ ------</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at end of</w:t>
      </w:r>
    </w:p>
    <w:tbl>
      <w:tblPr>
        <w:tblLayout w:type="fixed"/>
        <w:tblInd w:w="80" w:type="dxa"/>
        <w:tblCellMar>
          <w:top w:w="0" w:type="dxa"/>
          <w:left w:w="0" w:type="dxa"/>
          <w:bottom w:w="0" w:type="dxa"/>
          <w:right w:w="0" w:type="dxa"/>
        </w:tblCellMar>
      </w:tblPr>
      <w:tr>
        <w:trPr>
          <w:trHeight w:val="179"/>
        </w:trPr>
        <w:tc>
          <w:tcPr>
            <w:tcW w:w="14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year...........</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55,521 26.89 49,618</w:t>
            </w:r>
          </w:p>
        </w:tc>
      </w:tr>
    </w:tbl>
    <w:p>
      <w:pPr>
        <w:jc w:val="center"/>
        <w:ind w:right="6759"/>
        <w:spacing w:after="0"/>
        <w:rPr>
          <w:sz w:val="20"/>
          <w:szCs w:val="20"/>
          <w:color w:val="auto"/>
        </w:rPr>
      </w:pPr>
      <w:r>
        <w:rPr>
          <w:rFonts w:ascii="Courier New" w:cs="Courier New" w:eastAsia="Courier New" w:hAnsi="Courier New"/>
          <w:sz w:val="16"/>
          <w:szCs w:val="16"/>
          <w:color w:val="auto"/>
        </w:rPr>
        <w:t>23.69 40,416 16.01 ====== ======</w:t>
      </w:r>
    </w:p>
    <w:p>
      <w:pPr>
        <w:jc w:val="center"/>
        <w:ind w:right="6759"/>
        <w:spacing w:after="0" w:line="237" w:lineRule="auto"/>
        <w:rPr>
          <w:sz w:val="20"/>
          <w:szCs w:val="20"/>
          <w:color w:val="auto"/>
        </w:rPr>
      </w:pPr>
      <w:r>
        <w:rPr>
          <w:rFonts w:ascii="Courier New" w:cs="Courier New" w:eastAsia="Courier New" w:hAnsi="Courier New"/>
          <w:sz w:val="16"/>
          <w:szCs w:val="16"/>
          <w:color w:val="auto"/>
        </w:rPr>
        <w:t>====== Exercisable at end of</w:t>
      </w:r>
    </w:p>
    <w:p>
      <w:pPr>
        <w:ind w:left="80"/>
        <w:spacing w:after="0"/>
        <w:rPr>
          <w:sz w:val="20"/>
          <w:szCs w:val="20"/>
          <w:color w:val="auto"/>
        </w:rPr>
      </w:pPr>
      <w:r>
        <w:rPr>
          <w:rFonts w:ascii="Courier New" w:cs="Courier New" w:eastAsia="Courier New" w:hAnsi="Courier New"/>
          <w:sz w:val="16"/>
          <w:szCs w:val="16"/>
          <w:color w:val="auto"/>
        </w:rPr>
        <w:t>year........... 16,892 15.57 13,267</w:t>
      </w:r>
    </w:p>
    <w:p>
      <w:pPr>
        <w:jc w:val="center"/>
        <w:ind w:right="6759"/>
        <w:spacing w:after="0" w:line="238" w:lineRule="auto"/>
        <w:rPr>
          <w:sz w:val="20"/>
          <w:szCs w:val="20"/>
          <w:color w:val="auto"/>
        </w:rPr>
      </w:pPr>
      <w:r>
        <w:rPr>
          <w:rFonts w:ascii="Courier New" w:cs="Courier New" w:eastAsia="Courier New" w:hAnsi="Courier New"/>
          <w:sz w:val="16"/>
          <w:szCs w:val="16"/>
          <w:color w:val="auto"/>
        </w:rPr>
        <w:t>11.35 10,947 8.19 ====== ======</w:t>
      </w:r>
    </w:p>
    <w:p>
      <w:pPr>
        <w:jc w:val="center"/>
        <w:ind w:right="6759"/>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following table summarizes information about the Class A Special Common Stock options outstanding under the Comcast Option Plans as of December 31, 2001 (options in thousands):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OUTSTANDING ----------</w:t>
      </w:r>
    </w:p>
    <w:p>
      <w:pPr>
        <w:ind w:left="180"/>
        <w:spacing w:after="0"/>
        <w:rPr>
          <w:sz w:val="20"/>
          <w:szCs w:val="20"/>
          <w:color w:val="auto"/>
        </w:rPr>
      </w:pPr>
      <w:r>
        <w:rPr>
          <w:rFonts w:ascii="Courier New" w:cs="Courier New" w:eastAsia="Courier New" w:hAnsi="Courier New"/>
          <w:sz w:val="16"/>
          <w:szCs w:val="16"/>
          <w:color w:val="auto"/>
        </w:rPr>
        <w:t>---------------------------</w:t>
      </w:r>
    </w:p>
    <w:p>
      <w:pPr>
        <w:jc w:val="center"/>
        <w:ind w:right="7319"/>
        <w:spacing w:after="0" w:line="237" w:lineRule="auto"/>
        <w:rPr>
          <w:sz w:val="20"/>
          <w:szCs w:val="20"/>
          <w:color w:val="auto"/>
        </w:rPr>
      </w:pPr>
      <w:r>
        <w:rPr>
          <w:rFonts w:ascii="Courier New" w:cs="Courier New" w:eastAsia="Courier New" w:hAnsi="Courier New"/>
          <w:sz w:val="16"/>
          <w:szCs w:val="16"/>
          <w:color w:val="auto"/>
        </w:rPr>
        <w:t>OPTIONS EXERCISABLE WEIGHTED-</w:t>
      </w:r>
    </w:p>
    <w:p>
      <w:pPr>
        <w:ind w:left="360"/>
        <w:spacing w:after="0"/>
        <w:rPr>
          <w:sz w:val="20"/>
          <w:szCs w:val="20"/>
          <w:color w:val="auto"/>
        </w:rPr>
      </w:pPr>
      <w:r>
        <w:rPr>
          <w:rFonts w:ascii="Courier New" w:cs="Courier New" w:eastAsia="Courier New" w:hAnsi="Courier New"/>
          <w:sz w:val="16"/>
          <w:szCs w:val="16"/>
          <w:color w:val="auto"/>
        </w:rPr>
        <w:t>-----------------------</w:t>
      </w:r>
    </w:p>
    <w:p>
      <w:pPr>
        <w:jc w:val="center"/>
        <w:ind w:right="7319"/>
        <w:spacing w:after="0" w:line="238" w:lineRule="auto"/>
        <w:rPr>
          <w:sz w:val="20"/>
          <w:szCs w:val="20"/>
          <w:color w:val="auto"/>
        </w:rPr>
      </w:pPr>
      <w:r>
        <w:rPr>
          <w:rFonts w:ascii="Courier New" w:cs="Courier New" w:eastAsia="Courier New" w:hAnsi="Courier New"/>
          <w:sz w:val="16"/>
          <w:szCs w:val="16"/>
          <w:color w:val="auto"/>
        </w:rPr>
        <w:t>AVERAGE WEIGHTED- NUMBER</w:t>
      </w:r>
    </w:p>
    <w:p>
      <w:pPr>
        <w:jc w:val="center"/>
        <w:ind w:right="7319"/>
        <w:spacing w:after="0"/>
        <w:rPr>
          <w:sz w:val="20"/>
          <w:szCs w:val="20"/>
          <w:color w:val="auto"/>
        </w:rPr>
      </w:pPr>
      <w:r>
        <w:rPr>
          <w:rFonts w:ascii="Courier New" w:cs="Courier New" w:eastAsia="Courier New" w:hAnsi="Courier New"/>
          <w:sz w:val="16"/>
          <w:szCs w:val="16"/>
          <w:color w:val="auto"/>
        </w:rPr>
        <w:t>WEIGHTED- NUMBER REMAINING</w:t>
      </w:r>
    </w:p>
    <w:p>
      <w:pPr>
        <w:jc w:val="center"/>
        <w:ind w:right="7319"/>
        <w:spacing w:after="0" w:line="238" w:lineRule="auto"/>
        <w:rPr>
          <w:sz w:val="20"/>
          <w:szCs w:val="20"/>
          <w:color w:val="auto"/>
        </w:rPr>
      </w:pPr>
      <w:r>
        <w:rPr>
          <w:rFonts w:ascii="Courier New" w:cs="Courier New" w:eastAsia="Courier New" w:hAnsi="Courier New"/>
          <w:sz w:val="16"/>
          <w:szCs w:val="16"/>
          <w:color w:val="auto"/>
        </w:rPr>
        <w:t>AVERAGE EXERCISABLE AVERAGE</w:t>
      </w:r>
    </w:p>
    <w:p>
      <w:pPr>
        <w:jc w:val="center"/>
        <w:ind w:right="7319"/>
        <w:spacing w:after="0"/>
        <w:rPr>
          <w:sz w:val="20"/>
          <w:szCs w:val="20"/>
          <w:color w:val="auto"/>
        </w:rPr>
      </w:pPr>
      <w:r>
        <w:rPr>
          <w:rFonts w:ascii="Courier New" w:cs="Courier New" w:eastAsia="Courier New" w:hAnsi="Courier New"/>
          <w:sz w:val="16"/>
          <w:szCs w:val="16"/>
          <w:color w:val="auto"/>
        </w:rPr>
        <w:t>RANGE OF OUTSTANDING</w:t>
      </w:r>
    </w:p>
    <w:p>
      <w:pPr>
        <w:jc w:val="center"/>
        <w:ind w:right="7319"/>
        <w:spacing w:after="0" w:line="237" w:lineRule="auto"/>
        <w:rPr>
          <w:sz w:val="20"/>
          <w:szCs w:val="20"/>
          <w:color w:val="auto"/>
        </w:rPr>
      </w:pPr>
      <w:r>
        <w:rPr>
          <w:rFonts w:ascii="Courier New" w:cs="Courier New" w:eastAsia="Courier New" w:hAnsi="Courier New"/>
          <w:sz w:val="16"/>
          <w:szCs w:val="16"/>
          <w:color w:val="auto"/>
        </w:rPr>
        <w:t>CONTRACTUAL EXERCISE AT</w:t>
      </w:r>
    </w:p>
    <w:p>
      <w:pPr>
        <w:jc w:val="center"/>
        <w:ind w:right="7319"/>
        <w:spacing w:after="0"/>
        <w:rPr>
          <w:sz w:val="20"/>
          <w:szCs w:val="20"/>
          <w:color w:val="auto"/>
        </w:rPr>
      </w:pPr>
      <w:r>
        <w:rPr>
          <w:rFonts w:ascii="Courier New" w:cs="Courier New" w:eastAsia="Courier New" w:hAnsi="Courier New"/>
          <w:sz w:val="16"/>
          <w:szCs w:val="16"/>
          <w:color w:val="auto"/>
        </w:rPr>
        <w:t>EXERCISE EXERCISE PRICES AT</w:t>
      </w:r>
    </w:p>
    <w:p>
      <w:pPr>
        <w:jc w:val="center"/>
        <w:ind w:right="7319"/>
        <w:spacing w:after="0" w:line="238" w:lineRule="auto"/>
        <w:rPr>
          <w:sz w:val="20"/>
          <w:szCs w:val="20"/>
          <w:color w:val="auto"/>
        </w:rPr>
      </w:pPr>
      <w:r>
        <w:rPr>
          <w:rFonts w:ascii="Courier New" w:cs="Courier New" w:eastAsia="Courier New" w:hAnsi="Courier New"/>
          <w:sz w:val="16"/>
          <w:szCs w:val="16"/>
          <w:color w:val="auto"/>
        </w:rPr>
        <w:t>12/31/01 LIFE PRICE 12/31/01</w:t>
      </w:r>
    </w:p>
    <w:p>
      <w:pPr>
        <w:ind w:left="40"/>
        <w:spacing w:after="0"/>
        <w:rPr>
          <w:sz w:val="20"/>
          <w:szCs w:val="20"/>
          <w:color w:val="auto"/>
        </w:rPr>
      </w:pPr>
      <w:r>
        <w:rPr>
          <w:rFonts w:ascii="Courier New" w:cs="Courier New" w:eastAsia="Courier New" w:hAnsi="Courier New"/>
          <w:sz w:val="16"/>
          <w:szCs w:val="16"/>
          <w:color w:val="auto"/>
        </w:rPr>
        <w:t>PRICE - --------------- ------</w:t>
      </w:r>
    </w:p>
    <w:p>
      <w:pPr>
        <w:ind w:left="40"/>
        <w:spacing w:after="0" w:line="238" w:lineRule="auto"/>
        <w:rPr>
          <w:sz w:val="20"/>
          <w:szCs w:val="20"/>
          <w:color w:val="auto"/>
        </w:rPr>
      </w:pPr>
      <w:r>
        <w:rPr>
          <w:rFonts w:ascii="Courier New" w:cs="Courier New" w:eastAsia="Courier New" w:hAnsi="Courier New"/>
          <w:sz w:val="16"/>
          <w:szCs w:val="16"/>
          <w:color w:val="auto"/>
        </w:rPr>
        <w:t>----- ----------- --------- --</w:t>
      </w:r>
    </w:p>
    <w:p>
      <w:pPr>
        <w:ind w:left="180"/>
        <w:spacing w:after="0"/>
        <w:rPr>
          <w:sz w:val="20"/>
          <w:szCs w:val="20"/>
          <w:color w:val="auto"/>
        </w:rPr>
      </w:pPr>
      <w:r>
        <w:rPr>
          <w:rFonts w:ascii="Courier New" w:cs="Courier New" w:eastAsia="Courier New" w:hAnsi="Courier New"/>
          <w:sz w:val="16"/>
          <w:szCs w:val="16"/>
          <w:color w:val="auto"/>
        </w:rPr>
        <w:t>--------- --------- $4.96 -</w:t>
      </w:r>
    </w:p>
    <w:p>
      <w:pPr>
        <w:spacing w:after="0" w:line="237" w:lineRule="auto"/>
        <w:rPr>
          <w:sz w:val="20"/>
          <w:szCs w:val="20"/>
          <w:color w:val="auto"/>
        </w:rPr>
      </w:pPr>
      <w:r>
        <w:rPr>
          <w:rFonts w:ascii="Courier New" w:cs="Courier New" w:eastAsia="Courier New" w:hAnsi="Courier New"/>
          <w:sz w:val="16"/>
          <w:szCs w:val="16"/>
          <w:color w:val="auto"/>
        </w:rPr>
        <w:t>$6.04..........................</w:t>
      </w:r>
    </w:p>
    <w:p>
      <w:pPr>
        <w:jc w:val="center"/>
        <w:ind w:right="7319"/>
        <w:spacing w:after="0"/>
        <w:rPr>
          <w:sz w:val="20"/>
          <w:szCs w:val="20"/>
          <w:color w:val="auto"/>
        </w:rPr>
      </w:pPr>
      <w:r>
        <w:rPr>
          <w:rFonts w:ascii="Courier New" w:cs="Courier New" w:eastAsia="Courier New" w:hAnsi="Courier New"/>
          <w:sz w:val="16"/>
          <w:szCs w:val="16"/>
          <w:color w:val="auto"/>
        </w:rPr>
        <w:t>2,229 1 year $5.74 2,067 $5.71</w:t>
      </w:r>
    </w:p>
    <w:p>
      <w:pPr>
        <w:jc w:val="center"/>
        <w:ind w:right="7319"/>
        <w:spacing w:after="0" w:line="238" w:lineRule="auto"/>
        <w:rPr>
          <w:sz w:val="20"/>
          <w:szCs w:val="20"/>
          <w:color w:val="auto"/>
        </w:rPr>
      </w:pPr>
      <w:r>
        <w:rPr>
          <w:rFonts w:ascii="Courier New" w:cs="Courier New" w:eastAsia="Courier New" w:hAnsi="Courier New"/>
          <w:sz w:val="16"/>
          <w:szCs w:val="16"/>
          <w:color w:val="auto"/>
        </w:rPr>
        <w:t>$6.71 -</w:t>
      </w:r>
    </w:p>
    <w:p>
      <w:pPr>
        <w:spacing w:after="0"/>
        <w:rPr>
          <w:sz w:val="20"/>
          <w:szCs w:val="20"/>
          <w:color w:val="auto"/>
        </w:rPr>
      </w:pPr>
      <w:r>
        <w:rPr>
          <w:rFonts w:ascii="Courier New" w:cs="Courier New" w:eastAsia="Courier New" w:hAnsi="Courier New"/>
          <w:sz w:val="16"/>
          <w:szCs w:val="16"/>
          <w:color w:val="auto"/>
        </w:rPr>
        <w:t>$10.06.........................</w:t>
      </w:r>
    </w:p>
    <w:p>
      <w:pPr>
        <w:ind w:left="220"/>
        <w:spacing w:after="0" w:line="238" w:lineRule="auto"/>
        <w:rPr>
          <w:sz w:val="20"/>
          <w:szCs w:val="20"/>
          <w:color w:val="auto"/>
        </w:rPr>
      </w:pPr>
      <w:r>
        <w:rPr>
          <w:rFonts w:ascii="Courier New" w:cs="Courier New" w:eastAsia="Courier New" w:hAnsi="Courier New"/>
          <w:sz w:val="16"/>
          <w:szCs w:val="16"/>
          <w:color w:val="auto"/>
        </w:rPr>
        <w:t>7,095 3.3 years 8.70 4,829</w:t>
      </w:r>
    </w:p>
    <w:p>
      <w:pPr>
        <w:ind w:left="840"/>
        <w:spacing w:after="0"/>
        <w:rPr>
          <w:sz w:val="20"/>
          <w:szCs w:val="20"/>
          <w:color w:val="auto"/>
        </w:rPr>
      </w:pPr>
      <w:r>
        <w:rPr>
          <w:rFonts w:ascii="Courier New" w:cs="Courier New" w:eastAsia="Courier New" w:hAnsi="Courier New"/>
          <w:sz w:val="16"/>
          <w:szCs w:val="16"/>
          <w:color w:val="auto"/>
        </w:rPr>
        <w:t>8.95 $10.11 -</w:t>
      </w:r>
    </w:p>
    <w:p>
      <w:pPr>
        <w:ind w:left="40"/>
        <w:spacing w:after="0" w:line="237" w:lineRule="auto"/>
        <w:rPr>
          <w:sz w:val="20"/>
          <w:szCs w:val="20"/>
          <w:color w:val="auto"/>
        </w:rPr>
      </w:pPr>
      <w:r>
        <w:rPr>
          <w:rFonts w:ascii="Courier New" w:cs="Courier New" w:eastAsia="Courier New" w:hAnsi="Courier New"/>
          <w:sz w:val="16"/>
          <w:szCs w:val="16"/>
          <w:color w:val="auto"/>
        </w:rPr>
        <w:t>$14.94........................</w:t>
      </w:r>
    </w:p>
    <w:p>
      <w:pPr>
        <w:ind w:left="180"/>
        <w:spacing w:after="0"/>
        <w:rPr>
          <w:sz w:val="20"/>
          <w:szCs w:val="20"/>
          <w:color w:val="auto"/>
        </w:rPr>
      </w:pPr>
      <w:r>
        <w:rPr>
          <w:rFonts w:ascii="Courier New" w:cs="Courier New" w:eastAsia="Courier New" w:hAnsi="Courier New"/>
          <w:sz w:val="16"/>
          <w:szCs w:val="16"/>
          <w:color w:val="auto"/>
        </w:rPr>
        <w:t>4,267 4.9 years 13.13 2,428</w:t>
      </w:r>
    </w:p>
    <w:p>
      <w:pPr>
        <w:ind w:left="780"/>
        <w:spacing w:after="0" w:line="238" w:lineRule="auto"/>
        <w:rPr>
          <w:sz w:val="20"/>
          <w:szCs w:val="20"/>
          <w:color w:val="auto"/>
        </w:rPr>
      </w:pPr>
      <w:r>
        <w:rPr>
          <w:rFonts w:ascii="Courier New" w:cs="Courier New" w:eastAsia="Courier New" w:hAnsi="Courier New"/>
          <w:sz w:val="16"/>
          <w:szCs w:val="16"/>
          <w:color w:val="auto"/>
        </w:rPr>
        <w:t>13.04 $15.66 -</w:t>
      </w:r>
    </w:p>
    <w:p>
      <w:pPr>
        <w:ind w:left="40"/>
        <w:spacing w:after="0"/>
        <w:rPr>
          <w:sz w:val="20"/>
          <w:szCs w:val="20"/>
          <w:color w:val="auto"/>
        </w:rPr>
      </w:pPr>
      <w:r>
        <w:rPr>
          <w:rFonts w:ascii="Courier New" w:cs="Courier New" w:eastAsia="Courier New" w:hAnsi="Courier New"/>
          <w:sz w:val="16"/>
          <w:szCs w:val="16"/>
          <w:color w:val="auto"/>
        </w:rPr>
        <w:t>$22.88........................</w:t>
      </w:r>
    </w:p>
    <w:p>
      <w:pPr>
        <w:ind w:left="140"/>
        <w:spacing w:after="0" w:line="238" w:lineRule="auto"/>
        <w:rPr>
          <w:sz w:val="20"/>
          <w:szCs w:val="20"/>
          <w:color w:val="auto"/>
        </w:rPr>
      </w:pPr>
      <w:r>
        <w:rPr>
          <w:rFonts w:ascii="Courier New" w:cs="Courier New" w:eastAsia="Courier New" w:hAnsi="Courier New"/>
          <w:sz w:val="16"/>
          <w:szCs w:val="16"/>
          <w:color w:val="auto"/>
        </w:rPr>
        <w:t>10,490 6.4 years 17.01 4,809</w:t>
      </w:r>
    </w:p>
    <w:p>
      <w:pPr>
        <w:ind w:left="780"/>
        <w:spacing w:after="0"/>
        <w:rPr>
          <w:sz w:val="20"/>
          <w:szCs w:val="20"/>
          <w:color w:val="auto"/>
        </w:rPr>
      </w:pPr>
      <w:r>
        <w:rPr>
          <w:rFonts w:ascii="Courier New" w:cs="Courier New" w:eastAsia="Courier New" w:hAnsi="Courier New"/>
          <w:sz w:val="16"/>
          <w:szCs w:val="16"/>
          <w:color w:val="auto"/>
        </w:rPr>
        <w:t>17.01 $27.59 -</w:t>
      </w:r>
    </w:p>
    <w:p>
      <w:pPr>
        <w:ind w:left="40"/>
        <w:spacing w:after="0" w:line="237" w:lineRule="auto"/>
        <w:rPr>
          <w:sz w:val="20"/>
          <w:szCs w:val="20"/>
          <w:color w:val="auto"/>
        </w:rPr>
      </w:pPr>
      <w:r>
        <w:rPr>
          <w:rFonts w:ascii="Courier New" w:cs="Courier New" w:eastAsia="Courier New" w:hAnsi="Courier New"/>
          <w:sz w:val="16"/>
          <w:szCs w:val="16"/>
          <w:color w:val="auto"/>
        </w:rPr>
        <w:t>$34.48........................</w:t>
      </w:r>
    </w:p>
    <w:p>
      <w:pPr>
        <w:ind w:left="180"/>
        <w:spacing w:after="0"/>
        <w:rPr>
          <w:sz w:val="20"/>
          <w:szCs w:val="20"/>
          <w:color w:val="auto"/>
        </w:rPr>
      </w:pPr>
      <w:r>
        <w:rPr>
          <w:rFonts w:ascii="Courier New" w:cs="Courier New" w:eastAsia="Courier New" w:hAnsi="Courier New"/>
          <w:sz w:val="16"/>
          <w:szCs w:val="16"/>
          <w:color w:val="auto"/>
        </w:rPr>
        <w:t>6,112 7.4 years 32.29 2,042</w:t>
      </w:r>
    </w:p>
    <w:p>
      <w:pPr>
        <w:ind w:left="780"/>
        <w:spacing w:after="0" w:line="238" w:lineRule="auto"/>
        <w:rPr>
          <w:sz w:val="20"/>
          <w:szCs w:val="20"/>
          <w:color w:val="auto"/>
        </w:rPr>
      </w:pPr>
      <w:r>
        <w:rPr>
          <w:rFonts w:ascii="Courier New" w:cs="Courier New" w:eastAsia="Courier New" w:hAnsi="Courier New"/>
          <w:sz w:val="16"/>
          <w:szCs w:val="16"/>
          <w:color w:val="auto"/>
        </w:rPr>
        <w:t>31.96 $34.50 -</w:t>
      </w:r>
    </w:p>
    <w:p>
      <w:pPr>
        <w:ind w:left="40"/>
        <w:spacing w:after="0"/>
        <w:rPr>
          <w:sz w:val="20"/>
          <w:szCs w:val="20"/>
          <w:color w:val="auto"/>
        </w:rPr>
      </w:pPr>
      <w:r>
        <w:rPr>
          <w:rFonts w:ascii="Courier New" w:cs="Courier New" w:eastAsia="Courier New" w:hAnsi="Courier New"/>
          <w:sz w:val="16"/>
          <w:szCs w:val="16"/>
          <w:color w:val="auto"/>
        </w:rPr>
        <w:t>$41.38........................</w:t>
      </w:r>
    </w:p>
    <w:p>
      <w:pPr>
        <w:jc w:val="center"/>
        <w:ind w:right="7319"/>
        <w:spacing w:after="0" w:line="238" w:lineRule="auto"/>
        <w:rPr>
          <w:sz w:val="20"/>
          <w:szCs w:val="20"/>
          <w:color w:val="auto"/>
        </w:rPr>
      </w:pPr>
      <w:r>
        <w:rPr>
          <w:rFonts w:ascii="Courier New" w:cs="Courier New" w:eastAsia="Courier New" w:hAnsi="Courier New"/>
          <w:sz w:val="16"/>
          <w:szCs w:val="16"/>
          <w:color w:val="auto"/>
        </w:rPr>
        <w:t>21,745 8.9 years 37.78 490</w:t>
      </w:r>
    </w:p>
    <w:p>
      <w:pPr>
        <w:jc w:val="center"/>
        <w:ind w:right="7319"/>
        <w:spacing w:after="0"/>
        <w:rPr>
          <w:sz w:val="20"/>
          <w:szCs w:val="20"/>
          <w:color w:val="auto"/>
        </w:rPr>
      </w:pPr>
      <w:r>
        <w:rPr>
          <w:rFonts w:ascii="Courier New" w:cs="Courier New" w:eastAsia="Courier New" w:hAnsi="Courier New"/>
          <w:sz w:val="16"/>
          <w:szCs w:val="16"/>
          <w:color w:val="auto"/>
        </w:rPr>
        <w:t>38.52 $41.44 -</w:t>
      </w:r>
    </w:p>
    <w:p>
      <w:pPr>
        <w:ind w:left="40"/>
        <w:spacing w:after="0" w:line="237" w:lineRule="auto"/>
        <w:rPr>
          <w:sz w:val="20"/>
          <w:szCs w:val="20"/>
          <w:color w:val="auto"/>
        </w:rPr>
      </w:pPr>
      <w:r>
        <w:rPr>
          <w:rFonts w:ascii="Courier New" w:cs="Courier New" w:eastAsia="Courier New" w:hAnsi="Courier New"/>
          <w:sz w:val="16"/>
          <w:szCs w:val="16"/>
          <w:color w:val="auto"/>
        </w:rPr>
        <w:t>$53.13........................</w:t>
      </w:r>
    </w:p>
    <w:p>
      <w:pPr>
        <w:ind w:left="280"/>
        <w:spacing w:after="0"/>
        <w:rPr>
          <w:sz w:val="20"/>
          <w:szCs w:val="20"/>
          <w:color w:val="auto"/>
        </w:rPr>
      </w:pPr>
      <w:r>
        <w:rPr>
          <w:rFonts w:ascii="Courier New" w:cs="Courier New" w:eastAsia="Courier New" w:hAnsi="Courier New"/>
          <w:sz w:val="16"/>
          <w:szCs w:val="16"/>
          <w:color w:val="auto"/>
        </w:rPr>
        <w:t>3,583 8.3 years 46.05 227</w:t>
      </w:r>
    </w:p>
    <w:p>
      <w:pPr>
        <w:ind w:left="220"/>
        <w:spacing w:after="0" w:line="238" w:lineRule="auto"/>
        <w:rPr>
          <w:sz w:val="20"/>
          <w:szCs w:val="20"/>
          <w:color w:val="auto"/>
        </w:rPr>
      </w:pPr>
      <w:r>
        <w:rPr>
          <w:rFonts w:ascii="Courier New" w:cs="Courier New" w:eastAsia="Courier New" w:hAnsi="Courier New"/>
          <w:sz w:val="16"/>
          <w:szCs w:val="16"/>
          <w:color w:val="auto"/>
        </w:rPr>
        <w:t>45.71 ------ ------ 55,521</w:t>
      </w:r>
    </w:p>
    <w:p>
      <w:pPr>
        <w:ind w:left="500"/>
        <w:spacing w:after="0"/>
        <w:rPr>
          <w:sz w:val="20"/>
          <w:szCs w:val="20"/>
          <w:color w:val="auto"/>
        </w:rPr>
      </w:pPr>
      <w:r>
        <w:rPr>
          <w:rFonts w:ascii="Courier New" w:cs="Courier New" w:eastAsia="Courier New" w:hAnsi="Courier New"/>
          <w:sz w:val="16"/>
          <w:szCs w:val="16"/>
          <w:color w:val="auto"/>
        </w:rPr>
        <w:t>16,892 ====== ======</w:t>
      </w:r>
    </w:p>
    <w:p>
      <w:pPr>
        <w:spacing w:after="0" w:line="36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weighted-average fair value at date of grant of a Class A Special Common Stock option granted under the Comcast Option Plans during 2001, 2000 and 1999 was $19.07, $21.20 and $20.41, respectively. The fair value of each option granted during 2001, 2000 and 1999 was estimated on the date of grant using the Black-Scholes option-pricing model with the following weighted-average assumptions: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 ENDED DECEMBER 31, -----------------------</w:t>
      </w:r>
    </w:p>
    <w:p>
      <w:pPr>
        <w:jc w:val="center"/>
        <w:ind w:right="5459"/>
        <w:spacing w:after="0"/>
        <w:rPr>
          <w:sz w:val="20"/>
          <w:szCs w:val="20"/>
          <w:color w:val="auto"/>
        </w:rPr>
      </w:pPr>
      <w:r>
        <w:rPr>
          <w:rFonts w:ascii="Courier New" w:cs="Courier New" w:eastAsia="Courier New" w:hAnsi="Courier New"/>
          <w:sz w:val="16"/>
          <w:szCs w:val="16"/>
          <w:color w:val="auto"/>
        </w:rPr>
        <w:t>2001 2000 1999 ----- ----- ----- Dividend</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yield..............................................</w:t>
      </w:r>
    </w:p>
    <w:p>
      <w:pPr>
        <w:sectPr>
          <w:pgSz w:w="11900" w:h="16902" w:orient="portrait"/>
          <w:cols w:equalWidth="0" w:num="1">
            <w:col w:w="10219"/>
          </w:cols>
          <w:pgMar w:left="240" w:top="473" w:right="1440" w:bottom="0" w:gutter="0" w:footer="0" w:header="0"/>
        </w:sectPr>
      </w:pPr>
    </w:p>
    <w:bookmarkStart w:id="307" w:name="page308"/>
    <w:bookmarkEnd w:id="307"/>
    <w:p>
      <w:pPr>
        <w:jc w:val="center"/>
        <w:ind w:right="5439"/>
        <w:spacing w:after="0"/>
        <w:rPr>
          <w:sz w:val="20"/>
          <w:szCs w:val="20"/>
          <w:color w:val="auto"/>
        </w:rPr>
      </w:pPr>
      <w:r>
        <w:rPr>
          <w:rFonts w:ascii="Courier New" w:cs="Courier New" w:eastAsia="Courier New" w:hAnsi="Courier New"/>
          <w:sz w:val="16"/>
          <w:szCs w:val="16"/>
          <w:color w:val="auto"/>
        </w:rPr>
        <w:t>0% 0% 0% Expected</w:t>
      </w:r>
    </w:p>
    <w:p>
      <w:pPr>
        <w:spacing w:after="0" w:line="4"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volatility.........................................</w:t>
      </w:r>
    </w:p>
    <w:p>
      <w:pPr>
        <w:spacing w:after="0" w:line="5"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35.7% 35.8% 36.1% Risk-free interest</w:t>
      </w:r>
    </w:p>
    <w:p>
      <w:pPr>
        <w:jc w:val="center"/>
        <w:ind w:right="5439"/>
        <w:spacing w:after="0"/>
        <w:rPr>
          <w:sz w:val="20"/>
          <w:szCs w:val="20"/>
          <w:color w:val="auto"/>
        </w:rPr>
      </w:pPr>
      <w:r>
        <w:rPr>
          <w:rFonts w:ascii="Courier New" w:cs="Courier New" w:eastAsia="Courier New" w:hAnsi="Courier New"/>
          <w:sz w:val="16"/>
          <w:szCs w:val="16"/>
          <w:color w:val="auto"/>
        </w:rPr>
        <w:t>rate..................................... 5.1%</w:t>
      </w:r>
    </w:p>
    <w:p>
      <w:pPr>
        <w:jc w:val="center"/>
        <w:ind w:right="5459"/>
        <w:spacing w:after="0" w:line="237" w:lineRule="auto"/>
        <w:rPr>
          <w:sz w:val="20"/>
          <w:szCs w:val="20"/>
          <w:color w:val="auto"/>
        </w:rPr>
      </w:pPr>
      <w:r>
        <w:rPr>
          <w:rFonts w:ascii="Courier New" w:cs="Courier New" w:eastAsia="Courier New" w:hAnsi="Courier New"/>
          <w:sz w:val="16"/>
          <w:szCs w:val="16"/>
          <w:color w:val="auto"/>
        </w:rPr>
        <w:t>6.3% 5.8% Expected option lives (in</w:t>
      </w:r>
    </w:p>
    <w:p>
      <w:pPr>
        <w:jc w:val="center"/>
        <w:ind w:right="5439"/>
        <w:spacing w:after="0"/>
        <w:rPr>
          <w:sz w:val="20"/>
          <w:szCs w:val="20"/>
          <w:color w:val="auto"/>
        </w:rPr>
      </w:pPr>
      <w:r>
        <w:rPr>
          <w:rFonts w:ascii="Courier New" w:cs="Courier New" w:eastAsia="Courier New" w:hAnsi="Courier New"/>
          <w:sz w:val="16"/>
          <w:szCs w:val="16"/>
          <w:color w:val="auto"/>
        </w:rPr>
        <w:t>years)............................ 8.0 8.0 9.9</w:t>
      </w:r>
    </w:p>
    <w:p>
      <w:pPr>
        <w:jc w:val="center"/>
        <w:ind w:right="5439"/>
        <w:spacing w:after="0" w:line="238" w:lineRule="auto"/>
        <w:rPr>
          <w:sz w:val="20"/>
          <w:szCs w:val="20"/>
          <w:color w:val="auto"/>
        </w:rPr>
      </w:pPr>
      <w:r>
        <w:rPr>
          <w:rFonts w:ascii="Courier New" w:cs="Courier New" w:eastAsia="Courier New" w:hAnsi="Courier New"/>
          <w:sz w:val="16"/>
          <w:szCs w:val="16"/>
          <w:color w:val="auto"/>
        </w:rPr>
        <w:t>Forfeiture</w:t>
      </w:r>
    </w:p>
    <w:p>
      <w:pPr>
        <w:jc w:val="center"/>
        <w:ind w:right="5459"/>
        <w:spacing w:after="0"/>
        <w:rPr>
          <w:sz w:val="20"/>
          <w:szCs w:val="20"/>
          <w:color w:val="auto"/>
        </w:rPr>
      </w:pPr>
      <w:r>
        <w:rPr>
          <w:rFonts w:ascii="Courier New" w:cs="Courier New" w:eastAsia="Courier New" w:hAnsi="Courier New"/>
          <w:sz w:val="16"/>
          <w:szCs w:val="16"/>
          <w:color w:val="auto"/>
        </w:rPr>
        <w:t>rate.............................................</w:t>
      </w:r>
    </w:p>
    <w:p>
      <w:pPr>
        <w:jc w:val="center"/>
        <w:ind w:right="5459"/>
        <w:spacing w:after="0" w:line="238" w:lineRule="auto"/>
        <w:rPr>
          <w:sz w:val="20"/>
          <w:szCs w:val="20"/>
          <w:color w:val="auto"/>
        </w:rPr>
      </w:pPr>
      <w:r>
        <w:rPr>
          <w:rFonts w:ascii="Courier New" w:cs="Courier New" w:eastAsia="Courier New" w:hAnsi="Courier New"/>
          <w:sz w:val="16"/>
          <w:szCs w:val="16"/>
          <w:color w:val="auto"/>
        </w:rPr>
        <w:t>3.0% 3.0% 3.0%</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Subsidiary Option Plans. Certain of the Company's subsidiaries maintain qualified and nonqualified combination stock option/stock appreciation rights ("SAR") plans (collectively, the "Tandem Plans") for employees, officers, directors and other designated persons. Under the Tandem Plans, the option price is generally not less than the fair value, as determined by an independent appraisal, of a share of the</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F-117</w:t>
      </w:r>
    </w:p>
    <w:p>
      <w:pPr>
        <w:sectPr>
          <w:pgSz w:w="11900" w:h="16838" w:orient="portrait"/>
          <w:cols w:equalWidth="0" w:num="1">
            <w:col w:w="10219"/>
          </w:cols>
          <w:pgMar w:left="240" w:top="136" w:right="1440" w:bottom="1440" w:gutter="0" w:footer="0" w:header="0"/>
        </w:sectPr>
      </w:pPr>
    </w:p>
    <w:bookmarkStart w:id="308" w:name="page309"/>
    <w:bookmarkEnd w:id="308"/>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Option holders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187" w:lineRule="exact"/>
        <w:rPr>
          <w:sz w:val="20"/>
          <w:szCs w:val="20"/>
          <w:color w:val="auto"/>
        </w:rPr>
      </w:pPr>
    </w:p>
    <w:p>
      <w:pPr>
        <w:ind w:right="3379" w:firstLine="469"/>
        <w:spacing w:after="0" w:line="237" w:lineRule="auto"/>
        <w:rPr>
          <w:sz w:val="20"/>
          <w:szCs w:val="20"/>
          <w:color w:val="auto"/>
        </w:rPr>
      </w:pPr>
      <w:r>
        <w:rPr>
          <w:rFonts w:ascii="Courier New" w:cs="Courier New" w:eastAsia="Courier New" w:hAnsi="Courier New"/>
          <w:sz w:val="16"/>
          <w:szCs w:val="16"/>
          <w:color w:val="auto"/>
        </w:rPr>
        <w:t>The QVC Tandem Plan is the most significant of the Tandem Plans. The following table summarizes information related to the QVC Tandem Plan (options/SARs in thousands):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w:t>
      </w:r>
    </w:p>
    <w:p>
      <w:pPr>
        <w:ind w:left="40"/>
        <w:spacing w:after="0"/>
        <w:rPr>
          <w:sz w:val="20"/>
          <w:szCs w:val="20"/>
          <w:color w:val="auto"/>
        </w:rPr>
      </w:pPr>
      <w:r>
        <w:rPr>
          <w:rFonts w:ascii="Courier New" w:cs="Courier New" w:eastAsia="Courier New" w:hAnsi="Courier New"/>
          <w:sz w:val="16"/>
          <w:szCs w:val="16"/>
          <w:color w:val="auto"/>
        </w:rPr>
        <w:t>------------ 2001 2000 1999 ---</w:t>
      </w:r>
    </w:p>
    <w:p>
      <w:pPr>
        <w:ind w:left="1020" w:hanging="465"/>
        <w:spacing w:after="0" w:line="237" w:lineRule="auto"/>
        <w:tabs>
          <w:tab w:leader="none" w:pos="1020"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Options/SARs outstanding at end</w:t>
      </w:r>
    </w:p>
    <w:tbl>
      <w:tblPr>
        <w:tblLayout w:type="fixed"/>
        <w:tblInd w:w="180" w:type="dxa"/>
        <w:tblCellMar>
          <w:top w:w="0" w:type="dxa"/>
          <w:left w:w="0" w:type="dxa"/>
          <w:bottom w:w="0" w:type="dxa"/>
          <w:right w:w="0" w:type="dxa"/>
        </w:tblCellMar>
      </w:tblPr>
      <w:tr>
        <w:trPr>
          <w:trHeight w:val="179"/>
        </w:trPr>
        <w:tc>
          <w:tcPr>
            <w:tcW w:w="23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of year.................</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253</w:t>
            </w:r>
          </w:p>
        </w:tc>
      </w:tr>
    </w:tbl>
    <w:p>
      <w:pPr>
        <w:ind w:left="40"/>
        <w:spacing w:after="0"/>
        <w:rPr>
          <w:sz w:val="20"/>
          <w:szCs w:val="20"/>
          <w:color w:val="auto"/>
        </w:rPr>
      </w:pPr>
      <w:r>
        <w:rPr>
          <w:rFonts w:ascii="Courier New" w:cs="Courier New" w:eastAsia="Courier New" w:hAnsi="Courier New"/>
          <w:sz w:val="16"/>
          <w:szCs w:val="16"/>
          <w:color w:val="auto"/>
        </w:rPr>
        <w:t>219 200 ======= ======= =======</w:t>
      </w:r>
    </w:p>
    <w:p>
      <w:pPr>
        <w:ind w:left="40"/>
        <w:spacing w:after="0" w:line="237" w:lineRule="auto"/>
        <w:rPr>
          <w:sz w:val="20"/>
          <w:szCs w:val="20"/>
          <w:color w:val="auto"/>
        </w:rPr>
      </w:pPr>
      <w:r>
        <w:rPr>
          <w:rFonts w:ascii="Courier New" w:cs="Courier New" w:eastAsia="Courier New" w:hAnsi="Courier New"/>
          <w:sz w:val="16"/>
          <w:szCs w:val="16"/>
          <w:color w:val="auto"/>
        </w:rPr>
        <w:t>Weighted-average exercise price</w:t>
      </w:r>
    </w:p>
    <w:p>
      <w:pPr>
        <w:ind w:left="80"/>
        <w:spacing w:after="0"/>
        <w:rPr>
          <w:sz w:val="20"/>
          <w:szCs w:val="20"/>
          <w:color w:val="auto"/>
        </w:rPr>
      </w:pPr>
      <w:r>
        <w:rPr>
          <w:rFonts w:ascii="Courier New" w:cs="Courier New" w:eastAsia="Courier New" w:hAnsi="Courier New"/>
          <w:sz w:val="16"/>
          <w:szCs w:val="16"/>
          <w:color w:val="auto"/>
        </w:rPr>
        <w:t>of options/SARs outstanding at</w:t>
      </w:r>
    </w:p>
    <w:p>
      <w:pPr>
        <w:jc w:val="center"/>
        <w:ind w:right="7219"/>
        <w:spacing w:after="0" w:line="238" w:lineRule="auto"/>
        <w:rPr>
          <w:sz w:val="20"/>
          <w:szCs w:val="20"/>
          <w:color w:val="auto"/>
        </w:rPr>
      </w:pPr>
      <w:r>
        <w:rPr>
          <w:rFonts w:ascii="Courier New" w:cs="Courier New" w:eastAsia="Courier New" w:hAnsi="Courier New"/>
          <w:sz w:val="16"/>
          <w:szCs w:val="16"/>
          <w:color w:val="auto"/>
        </w:rPr>
        <w:t>end of</w:t>
      </w:r>
    </w:p>
    <w:p>
      <w:pPr>
        <w:spacing w:after="0" w:line="4" w:lineRule="exact"/>
        <w:rPr>
          <w:sz w:val="20"/>
          <w:szCs w:val="20"/>
          <w:color w:val="auto"/>
        </w:rPr>
      </w:pPr>
    </w:p>
    <w:p>
      <w:pPr>
        <w:jc w:val="center"/>
        <w:ind w:right="7219"/>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jc w:val="center"/>
        <w:ind w:right="7219"/>
        <w:spacing w:after="0"/>
        <w:rPr>
          <w:sz w:val="20"/>
          <w:szCs w:val="20"/>
          <w:color w:val="auto"/>
        </w:rPr>
      </w:pPr>
      <w:r>
        <w:rPr>
          <w:rFonts w:ascii="Courier New" w:cs="Courier New" w:eastAsia="Courier New" w:hAnsi="Courier New"/>
          <w:sz w:val="16"/>
          <w:szCs w:val="16"/>
          <w:color w:val="auto"/>
        </w:rPr>
        <w:t>$913.88 $789.51 $618.02 =======</w:t>
      </w:r>
    </w:p>
    <w:p>
      <w:pPr>
        <w:jc w:val="center"/>
        <w:ind w:right="7219"/>
        <w:spacing w:after="0"/>
        <w:rPr>
          <w:sz w:val="20"/>
          <w:szCs w:val="20"/>
          <w:color w:val="auto"/>
        </w:rPr>
      </w:pPr>
      <w:r>
        <w:rPr>
          <w:rFonts w:ascii="Courier New" w:cs="Courier New" w:eastAsia="Courier New" w:hAnsi="Courier New"/>
          <w:sz w:val="16"/>
          <w:szCs w:val="16"/>
          <w:color w:val="auto"/>
        </w:rPr>
        <w:t>======= ======= Options/SARs</w:t>
      </w:r>
    </w:p>
    <w:p>
      <w:pPr>
        <w:jc w:val="center"/>
        <w:ind w:right="7219"/>
        <w:spacing w:after="0" w:line="237" w:lineRule="auto"/>
        <w:rPr>
          <w:sz w:val="20"/>
          <w:szCs w:val="20"/>
          <w:color w:val="auto"/>
        </w:rPr>
      </w:pPr>
      <w:r>
        <w:rPr>
          <w:rFonts w:ascii="Courier New" w:cs="Courier New" w:eastAsia="Courier New" w:hAnsi="Courier New"/>
          <w:sz w:val="16"/>
          <w:szCs w:val="16"/>
          <w:color w:val="auto"/>
        </w:rPr>
        <w:t>exercisable at end of</w:t>
      </w:r>
    </w:p>
    <w:p>
      <w:pPr>
        <w:jc w:val="center"/>
        <w:ind w:right="7219"/>
        <w:spacing w:after="0"/>
        <w:rPr>
          <w:sz w:val="20"/>
          <w:szCs w:val="20"/>
          <w:color w:val="auto"/>
        </w:rPr>
      </w:pPr>
      <w:r>
        <w:rPr>
          <w:rFonts w:ascii="Courier New" w:cs="Courier New" w:eastAsia="Courier New" w:hAnsi="Courier New"/>
          <w:sz w:val="16"/>
          <w:szCs w:val="16"/>
          <w:color w:val="auto"/>
        </w:rPr>
        <w:t>year................. 113 79 80</w:t>
      </w:r>
    </w:p>
    <w:p>
      <w:pPr>
        <w:jc w:val="center"/>
        <w:ind w:right="7219"/>
        <w:spacing w:after="0" w:line="238" w:lineRule="auto"/>
        <w:rPr>
          <w:sz w:val="20"/>
          <w:szCs w:val="20"/>
          <w:color w:val="auto"/>
        </w:rPr>
      </w:pPr>
      <w:r>
        <w:rPr>
          <w:rFonts w:ascii="Courier New" w:cs="Courier New" w:eastAsia="Courier New" w:hAnsi="Courier New"/>
          <w:sz w:val="16"/>
          <w:szCs w:val="16"/>
          <w:color w:val="auto"/>
        </w:rPr>
        <w:t>======= ======= =======</w:t>
      </w:r>
    </w:p>
    <w:p>
      <w:pPr>
        <w:jc w:val="center"/>
        <w:ind w:right="7239"/>
        <w:spacing w:after="0"/>
        <w:rPr>
          <w:sz w:val="20"/>
          <w:szCs w:val="20"/>
          <w:color w:val="auto"/>
        </w:rPr>
      </w:pPr>
      <w:r>
        <w:rPr>
          <w:rFonts w:ascii="Courier New" w:cs="Courier New" w:eastAsia="Courier New" w:hAnsi="Courier New"/>
          <w:sz w:val="16"/>
          <w:szCs w:val="16"/>
          <w:color w:val="auto"/>
        </w:rPr>
        <w:t>Weighted-average exercise price</w:t>
      </w:r>
    </w:p>
    <w:p>
      <w:pPr>
        <w:jc w:val="center"/>
        <w:ind w:right="7219"/>
        <w:spacing w:after="0" w:line="238" w:lineRule="auto"/>
        <w:rPr>
          <w:sz w:val="20"/>
          <w:szCs w:val="20"/>
          <w:color w:val="auto"/>
        </w:rPr>
      </w:pPr>
      <w:r>
        <w:rPr>
          <w:rFonts w:ascii="Courier New" w:cs="Courier New" w:eastAsia="Courier New" w:hAnsi="Courier New"/>
          <w:sz w:val="16"/>
          <w:szCs w:val="16"/>
          <w:color w:val="auto"/>
        </w:rPr>
        <w:t>of options/SARs exercisable at</w:t>
      </w:r>
    </w:p>
    <w:p>
      <w:pPr>
        <w:jc w:val="center"/>
        <w:ind w:right="7219"/>
        <w:spacing w:after="0"/>
        <w:rPr>
          <w:sz w:val="20"/>
          <w:szCs w:val="20"/>
          <w:color w:val="auto"/>
        </w:rPr>
      </w:pPr>
      <w:r>
        <w:rPr>
          <w:rFonts w:ascii="Courier New" w:cs="Courier New" w:eastAsia="Courier New" w:hAnsi="Courier New"/>
          <w:sz w:val="16"/>
          <w:szCs w:val="16"/>
          <w:color w:val="auto"/>
        </w:rPr>
        <w:t>end of</w:t>
      </w:r>
    </w:p>
    <w:p>
      <w:pPr>
        <w:spacing w:after="0" w:line="3" w:lineRule="exact"/>
        <w:rPr>
          <w:sz w:val="20"/>
          <w:szCs w:val="20"/>
          <w:color w:val="auto"/>
        </w:rPr>
      </w:pPr>
    </w:p>
    <w:p>
      <w:pPr>
        <w:jc w:val="center"/>
        <w:ind w:right="7219"/>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jc w:val="center"/>
        <w:ind w:right="7219"/>
        <w:spacing w:after="0"/>
        <w:rPr>
          <w:sz w:val="20"/>
          <w:szCs w:val="20"/>
          <w:color w:val="auto"/>
        </w:rPr>
      </w:pPr>
      <w:r>
        <w:rPr>
          <w:rFonts w:ascii="Courier New" w:cs="Courier New" w:eastAsia="Courier New" w:hAnsi="Courier New"/>
          <w:sz w:val="16"/>
          <w:szCs w:val="16"/>
          <w:color w:val="auto"/>
        </w:rPr>
        <w:t>$706.51 $606.92 $505.86 =======</w:t>
      </w:r>
    </w:p>
    <w:p>
      <w:pPr>
        <w:jc w:val="center"/>
        <w:ind w:right="7219"/>
        <w:spacing w:after="0"/>
        <w:rPr>
          <w:sz w:val="20"/>
          <w:szCs w:val="20"/>
          <w:color w:val="auto"/>
        </w:rPr>
      </w:pPr>
      <w:r>
        <w:rPr>
          <w:rFonts w:ascii="Courier New" w:cs="Courier New" w:eastAsia="Courier New" w:hAnsi="Courier New"/>
          <w:sz w:val="16"/>
          <w:szCs w:val="16"/>
          <w:color w:val="auto"/>
        </w:rPr>
        <w:t>======= =======</w:t>
      </w:r>
    </w:p>
    <w:p>
      <w:pPr>
        <w:spacing w:after="0" w:line="364"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As of the latest valuation date, the fair value of a share of QVC Common Stock was $1,492.00.</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Had compensation expense for the Company's aforementioned stock-based compensation plans been determined based on the fair value at the grant dates for awards under those plans under the provisions of SFAS No. 123, the Company's net income and net income per share would have changed to the pro forma amounts indicated below (dollars in millions, except per share data):</w:t>
      </w:r>
    </w:p>
    <w:p>
      <w:pPr>
        <w:spacing w:after="0" w:line="18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0" w:type="dxa"/>
        <w:tblCellMar>
          <w:top w:w="0" w:type="dxa"/>
          <w:left w:w="0" w:type="dxa"/>
          <w:bottom w:w="0" w:type="dxa"/>
          <w:right w:w="0" w:type="dxa"/>
        </w:tblCellMar>
      </w:tblPr>
      <w:tr>
        <w:trPr>
          <w:trHeight w:val="180"/>
        </w:trPr>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-- 2001 2000 1999 ------</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w w:val="95"/>
              </w:rPr>
              <w:t>-------- Net</w:t>
            </w:r>
          </w:p>
        </w:tc>
      </w:tr>
      <w:tr>
        <w:trPr>
          <w:trHeight w:val="180"/>
        </w:trPr>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gridSpan w:val="2"/>
          </w:tcPr>
          <w:p>
            <w:pPr>
              <w:jc w:val="center"/>
              <w:ind w:right="142"/>
              <w:spacing w:after="0"/>
              <w:rPr>
                <w:sz w:val="20"/>
                <w:szCs w:val="20"/>
                <w:color w:val="auto"/>
              </w:rPr>
            </w:pPr>
            <w:r>
              <w:rPr>
                <w:rFonts w:ascii="Courier New" w:cs="Courier New" w:eastAsia="Courier New" w:hAnsi="Courier New"/>
                <w:sz w:val="16"/>
                <w:szCs w:val="16"/>
                <w:color w:val="auto"/>
                <w:w w:val="97"/>
              </w:rPr>
              <w:t>income: As</w:t>
            </w:r>
          </w:p>
        </w:tc>
        <w:tc>
          <w:tcPr>
            <w:tcW w:w="1180" w:type="dxa"/>
            <w:vAlign w:val="bottom"/>
          </w:tcPr>
          <w:p>
            <w:pPr>
              <w:spacing w:after="0"/>
              <w:rPr>
                <w:sz w:val="15"/>
                <w:szCs w:val="15"/>
                <w:color w:val="auto"/>
              </w:rPr>
            </w:pP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reported...........................................</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$608.6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$2,021.5</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$1,065.7</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Pro</w:t>
            </w: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forma.............................................</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80" w:type="dxa"/>
            <w:vAlign w:val="bottom"/>
          </w:tcPr>
          <w:p>
            <w:pPr>
              <w:jc w:val="right"/>
              <w:ind w:right="49"/>
              <w:spacing w:after="0"/>
              <w:rPr>
                <w:sz w:val="20"/>
                <w:szCs w:val="20"/>
                <w:color w:val="auto"/>
              </w:rPr>
            </w:pPr>
            <w:r>
              <w:rPr>
                <w:rFonts w:ascii="Courier New" w:cs="Courier New" w:eastAsia="Courier New" w:hAnsi="Courier New"/>
                <w:sz w:val="16"/>
                <w:szCs w:val="16"/>
                <w:color w:val="auto"/>
              </w:rPr>
              <w:t>$482.0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$1,918.1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$1,005.5</w:t>
            </w:r>
          </w:p>
        </w:tc>
        <w:tc>
          <w:tcPr>
            <w:tcW w:w="20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Net income for common</w:t>
            </w:r>
          </w:p>
        </w:tc>
      </w:tr>
      <w:tr>
        <w:trPr>
          <w:trHeight w:val="180"/>
        </w:trPr>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gridSpan w:val="2"/>
          </w:tcPr>
          <w:p>
            <w:pPr>
              <w:jc w:val="center"/>
              <w:ind w:right="142"/>
              <w:spacing w:after="0"/>
              <w:rPr>
                <w:sz w:val="20"/>
                <w:szCs w:val="20"/>
                <w:color w:val="auto"/>
              </w:rPr>
            </w:pPr>
            <w:r>
              <w:rPr>
                <w:rFonts w:ascii="Courier New" w:cs="Courier New" w:eastAsia="Courier New" w:hAnsi="Courier New"/>
                <w:sz w:val="16"/>
                <w:szCs w:val="16"/>
                <w:color w:val="auto"/>
                <w:w w:val="97"/>
              </w:rPr>
              <w:t>stockholders: As</w:t>
            </w:r>
          </w:p>
        </w:tc>
        <w:tc>
          <w:tcPr>
            <w:tcW w:w="1180" w:type="dxa"/>
            <w:vAlign w:val="bottom"/>
          </w:tcPr>
          <w:p>
            <w:pPr>
              <w:spacing w:after="0"/>
              <w:rPr>
                <w:sz w:val="15"/>
                <w:szCs w:val="15"/>
                <w:color w:val="auto"/>
              </w:rPr>
            </w:pPr>
          </w:p>
        </w:tc>
      </w:t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reported...........................................</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$608.6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$1,998.0</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$1,036.0</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Pro</w:t>
            </w:r>
          </w:p>
        </w:tc>
      </w:tr>
    </w:tbl>
    <w:p>
      <w:pPr>
        <w:ind w:left="40"/>
        <w:spacing w:after="0"/>
        <w:rPr>
          <w:sz w:val="20"/>
          <w:szCs w:val="20"/>
          <w:color w:val="auto"/>
        </w:rPr>
      </w:pPr>
      <w:r>
        <w:rPr>
          <w:rFonts w:ascii="Courier New" w:cs="Courier New" w:eastAsia="Courier New" w:hAnsi="Courier New"/>
          <w:sz w:val="16"/>
          <w:szCs w:val="16"/>
          <w:color w:val="auto"/>
        </w:rPr>
        <w:t>forma.............................................</w:t>
      </w:r>
    </w:p>
    <w:p>
      <w:pPr>
        <w:jc w:val="center"/>
        <w:ind w:right="5459"/>
        <w:spacing w:after="0" w:line="237" w:lineRule="auto"/>
        <w:rPr>
          <w:sz w:val="20"/>
          <w:szCs w:val="20"/>
          <w:color w:val="auto"/>
        </w:rPr>
      </w:pPr>
      <w:r>
        <w:rPr>
          <w:rFonts w:ascii="Courier New" w:cs="Courier New" w:eastAsia="Courier New" w:hAnsi="Courier New"/>
          <w:sz w:val="16"/>
          <w:szCs w:val="16"/>
          <w:color w:val="auto"/>
        </w:rPr>
        <w:t>$482.0 $1,894.6 $ 975.8 Basic earnings for common</w:t>
      </w:r>
    </w:p>
    <w:p>
      <w:pPr>
        <w:jc w:val="center"/>
        <w:ind w:right="5439"/>
        <w:spacing w:after="0"/>
        <w:rPr>
          <w:sz w:val="20"/>
          <w:szCs w:val="20"/>
          <w:color w:val="auto"/>
        </w:rPr>
      </w:pPr>
      <w:r>
        <w:rPr>
          <w:rFonts w:ascii="Courier New" w:cs="Courier New" w:eastAsia="Courier New" w:hAnsi="Courier New"/>
          <w:sz w:val="16"/>
          <w:szCs w:val="16"/>
          <w:color w:val="auto"/>
        </w:rPr>
        <w:t>stockholders per common share: As</w:t>
      </w:r>
    </w:p>
    <w:p>
      <w:pPr>
        <w:spacing w:after="0" w:line="238" w:lineRule="auto"/>
        <w:rPr>
          <w:sz w:val="20"/>
          <w:szCs w:val="20"/>
          <w:color w:val="auto"/>
        </w:rPr>
      </w:pPr>
      <w:r>
        <w:rPr>
          <w:rFonts w:ascii="Courier New" w:cs="Courier New" w:eastAsia="Courier New" w:hAnsi="Courier New"/>
          <w:sz w:val="16"/>
          <w:szCs w:val="16"/>
          <w:color w:val="auto"/>
        </w:rPr>
        <w:t>reported...........................................</w:t>
      </w:r>
    </w:p>
    <w:p>
      <w:pPr>
        <w:jc w:val="center"/>
        <w:ind w:right="5459"/>
        <w:spacing w:after="0"/>
        <w:rPr>
          <w:sz w:val="20"/>
          <w:szCs w:val="20"/>
          <w:color w:val="auto"/>
        </w:rPr>
      </w:pPr>
      <w:r>
        <w:rPr>
          <w:rFonts w:ascii="Courier New" w:cs="Courier New" w:eastAsia="Courier New" w:hAnsi="Courier New"/>
          <w:sz w:val="16"/>
          <w:szCs w:val="16"/>
          <w:color w:val="auto"/>
        </w:rPr>
        <w:t>$ 0.64 $ 2.24 $ 1.38 Pro</w:t>
      </w:r>
    </w:p>
    <w:p>
      <w:pPr>
        <w:ind w:left="40"/>
        <w:spacing w:after="0" w:line="238" w:lineRule="auto"/>
        <w:rPr>
          <w:sz w:val="20"/>
          <w:szCs w:val="20"/>
          <w:color w:val="auto"/>
        </w:rPr>
      </w:pPr>
      <w:r>
        <w:rPr>
          <w:rFonts w:ascii="Courier New" w:cs="Courier New" w:eastAsia="Courier New" w:hAnsi="Courier New"/>
          <w:sz w:val="16"/>
          <w:szCs w:val="16"/>
          <w:color w:val="auto"/>
        </w:rPr>
        <w:t>forma.............................................</w:t>
      </w:r>
    </w:p>
    <w:p>
      <w:pPr>
        <w:spacing w:after="0" w:line="4" w:lineRule="exact"/>
        <w:rPr>
          <w:sz w:val="20"/>
          <w:szCs w:val="20"/>
          <w:color w:val="auto"/>
        </w:rPr>
      </w:pPr>
    </w:p>
    <w:p>
      <w:pPr>
        <w:ind w:left="840" w:right="5579" w:hanging="708"/>
        <w:spacing w:after="0" w:line="254" w:lineRule="auto"/>
        <w:tabs>
          <w:tab w:leader="none" w:pos="324"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0.51 $ 2.13 $ 1.30 Diluted earnings for common stockholders per common share: As</w:t>
      </w:r>
    </w:p>
    <w:p>
      <w:pPr>
        <w:spacing w:after="0" w:line="234" w:lineRule="auto"/>
        <w:rPr>
          <w:sz w:val="20"/>
          <w:szCs w:val="20"/>
          <w:color w:val="auto"/>
        </w:rPr>
      </w:pPr>
      <w:r>
        <w:rPr>
          <w:rFonts w:ascii="Courier New" w:cs="Courier New" w:eastAsia="Courier New" w:hAnsi="Courier New"/>
          <w:sz w:val="16"/>
          <w:szCs w:val="16"/>
          <w:color w:val="auto"/>
        </w:rPr>
        <w:t>reported...........................................</w:t>
      </w:r>
    </w:p>
    <w:p>
      <w:pPr>
        <w:jc w:val="center"/>
        <w:ind w:right="5459"/>
        <w:spacing w:after="0"/>
        <w:rPr>
          <w:sz w:val="20"/>
          <w:szCs w:val="20"/>
          <w:color w:val="auto"/>
        </w:rPr>
      </w:pPr>
      <w:r>
        <w:rPr>
          <w:rFonts w:ascii="Courier New" w:cs="Courier New" w:eastAsia="Courier New" w:hAnsi="Courier New"/>
          <w:sz w:val="16"/>
          <w:szCs w:val="16"/>
          <w:color w:val="auto"/>
        </w:rPr>
        <w:t>$ 0.63 $ 2.13 $ 1.30 Pro</w:t>
      </w:r>
    </w:p>
    <w:p>
      <w:pPr>
        <w:ind w:left="40"/>
        <w:spacing w:after="0" w:line="238" w:lineRule="auto"/>
        <w:rPr>
          <w:sz w:val="20"/>
          <w:szCs w:val="20"/>
          <w:color w:val="auto"/>
        </w:rPr>
      </w:pPr>
      <w:r>
        <w:rPr>
          <w:rFonts w:ascii="Courier New" w:cs="Courier New" w:eastAsia="Courier New" w:hAnsi="Courier New"/>
          <w:sz w:val="16"/>
          <w:szCs w:val="16"/>
          <w:color w:val="auto"/>
        </w:rPr>
        <w:t>forma.............................................</w:t>
      </w:r>
    </w:p>
    <w:p>
      <w:pPr>
        <w:ind w:left="1440"/>
        <w:spacing w:after="0"/>
        <w:rPr>
          <w:sz w:val="20"/>
          <w:szCs w:val="20"/>
          <w:color w:val="auto"/>
        </w:rPr>
      </w:pPr>
      <w:r>
        <w:rPr>
          <w:rFonts w:ascii="Courier New" w:cs="Courier New" w:eastAsia="Courier New" w:hAnsi="Courier New"/>
          <w:sz w:val="16"/>
          <w:szCs w:val="16"/>
          <w:color w:val="auto"/>
        </w:rPr>
        <w:t>$ 0.50 $ 2.02 $ 1.23</w:t>
      </w:r>
    </w:p>
    <w:p>
      <w:pPr>
        <w:spacing w:after="0" w:line="36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pro forma effect on net income and net income per share for the years ended December 31, 2001, 2000 and 1999 by applying SFAS No. 123 may not be indicative of the pro forma effect on net income or loss in future years since SFAS No. 123 does not take into consideration pro forma</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F-118</w:t>
      </w:r>
    </w:p>
    <w:p>
      <w:pPr>
        <w:sectPr>
          <w:pgSz w:w="11900" w:h="16838" w:orient="portrait"/>
          <w:cols w:equalWidth="0" w:num="1">
            <w:col w:w="10219"/>
          </w:cols>
          <w:pgMar w:left="240" w:top="473" w:right="1440" w:bottom="1009" w:gutter="0" w:footer="0" w:header="0"/>
        </w:sectPr>
      </w:pPr>
    </w:p>
    <w:bookmarkStart w:id="309" w:name="page310"/>
    <w:bookmarkEnd w:id="309"/>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compensation expense related to awards made prior to January 1, 1995 and since additional awards in future years are anticipated.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STOCK-BASED COMPENSATION PLANS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maintains a restricted stock plan under which management employees may be granted restricted shares of the Company's Class A Special Common Stock (the "Restricted Stock Plan"). The shares awarded vest annually, generally over a period not to exceed five years from the date of the award, and do not have voting rights. At December 31, 2001, there were 714,000 unvested shares granted under the Restricted Stock Plan, of which 158,000 vested in January 2002.</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 maintains a deferred stock option plan for certain employees, officers and directors which provides the optionees with the opportunity to defer the receipt of shares of the Company's Class A Special Common Stock which would otherwise be deliverable upon exercise by the optionees of their stock options. As of December 31, 2001 and 2000, 5.9 million and 5.0 million shares were issuable under options exercised but the receipt of which was irrevocably deferred by the optionees pursuant to the Company's deferred stock option plan.</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Certain of the Company's subsidiaries have SAR plans for certain employees, officers, directors and other persons (the "SAR Plans"). Under the SAR Plans, eligible participants are entitled to receive a cash payment equal to 100% of the excess, if any, of the fair value of a share of the underlying common stock at the exercise date over the fair value of such a share at the grant date. The SARs have a term of ten years from the date of grant and become exercisable over four to five years from the date of grant.</w:t>
      </w:r>
    </w:p>
    <w:p>
      <w:pPr>
        <w:spacing w:after="0" w:line="185" w:lineRule="exact"/>
        <w:rPr>
          <w:sz w:val="20"/>
          <w:szCs w:val="20"/>
          <w:color w:val="auto"/>
        </w:rPr>
      </w:pPr>
    </w:p>
    <w:p>
      <w:pPr>
        <w:ind w:right="3479" w:firstLine="469"/>
        <w:spacing w:after="0" w:line="236" w:lineRule="auto"/>
        <w:rPr>
          <w:sz w:val="20"/>
          <w:szCs w:val="20"/>
          <w:color w:val="auto"/>
        </w:rPr>
      </w:pPr>
      <w:r>
        <w:rPr>
          <w:rFonts w:ascii="Courier New" w:cs="Courier New" w:eastAsia="Courier New" w:hAnsi="Courier New"/>
          <w:sz w:val="16"/>
          <w:szCs w:val="16"/>
          <w:color w:val="auto"/>
        </w:rPr>
        <w:t>The following table summarizes information related to the Company's Restricted Stock Plan and subsidiary SAR Plans: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ind w:left="40"/>
        <w:spacing w:after="0"/>
        <w:rPr>
          <w:sz w:val="20"/>
          <w:szCs w:val="20"/>
          <w:color w:val="auto"/>
        </w:rPr>
      </w:pPr>
      <w:r>
        <w:rPr>
          <w:rFonts w:ascii="Courier New" w:cs="Courier New" w:eastAsia="Courier New" w:hAnsi="Courier New"/>
          <w:sz w:val="16"/>
          <w:szCs w:val="16"/>
          <w:color w:val="auto"/>
        </w:rPr>
        <w:t>----------- 2001 2000 1999 ------ ---</w:t>
      </w:r>
    </w:p>
    <w:p>
      <w:pPr>
        <w:spacing w:after="0" w:line="3" w:lineRule="exact"/>
        <w:rPr>
          <w:sz w:val="20"/>
          <w:szCs w:val="20"/>
          <w:color w:val="auto"/>
        </w:rPr>
      </w:pPr>
    </w:p>
    <w:p>
      <w:pPr>
        <w:ind w:left="940" w:right="6939" w:hanging="665"/>
        <w:spacing w:after="0" w:line="236" w:lineRule="auto"/>
        <w:tabs>
          <w:tab w:leader="none" w:pos="659"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Restricted Stock Plan Shares granted (in</w:t>
      </w:r>
    </w:p>
    <w:p>
      <w:pPr>
        <w:spacing w:after="0"/>
        <w:rPr>
          <w:sz w:val="20"/>
          <w:szCs w:val="20"/>
          <w:color w:val="auto"/>
        </w:rPr>
      </w:pPr>
      <w:r>
        <w:rPr>
          <w:rFonts w:ascii="Courier New" w:cs="Courier New" w:eastAsia="Courier New" w:hAnsi="Courier New"/>
          <w:sz w:val="16"/>
          <w:szCs w:val="16"/>
          <w:color w:val="auto"/>
        </w:rPr>
        <w:t>thousands)............................</w:t>
      </w:r>
    </w:p>
    <w:p>
      <w:pPr>
        <w:jc w:val="center"/>
        <w:ind w:right="6659"/>
        <w:spacing w:after="0" w:line="237" w:lineRule="auto"/>
        <w:rPr>
          <w:sz w:val="20"/>
          <w:szCs w:val="20"/>
          <w:color w:val="auto"/>
        </w:rPr>
      </w:pPr>
      <w:r>
        <w:rPr>
          <w:rFonts w:ascii="Courier New" w:cs="Courier New" w:eastAsia="Courier New" w:hAnsi="Courier New"/>
          <w:sz w:val="16"/>
          <w:szCs w:val="16"/>
          <w:color w:val="auto"/>
        </w:rPr>
        <w:t>157 504 170 Weighted-average fair</w:t>
      </w:r>
    </w:p>
    <w:p>
      <w:pPr>
        <w:ind w:left="140"/>
        <w:spacing w:after="0"/>
        <w:rPr>
          <w:sz w:val="20"/>
          <w:szCs w:val="20"/>
          <w:color w:val="auto"/>
        </w:rPr>
      </w:pPr>
      <w:r>
        <w:rPr>
          <w:rFonts w:ascii="Courier New" w:cs="Courier New" w:eastAsia="Courier New" w:hAnsi="Courier New"/>
          <w:sz w:val="16"/>
          <w:szCs w:val="16"/>
          <w:color w:val="auto"/>
        </w:rPr>
        <w:t>value per share at date of grant...</w:t>
      </w:r>
    </w:p>
    <w:p>
      <w:pPr>
        <w:ind w:left="220"/>
        <w:spacing w:after="0" w:line="238" w:lineRule="auto"/>
        <w:rPr>
          <w:sz w:val="20"/>
          <w:szCs w:val="20"/>
          <w:color w:val="auto"/>
        </w:rPr>
      </w:pPr>
      <w:r>
        <w:rPr>
          <w:rFonts w:ascii="Courier New" w:cs="Courier New" w:eastAsia="Courier New" w:hAnsi="Courier New"/>
          <w:sz w:val="16"/>
          <w:szCs w:val="16"/>
          <w:color w:val="auto"/>
        </w:rPr>
        <w:t>$39.52 $37.80 $43.22 Compensation</w:t>
      </w:r>
    </w:p>
    <w:p>
      <w:pPr>
        <w:ind w:left="1260"/>
        <w:spacing w:after="0"/>
        <w:rPr>
          <w:sz w:val="20"/>
          <w:szCs w:val="20"/>
          <w:color w:val="auto"/>
        </w:rPr>
      </w:pPr>
      <w:r>
        <w:rPr>
          <w:rFonts w:ascii="Courier New" w:cs="Courier New" w:eastAsia="Courier New" w:hAnsi="Courier New"/>
          <w:sz w:val="16"/>
          <w:szCs w:val="16"/>
          <w:color w:val="auto"/>
        </w:rPr>
        <w:t>expense (in</w:t>
      </w:r>
    </w:p>
    <w:p>
      <w:pPr>
        <w:ind w:left="180"/>
        <w:spacing w:after="0" w:line="238" w:lineRule="auto"/>
        <w:rPr>
          <w:sz w:val="20"/>
          <w:szCs w:val="20"/>
          <w:color w:val="auto"/>
        </w:rPr>
      </w:pPr>
      <w:r>
        <w:rPr>
          <w:rFonts w:ascii="Courier New" w:cs="Courier New" w:eastAsia="Courier New" w:hAnsi="Courier New"/>
          <w:sz w:val="16"/>
          <w:szCs w:val="16"/>
          <w:color w:val="auto"/>
        </w:rPr>
        <w:t>millions)....................... $</w:t>
      </w:r>
    </w:p>
    <w:p>
      <w:pPr>
        <w:ind w:left="600"/>
        <w:spacing w:after="0"/>
        <w:rPr>
          <w:sz w:val="20"/>
          <w:szCs w:val="20"/>
          <w:color w:val="auto"/>
        </w:rPr>
      </w:pPr>
      <w:r>
        <w:rPr>
          <w:rFonts w:ascii="Courier New" w:cs="Courier New" w:eastAsia="Courier New" w:hAnsi="Courier New"/>
          <w:sz w:val="16"/>
          <w:szCs w:val="16"/>
          <w:color w:val="auto"/>
        </w:rPr>
        <w:t>8.9 $ 9.2 $ 4.7 SAR Plans</w:t>
      </w:r>
    </w:p>
    <w:p>
      <w:pPr>
        <w:ind w:left="660"/>
        <w:spacing w:after="0" w:line="237" w:lineRule="auto"/>
        <w:rPr>
          <w:sz w:val="20"/>
          <w:szCs w:val="20"/>
          <w:color w:val="auto"/>
        </w:rPr>
      </w:pPr>
      <w:r>
        <w:rPr>
          <w:rFonts w:ascii="Courier New" w:cs="Courier New" w:eastAsia="Courier New" w:hAnsi="Courier New"/>
          <w:sz w:val="16"/>
          <w:szCs w:val="16"/>
          <w:color w:val="auto"/>
        </w:rPr>
        <w:t>Compensation expense (in</w:t>
      </w:r>
    </w:p>
    <w:p>
      <w:pPr>
        <w:ind w:left="180"/>
        <w:spacing w:after="0"/>
        <w:rPr>
          <w:sz w:val="20"/>
          <w:szCs w:val="20"/>
          <w:color w:val="auto"/>
        </w:rPr>
      </w:pPr>
      <w:r>
        <w:rPr>
          <w:rFonts w:ascii="Courier New" w:cs="Courier New" w:eastAsia="Courier New" w:hAnsi="Courier New"/>
          <w:sz w:val="16"/>
          <w:szCs w:val="16"/>
          <w:color w:val="auto"/>
        </w:rPr>
        <w:t>millions)....................... $</w:t>
      </w:r>
    </w:p>
    <w:p>
      <w:pPr>
        <w:ind w:left="1080"/>
        <w:spacing w:after="0" w:line="238" w:lineRule="auto"/>
        <w:rPr>
          <w:sz w:val="20"/>
          <w:szCs w:val="20"/>
          <w:color w:val="auto"/>
        </w:rPr>
      </w:pPr>
      <w:r>
        <w:rPr>
          <w:rFonts w:ascii="Courier New" w:cs="Courier New" w:eastAsia="Courier New" w:hAnsi="Courier New"/>
          <w:sz w:val="16"/>
          <w:szCs w:val="16"/>
          <w:color w:val="auto"/>
        </w:rPr>
        <w:t>3.5 $ 2.2 $ 6.4</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F-119</w:t>
      </w:r>
    </w:p>
    <w:p>
      <w:pPr>
        <w:sectPr>
          <w:pgSz w:w="11900" w:h="16838" w:orient="portrait"/>
          <w:cols w:equalWidth="0" w:num="1">
            <w:col w:w="10219"/>
          </w:cols>
          <w:pgMar w:left="240" w:top="473" w:right="1440" w:bottom="1440" w:gutter="0" w:footer="0" w:header="0"/>
        </w:sectPr>
      </w:pPr>
    </w:p>
    <w:bookmarkStart w:id="310" w:name="page311"/>
    <w:bookmarkEnd w:id="310"/>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9" w:lineRule="exact"/>
        <w:rPr>
          <w:sz w:val="20"/>
          <w:szCs w:val="20"/>
          <w:color w:val="auto"/>
        </w:rPr>
      </w:pPr>
    </w:p>
    <w:p>
      <w:pPr>
        <w:ind w:left="384" w:hanging="384"/>
        <w:spacing w:after="0"/>
        <w:tabs>
          <w:tab w:leader="none" w:pos="384"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5"/>
          <w:szCs w:val="15"/>
          <w:color w:val="auto"/>
        </w:rPr>
        <w:t>The Company joins with its 80% or more owned subsidiaries (the "Consolidated Group") in filing consolidated federal income tax returns. QVC and E! Entertainment, each file separate consolidated federal income tax returns. Income tax expense consists of the following components (in millions):</w:t>
      </w:r>
    </w:p>
    <w:p>
      <w:pPr>
        <w:spacing w:after="0" w:line="169"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 ENDED DECEMBER 31, --------------------------- 2001</w:t>
      </w:r>
    </w:p>
    <w:p>
      <w:pPr>
        <w:ind w:left="364"/>
        <w:spacing w:after="0"/>
        <w:rPr>
          <w:sz w:val="20"/>
          <w:szCs w:val="20"/>
          <w:color w:val="auto"/>
        </w:rPr>
      </w:pPr>
      <w:r>
        <w:rPr>
          <w:rFonts w:ascii="Courier New" w:cs="Courier New" w:eastAsia="Courier New" w:hAnsi="Courier New"/>
          <w:sz w:val="16"/>
          <w:szCs w:val="16"/>
          <w:color w:val="auto"/>
        </w:rPr>
        <w:t>2000 1999 ------- -------- ------ Current expense</w:t>
      </w:r>
    </w:p>
    <w:p>
      <w:pPr>
        <w:ind w:left="4"/>
        <w:spacing w:after="0" w:line="237" w:lineRule="auto"/>
        <w:rPr>
          <w:sz w:val="20"/>
          <w:szCs w:val="20"/>
          <w:color w:val="auto"/>
        </w:rPr>
      </w:pPr>
      <w:r>
        <w:rPr>
          <w:rFonts w:ascii="Courier New" w:cs="Courier New" w:eastAsia="Courier New" w:hAnsi="Courier New"/>
          <w:sz w:val="16"/>
          <w:szCs w:val="16"/>
          <w:color w:val="auto"/>
        </w:rPr>
        <w:t>Federal..................................................</w:t>
      </w:r>
    </w:p>
    <w:p>
      <w:pPr>
        <w:ind w:left="1644"/>
        <w:spacing w:after="0"/>
        <w:rPr>
          <w:sz w:val="20"/>
          <w:szCs w:val="20"/>
          <w:color w:val="auto"/>
        </w:rPr>
      </w:pPr>
      <w:r>
        <w:rPr>
          <w:rFonts w:ascii="Courier New" w:cs="Courier New" w:eastAsia="Courier New" w:hAnsi="Courier New"/>
          <w:sz w:val="16"/>
          <w:szCs w:val="16"/>
          <w:color w:val="auto"/>
        </w:rPr>
        <w:t>$ 623.2 $ 321.4 $606.7</w:t>
      </w:r>
    </w:p>
    <w:p>
      <w:pPr>
        <w:ind w:left="4"/>
        <w:spacing w:after="0" w:line="238" w:lineRule="auto"/>
        <w:rPr>
          <w:sz w:val="20"/>
          <w:szCs w:val="20"/>
          <w:color w:val="auto"/>
        </w:rPr>
      </w:pPr>
      <w:r>
        <w:rPr>
          <w:rFonts w:ascii="Courier New" w:cs="Courier New" w:eastAsia="Courier New" w:hAnsi="Courier New"/>
          <w:sz w:val="16"/>
          <w:szCs w:val="16"/>
          <w:color w:val="auto"/>
        </w:rPr>
        <w:t>State....................................................</w:t>
      </w:r>
    </w:p>
    <w:p>
      <w:pPr>
        <w:ind w:left="1964"/>
        <w:spacing w:after="0"/>
        <w:rPr>
          <w:sz w:val="20"/>
          <w:szCs w:val="20"/>
          <w:color w:val="auto"/>
        </w:rPr>
      </w:pPr>
      <w:r>
        <w:rPr>
          <w:rFonts w:ascii="Courier New" w:cs="Courier New" w:eastAsia="Courier New" w:hAnsi="Courier New"/>
          <w:sz w:val="16"/>
          <w:szCs w:val="16"/>
          <w:color w:val="auto"/>
        </w:rPr>
        <w:t>84.8 42.8 188.4</w:t>
      </w:r>
    </w:p>
    <w:p>
      <w:pPr>
        <w:ind w:left="4"/>
        <w:spacing w:after="0" w:line="238" w:lineRule="auto"/>
        <w:rPr>
          <w:sz w:val="20"/>
          <w:szCs w:val="20"/>
          <w:color w:val="auto"/>
        </w:rPr>
      </w:pPr>
      <w:r>
        <w:rPr>
          <w:rFonts w:ascii="Courier New" w:cs="Courier New" w:eastAsia="Courier New" w:hAnsi="Courier New"/>
          <w:sz w:val="16"/>
          <w:szCs w:val="16"/>
          <w:color w:val="auto"/>
        </w:rPr>
        <w:t>Foreign..................................................</w:t>
      </w:r>
    </w:p>
    <w:p>
      <w:pPr>
        <w:ind w:left="44"/>
        <w:spacing w:after="0"/>
        <w:rPr>
          <w:sz w:val="20"/>
          <w:szCs w:val="20"/>
          <w:color w:val="auto"/>
        </w:rPr>
      </w:pPr>
      <w:r>
        <w:rPr>
          <w:rFonts w:ascii="Courier New" w:cs="Courier New" w:eastAsia="Courier New" w:hAnsi="Courier New"/>
          <w:sz w:val="16"/>
          <w:szCs w:val="16"/>
          <w:color w:val="auto"/>
        </w:rPr>
        <w:t>2.9 2.5 2.0 ------- -------- ------ 710.9 366.7 797.1 --</w:t>
      </w:r>
    </w:p>
    <w:p>
      <w:pPr>
        <w:ind w:left="424"/>
        <w:spacing w:after="0" w:line="237" w:lineRule="auto"/>
        <w:rPr>
          <w:sz w:val="20"/>
          <w:szCs w:val="20"/>
          <w:color w:val="auto"/>
        </w:rPr>
      </w:pPr>
      <w:r>
        <w:rPr>
          <w:rFonts w:ascii="Courier New" w:cs="Courier New" w:eastAsia="Courier New" w:hAnsi="Courier New"/>
          <w:sz w:val="16"/>
          <w:szCs w:val="16"/>
          <w:color w:val="auto"/>
        </w:rPr>
        <w:t>----- -------- ------ Deferred expense (benefit)</w:t>
      </w:r>
    </w:p>
    <w:p>
      <w:pPr>
        <w:ind w:left="4"/>
        <w:spacing w:after="0"/>
        <w:rPr>
          <w:sz w:val="20"/>
          <w:szCs w:val="20"/>
          <w:color w:val="auto"/>
        </w:rPr>
      </w:pPr>
      <w:r>
        <w:rPr>
          <w:rFonts w:ascii="Courier New" w:cs="Courier New" w:eastAsia="Courier New" w:hAnsi="Courier New"/>
          <w:sz w:val="16"/>
          <w:szCs w:val="16"/>
          <w:color w:val="auto"/>
        </w:rPr>
        <w:t>Federal..................................................</w:t>
      </w:r>
    </w:p>
    <w:p>
      <w:pPr>
        <w:ind w:left="1724"/>
        <w:spacing w:after="0" w:line="238" w:lineRule="auto"/>
        <w:rPr>
          <w:sz w:val="20"/>
          <w:szCs w:val="20"/>
          <w:color w:val="auto"/>
        </w:rPr>
      </w:pPr>
      <w:r>
        <w:rPr>
          <w:rFonts w:ascii="Courier New" w:cs="Courier New" w:eastAsia="Courier New" w:hAnsi="Courier New"/>
          <w:sz w:val="16"/>
          <w:szCs w:val="16"/>
          <w:color w:val="auto"/>
        </w:rPr>
        <w:t>(255.8) 998.6 (65.2)</w:t>
      </w:r>
    </w:p>
    <w:p>
      <w:pPr>
        <w:ind w:left="4"/>
        <w:spacing w:after="0"/>
        <w:rPr>
          <w:sz w:val="20"/>
          <w:szCs w:val="20"/>
          <w:color w:val="auto"/>
        </w:rPr>
      </w:pPr>
      <w:r>
        <w:rPr>
          <w:rFonts w:ascii="Courier New" w:cs="Courier New" w:eastAsia="Courier New" w:hAnsi="Courier New"/>
          <w:sz w:val="16"/>
          <w:szCs w:val="16"/>
          <w:color w:val="auto"/>
        </w:rPr>
        <w:t>State....................................................</w:t>
      </w:r>
    </w:p>
    <w:p>
      <w:pPr>
        <w:ind w:left="84"/>
        <w:spacing w:after="0" w:line="238" w:lineRule="auto"/>
        <w:rPr>
          <w:sz w:val="20"/>
          <w:szCs w:val="20"/>
          <w:color w:val="auto"/>
        </w:rPr>
      </w:pPr>
      <w:r>
        <w:rPr>
          <w:rFonts w:ascii="Courier New" w:cs="Courier New" w:eastAsia="Courier New" w:hAnsi="Courier New"/>
          <w:sz w:val="16"/>
          <w:szCs w:val="16"/>
          <w:color w:val="auto"/>
        </w:rPr>
        <w:t>15.1 76.0 (8.2) ------- -------- ------ (240.7) 1,074.6</w:t>
      </w:r>
    </w:p>
    <w:p>
      <w:pPr>
        <w:ind w:left="744"/>
        <w:spacing w:after="0"/>
        <w:rPr>
          <w:sz w:val="20"/>
          <w:szCs w:val="20"/>
          <w:color w:val="auto"/>
        </w:rPr>
      </w:pPr>
      <w:r>
        <w:rPr>
          <w:rFonts w:ascii="Courier New" w:cs="Courier New" w:eastAsia="Courier New" w:hAnsi="Courier New"/>
          <w:sz w:val="16"/>
          <w:szCs w:val="16"/>
          <w:color w:val="auto"/>
        </w:rPr>
        <w:t>(73.4) ------- -------- ------ Income tax</w:t>
      </w:r>
    </w:p>
    <w:p>
      <w:pPr>
        <w:ind w:left="144"/>
        <w:spacing w:after="0" w:line="237" w:lineRule="auto"/>
        <w:rPr>
          <w:sz w:val="20"/>
          <w:szCs w:val="20"/>
          <w:color w:val="auto"/>
        </w:rPr>
      </w:pPr>
      <w:r>
        <w:rPr>
          <w:rFonts w:ascii="Courier New" w:cs="Courier New" w:eastAsia="Courier New" w:hAnsi="Courier New"/>
          <w:sz w:val="16"/>
          <w:szCs w:val="16"/>
          <w:color w:val="auto"/>
        </w:rPr>
        <w:t>expense....................................... $ 470.2</w:t>
      </w:r>
    </w:p>
    <w:p>
      <w:pPr>
        <w:ind w:left="844"/>
        <w:spacing w:after="0"/>
        <w:rPr>
          <w:sz w:val="20"/>
          <w:szCs w:val="20"/>
          <w:color w:val="auto"/>
        </w:rPr>
      </w:pPr>
      <w:r>
        <w:rPr>
          <w:rFonts w:ascii="Courier New" w:cs="Courier New" w:eastAsia="Courier New" w:hAnsi="Courier New"/>
          <w:sz w:val="16"/>
          <w:szCs w:val="16"/>
          <w:color w:val="auto"/>
        </w:rPr>
        <w:t>$1,441.3 $723.7 ======= ======== ======</w:t>
      </w:r>
    </w:p>
    <w:p>
      <w:pPr>
        <w:spacing w:after="0" w:line="365" w:lineRule="exact"/>
        <w:rPr>
          <w:sz w:val="20"/>
          <w:szCs w:val="20"/>
          <w:color w:val="auto"/>
        </w:rPr>
      </w:pPr>
    </w:p>
    <w:p>
      <w:pPr>
        <w:ind w:left="4" w:right="3279" w:firstLine="469"/>
        <w:spacing w:after="0" w:line="263" w:lineRule="auto"/>
        <w:rPr>
          <w:sz w:val="20"/>
          <w:szCs w:val="20"/>
          <w:color w:val="auto"/>
        </w:rPr>
      </w:pPr>
      <w:r>
        <w:rPr>
          <w:rFonts w:ascii="Courier New" w:cs="Courier New" w:eastAsia="Courier New" w:hAnsi="Courier New"/>
          <w:sz w:val="15"/>
          <w:szCs w:val="15"/>
          <w:color w:val="auto"/>
        </w:rPr>
        <w:t>The Company's effective income tax expense differs from the statutory amount because of the effect of the following items (in millions):</w:t>
      </w:r>
    </w:p>
    <w:p>
      <w:pPr>
        <w:spacing w:after="0" w:line="169" w:lineRule="exact"/>
        <w:rPr>
          <w:sz w:val="20"/>
          <w:szCs w:val="20"/>
          <w:color w:val="auto"/>
        </w:rPr>
      </w:pPr>
    </w:p>
    <w:p>
      <w:pPr>
        <w:jc w:val="center"/>
        <w:ind w:right="4595"/>
        <w:spacing w:after="0" w:line="254" w:lineRule="auto"/>
        <w:rPr>
          <w:sz w:val="20"/>
          <w:szCs w:val="20"/>
          <w:color w:val="auto"/>
        </w:rPr>
      </w:pPr>
      <w:r>
        <w:rPr>
          <w:rFonts w:ascii="Courier New" w:cs="Courier New" w:eastAsia="Courier New" w:hAnsi="Courier New"/>
          <w:sz w:val="15"/>
          <w:szCs w:val="15"/>
          <w:color w:val="auto"/>
        </w:rPr>
        <w:t>YEAR ENDED DECEMBER 31, -------------------------- 2001 2000 1999 ------ -------- ------ Federal tax at statutory rate............................... $299.7 $1,260.6 $525.0 Non-deductible depreciation and amortization................ 106.6 102.1 49.8 State income taxes, net of federal benefit.................. 64.9 77.2 117.1 Foreign (income) losses and equity in net losses of</w:t>
      </w:r>
    </w:p>
    <w:p>
      <w:pPr>
        <w:spacing w:after="0" w:line="4"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affiliates................................................</w:t>
            </w:r>
          </w:p>
        </w:tc>
        <w:tc>
          <w:tcPr>
            <w:tcW w:w="38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80"/>
        </w:trPr>
        <w:tc>
          <w:tcPr>
            <w:tcW w:w="188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8.0</w:t>
            </w:r>
          </w:p>
        </w:tc>
        <w:tc>
          <w:tcPr>
            <w:tcW w:w="2480" w:type="dxa"/>
            <w:vAlign w:val="bottom"/>
          </w:tcPr>
          <w:p>
            <w:pPr>
              <w:jc w:val="right"/>
              <w:ind w:right="1942"/>
              <w:spacing w:after="0"/>
              <w:rPr>
                <w:sz w:val="20"/>
                <w:szCs w:val="20"/>
                <w:color w:val="auto"/>
              </w:rPr>
            </w:pPr>
            <w:r>
              <w:rPr>
                <w:rFonts w:ascii="Courier New" w:cs="Courier New" w:eastAsia="Courier New" w:hAnsi="Courier New"/>
                <w:sz w:val="16"/>
                <w:szCs w:val="16"/>
                <w:color w:val="auto"/>
                <w:w w:val="91"/>
              </w:rPr>
              <w:t>(2.0)</w:t>
            </w: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Other.......................................................</w:t>
            </w:r>
          </w:p>
        </w:tc>
        <w:tc>
          <w:tcPr>
            <w:tcW w:w="38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80"/>
        </w:trPr>
        <w:tc>
          <w:tcPr>
            <w:tcW w:w="29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5"/>
              </w:rPr>
              <w:t>(8.2) (6.6) 33.8 ------ --------</w:t>
            </w:r>
          </w:p>
        </w:tc>
        <w:tc>
          <w:tcPr>
            <w:tcW w:w="2480" w:type="dxa"/>
            <w:vAlign w:val="bottom"/>
          </w:tcPr>
          <w:p>
            <w:pPr>
              <w:ind w:left="600"/>
              <w:spacing w:after="0"/>
              <w:rPr>
                <w:sz w:val="20"/>
                <w:szCs w:val="20"/>
                <w:color w:val="auto"/>
              </w:rPr>
            </w:pPr>
            <w:r>
              <w:rPr>
                <w:rFonts w:ascii="Courier New" w:cs="Courier New" w:eastAsia="Courier New" w:hAnsi="Courier New"/>
                <w:sz w:val="16"/>
                <w:szCs w:val="16"/>
                <w:color w:val="auto"/>
              </w:rPr>
              <w:t>------ Income tax</w:t>
            </w: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expense..........................................</w:t>
            </w:r>
          </w:p>
        </w:tc>
        <w:tc>
          <w:tcPr>
            <w:tcW w:w="38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$470.2</w:t>
            </w:r>
          </w:p>
        </w:tc>
      </w:tr>
      <w:tr>
        <w:trPr>
          <w:trHeight w:val="180"/>
        </w:trPr>
        <w:tc>
          <w:tcPr>
            <w:tcW w:w="1880" w:type="dxa"/>
            <w:vAlign w:val="bottom"/>
          </w:tcPr>
          <w:p>
            <w:pPr>
              <w:jc w:val="right"/>
              <w:ind w:right="36"/>
              <w:spacing w:after="0"/>
              <w:rPr>
                <w:sz w:val="20"/>
                <w:szCs w:val="20"/>
                <w:color w:val="auto"/>
              </w:rPr>
            </w:pPr>
            <w:r>
              <w:rPr>
                <w:rFonts w:ascii="Courier New" w:cs="Courier New" w:eastAsia="Courier New" w:hAnsi="Courier New"/>
                <w:sz w:val="16"/>
                <w:szCs w:val="16"/>
                <w:color w:val="auto"/>
              </w:rPr>
              <w:t>$1,441.3</w:t>
            </w:r>
          </w:p>
        </w:tc>
        <w:tc>
          <w:tcPr>
            <w:tcW w:w="356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w w:val="96"/>
              </w:rPr>
              <w:t>$723.7 ====== ======== ======</w:t>
            </w:r>
          </w:p>
        </w:tc>
      </w:tr>
      <w:tr>
        <w:trPr>
          <w:trHeight w:val="541"/>
        </w:trPr>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ind w:left="600"/>
              <w:spacing w:after="0"/>
              <w:rPr>
                <w:sz w:val="20"/>
                <w:szCs w:val="20"/>
                <w:color w:val="auto"/>
              </w:rPr>
            </w:pPr>
            <w:r>
              <w:rPr>
                <w:rFonts w:ascii="Courier New" w:cs="Courier New" w:eastAsia="Courier New" w:hAnsi="Courier New"/>
                <w:sz w:val="16"/>
                <w:szCs w:val="16"/>
                <w:color w:val="auto"/>
              </w:rPr>
              <w:t>F-120</w:t>
            </w:r>
          </w:p>
        </w:tc>
      </w:tr>
    </w:tbl>
    <w:p>
      <w:pPr>
        <w:sectPr>
          <w:pgSz w:w="11900" w:h="16838" w:orient="portrait"/>
          <w:cols w:equalWidth="0" w:num="1">
            <w:col w:w="10223"/>
          </w:cols>
          <w:pgMar w:left="236" w:top="473" w:right="1440" w:bottom="1440" w:gutter="0" w:footer="0" w:header="0"/>
        </w:sectPr>
      </w:pPr>
    </w:p>
    <w:bookmarkStart w:id="311" w:name="page312"/>
    <w:bookmarkEnd w:id="311"/>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The Company's net deferred tax liability consists of the following components (in millions):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DECEMBER 31, ------------------- 2001 2000</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w w:val="93"/>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gridSpan w:val="3"/>
          </w:tcPr>
          <w:p>
            <w:pPr>
              <w:ind w:left="660"/>
              <w:spacing w:after="0"/>
              <w:rPr>
                <w:sz w:val="20"/>
                <w:szCs w:val="20"/>
                <w:color w:val="auto"/>
              </w:rPr>
            </w:pPr>
            <w:r>
              <w:rPr>
                <w:rFonts w:ascii="Courier New" w:cs="Courier New" w:eastAsia="Courier New" w:hAnsi="Courier New"/>
                <w:sz w:val="16"/>
                <w:szCs w:val="16"/>
                <w:color w:val="auto"/>
                <w:w w:val="99"/>
              </w:rPr>
              <w:t>--- Deferred tax assets: Net operating loss</w:t>
            </w:r>
          </w:p>
        </w:tc>
        <w:tc>
          <w:tcPr>
            <w:tcW w:w="560" w:type="dxa"/>
            <w:vAlign w:val="bottom"/>
          </w:tcPr>
          <w:p>
            <w:pPr>
              <w:spacing w:after="0"/>
              <w:rPr>
                <w:sz w:val="15"/>
                <w:szCs w:val="15"/>
                <w:color w:val="auto"/>
              </w:rPr>
            </w:pP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w w:val="98"/>
              </w:rPr>
              <w:t>carryforwards..........................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242.8 $</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289.8</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9"/>
              </w:rPr>
              <w:t>inventory..............................................</w:t>
            </w:r>
          </w:p>
        </w:tc>
      </w:tr>
      <w:tr>
        <w:trPr>
          <w:trHeight w:val="180"/>
        </w:trPr>
        <w:tc>
          <w:tcPr>
            <w:tcW w:w="600" w:type="dxa"/>
            <w:vAlign w:val="bottom"/>
          </w:tcPr>
          <w:p>
            <w:pPr>
              <w:spacing w:after="0"/>
              <w:rPr>
                <w:sz w:val="15"/>
                <w:szCs w:val="15"/>
                <w:color w:val="auto"/>
              </w:rPr>
            </w:pPr>
          </w:p>
        </w:tc>
        <w:tc>
          <w:tcPr>
            <w:tcW w:w="2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108.7</w:t>
            </w:r>
          </w:p>
        </w:tc>
        <w:tc>
          <w:tcPr>
            <w:tcW w:w="2620" w:type="dxa"/>
            <w:vAlign w:val="bottom"/>
          </w:tcPr>
          <w:p>
            <w:pPr>
              <w:jc w:val="right"/>
              <w:ind w:right="2082"/>
              <w:spacing w:after="0"/>
              <w:rPr>
                <w:sz w:val="20"/>
                <w:szCs w:val="20"/>
                <w:color w:val="auto"/>
              </w:rPr>
            </w:pPr>
            <w:r>
              <w:rPr>
                <w:rFonts w:ascii="Courier New" w:cs="Courier New" w:eastAsia="Courier New" w:hAnsi="Courier New"/>
                <w:sz w:val="16"/>
                <w:szCs w:val="16"/>
                <w:color w:val="auto"/>
                <w:w w:val="91"/>
              </w:rPr>
              <w:t>109.0</w:t>
            </w:r>
          </w:p>
        </w:tc>
      </w:tr>
      <w:tr>
        <w:trPr>
          <w:trHeight w:val="180"/>
        </w:trPr>
        <w:tc>
          <w:tcPr>
            <w:tcW w:w="27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Other.....................................................</w:t>
            </w:r>
          </w:p>
        </w:tc>
        <w:tc>
          <w:tcPr>
            <w:tcW w:w="2620" w:type="dxa"/>
            <w:vAlign w:val="bottom"/>
          </w:tcPr>
          <w:p>
            <w:pPr>
              <w:spacing w:after="0"/>
              <w:rPr>
                <w:sz w:val="15"/>
                <w:szCs w:val="15"/>
                <w:color w:val="auto"/>
              </w:rPr>
            </w:pPr>
          </w:p>
        </w:tc>
      </w:tr>
      <w:tr>
        <w:trPr>
          <w:trHeight w:val="180"/>
        </w:trPr>
        <w:tc>
          <w:tcPr>
            <w:tcW w:w="600" w:type="dxa"/>
            <w:vAlign w:val="bottom"/>
          </w:tcPr>
          <w:p>
            <w:pPr>
              <w:jc w:val="right"/>
              <w:ind w:right="29"/>
              <w:spacing w:after="0"/>
              <w:rPr>
                <w:sz w:val="20"/>
                <w:szCs w:val="20"/>
                <w:color w:val="auto"/>
              </w:rPr>
            </w:pPr>
            <w:r>
              <w:rPr>
                <w:rFonts w:ascii="Courier New" w:cs="Courier New" w:eastAsia="Courier New" w:hAnsi="Courier New"/>
                <w:sz w:val="16"/>
                <w:szCs w:val="16"/>
                <w:color w:val="auto"/>
                <w:w w:val="99"/>
              </w:rPr>
              <w:t>167.0</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96"/>
              </w:rPr>
              <w:t>163.5 -------- --------</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518.5 562.3 -------- ------</w:t>
            </w:r>
          </w:p>
        </w:tc>
      </w:tr>
    </w:tbl>
    <w:p>
      <w:pPr>
        <w:spacing w:after="0" w:line="4" w:lineRule="exact"/>
        <w:rPr>
          <w:sz w:val="20"/>
          <w:szCs w:val="20"/>
          <w:color w:val="auto"/>
        </w:rPr>
      </w:pPr>
    </w:p>
    <w:p>
      <w:pPr>
        <w:ind w:left="80" w:right="4879" w:firstLine="242"/>
        <w:spacing w:after="0" w:line="254" w:lineRule="auto"/>
        <w:tabs>
          <w:tab w:leader="none" w:pos="596"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liabilities: Temporary differences, principally book and tax basis of property and equipment</w:t>
      </w:r>
    </w:p>
    <w:p>
      <w:pPr>
        <w:jc w:val="center"/>
        <w:ind w:right="4779"/>
        <w:spacing w:after="0" w:line="234" w:lineRule="auto"/>
        <w:rPr>
          <w:sz w:val="20"/>
          <w:szCs w:val="20"/>
          <w:color w:val="auto"/>
        </w:rPr>
      </w:pPr>
      <w:r>
        <w:rPr>
          <w:rFonts w:ascii="Courier New" w:cs="Courier New" w:eastAsia="Courier New" w:hAnsi="Courier New"/>
          <w:sz w:val="16"/>
          <w:szCs w:val="16"/>
          <w:color w:val="auto"/>
        </w:rPr>
        <w:t>and intangible assets........... 6,329.0 5,851.7</w:t>
      </w:r>
    </w:p>
    <w:p>
      <w:pPr>
        <w:jc w:val="center"/>
        <w:ind w:right="4779"/>
        <w:spacing w:after="0"/>
        <w:rPr>
          <w:sz w:val="20"/>
          <w:szCs w:val="20"/>
          <w:color w:val="auto"/>
        </w:rPr>
      </w:pPr>
      <w:r>
        <w:rPr>
          <w:rFonts w:ascii="Courier New" w:cs="Courier New" w:eastAsia="Courier New" w:hAnsi="Courier New"/>
          <w:sz w:val="16"/>
          <w:szCs w:val="16"/>
          <w:color w:val="auto"/>
        </w:rPr>
        <w:t>Differences between book and tax basis in</w:t>
      </w:r>
    </w:p>
    <w:p>
      <w:pPr>
        <w:jc w:val="center"/>
        <w:ind w:right="4779"/>
        <w:spacing w:after="0" w:line="238" w:lineRule="auto"/>
        <w:rPr>
          <w:sz w:val="20"/>
          <w:szCs w:val="20"/>
          <w:color w:val="auto"/>
        </w:rPr>
      </w:pPr>
      <w:r>
        <w:rPr>
          <w:rFonts w:ascii="Courier New" w:cs="Courier New" w:eastAsia="Courier New" w:hAnsi="Courier New"/>
          <w:sz w:val="16"/>
          <w:szCs w:val="16"/>
          <w:color w:val="auto"/>
        </w:rPr>
        <w:t>investments..... 644.9 1,221.3 Differences between book</w:t>
      </w:r>
    </w:p>
    <w:p>
      <w:pPr>
        <w:jc w:val="center"/>
        <w:ind w:right="4779"/>
        <w:spacing w:after="0"/>
        <w:rPr>
          <w:sz w:val="20"/>
          <w:szCs w:val="20"/>
          <w:color w:val="auto"/>
        </w:rPr>
      </w:pPr>
      <w:r>
        <w:rPr>
          <w:rFonts w:ascii="Courier New" w:cs="Courier New" w:eastAsia="Courier New" w:hAnsi="Courier New"/>
          <w:sz w:val="16"/>
          <w:szCs w:val="16"/>
          <w:color w:val="auto"/>
        </w:rPr>
        <w:t>and tax basis of indexed debt</w:t>
      </w:r>
    </w:p>
    <w:p>
      <w:pPr>
        <w:jc w:val="center"/>
        <w:ind w:right="4779"/>
        <w:spacing w:after="0" w:line="238" w:lineRule="auto"/>
        <w:rPr>
          <w:sz w:val="20"/>
          <w:szCs w:val="20"/>
          <w:color w:val="auto"/>
        </w:rPr>
      </w:pPr>
      <w:r>
        <w:rPr>
          <w:rFonts w:ascii="Courier New" w:cs="Courier New" w:eastAsia="Courier New" w:hAnsi="Courier New"/>
          <w:sz w:val="16"/>
          <w:szCs w:val="16"/>
          <w:color w:val="auto"/>
        </w:rPr>
        <w:t>securities.............................................</w:t>
      </w:r>
    </w:p>
    <w:p>
      <w:pPr>
        <w:spacing w:after="0" w:line="4"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195.7 65.9 -------- -------- 7,169.6 7,138.9 -------- ---</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6"/>
          <w:szCs w:val="16"/>
          <w:color w:val="auto"/>
        </w:rPr>
        <w:t>----- Net deferred tax</w:t>
      </w:r>
    </w:p>
    <w:p>
      <w:pPr>
        <w:jc w:val="center"/>
        <w:ind w:right="4779"/>
        <w:spacing w:after="0"/>
        <w:rPr>
          <w:sz w:val="20"/>
          <w:szCs w:val="20"/>
          <w:color w:val="auto"/>
        </w:rPr>
      </w:pPr>
      <w:r>
        <w:rPr>
          <w:rFonts w:ascii="Courier New" w:cs="Courier New" w:eastAsia="Courier New" w:hAnsi="Courier New"/>
          <w:sz w:val="16"/>
          <w:szCs w:val="16"/>
          <w:color w:val="auto"/>
        </w:rPr>
        <w:t>liability.................................. $6,651.1</w:t>
      </w:r>
    </w:p>
    <w:p>
      <w:pPr>
        <w:jc w:val="center"/>
        <w:ind w:right="4779"/>
        <w:spacing w:after="0" w:line="237" w:lineRule="auto"/>
        <w:rPr>
          <w:sz w:val="20"/>
          <w:szCs w:val="20"/>
          <w:color w:val="auto"/>
        </w:rPr>
      </w:pPr>
      <w:r>
        <w:rPr>
          <w:rFonts w:ascii="Courier New" w:cs="Courier New" w:eastAsia="Courier New" w:hAnsi="Courier New"/>
          <w:sz w:val="16"/>
          <w:szCs w:val="16"/>
          <w:color w:val="auto"/>
        </w:rPr>
        <w:t>$6,576.6 ======== ========</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recorded $212.3 million of deferred income tax liabilities in</w:t>
      </w:r>
    </w:p>
    <w:p>
      <w:pPr>
        <w:spacing w:after="0" w:line="4"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2001 in connection with acquisitions principally related to basis differences in property and equipment and intangible assets. The Company recorded a decrease of ($148.6) million and ($3.055) billion, and an increase of $2.730 billion to deferred income tax liabilities in 2001, 2000 and 1999, respectively, in connection with unrealized gains (losses) on marketable securities which are included in other comprehensive income. The Company recorded $207.0 million of deferred income tax liabilities in 2001 in connection with the cumulative effect of accounting change related to the adoption of SFAS No. 133 (see Note 3).</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has recorded net deferred tax liabilities of $275.4 million and $789.9 million, as of December 31, 2001 and 2000, respectively, which have been included in current liabilities, related primarily to current investments. The Company has net operating loss carryforwards of approximately $250.0 million which expire primarily in periods through 2019.</w:t>
      </w:r>
    </w:p>
    <w:p>
      <w:pPr>
        <w:spacing w:after="0" w:line="18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10.</w:t>
        <w:tab/>
        <w:t>STATEMENT OF CASH FLOWS -- SUPPLEMENTAL INFORMATION</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following table summarizes the fair values of the assets and liabilities acquired by the Company through noncash transactions (see Note 5) (in millions):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jc w:val="center"/>
        <w:ind w:right="5159"/>
        <w:spacing w:after="0"/>
        <w:rPr>
          <w:sz w:val="20"/>
          <w:szCs w:val="20"/>
          <w:color w:val="auto"/>
        </w:rPr>
      </w:pPr>
      <w:r>
        <w:rPr>
          <w:rFonts w:ascii="Courier New" w:cs="Courier New" w:eastAsia="Courier New" w:hAnsi="Courier New"/>
          <w:sz w:val="16"/>
          <w:szCs w:val="16"/>
          <w:color w:val="auto"/>
        </w:rPr>
        <w:t>- 2001 2000 1999 -------- --------- ------- Current</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assets........................................ $ 56.6</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$ 216.2 $ 6.4</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437.3 Property, plant &amp;</w:t>
      </w:r>
    </w:p>
    <w:p>
      <w:pPr>
        <w:jc w:val="center"/>
        <w:ind w:right="5159"/>
        <w:spacing w:after="0"/>
        <w:rPr>
          <w:sz w:val="20"/>
          <w:szCs w:val="20"/>
          <w:color w:val="auto"/>
        </w:rPr>
      </w:pPr>
      <w:r>
        <w:rPr>
          <w:rFonts w:ascii="Courier New" w:cs="Courier New" w:eastAsia="Courier New" w:hAnsi="Courier New"/>
          <w:sz w:val="16"/>
          <w:szCs w:val="16"/>
          <w:color w:val="auto"/>
        </w:rPr>
        <w:t>equipment........................... 580.4 1,295.8</w:t>
      </w:r>
    </w:p>
    <w:p>
      <w:pPr>
        <w:jc w:val="center"/>
        <w:ind w:right="5159"/>
        <w:spacing w:after="0" w:line="237" w:lineRule="auto"/>
        <w:rPr>
          <w:sz w:val="20"/>
          <w:szCs w:val="20"/>
          <w:color w:val="auto"/>
        </w:rPr>
      </w:pPr>
      <w:r>
        <w:rPr>
          <w:rFonts w:ascii="Courier New" w:cs="Courier New" w:eastAsia="Courier New" w:hAnsi="Courier New"/>
          <w:sz w:val="16"/>
          <w:szCs w:val="16"/>
          <w:color w:val="auto"/>
        </w:rPr>
        <w:t>74.0 Intangible</w:t>
      </w:r>
    </w:p>
    <w:p>
      <w:pPr>
        <w:jc w:val="center"/>
        <w:ind w:right="5159"/>
        <w:spacing w:after="0"/>
        <w:rPr>
          <w:sz w:val="20"/>
          <w:szCs w:val="20"/>
          <w:color w:val="auto"/>
        </w:rPr>
      </w:pPr>
      <w:r>
        <w:rPr>
          <w:rFonts w:ascii="Courier New" w:cs="Courier New" w:eastAsia="Courier New" w:hAnsi="Courier New"/>
          <w:sz w:val="16"/>
          <w:szCs w:val="16"/>
          <w:color w:val="auto"/>
        </w:rPr>
        <w:t>assets..................................... 3,042.7</w:t>
      </w:r>
    </w:p>
    <w:p>
      <w:pPr>
        <w:jc w:val="center"/>
        <w:ind w:right="5159"/>
        <w:spacing w:after="0" w:line="238" w:lineRule="auto"/>
        <w:rPr>
          <w:sz w:val="20"/>
          <w:szCs w:val="20"/>
          <w:color w:val="auto"/>
        </w:rPr>
      </w:pPr>
      <w:r>
        <w:rPr>
          <w:rFonts w:ascii="Courier New" w:cs="Courier New" w:eastAsia="Courier New" w:hAnsi="Courier New"/>
          <w:sz w:val="16"/>
          <w:szCs w:val="16"/>
          <w:color w:val="auto"/>
        </w:rPr>
        <w:t>15,399.4 337.0 Current</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liabilities................................... (37.0)</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(277.3) (11.1) Long-term</w:t>
      </w:r>
    </w:p>
    <w:p>
      <w:pPr>
        <w:jc w:val="center"/>
        <w:ind w:right="5159"/>
        <w:spacing w:after="0"/>
        <w:rPr>
          <w:sz w:val="20"/>
          <w:szCs w:val="20"/>
          <w:color w:val="auto"/>
        </w:rPr>
      </w:pPr>
      <w:r>
        <w:rPr>
          <w:rFonts w:ascii="Courier New" w:cs="Courier New" w:eastAsia="Courier New" w:hAnsi="Courier New"/>
          <w:sz w:val="16"/>
          <w:szCs w:val="16"/>
          <w:color w:val="auto"/>
        </w:rPr>
        <w:t>debt........................................</w:t>
      </w:r>
    </w:p>
    <w:p>
      <w:pPr>
        <w:jc w:val="center"/>
        <w:ind w:right="5159"/>
        <w:spacing w:after="0" w:line="237" w:lineRule="auto"/>
        <w:rPr>
          <w:sz w:val="20"/>
          <w:szCs w:val="20"/>
          <w:color w:val="auto"/>
        </w:rPr>
      </w:pPr>
      <w:r>
        <w:rPr>
          <w:rFonts w:ascii="Courier New" w:cs="Courier New" w:eastAsia="Courier New" w:hAnsi="Courier New"/>
          <w:sz w:val="16"/>
          <w:szCs w:val="16"/>
          <w:color w:val="auto"/>
        </w:rPr>
        <w:t>(2,146.5) Deferred income</w:t>
      </w:r>
    </w:p>
    <w:p>
      <w:pPr>
        <w:jc w:val="center"/>
        <w:ind w:right="5159"/>
        <w:spacing w:after="0"/>
        <w:rPr>
          <w:sz w:val="20"/>
          <w:szCs w:val="20"/>
          <w:color w:val="auto"/>
        </w:rPr>
      </w:pPr>
      <w:r>
        <w:rPr>
          <w:rFonts w:ascii="Courier New" w:cs="Courier New" w:eastAsia="Courier New" w:hAnsi="Courier New"/>
          <w:sz w:val="16"/>
          <w:szCs w:val="16"/>
          <w:color w:val="auto"/>
        </w:rPr>
        <w:t>taxes................................. (76.9)</w:t>
      </w:r>
    </w:p>
    <w:p>
      <w:pPr>
        <w:jc w:val="center"/>
        <w:ind w:right="5159"/>
        <w:spacing w:after="0" w:line="238" w:lineRule="auto"/>
        <w:rPr>
          <w:sz w:val="20"/>
          <w:szCs w:val="20"/>
          <w:color w:val="auto"/>
        </w:rPr>
      </w:pPr>
      <w:r>
        <w:rPr>
          <w:rFonts w:ascii="Courier New" w:cs="Courier New" w:eastAsia="Courier New" w:hAnsi="Courier New"/>
          <w:sz w:val="16"/>
          <w:szCs w:val="16"/>
          <w:color w:val="auto"/>
        </w:rPr>
        <w:t>(3,308.0) (114.6) -------- --------- ------- Net</w:t>
      </w:r>
    </w:p>
    <w:p>
      <w:pPr>
        <w:jc w:val="center"/>
        <w:ind w:right="5159"/>
        <w:spacing w:after="0"/>
        <w:rPr>
          <w:sz w:val="20"/>
          <w:szCs w:val="20"/>
          <w:color w:val="auto"/>
        </w:rPr>
      </w:pPr>
      <w:r>
        <w:rPr>
          <w:rFonts w:ascii="Courier New" w:cs="Courier New" w:eastAsia="Courier New" w:hAnsi="Courier New"/>
          <w:sz w:val="16"/>
          <w:szCs w:val="16"/>
          <w:color w:val="auto"/>
        </w:rPr>
        <w:t>assets acquired..............................</w:t>
      </w:r>
    </w:p>
    <w:p>
      <w:pPr>
        <w:ind w:left="40"/>
        <w:spacing w:after="0" w:line="238" w:lineRule="auto"/>
        <w:rPr>
          <w:sz w:val="20"/>
          <w:szCs w:val="20"/>
          <w:color w:val="auto"/>
        </w:rPr>
      </w:pPr>
      <w:r>
        <w:rPr>
          <w:rFonts w:ascii="Courier New" w:cs="Courier New" w:eastAsia="Courier New" w:hAnsi="Courier New"/>
          <w:sz w:val="16"/>
          <w:szCs w:val="16"/>
          <w:color w:val="auto"/>
        </w:rPr>
        <w:t>$3,565.8 $11,616.9 $ 291.7 ======== ========= =======</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F-121</w:t>
      </w:r>
    </w:p>
    <w:p>
      <w:pPr>
        <w:sectPr>
          <w:pgSz w:w="11900" w:h="16838" w:orient="portrait"/>
          <w:cols w:equalWidth="0" w:num="1">
            <w:col w:w="10219"/>
          </w:cols>
          <w:pgMar w:left="240" w:top="473" w:right="1440" w:bottom="1440" w:gutter="0" w:footer="0" w:header="0"/>
        </w:sectPr>
      </w:pPr>
    </w:p>
    <w:bookmarkStart w:id="312" w:name="page313"/>
    <w:bookmarkEnd w:id="312"/>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Company's cash payments for interest and income taxes (in millions):</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 ENDED DECEMBER 31, ------------------------ 2001 2000</w:t>
      </w:r>
    </w:p>
    <w:p>
      <w:pPr>
        <w:ind w:left="1584"/>
        <w:spacing w:after="0"/>
        <w:rPr>
          <w:sz w:val="20"/>
          <w:szCs w:val="20"/>
          <w:color w:val="auto"/>
        </w:rPr>
      </w:pPr>
      <w:r>
        <w:rPr>
          <w:rFonts w:ascii="Courier New" w:cs="Courier New" w:eastAsia="Courier New" w:hAnsi="Courier New"/>
          <w:sz w:val="16"/>
          <w:szCs w:val="16"/>
          <w:color w:val="auto"/>
        </w:rPr>
        <w:t>1999 ------ ------ ------</w:t>
      </w:r>
    </w:p>
    <w:p>
      <w:pPr>
        <w:ind w:left="4"/>
        <w:spacing w:after="0" w:line="237" w:lineRule="auto"/>
        <w:rPr>
          <w:sz w:val="20"/>
          <w:szCs w:val="20"/>
          <w:color w:val="auto"/>
        </w:rPr>
      </w:pPr>
      <w:r>
        <w:rPr>
          <w:rFonts w:ascii="Courier New" w:cs="Courier New" w:eastAsia="Courier New" w:hAnsi="Courier New"/>
          <w:sz w:val="16"/>
          <w:szCs w:val="16"/>
          <w:color w:val="auto"/>
        </w:rPr>
        <w:t>Interest...................................................</w:t>
      </w:r>
    </w:p>
    <w:p>
      <w:pPr>
        <w:jc w:val="center"/>
        <w:ind w:right="4695"/>
        <w:spacing w:after="0"/>
        <w:rPr>
          <w:sz w:val="20"/>
          <w:szCs w:val="20"/>
          <w:color w:val="auto"/>
        </w:rPr>
      </w:pPr>
      <w:r>
        <w:rPr>
          <w:rFonts w:ascii="Courier New" w:cs="Courier New" w:eastAsia="Courier New" w:hAnsi="Courier New"/>
          <w:sz w:val="16"/>
          <w:szCs w:val="16"/>
          <w:color w:val="auto"/>
        </w:rPr>
        <w:t>$660.4 $705.8 $529.2 Income</w:t>
      </w:r>
    </w:p>
    <w:p>
      <w:pPr>
        <w:ind w:left="324"/>
        <w:spacing w:after="0" w:line="238" w:lineRule="auto"/>
        <w:rPr>
          <w:sz w:val="20"/>
          <w:szCs w:val="20"/>
          <w:color w:val="auto"/>
        </w:rPr>
      </w:pPr>
      <w:r>
        <w:rPr>
          <w:rFonts w:ascii="Courier New" w:cs="Courier New" w:eastAsia="Courier New" w:hAnsi="Courier New"/>
          <w:sz w:val="16"/>
          <w:szCs w:val="16"/>
          <w:color w:val="auto"/>
        </w:rPr>
        <w:t>taxes...............................................</w:t>
      </w:r>
    </w:p>
    <w:p>
      <w:pPr>
        <w:ind w:left="1824"/>
        <w:spacing w:after="0"/>
        <w:rPr>
          <w:sz w:val="20"/>
          <w:szCs w:val="20"/>
          <w:color w:val="auto"/>
        </w:rPr>
      </w:pPr>
      <w:r>
        <w:rPr>
          <w:rFonts w:ascii="Courier New" w:cs="Courier New" w:eastAsia="Courier New" w:hAnsi="Courier New"/>
          <w:sz w:val="16"/>
          <w:szCs w:val="16"/>
          <w:color w:val="auto"/>
        </w:rPr>
        <w:t>$561.2 $708.9 $190.5</w:t>
      </w:r>
    </w:p>
    <w:p>
      <w:pPr>
        <w:spacing w:after="0" w:line="364" w:lineRule="exact"/>
        <w:rPr>
          <w:sz w:val="20"/>
          <w:szCs w:val="20"/>
          <w:color w:val="auto"/>
        </w:rPr>
      </w:pPr>
    </w:p>
    <w:p>
      <w:pPr>
        <w:ind w:left="184" w:right="7039" w:hanging="184"/>
        <w:spacing w:after="0" w:line="471" w:lineRule="auto"/>
        <w:tabs>
          <w:tab w:leader="none" w:pos="465"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COMMITMENTS</w:t>
      </w:r>
    </w:p>
    <w:p>
      <w:pPr>
        <w:spacing w:after="0" w:line="10"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Company's programming networks have entered into license agreements for programs and sporting events which will be available for telecast subsequent to December 31, 2001. In addition, the Company, through Comcast-Spectacor, has employment agreements with both players and coaches of its professional sports teams. Certain of these employment agreements, which provide for payments that are guaranteed regardless of employee injury or termination, are covered by disability insurance if certain conditions are met. The following table summarizes the Company's minimum annual programming commitments under these license agreements, the Company's future commitments under long-term professional sports contracts, and the Company's minimum annual rental commitments for office space, equipment and transponder service agreements under noncancellable operating leases as of December 31, 2001 (in millions):</w:t>
      </w:r>
    </w:p>
    <w:p>
      <w:pPr>
        <w:spacing w:after="0" w:line="173"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PROFESSIONAL PROGRAMMING SPORTS OPERATING</w:t>
      </w:r>
    </w:p>
    <w:p>
      <w:pPr>
        <w:ind w:left="44"/>
        <w:spacing w:after="0"/>
        <w:rPr>
          <w:sz w:val="20"/>
          <w:szCs w:val="20"/>
          <w:color w:val="auto"/>
        </w:rPr>
      </w:pPr>
      <w:r>
        <w:rPr>
          <w:rFonts w:ascii="Courier New" w:cs="Courier New" w:eastAsia="Courier New" w:hAnsi="Courier New"/>
          <w:sz w:val="16"/>
          <w:szCs w:val="16"/>
          <w:color w:val="auto"/>
        </w:rPr>
        <w:t>AGREEMENTS CONTRACTS LEASES TOTAL --------</w:t>
      </w:r>
    </w:p>
    <w:p>
      <w:pPr>
        <w:ind w:left="464"/>
        <w:spacing w:after="0" w:line="237" w:lineRule="auto"/>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$ 95.4 $122.5</w:t>
            </w: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$ 98.6 $316.5</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right"/>
              <w:ind w:right="36"/>
              <w:spacing w:after="0"/>
              <w:rPr>
                <w:sz w:val="20"/>
                <w:szCs w:val="20"/>
                <w:color w:val="auto"/>
              </w:rPr>
            </w:pPr>
            <w:r>
              <w:rPr>
                <w:rFonts w:ascii="Courier New" w:cs="Courier New" w:eastAsia="Courier New" w:hAnsi="Courier New"/>
                <w:sz w:val="16"/>
                <w:szCs w:val="16"/>
                <w:color w:val="auto"/>
              </w:rPr>
              <w:t>82.6</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108.8</w:t>
            </w:r>
          </w:p>
        </w:tc>
        <w:tc>
          <w:tcPr>
            <w:tcW w:w="500" w:type="dxa"/>
            <w:vAlign w:val="bottom"/>
          </w:tcPr>
          <w:p>
            <w:pPr>
              <w:ind w:left="100"/>
              <w:spacing w:after="0"/>
              <w:rPr>
                <w:sz w:val="20"/>
                <w:szCs w:val="20"/>
                <w:color w:val="auto"/>
              </w:rPr>
            </w:pPr>
            <w:r>
              <w:rPr>
                <w:rFonts w:ascii="Courier New" w:cs="Courier New" w:eastAsia="Courier New" w:hAnsi="Courier New"/>
                <w:sz w:val="16"/>
                <w:szCs w:val="16"/>
                <w:color w:val="auto"/>
                <w:w w:val="98"/>
              </w:rPr>
              <w:t>78.0</w:t>
            </w:r>
          </w:p>
        </w:tc>
        <w:tc>
          <w:tcPr>
            <w:tcW w:w="8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269.4</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center"/>
              <w:ind w:left="956"/>
              <w:spacing w:after="0"/>
              <w:rPr>
                <w:sz w:val="20"/>
                <w:szCs w:val="20"/>
                <w:color w:val="auto"/>
              </w:rPr>
            </w:pPr>
            <w:r>
              <w:rPr>
                <w:rFonts w:ascii="Courier New" w:cs="Courier New" w:eastAsia="Courier New" w:hAnsi="Courier New"/>
                <w:sz w:val="16"/>
                <w:szCs w:val="16"/>
                <w:color w:val="auto"/>
                <w:w w:val="93"/>
              </w:rPr>
              <w:t>84.0</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84.5</w:t>
            </w:r>
          </w:p>
        </w:tc>
        <w:tc>
          <w:tcPr>
            <w:tcW w:w="500" w:type="dxa"/>
            <w:vAlign w:val="bottom"/>
          </w:tcPr>
          <w:p>
            <w:pPr>
              <w:jc w:val="center"/>
              <w:spacing w:after="0"/>
              <w:rPr>
                <w:sz w:val="20"/>
                <w:szCs w:val="20"/>
                <w:color w:val="auto"/>
              </w:rPr>
            </w:pPr>
            <w:r>
              <w:rPr>
                <w:rFonts w:ascii="Courier New" w:cs="Courier New" w:eastAsia="Courier New" w:hAnsi="Courier New"/>
                <w:sz w:val="16"/>
                <w:szCs w:val="16"/>
                <w:color w:val="auto"/>
                <w:w w:val="93"/>
              </w:rPr>
              <w:t>68.8</w:t>
            </w:r>
          </w:p>
        </w:tc>
        <w:tc>
          <w:tcPr>
            <w:tcW w:w="8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237.3</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center"/>
              <w:ind w:left="956"/>
              <w:spacing w:after="0"/>
              <w:rPr>
                <w:sz w:val="20"/>
                <w:szCs w:val="20"/>
                <w:color w:val="auto"/>
              </w:rPr>
            </w:pPr>
            <w:r>
              <w:rPr>
                <w:rFonts w:ascii="Courier New" w:cs="Courier New" w:eastAsia="Courier New" w:hAnsi="Courier New"/>
                <w:sz w:val="16"/>
                <w:szCs w:val="16"/>
                <w:color w:val="auto"/>
                <w:w w:val="93"/>
              </w:rPr>
              <w:t>82.6</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50.8</w:t>
            </w:r>
          </w:p>
        </w:tc>
        <w:tc>
          <w:tcPr>
            <w:tcW w:w="500" w:type="dxa"/>
            <w:vAlign w:val="bottom"/>
          </w:tcPr>
          <w:p>
            <w:pPr>
              <w:jc w:val="center"/>
              <w:spacing w:after="0"/>
              <w:rPr>
                <w:sz w:val="20"/>
                <w:szCs w:val="20"/>
                <w:color w:val="auto"/>
              </w:rPr>
            </w:pPr>
            <w:r>
              <w:rPr>
                <w:rFonts w:ascii="Courier New" w:cs="Courier New" w:eastAsia="Courier New" w:hAnsi="Courier New"/>
                <w:sz w:val="16"/>
                <w:szCs w:val="16"/>
                <w:color w:val="auto"/>
                <w:w w:val="93"/>
              </w:rPr>
              <w:t>54.3</w:t>
            </w:r>
          </w:p>
        </w:tc>
        <w:tc>
          <w:tcPr>
            <w:tcW w:w="8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187.7</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2006.......................................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center"/>
              <w:ind w:left="956"/>
              <w:spacing w:after="0"/>
              <w:rPr>
                <w:sz w:val="20"/>
                <w:szCs w:val="20"/>
                <w:color w:val="auto"/>
              </w:rPr>
            </w:pPr>
            <w:r>
              <w:rPr>
                <w:rFonts w:ascii="Courier New" w:cs="Courier New" w:eastAsia="Courier New" w:hAnsi="Courier New"/>
                <w:sz w:val="16"/>
                <w:szCs w:val="16"/>
                <w:color w:val="auto"/>
                <w:w w:val="93"/>
              </w:rPr>
              <w:t>85.8</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28.7</w:t>
            </w:r>
          </w:p>
        </w:tc>
        <w:tc>
          <w:tcPr>
            <w:tcW w:w="500" w:type="dxa"/>
            <w:vAlign w:val="bottom"/>
          </w:tcPr>
          <w:p>
            <w:pPr>
              <w:jc w:val="center"/>
              <w:spacing w:after="0"/>
              <w:rPr>
                <w:sz w:val="20"/>
                <w:szCs w:val="20"/>
                <w:color w:val="auto"/>
              </w:rPr>
            </w:pPr>
            <w:r>
              <w:rPr>
                <w:rFonts w:ascii="Courier New" w:cs="Courier New" w:eastAsia="Courier New" w:hAnsi="Courier New"/>
                <w:sz w:val="16"/>
                <w:szCs w:val="16"/>
                <w:color w:val="auto"/>
                <w:w w:val="93"/>
              </w:rPr>
              <w:t>39.6</w:t>
            </w:r>
          </w:p>
        </w:tc>
        <w:tc>
          <w:tcPr>
            <w:tcW w:w="8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154.1</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Thereafter.................................</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500" w:type="dxa"/>
            <w:vAlign w:val="bottom"/>
          </w:tcPr>
          <w:p>
            <w:pPr>
              <w:jc w:val="center"/>
              <w:ind w:left="956"/>
              <w:spacing w:after="0"/>
              <w:rPr>
                <w:sz w:val="20"/>
                <w:szCs w:val="20"/>
                <w:color w:val="auto"/>
              </w:rPr>
            </w:pPr>
            <w:r>
              <w:rPr>
                <w:rFonts w:ascii="Courier New" w:cs="Courier New" w:eastAsia="Courier New" w:hAnsi="Courier New"/>
                <w:sz w:val="16"/>
                <w:szCs w:val="16"/>
                <w:color w:val="auto"/>
                <w:w w:val="99"/>
              </w:rPr>
              <w:t>413.6</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7"/>
              </w:rPr>
              <w:t>8.0</w:t>
            </w:r>
          </w:p>
        </w:tc>
        <w:tc>
          <w:tcPr>
            <w:tcW w:w="500" w:type="dxa"/>
            <w:vAlign w:val="bottom"/>
          </w:tcPr>
          <w:p>
            <w:pPr>
              <w:jc w:val="center"/>
              <w:spacing w:after="0"/>
              <w:rPr>
                <w:sz w:val="20"/>
                <w:szCs w:val="20"/>
                <w:color w:val="auto"/>
              </w:rPr>
            </w:pPr>
            <w:r>
              <w:rPr>
                <w:rFonts w:ascii="Courier New" w:cs="Courier New" w:eastAsia="Courier New" w:hAnsi="Courier New"/>
                <w:sz w:val="16"/>
                <w:szCs w:val="16"/>
                <w:color w:val="auto"/>
                <w:w w:val="99"/>
              </w:rPr>
              <w:t>148.6</w:t>
            </w:r>
          </w:p>
        </w:tc>
        <w:tc>
          <w:tcPr>
            <w:tcW w:w="8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570.2</w:t>
            </w:r>
          </w:p>
        </w:tc>
      </w:tr>
    </w:tbl>
    <w:p>
      <w:pPr>
        <w:spacing w:after="0" w:line="365" w:lineRule="exact"/>
        <w:rPr>
          <w:sz w:val="20"/>
          <w:szCs w:val="20"/>
          <w:color w:val="auto"/>
        </w:rPr>
      </w:pPr>
    </w:p>
    <w:p>
      <w:pPr>
        <w:ind w:left="4" w:right="3179" w:firstLine="469"/>
        <w:spacing w:after="0" w:line="236" w:lineRule="auto"/>
        <w:rPr>
          <w:sz w:val="20"/>
          <w:szCs w:val="20"/>
          <w:color w:val="auto"/>
        </w:rPr>
      </w:pPr>
      <w:r>
        <w:rPr>
          <w:rFonts w:ascii="Courier New" w:cs="Courier New" w:eastAsia="Courier New" w:hAnsi="Courier New"/>
          <w:sz w:val="16"/>
          <w:szCs w:val="16"/>
          <w:color w:val="auto"/>
        </w:rPr>
        <w:t>The following table summarizes the Company's rental expense charged to operations (in millions):</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4" w:type="dxa"/>
        <w:tblCellMar>
          <w:top w:w="0" w:type="dxa"/>
          <w:left w:w="0" w:type="dxa"/>
          <w:bottom w:w="0" w:type="dxa"/>
          <w:right w:w="0" w:type="dxa"/>
        </w:tblCellMar>
      </w:tblPr>
      <w:tr>
        <w:trPr>
          <w:trHeight w:val="180"/>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2001 2000 1999 ------- ------</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 Rental</w:t>
            </w:r>
          </w:p>
        </w:tc>
      </w:tr>
      <w:tr>
        <w:trPr>
          <w:trHeight w:val="180"/>
        </w:trPr>
        <w:tc>
          <w:tcPr>
            <w:tcW w:w="2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expense..............................................</w:t>
            </w:r>
          </w:p>
        </w:tc>
        <w:tc>
          <w:tcPr>
            <w:tcW w:w="1640" w:type="dxa"/>
            <w:vAlign w:val="bottom"/>
          </w:tcPr>
          <w:p>
            <w:pPr>
              <w:spacing w:after="0"/>
              <w:rPr>
                <w:sz w:val="15"/>
                <w:szCs w:val="15"/>
                <w:color w:val="auto"/>
              </w:rPr>
            </w:pPr>
          </w:p>
        </w:tc>
      </w:tr>
      <w:tr>
        <w:trPr>
          <w:trHeight w:val="180"/>
        </w:trPr>
        <w:tc>
          <w:tcPr>
            <w:tcW w:w="2300" w:type="dxa"/>
            <w:vAlign w:val="bottom"/>
          </w:tcPr>
          <w:p>
            <w:pPr>
              <w:jc w:val="right"/>
              <w:ind w:right="27"/>
              <w:spacing w:after="0"/>
              <w:rPr>
                <w:sz w:val="20"/>
                <w:szCs w:val="20"/>
                <w:color w:val="auto"/>
              </w:rPr>
            </w:pPr>
            <w:r>
              <w:rPr>
                <w:rFonts w:ascii="Courier New" w:cs="Courier New" w:eastAsia="Courier New" w:hAnsi="Courier New"/>
                <w:sz w:val="16"/>
                <w:szCs w:val="16"/>
                <w:color w:val="auto"/>
              </w:rPr>
              <w:t>$120.9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$97.6</w:t>
            </w:r>
          </w:p>
        </w:tc>
        <w:tc>
          <w:tcPr>
            <w:tcW w:w="1640" w:type="dxa"/>
            <w:vAlign w:val="bottom"/>
          </w:tcPr>
          <w:p>
            <w:pPr>
              <w:jc w:val="right"/>
              <w:ind w:right="1102"/>
              <w:spacing w:after="0"/>
              <w:rPr>
                <w:sz w:val="20"/>
                <w:szCs w:val="20"/>
                <w:color w:val="auto"/>
              </w:rPr>
            </w:pPr>
            <w:r>
              <w:rPr>
                <w:rFonts w:ascii="Courier New" w:cs="Courier New" w:eastAsia="Courier New" w:hAnsi="Courier New"/>
                <w:sz w:val="16"/>
                <w:szCs w:val="16"/>
                <w:color w:val="auto"/>
                <w:w w:val="91"/>
              </w:rPr>
              <w:t>$88.5</w:t>
            </w:r>
          </w:p>
        </w:tc>
      </w:tr>
    </w:tbl>
    <w:p>
      <w:pPr>
        <w:spacing w:after="0" w:line="36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CONTINGENCIES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 and the owners of the 34% interest in Comcast Spectacor that the Company does not own (the "Minority Group") each have the right to initiate an "exit" process under which the fair market value of Comcast Spectacor would be determined by appraisal. Following such determination, the Company would have the option to acquire the interests in Comcast Spectacor owned by the Minority Group based on the appraised fair market value. In the event the Company did not exercise this option, the Company and the Minority Group would then be required to use their best efforts to sell Comcast Spectacor.</w:t>
      </w:r>
    </w:p>
    <w:p>
      <w:pPr>
        <w:spacing w:after="0" w:line="173"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Walt Disney Company ("Disney"), in certain circumstances, is entitled to cause Comcast Entertainment Holdings LLC ("Entertainment Holdings"), which is owned 50.1% by the Company and 49.9% by Disney, to purchase Disney's entire interest in Entertainment Holdings at its then fair market</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F-122</w:t>
      </w:r>
    </w:p>
    <w:p>
      <w:pPr>
        <w:sectPr>
          <w:pgSz w:w="11900" w:h="16838" w:orient="portrait"/>
          <w:cols w:equalWidth="0" w:num="1">
            <w:col w:w="10223"/>
          </w:cols>
          <w:pgMar w:left="236" w:top="473" w:right="1440" w:bottom="1440" w:gutter="0" w:footer="0" w:header="0"/>
        </w:sectPr>
      </w:pPr>
    </w:p>
    <w:bookmarkStart w:id="313" w:name="page314"/>
    <w:bookmarkEnd w:id="313"/>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value (as determined by an appraisal process). If Entertainment Holdings elects not to purchase Disney's interests, Disney has the right, at its option, to purchase either the Company's entire interest in Entertainment Holdings or all of the shares of stock of E! Entertainment held by Entertainment Holdings in each case at fair market value. In the event that Disney exercises its rights, as described above, a portion or all of the Disney Notes (see Note 7) may be replaced with a three year note due to Disney.</w:t>
      </w:r>
    </w:p>
    <w:p>
      <w:pPr>
        <w:spacing w:after="0" w:line="17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Liberty Media Group ("Liberty") may, at certain times, trigger the exercise of certain exit rights with respect to its investment in QVC. If Liberty Media triggers its exit rights, the Company has first right to purchase the stock in QVC held by Liberty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89"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expenditures (principally in the form of capital expenditures) that will be made by the affiliate necessary to comply with the performance requirements will not exceed $75 million.</w:t>
      </w:r>
    </w:p>
    <w:p>
      <w:pPr>
        <w:spacing w:after="0" w:line="180" w:lineRule="exact"/>
        <w:rPr>
          <w:sz w:val="20"/>
          <w:szCs w:val="20"/>
          <w:color w:val="auto"/>
        </w:rPr>
      </w:pPr>
    </w:p>
    <w:p>
      <w:pPr>
        <w:ind w:left="464" w:hanging="464"/>
        <w:spacing w:after="0"/>
        <w:tabs>
          <w:tab w:leader="none" w:pos="464"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following represents the Company's significant business segments, "Cable" and "Commerce." The Company's regional sports programming networks, which derive a substantial portion of their revenues from the Company's cable operations, were previously included in "Other." In 2001, as a result of a change in the Company's internal reporting structure, the Company's regional sports programming networks are now included in the Company's Cable segment for all periods presented (see Note 1). The components of net income (loss) below operating income (loss) are not separately evaluated by the Company's management on a segment basis (dollars in millions).</w:t>
      </w:r>
    </w:p>
    <w:p>
      <w:pPr>
        <w:spacing w:after="0" w:line="186"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CORPORATE CABLE COMMERCE AND OTHER(1) TOTAL ---</w:t>
      </w:r>
    </w:p>
    <w:p>
      <w:pPr>
        <w:spacing w:after="0" w:line="5" w:lineRule="exact"/>
        <w:rPr>
          <w:sz w:val="20"/>
          <w:szCs w:val="20"/>
          <w:color w:val="auto"/>
        </w:rPr>
      </w:pPr>
    </w:p>
    <w:p>
      <w:pPr>
        <w:ind w:left="224"/>
        <w:spacing w:after="0"/>
        <w:rPr>
          <w:sz w:val="20"/>
          <w:szCs w:val="20"/>
          <w:color w:val="auto"/>
        </w:rPr>
      </w:pPr>
      <w:r>
        <w:rPr>
          <w:rFonts w:ascii="Courier New" w:cs="Courier New" w:eastAsia="Courier New" w:hAnsi="Courier New"/>
          <w:sz w:val="16"/>
          <w:szCs w:val="16"/>
          <w:color w:val="auto"/>
        </w:rPr>
        <w:t>------ -------- ------------ --------- 2001</w:t>
      </w:r>
    </w:p>
    <w:p>
      <w:pPr>
        <w:ind w:left="4"/>
        <w:spacing w:after="0"/>
        <w:rPr>
          <w:sz w:val="20"/>
          <w:szCs w:val="20"/>
          <w:color w:val="auto"/>
        </w:rPr>
      </w:pPr>
      <w:r>
        <w:rPr>
          <w:rFonts w:ascii="Courier New" w:cs="Courier New" w:eastAsia="Courier New" w:hAnsi="Courier New"/>
          <w:sz w:val="16"/>
          <w:szCs w:val="16"/>
          <w:color w:val="auto"/>
        </w:rPr>
        <w:t>Revenues(2).....................................</w:t>
      </w:r>
    </w:p>
    <w:p>
      <w:pPr>
        <w:spacing w:after="0" w:line="3" w:lineRule="exact"/>
        <w:rPr>
          <w:sz w:val="20"/>
          <w:szCs w:val="20"/>
          <w:color w:val="auto"/>
        </w:rPr>
      </w:pPr>
    </w:p>
    <w:p>
      <w:pPr>
        <w:ind w:left="504" w:right="5819" w:hanging="412"/>
        <w:spacing w:after="0" w:line="254" w:lineRule="auto"/>
        <w:tabs>
          <w:tab w:leader="none" w:pos="269"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5,130.7 $3,917.3 $ 626.2 $ 9,674.2 Operating income (loss) before depreciation and</w:t>
      </w:r>
    </w:p>
    <w:p>
      <w:pPr>
        <w:ind w:left="84"/>
        <w:spacing w:after="0" w:line="234" w:lineRule="auto"/>
        <w:rPr>
          <w:sz w:val="20"/>
          <w:szCs w:val="20"/>
          <w:color w:val="auto"/>
        </w:rPr>
      </w:pPr>
      <w:r>
        <w:rPr>
          <w:rFonts w:ascii="Courier New" w:cs="Courier New" w:eastAsia="Courier New" w:hAnsi="Courier New"/>
          <w:sz w:val="16"/>
          <w:szCs w:val="16"/>
          <w:color w:val="auto"/>
        </w:rPr>
        <w:t>amortization(3)...............................</w:t>
      </w:r>
    </w:p>
    <w:p>
      <w:pPr>
        <w:ind w:left="144"/>
        <w:spacing w:after="0"/>
        <w:rPr>
          <w:sz w:val="20"/>
          <w:szCs w:val="20"/>
          <w:color w:val="auto"/>
        </w:rPr>
      </w:pPr>
      <w:r>
        <w:rPr>
          <w:rFonts w:ascii="Courier New" w:cs="Courier New" w:eastAsia="Courier New" w:hAnsi="Courier New"/>
          <w:sz w:val="16"/>
          <w:szCs w:val="16"/>
          <w:color w:val="auto"/>
        </w:rPr>
        <w:t>2,054.1 722.3 (74.6) 2,701.8 Depreciation and</w:t>
      </w:r>
    </w:p>
    <w:tbl>
      <w:tblPr>
        <w:tblLayout w:type="fixed"/>
        <w:tblInd w:w="4" w:type="dxa"/>
        <w:tblCellMar>
          <w:top w:w="0" w:type="dxa"/>
          <w:left w:w="0" w:type="dxa"/>
          <w:bottom w:w="0" w:type="dxa"/>
          <w:right w:w="0" w:type="dxa"/>
        </w:tblCellMar>
      </w:tblPr>
      <w:tr>
        <w:trPr>
          <w:trHeight w:val="180"/>
        </w:trPr>
        <w:tc>
          <w:tcPr>
            <w:tcW w:w="19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amortization...................</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3,043.6 143.3</w:t>
            </w:r>
          </w:p>
        </w:tc>
      </w:tr>
      <w:tr>
        <w:trPr>
          <w:trHeight w:val="180"/>
        </w:trPr>
        <w:tc>
          <w:tcPr>
            <w:tcW w:w="4400" w:type="dxa"/>
            <w:vAlign w:val="bottom"/>
            <w:gridSpan w:val="6"/>
          </w:tcPr>
          <w:p>
            <w:pPr>
              <w:jc w:val="center"/>
              <w:ind w:left="32"/>
              <w:spacing w:after="0"/>
              <w:rPr>
                <w:sz w:val="20"/>
                <w:szCs w:val="20"/>
                <w:color w:val="auto"/>
              </w:rPr>
            </w:pPr>
            <w:r>
              <w:rPr>
                <w:rFonts w:ascii="Courier New" w:cs="Courier New" w:eastAsia="Courier New" w:hAnsi="Courier New"/>
                <w:sz w:val="16"/>
                <w:szCs w:val="16"/>
                <w:color w:val="auto"/>
                <w:w w:val="97"/>
              </w:rPr>
              <w:t>261.1 3,448.0 Operating income</w:t>
            </w:r>
          </w:p>
        </w:tc>
      </w:tr>
      <w:tr>
        <w:trPr>
          <w:trHeight w:val="180"/>
        </w:trPr>
        <w:tc>
          <w:tcPr>
            <w:tcW w:w="19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(loss).........................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(989.5) 579.0</w:t>
            </w:r>
          </w:p>
        </w:tc>
      </w:tr>
      <w:tr>
        <w:trPr>
          <w:trHeight w:val="180"/>
        </w:trPr>
        <w:tc>
          <w:tcPr>
            <w:tcW w:w="4400" w:type="dxa"/>
            <w:vAlign w:val="bottom"/>
            <w:gridSpan w:val="6"/>
          </w:tcPr>
          <w:p>
            <w:pPr>
              <w:jc w:val="center"/>
              <w:ind w:left="32"/>
              <w:spacing w:after="0"/>
              <w:rPr>
                <w:sz w:val="20"/>
                <w:szCs w:val="20"/>
                <w:color w:val="auto"/>
              </w:rPr>
            </w:pPr>
            <w:r>
              <w:rPr>
                <w:rFonts w:ascii="Courier New" w:cs="Courier New" w:eastAsia="Courier New" w:hAnsi="Courier New"/>
                <w:sz w:val="16"/>
                <w:szCs w:val="16"/>
                <w:color w:val="auto"/>
                <w:w w:val="98"/>
              </w:rPr>
              <w:t>(335.7) (746.2) Interest</w:t>
            </w:r>
          </w:p>
        </w:tc>
      </w:tr>
      <w:tr>
        <w:trPr>
          <w:trHeight w:val="180"/>
        </w:trPr>
        <w:tc>
          <w:tcPr>
            <w:tcW w:w="1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expense................................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546.4</w:t>
            </w:r>
          </w:p>
        </w:tc>
      </w:tr>
      <w:tr>
        <w:trPr>
          <w:trHeight w:val="180"/>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25.9</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159.5</w:t>
            </w:r>
          </w:p>
        </w:tc>
        <w:tc>
          <w:tcPr>
            <w:tcW w:w="1920" w:type="dxa"/>
            <w:vAlign w:val="bottom"/>
            <w:gridSpan w:val="2"/>
          </w:tcPr>
          <w:p>
            <w:pPr>
              <w:jc w:val="right"/>
              <w:ind w:right="1322"/>
              <w:spacing w:after="0"/>
              <w:rPr>
                <w:sz w:val="20"/>
                <w:szCs w:val="20"/>
                <w:color w:val="auto"/>
              </w:rPr>
            </w:pPr>
            <w:r>
              <w:rPr>
                <w:rFonts w:ascii="Courier New" w:cs="Courier New" w:eastAsia="Courier New" w:hAnsi="Courier New"/>
                <w:sz w:val="16"/>
                <w:szCs w:val="16"/>
                <w:color w:val="auto"/>
              </w:rPr>
              <w:t>731.8</w:t>
            </w:r>
          </w:p>
        </w:tc>
      </w:tr>
      <w:tr>
        <w:trPr>
          <w:trHeight w:val="180"/>
        </w:trPr>
        <w:tc>
          <w:tcPr>
            <w:tcW w:w="19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Assets..........................................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400" w:type="dxa"/>
            <w:vAlign w:val="bottom"/>
            <w:gridSpan w:val="6"/>
          </w:tcPr>
          <w:p>
            <w:pPr>
              <w:jc w:val="center"/>
              <w:ind w:left="12"/>
              <w:spacing w:after="0"/>
              <w:rPr>
                <w:sz w:val="20"/>
                <w:szCs w:val="20"/>
                <w:color w:val="auto"/>
              </w:rPr>
            </w:pPr>
            <w:r>
              <w:rPr>
                <w:rFonts w:ascii="Courier New" w:cs="Courier New" w:eastAsia="Courier New" w:hAnsi="Courier New"/>
                <w:sz w:val="16"/>
                <w:szCs w:val="16"/>
                <w:color w:val="auto"/>
                <w:w w:val="97"/>
              </w:rPr>
              <w:t>29,084.6 2,680.5 6,366.7 38,131.8 Long-term</w:t>
            </w:r>
          </w:p>
        </w:tc>
      </w:tr>
      <w:tr>
        <w:trPr>
          <w:trHeight w:val="180"/>
        </w:trPr>
        <w:tc>
          <w:tcPr>
            <w:tcW w:w="1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debt..................................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8,363.2</w:t>
            </w:r>
          </w:p>
        </w:tc>
      </w:tr>
      <w:tr>
        <w:trPr>
          <w:trHeight w:val="180"/>
        </w:trPr>
        <w:tc>
          <w:tcPr>
            <w:tcW w:w="4400" w:type="dxa"/>
            <w:vAlign w:val="bottom"/>
            <w:gridSpan w:val="6"/>
          </w:tcPr>
          <w:p>
            <w:pPr>
              <w:jc w:val="center"/>
              <w:ind w:left="12"/>
              <w:spacing w:after="0"/>
              <w:rPr>
                <w:sz w:val="20"/>
                <w:szCs w:val="20"/>
                <w:color w:val="auto"/>
              </w:rPr>
            </w:pPr>
            <w:r>
              <w:rPr>
                <w:rFonts w:ascii="Courier New" w:cs="Courier New" w:eastAsia="Courier New" w:hAnsi="Courier New"/>
                <w:sz w:val="16"/>
                <w:szCs w:val="16"/>
                <w:color w:val="auto"/>
                <w:w w:val="97"/>
              </w:rPr>
              <w:t>62.7 3,315.7 11,741.6 Capital</w:t>
            </w:r>
          </w:p>
        </w:tc>
      </w:tr>
      <w:tr>
        <w:trPr>
          <w:trHeight w:val="180"/>
        </w:trPr>
        <w:tc>
          <w:tcPr>
            <w:tcW w:w="1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expenditures............................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1720" w:type="dxa"/>
            <w:vAlign w:val="bottom"/>
          </w:tcPr>
          <w:p>
            <w:pPr>
              <w:jc w:val="right"/>
              <w:ind w:right="12"/>
              <w:spacing w:after="0"/>
              <w:rPr>
                <w:sz w:val="20"/>
                <w:szCs w:val="20"/>
                <w:color w:val="auto"/>
              </w:rPr>
            </w:pPr>
            <w:r>
              <w:rPr>
                <w:rFonts w:ascii="Courier New" w:cs="Courier New" w:eastAsia="Courier New" w:hAnsi="Courier New"/>
                <w:sz w:val="16"/>
                <w:szCs w:val="16"/>
                <w:color w:val="auto"/>
              </w:rPr>
              <w:t>1,855.3</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142.9</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183.5</w:t>
            </w:r>
          </w:p>
        </w:tc>
        <w:tc>
          <w:tcPr>
            <w:tcW w:w="160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2,181.7</w:t>
            </w:r>
          </w:p>
        </w:tc>
      </w:tr>
      <w:tr>
        <w:trPr>
          <w:trHeight w:val="541"/>
        </w:trPr>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F-123</w:t>
            </w:r>
          </w:p>
        </w:tc>
      </w:tr>
    </w:tbl>
    <w:p>
      <w:pPr>
        <w:sectPr>
          <w:pgSz w:w="11900" w:h="16838" w:orient="portrait"/>
          <w:cols w:equalWidth="0" w:num="1">
            <w:col w:w="10223"/>
          </w:cols>
          <w:pgMar w:left="236" w:top="473" w:right="1440" w:bottom="1440" w:gutter="0" w:footer="0" w:header="0"/>
        </w:sectPr>
      </w:pPr>
    </w:p>
    <w:bookmarkStart w:id="314" w:name="page315"/>
    <w:bookmarkEnd w:id="314"/>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4" w:lineRule="exact"/>
        <w:rPr>
          <w:sz w:val="20"/>
          <w:szCs w:val="20"/>
          <w:color w:val="auto"/>
        </w:rPr>
      </w:pPr>
    </w:p>
    <w:p>
      <w:pPr>
        <w:jc w:val="center"/>
        <w:ind w:right="5715"/>
        <w:spacing w:after="0"/>
        <w:rPr>
          <w:sz w:val="20"/>
          <w:szCs w:val="20"/>
          <w:color w:val="auto"/>
        </w:rPr>
      </w:pPr>
      <w:r>
        <w:rPr>
          <w:rFonts w:ascii="Courier New" w:cs="Courier New" w:eastAsia="Courier New" w:hAnsi="Courier New"/>
          <w:sz w:val="15"/>
          <w:szCs w:val="15"/>
          <w:color w:val="auto"/>
        </w:rPr>
        <w:t>CORPORATE CABLE COMMERCE AND OTHER(1) TOTAL ---</w:t>
      </w:r>
    </w:p>
    <w:p>
      <w:pPr>
        <w:spacing w:after="0" w:line="5" w:lineRule="exact"/>
        <w:rPr>
          <w:sz w:val="20"/>
          <w:szCs w:val="20"/>
          <w:color w:val="auto"/>
        </w:rPr>
      </w:pPr>
    </w:p>
    <w:p>
      <w:pPr>
        <w:ind w:left="224"/>
        <w:spacing w:after="0"/>
        <w:rPr>
          <w:sz w:val="20"/>
          <w:szCs w:val="20"/>
          <w:color w:val="auto"/>
        </w:rPr>
      </w:pPr>
      <w:r>
        <w:rPr>
          <w:rFonts w:ascii="Courier New" w:cs="Courier New" w:eastAsia="Courier New" w:hAnsi="Courier New"/>
          <w:sz w:val="16"/>
          <w:szCs w:val="16"/>
          <w:color w:val="auto"/>
        </w:rPr>
        <w:t>------ -------- ------------ --------- 2000</w:t>
      </w:r>
    </w:p>
    <w:p>
      <w:pPr>
        <w:ind w:left="4"/>
        <w:spacing w:after="0"/>
        <w:rPr>
          <w:sz w:val="20"/>
          <w:szCs w:val="20"/>
          <w:color w:val="auto"/>
        </w:rPr>
      </w:pPr>
      <w:r>
        <w:rPr>
          <w:rFonts w:ascii="Courier New" w:cs="Courier New" w:eastAsia="Courier New" w:hAnsi="Courier New"/>
          <w:sz w:val="16"/>
          <w:szCs w:val="16"/>
          <w:color w:val="auto"/>
        </w:rPr>
        <w:t>Revenues(2).....................................</w:t>
      </w:r>
    </w:p>
    <w:p>
      <w:pPr>
        <w:spacing w:after="0" w:line="3" w:lineRule="exact"/>
        <w:rPr>
          <w:sz w:val="20"/>
          <w:szCs w:val="20"/>
          <w:color w:val="auto"/>
        </w:rPr>
      </w:pPr>
    </w:p>
    <w:p>
      <w:pPr>
        <w:ind w:left="504" w:right="5819" w:hanging="412"/>
        <w:spacing w:after="0" w:line="254" w:lineRule="auto"/>
        <w:tabs>
          <w:tab w:leader="none" w:pos="269"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4,208.5 $3,535.9 $ 474.2 $ 8,218.6 Operating income (loss) before depreciation and</w:t>
      </w:r>
    </w:p>
    <w:p>
      <w:pPr>
        <w:ind w:left="84"/>
        <w:spacing w:after="0" w:line="234" w:lineRule="auto"/>
        <w:rPr>
          <w:sz w:val="20"/>
          <w:szCs w:val="20"/>
          <w:color w:val="auto"/>
        </w:rPr>
      </w:pPr>
      <w:r>
        <w:rPr>
          <w:rFonts w:ascii="Courier New" w:cs="Courier New" w:eastAsia="Courier New" w:hAnsi="Courier New"/>
          <w:sz w:val="16"/>
          <w:szCs w:val="16"/>
          <w:color w:val="auto"/>
        </w:rPr>
        <w:t>amortization(3)...............................</w:t>
      </w:r>
    </w:p>
    <w:p>
      <w:pPr>
        <w:ind w:left="144"/>
        <w:spacing w:after="0"/>
        <w:rPr>
          <w:sz w:val="20"/>
          <w:szCs w:val="20"/>
          <w:color w:val="auto"/>
        </w:rPr>
      </w:pPr>
      <w:r>
        <w:rPr>
          <w:rFonts w:ascii="Courier New" w:cs="Courier New" w:eastAsia="Courier New" w:hAnsi="Courier New"/>
          <w:sz w:val="16"/>
          <w:szCs w:val="16"/>
          <w:color w:val="auto"/>
        </w:rPr>
        <w:t>1,903.4 619.2 (52.3) 2,470.3 Depreciation and</w:t>
      </w:r>
    </w:p>
    <w:tbl>
      <w:tblPr>
        <w:tblLayout w:type="fixed"/>
        <w:tblInd w:w="4" w:type="dxa"/>
        <w:tblCellMar>
          <w:top w:w="0" w:type="dxa"/>
          <w:left w:w="0" w:type="dxa"/>
          <w:bottom w:w="0" w:type="dxa"/>
          <w:right w:w="0" w:type="dxa"/>
        </w:tblCellMar>
      </w:tblP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80"/>
              </w:rPr>
              <w:t>amortization...................</w:t>
            </w:r>
          </w:p>
        </w:tc>
        <w:tc>
          <w:tcPr>
            <w:tcW w:w="520" w:type="dxa"/>
            <w:vAlign w:val="bottom"/>
          </w:tcPr>
          <w:p>
            <w:pPr>
              <w:spacing w:after="0"/>
              <w:rPr>
                <w:sz w:val="15"/>
                <w:szCs w:val="15"/>
                <w:color w:val="auto"/>
              </w:rPr>
            </w:pPr>
          </w:p>
        </w:tc>
        <w:tc>
          <w:tcPr>
            <w:tcW w:w="192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2,419.5 125.9</w:t>
            </w:r>
          </w:p>
        </w:tc>
      </w:tr>
      <w:tr>
        <w:trPr>
          <w:trHeight w:val="180"/>
        </w:trPr>
        <w:tc>
          <w:tcPr>
            <w:tcW w:w="4400" w:type="dxa"/>
            <w:vAlign w:val="bottom"/>
            <w:gridSpan w:val="4"/>
          </w:tcPr>
          <w:p>
            <w:pPr>
              <w:jc w:val="center"/>
              <w:ind w:left="14"/>
              <w:spacing w:after="0"/>
              <w:rPr>
                <w:sz w:val="20"/>
                <w:szCs w:val="20"/>
                <w:color w:val="auto"/>
              </w:rPr>
            </w:pPr>
            <w:r>
              <w:rPr>
                <w:rFonts w:ascii="Courier New" w:cs="Courier New" w:eastAsia="Courier New" w:hAnsi="Courier New"/>
                <w:sz w:val="16"/>
                <w:szCs w:val="16"/>
                <w:color w:val="auto"/>
                <w:w w:val="97"/>
              </w:rPr>
              <w:t>85.9 2,631.3 Operating income</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80"/>
              </w:rPr>
              <w:t>(loss).........................</w:t>
            </w:r>
          </w:p>
        </w:tc>
        <w:tc>
          <w:tcPr>
            <w:tcW w:w="5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(516.1) 493.3</w:t>
            </w:r>
          </w:p>
        </w:tc>
      </w:tr>
      <w:tr>
        <w:trPr>
          <w:trHeight w:val="180"/>
        </w:trPr>
        <w:tc>
          <w:tcPr>
            <w:tcW w:w="4400" w:type="dxa"/>
            <w:vAlign w:val="bottom"/>
            <w:gridSpan w:val="4"/>
          </w:tcPr>
          <w:p>
            <w:pPr>
              <w:jc w:val="center"/>
              <w:ind w:left="34"/>
              <w:spacing w:after="0"/>
              <w:rPr>
                <w:sz w:val="20"/>
                <w:szCs w:val="20"/>
                <w:color w:val="auto"/>
              </w:rPr>
            </w:pPr>
            <w:r>
              <w:rPr>
                <w:rFonts w:ascii="Courier New" w:cs="Courier New" w:eastAsia="Courier New" w:hAnsi="Courier New"/>
                <w:sz w:val="16"/>
                <w:szCs w:val="16"/>
                <w:color w:val="auto"/>
                <w:w w:val="98"/>
              </w:rPr>
              <w:t>(138.2) (161.0) Interest</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expense................................</w:t>
            </w:r>
          </w:p>
        </w:tc>
        <w:tc>
          <w:tcPr>
            <w:tcW w:w="5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515.9</w:t>
            </w:r>
          </w:p>
        </w:tc>
      </w:tr>
      <w:tr>
        <w:trPr>
          <w:trHeight w:val="180"/>
        </w:trPr>
        <w:tc>
          <w:tcPr>
            <w:tcW w:w="1500" w:type="dxa"/>
            <w:vAlign w:val="bottom"/>
          </w:tcPr>
          <w:p>
            <w:pPr>
              <w:spacing w:after="0"/>
              <w:rPr>
                <w:sz w:val="15"/>
                <w:szCs w:val="15"/>
                <w:color w:val="auto"/>
              </w:rPr>
            </w:pP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34.9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140.6</w:t>
            </w:r>
          </w:p>
        </w:tc>
        <w:tc>
          <w:tcPr>
            <w:tcW w:w="192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691.4</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Assets..........................................</w:t>
            </w:r>
          </w:p>
        </w:tc>
        <w:tc>
          <w:tcPr>
            <w:tcW w:w="5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0"/>
        </w:trPr>
        <w:tc>
          <w:tcPr>
            <w:tcW w:w="4400" w:type="dxa"/>
            <w:vAlign w:val="bottom"/>
            <w:gridSpan w:val="4"/>
          </w:tcPr>
          <w:p>
            <w:pPr>
              <w:jc w:val="center"/>
              <w:ind w:left="14"/>
              <w:spacing w:after="0"/>
              <w:rPr>
                <w:sz w:val="20"/>
                <w:szCs w:val="20"/>
                <w:color w:val="auto"/>
              </w:rPr>
            </w:pPr>
            <w:r>
              <w:rPr>
                <w:rFonts w:ascii="Courier New" w:cs="Courier New" w:eastAsia="Courier New" w:hAnsi="Courier New"/>
                <w:sz w:val="16"/>
                <w:szCs w:val="16"/>
                <w:color w:val="auto"/>
                <w:w w:val="97"/>
              </w:rPr>
              <w:t>25,763.9 2,503.0 7,477.6 35,744.5 Long-term</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debt..................................</w:t>
            </w:r>
          </w:p>
        </w:tc>
        <w:tc>
          <w:tcPr>
            <w:tcW w:w="5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6,711.0</w:t>
            </w:r>
          </w:p>
        </w:tc>
      </w:tr>
      <w:tr>
        <w:trPr>
          <w:trHeight w:val="180"/>
        </w:trPr>
        <w:tc>
          <w:tcPr>
            <w:tcW w:w="4400" w:type="dxa"/>
            <w:vAlign w:val="bottom"/>
            <w:gridSpan w:val="4"/>
          </w:tcPr>
          <w:p>
            <w:pPr>
              <w:jc w:val="center"/>
              <w:ind w:left="34"/>
              <w:spacing w:after="0"/>
              <w:rPr>
                <w:sz w:val="20"/>
                <w:szCs w:val="20"/>
                <w:color w:val="auto"/>
              </w:rPr>
            </w:pPr>
            <w:r>
              <w:rPr>
                <w:rFonts w:ascii="Courier New" w:cs="Courier New" w:eastAsia="Courier New" w:hAnsi="Courier New"/>
                <w:sz w:val="16"/>
                <w:szCs w:val="16"/>
                <w:color w:val="auto"/>
                <w:w w:val="97"/>
              </w:rPr>
              <w:t>302.0 3,504.4 10,517.4 Capital</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expenditures............................</w:t>
            </w:r>
          </w:p>
        </w:tc>
        <w:tc>
          <w:tcPr>
            <w:tcW w:w="5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0"/>
        </w:trPr>
        <w:tc>
          <w:tcPr>
            <w:tcW w:w="1500" w:type="dxa"/>
            <w:vAlign w:val="bottom"/>
          </w:tcPr>
          <w:p>
            <w:pPr>
              <w:jc w:val="right"/>
              <w:ind w:right="34"/>
              <w:spacing w:after="0"/>
              <w:rPr>
                <w:sz w:val="20"/>
                <w:szCs w:val="20"/>
                <w:color w:val="auto"/>
              </w:rPr>
            </w:pPr>
            <w:r>
              <w:rPr>
                <w:rFonts w:ascii="Courier New" w:cs="Courier New" w:eastAsia="Courier New" w:hAnsi="Courier New"/>
                <w:sz w:val="16"/>
                <w:szCs w:val="16"/>
                <w:color w:val="auto"/>
              </w:rPr>
              <w:t>1,248.9</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155.9</w:t>
            </w:r>
          </w:p>
        </w:tc>
        <w:tc>
          <w:tcPr>
            <w:tcW w:w="244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232.0 1,636.8 1999</w:t>
            </w:r>
          </w:p>
        </w:tc>
      </w:tr>
      <w:tr>
        <w:trPr>
          <w:trHeight w:val="180"/>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Revenues(2).....................................</w:t>
            </w:r>
          </w:p>
        </w:tc>
        <w:tc>
          <w:tcPr>
            <w:tcW w:w="52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pacing w:after="0" w:line="4" w:lineRule="exact"/>
        <w:rPr>
          <w:sz w:val="20"/>
          <w:szCs w:val="20"/>
          <w:color w:val="auto"/>
        </w:rPr>
      </w:pPr>
    </w:p>
    <w:p>
      <w:pPr>
        <w:ind w:left="504" w:right="5819" w:hanging="412"/>
        <w:spacing w:after="0" w:line="254" w:lineRule="auto"/>
        <w:tabs>
          <w:tab w:leader="none" w:pos="269"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2,969.9 $3,167.4 $ 391.9 $ 6,529.2 Operating income (loss) before depreciation and</w:t>
      </w:r>
    </w:p>
    <w:p>
      <w:pPr>
        <w:ind w:left="84"/>
        <w:spacing w:after="0" w:line="234" w:lineRule="auto"/>
        <w:rPr>
          <w:sz w:val="20"/>
          <w:szCs w:val="20"/>
          <w:color w:val="auto"/>
        </w:rPr>
      </w:pPr>
      <w:r>
        <w:rPr>
          <w:rFonts w:ascii="Courier New" w:cs="Courier New" w:eastAsia="Courier New" w:hAnsi="Courier New"/>
          <w:sz w:val="16"/>
          <w:szCs w:val="16"/>
          <w:color w:val="auto"/>
        </w:rPr>
        <w:t>amortization(3)...............................</w:t>
      </w:r>
    </w:p>
    <w:p>
      <w:pPr>
        <w:ind w:left="144"/>
        <w:spacing w:after="0"/>
        <w:rPr>
          <w:sz w:val="20"/>
          <w:szCs w:val="20"/>
          <w:color w:val="auto"/>
        </w:rPr>
      </w:pPr>
      <w:r>
        <w:rPr>
          <w:rFonts w:ascii="Courier New" w:cs="Courier New" w:eastAsia="Courier New" w:hAnsi="Courier New"/>
          <w:sz w:val="16"/>
          <w:szCs w:val="16"/>
          <w:color w:val="auto"/>
        </w:rPr>
        <w:t>1,358.0 538.8 (16.8) 1,880.0 Depreciation and</w:t>
      </w:r>
    </w:p>
    <w:tbl>
      <w:tblPr>
        <w:tblLayout w:type="fixed"/>
        <w:tblInd w:w="4" w:type="dxa"/>
        <w:tblCellMar>
          <w:top w:w="0" w:type="dxa"/>
          <w:left w:w="0" w:type="dxa"/>
          <w:bottom w:w="0" w:type="dxa"/>
          <w:right w:w="0" w:type="dxa"/>
        </w:tblCellMar>
      </w:tblPr>
      <w:tr>
        <w:trPr>
          <w:trHeight w:val="180"/>
        </w:trPr>
        <w:tc>
          <w:tcPr>
            <w:tcW w:w="2460" w:type="dxa"/>
            <w:vAlign w:val="bottom"/>
            <w:gridSpan w:val="2"/>
          </w:tcPr>
          <w:p>
            <w:pPr>
              <w:jc w:val="right"/>
              <w:spacing w:after="0" w:line="180" w:lineRule="exact"/>
              <w:rPr>
                <w:sz w:val="20"/>
                <w:szCs w:val="20"/>
                <w:color w:val="auto"/>
              </w:rPr>
            </w:pPr>
            <w:r>
              <w:rPr>
                <w:rFonts w:ascii="Courier New" w:cs="Courier New" w:eastAsia="Courier New" w:hAnsi="Courier New"/>
                <w:sz w:val="16"/>
                <w:szCs w:val="16"/>
                <w:color w:val="auto"/>
                <w:w w:val="81"/>
              </w:rPr>
              <w:t>amortization...................</w:t>
            </w:r>
          </w:p>
        </w:tc>
        <w:tc>
          <w:tcPr>
            <w:tcW w:w="194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1,028.3 117.2</w:t>
            </w:r>
          </w:p>
        </w:tc>
      </w:tr>
      <w:tr>
        <w:trPr>
          <w:trHeight w:val="180"/>
        </w:trPr>
        <w:tc>
          <w:tcPr>
            <w:tcW w:w="4400" w:type="dxa"/>
            <w:vAlign w:val="bottom"/>
            <w:gridSpan w:val="3"/>
          </w:tcPr>
          <w:p>
            <w:pPr>
              <w:jc w:val="center"/>
              <w:ind w:left="6"/>
              <w:spacing w:after="0"/>
              <w:rPr>
                <w:sz w:val="20"/>
                <w:szCs w:val="20"/>
                <w:color w:val="auto"/>
              </w:rPr>
            </w:pPr>
            <w:r>
              <w:rPr>
                <w:rFonts w:ascii="Courier New" w:cs="Courier New" w:eastAsia="Courier New" w:hAnsi="Courier New"/>
                <w:sz w:val="16"/>
                <w:szCs w:val="16"/>
                <w:color w:val="auto"/>
                <w:w w:val="97"/>
              </w:rPr>
              <w:t>70.5 1,216.0 Operating income</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(loss).........................</w:t>
            </w:r>
          </w:p>
        </w:tc>
        <w:tc>
          <w:tcPr>
            <w:tcW w:w="1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329.7 421.6</w:t>
            </w:r>
          </w:p>
        </w:tc>
      </w:tr>
      <w:tr>
        <w:trPr>
          <w:trHeight w:val="180"/>
        </w:trPr>
        <w:tc>
          <w:tcPr>
            <w:tcW w:w="4400" w:type="dxa"/>
            <w:vAlign w:val="bottom"/>
            <w:gridSpan w:val="3"/>
          </w:tcPr>
          <w:p>
            <w:pPr>
              <w:jc w:val="center"/>
              <w:ind w:left="6"/>
              <w:spacing w:after="0"/>
              <w:rPr>
                <w:sz w:val="20"/>
                <w:szCs w:val="20"/>
                <w:color w:val="auto"/>
              </w:rPr>
            </w:pPr>
            <w:r>
              <w:rPr>
                <w:rFonts w:ascii="Courier New" w:cs="Courier New" w:eastAsia="Courier New" w:hAnsi="Courier New"/>
                <w:sz w:val="16"/>
                <w:szCs w:val="16"/>
                <w:color w:val="auto"/>
                <w:w w:val="97"/>
              </w:rPr>
              <w:t>(87.3) 664.0 Interest</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80"/>
              </w:rPr>
              <w:t>expense................................</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353.5</w:t>
            </w:r>
          </w:p>
        </w:tc>
      </w:tr>
      <w:tr>
        <w:trPr>
          <w:trHeight w:val="180"/>
        </w:trPr>
        <w:tc>
          <w:tcPr>
            <w:tcW w:w="1960" w:type="dxa"/>
            <w:vAlign w:val="bottom"/>
          </w:tcPr>
          <w:p>
            <w:pPr>
              <w:jc w:val="right"/>
              <w:ind w:right="26"/>
              <w:spacing w:after="0"/>
              <w:rPr>
                <w:sz w:val="20"/>
                <w:szCs w:val="20"/>
                <w:color w:val="auto"/>
              </w:rPr>
            </w:pPr>
            <w:r>
              <w:rPr>
                <w:rFonts w:ascii="Courier New" w:cs="Courier New" w:eastAsia="Courier New" w:hAnsi="Courier New"/>
                <w:sz w:val="16"/>
                <w:szCs w:val="16"/>
                <w:color w:val="auto"/>
              </w:rPr>
              <w:t>39.6</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5"/>
              </w:rPr>
              <w:t>145.2</w:t>
            </w:r>
          </w:p>
        </w:tc>
        <w:tc>
          <w:tcPr>
            <w:tcW w:w="19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538.3</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Assets..........................................</w:t>
            </w:r>
          </w:p>
        </w:tc>
        <w:tc>
          <w:tcPr>
            <w:tcW w:w="1940" w:type="dxa"/>
            <w:vAlign w:val="bottom"/>
          </w:tcPr>
          <w:p>
            <w:pPr>
              <w:spacing w:after="0"/>
              <w:rPr>
                <w:sz w:val="15"/>
                <w:szCs w:val="15"/>
                <w:color w:val="auto"/>
              </w:rPr>
            </w:pPr>
          </w:p>
        </w:tc>
      </w:tr>
      <w:tr>
        <w:trPr>
          <w:trHeight w:val="180"/>
        </w:trPr>
        <w:tc>
          <w:tcPr>
            <w:tcW w:w="4400" w:type="dxa"/>
            <w:vAlign w:val="bottom"/>
            <w:gridSpan w:val="3"/>
          </w:tcPr>
          <w:p>
            <w:pPr>
              <w:jc w:val="center"/>
              <w:ind w:left="6"/>
              <w:spacing w:after="0"/>
              <w:rPr>
                <w:sz w:val="20"/>
                <w:szCs w:val="20"/>
                <w:color w:val="auto"/>
              </w:rPr>
            </w:pPr>
            <w:r>
              <w:rPr>
                <w:rFonts w:ascii="Courier New" w:cs="Courier New" w:eastAsia="Courier New" w:hAnsi="Courier New"/>
                <w:sz w:val="16"/>
                <w:szCs w:val="16"/>
                <w:color w:val="auto"/>
                <w:w w:val="97"/>
              </w:rPr>
              <w:t>10,863.6 2,243.6 15,578.4 28,685.6 Long-term</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debt..................................</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4,735.5</w:t>
            </w:r>
          </w:p>
        </w:tc>
      </w:tr>
      <w:tr>
        <w:trPr>
          <w:trHeight w:val="180"/>
        </w:trPr>
        <w:tc>
          <w:tcPr>
            <w:tcW w:w="4400" w:type="dxa"/>
            <w:vAlign w:val="bottom"/>
            <w:gridSpan w:val="3"/>
          </w:tcPr>
          <w:p>
            <w:pPr>
              <w:jc w:val="center"/>
              <w:ind w:left="6"/>
              <w:spacing w:after="0"/>
              <w:rPr>
                <w:sz w:val="20"/>
                <w:szCs w:val="20"/>
                <w:color w:val="auto"/>
              </w:rPr>
            </w:pPr>
            <w:r>
              <w:rPr>
                <w:rFonts w:ascii="Courier New" w:cs="Courier New" w:eastAsia="Courier New" w:hAnsi="Courier New"/>
                <w:sz w:val="16"/>
                <w:szCs w:val="16"/>
                <w:color w:val="auto"/>
                <w:w w:val="97"/>
              </w:rPr>
              <w:t>476.7 3,495.0 8,707.2 Capital</w:t>
            </w:r>
          </w:p>
        </w:tc>
      </w:tr>
      <w:tr>
        <w:trPr>
          <w:trHeight w:val="180"/>
        </w:trPr>
        <w:tc>
          <w:tcPr>
            <w:tcW w:w="2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expenditures............................</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739.9</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80.1</w:t>
            </w:r>
          </w:p>
        </w:tc>
        <w:tc>
          <w:tcPr>
            <w:tcW w:w="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73.8</w:t>
            </w:r>
          </w:p>
        </w:tc>
        <w:tc>
          <w:tcPr>
            <w:tcW w:w="1940" w:type="dxa"/>
            <w:vAlign w:val="bottom"/>
          </w:tcPr>
          <w:p>
            <w:pPr>
              <w:jc w:val="right"/>
              <w:ind w:right="1382"/>
              <w:spacing w:after="0"/>
              <w:rPr>
                <w:sz w:val="20"/>
                <w:szCs w:val="20"/>
                <w:color w:val="auto"/>
              </w:rPr>
            </w:pPr>
            <w:r>
              <w:rPr>
                <w:rFonts w:ascii="Courier New" w:cs="Courier New" w:eastAsia="Courier New" w:hAnsi="Courier New"/>
                <w:sz w:val="16"/>
                <w:szCs w:val="16"/>
                <w:color w:val="auto"/>
                <w:w w:val="95"/>
              </w:rPr>
              <w:t>893.8</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3099" w:hanging="384"/>
        <w:spacing w:after="0" w:line="237" w:lineRule="auto"/>
        <w:tabs>
          <w:tab w:leader="none" w:pos="384"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(see Note 1) and business communications operations, as well as elimination entries related to the segments presented. Corporate and other assets consist primarily of the Company's investments (see Note 6).</w:t>
      </w:r>
    </w:p>
    <w:p>
      <w:pPr>
        <w:spacing w:after="0" w:line="187" w:lineRule="exact"/>
        <w:rPr>
          <w:rFonts w:ascii="Courier New" w:cs="Courier New" w:eastAsia="Courier New" w:hAnsi="Courier New"/>
          <w:sz w:val="16"/>
          <w:szCs w:val="16"/>
          <w:color w:val="auto"/>
        </w:rPr>
      </w:pPr>
    </w:p>
    <w:p>
      <w:pPr>
        <w:ind w:left="384" w:right="2819" w:hanging="384"/>
        <w:spacing w:after="0" w:line="237" w:lineRule="auto"/>
        <w:tabs>
          <w:tab w:leader="none" w:pos="384"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include $508.1 million, $458.4 million and $448.2 million in 2001, 2000 and 1999, respectively, of non-US revenues, principally related to the Company's Commerce segment. No single customer accounted for a significant amount of the Company's revenues in any period.</w:t>
      </w:r>
    </w:p>
    <w:p>
      <w:pPr>
        <w:spacing w:after="0" w:line="185" w:lineRule="exact"/>
        <w:rPr>
          <w:rFonts w:ascii="Courier New" w:cs="Courier New" w:eastAsia="Courier New" w:hAnsi="Courier New"/>
          <w:sz w:val="16"/>
          <w:szCs w:val="16"/>
          <w:color w:val="auto"/>
        </w:rPr>
      </w:pPr>
    </w:p>
    <w:p>
      <w:pPr>
        <w:ind w:left="384" w:right="2719" w:hanging="384"/>
        <w:spacing w:after="0" w:line="255" w:lineRule="auto"/>
        <w:tabs>
          <w:tab w:leader="none" w:pos="384"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17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F-124</w:t>
      </w:r>
    </w:p>
    <w:p>
      <w:pPr>
        <w:sectPr>
          <w:pgSz w:w="11900" w:h="16838" w:orient="portrait"/>
          <w:cols w:equalWidth="0" w:num="1">
            <w:col w:w="10223"/>
          </w:cols>
          <w:pgMar w:left="236" w:top="473" w:right="1440" w:bottom="1440" w:gutter="0" w:footer="0" w:header="0"/>
        </w:sectPr>
      </w:pPr>
    </w:p>
    <w:bookmarkStart w:id="315" w:name="page316"/>
    <w:bookmarkEnd w:id="315"/>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4"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5"/>
          <w:szCs w:val="15"/>
          <w:color w:val="auto"/>
        </w:rPr>
        <w:t>YEARS ENDED DECEMBER 31, 2001, 2000 AND 1999 (CONTINUED)</w:t>
      </w:r>
    </w:p>
    <w:p>
      <w:pPr>
        <w:spacing w:after="0" w:line="186" w:lineRule="exact"/>
        <w:rPr>
          <w:sz w:val="20"/>
          <w:szCs w:val="20"/>
          <w:color w:val="auto"/>
        </w:rPr>
      </w:pPr>
    </w:p>
    <w:p>
      <w:pPr>
        <w:ind w:left="464" w:hanging="464"/>
        <w:spacing w:after="0"/>
        <w:tabs>
          <w:tab w:leader="none" w:pos="464"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FINANCIAL INFORMATION (UNAUDITED)</w:t>
      </w:r>
    </w:p>
    <w:p>
      <w:pPr>
        <w:spacing w:after="0" w:line="179"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FIRST SECOND THIRD FOURTH TOTAL QUARTER</w:t>
      </w:r>
    </w:p>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QUARTER QUARTER QUARTER YEAR -------- ----</w:t>
      </w:r>
    </w:p>
    <w:p>
      <w:pPr>
        <w:spacing w:after="0" w:line="5" w:lineRule="exact"/>
        <w:rPr>
          <w:sz w:val="20"/>
          <w:szCs w:val="20"/>
          <w:color w:val="auto"/>
        </w:rPr>
      </w:pPr>
    </w:p>
    <w:p>
      <w:pPr>
        <w:ind w:left="144"/>
        <w:spacing w:after="0"/>
        <w:rPr>
          <w:sz w:val="20"/>
          <w:szCs w:val="20"/>
          <w:color w:val="auto"/>
        </w:rPr>
      </w:pPr>
      <w:r>
        <w:rPr>
          <w:rFonts w:ascii="Courier New" w:cs="Courier New" w:eastAsia="Courier New" w:hAnsi="Courier New"/>
          <w:sz w:val="16"/>
          <w:szCs w:val="16"/>
          <w:color w:val="auto"/>
        </w:rPr>
        <w:t>---- -------- -------- -------- (DOLLARS</w:t>
      </w:r>
    </w:p>
    <w:p>
      <w:pPr>
        <w:jc w:val="center"/>
        <w:ind w:right="6195"/>
        <w:spacing w:after="0"/>
        <w:rPr>
          <w:sz w:val="20"/>
          <w:szCs w:val="20"/>
          <w:color w:val="auto"/>
        </w:rPr>
      </w:pPr>
      <w:r>
        <w:rPr>
          <w:rFonts w:ascii="Courier New" w:cs="Courier New" w:eastAsia="Courier New" w:hAnsi="Courier New"/>
          <w:sz w:val="16"/>
          <w:szCs w:val="16"/>
          <w:color w:val="auto"/>
        </w:rPr>
        <w:t>IN MILLIONS, EXCEPT PER SHARE DATA) 2001</w:t>
      </w:r>
    </w:p>
    <w:p>
      <w:pPr>
        <w:ind w:left="4"/>
        <w:spacing w:after="0" w:line="237" w:lineRule="auto"/>
        <w:rPr>
          <w:sz w:val="20"/>
          <w:szCs w:val="20"/>
          <w:color w:val="auto"/>
        </w:rPr>
      </w:pPr>
      <w:r>
        <w:rPr>
          <w:rFonts w:ascii="Courier New" w:cs="Courier New" w:eastAsia="Courier New" w:hAnsi="Courier New"/>
          <w:sz w:val="16"/>
          <w:szCs w:val="16"/>
          <w:color w:val="auto"/>
        </w:rPr>
        <w:t>Revenues...................................</w:t>
      </w:r>
    </w:p>
    <w:p>
      <w:pPr>
        <w:ind w:left="364"/>
        <w:spacing w:after="0"/>
        <w:rPr>
          <w:sz w:val="20"/>
          <w:szCs w:val="20"/>
          <w:color w:val="auto"/>
        </w:rPr>
      </w:pPr>
      <w:r>
        <w:rPr>
          <w:rFonts w:ascii="Courier New" w:cs="Courier New" w:eastAsia="Courier New" w:hAnsi="Courier New"/>
          <w:sz w:val="16"/>
          <w:szCs w:val="16"/>
          <w:color w:val="auto"/>
        </w:rPr>
        <w:t>$2,196.1 $2,298.5 $2,355.5 $2,824.1</w:t>
      </w:r>
    </w:p>
    <w:p>
      <w:pPr>
        <w:ind w:left="1164"/>
        <w:spacing w:after="0" w:line="238" w:lineRule="auto"/>
        <w:rPr>
          <w:sz w:val="20"/>
          <w:szCs w:val="20"/>
          <w:color w:val="auto"/>
        </w:rPr>
      </w:pPr>
      <w:r>
        <w:rPr>
          <w:rFonts w:ascii="Courier New" w:cs="Courier New" w:eastAsia="Courier New" w:hAnsi="Courier New"/>
          <w:sz w:val="16"/>
          <w:szCs w:val="16"/>
          <w:color w:val="auto"/>
        </w:rPr>
        <w:t>$9,674.2 Operating</w:t>
      </w:r>
    </w:p>
    <w:p>
      <w:pPr>
        <w:ind w:left="84"/>
        <w:spacing w:after="0"/>
        <w:rPr>
          <w:sz w:val="20"/>
          <w:szCs w:val="20"/>
          <w:color w:val="auto"/>
        </w:rPr>
      </w:pPr>
      <w:r>
        <w:rPr>
          <w:rFonts w:ascii="Courier New" w:cs="Courier New" w:eastAsia="Courier New" w:hAnsi="Courier New"/>
          <w:sz w:val="16"/>
          <w:szCs w:val="16"/>
          <w:color w:val="auto"/>
        </w:rPr>
        <w:t>loss............................. (100.5)</w:t>
      </w:r>
    </w:p>
    <w:p>
      <w:pPr>
        <w:ind w:left="224"/>
        <w:spacing w:after="0" w:line="238" w:lineRule="auto"/>
        <w:rPr>
          <w:sz w:val="20"/>
          <w:szCs w:val="20"/>
          <w:color w:val="auto"/>
        </w:rPr>
      </w:pPr>
      <w:r>
        <w:rPr>
          <w:rFonts w:ascii="Courier New" w:cs="Courier New" w:eastAsia="Courier New" w:hAnsi="Courier New"/>
          <w:sz w:val="16"/>
          <w:szCs w:val="16"/>
          <w:color w:val="auto"/>
        </w:rPr>
        <w:t>(133.3) (178.2) (334.2) (746.2) Income</w:t>
      </w:r>
    </w:p>
    <w:p>
      <w:pPr>
        <w:ind w:left="284"/>
        <w:spacing w:after="0"/>
        <w:rPr>
          <w:sz w:val="20"/>
          <w:szCs w:val="20"/>
          <w:color w:val="auto"/>
        </w:rPr>
      </w:pPr>
      <w:r>
        <w:rPr>
          <w:rFonts w:ascii="Courier New" w:cs="Courier New" w:eastAsia="Courier New" w:hAnsi="Courier New"/>
          <w:sz w:val="16"/>
          <w:szCs w:val="16"/>
          <w:color w:val="auto"/>
        </w:rPr>
        <w:t>(loss) before extraordinary items and</w:t>
      </w:r>
    </w:p>
    <w:p>
      <w:pPr>
        <w:ind w:left="564"/>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84"/>
        <w:spacing w:after="0"/>
        <w:rPr>
          <w:sz w:val="20"/>
          <w:szCs w:val="20"/>
          <w:color w:val="auto"/>
        </w:rPr>
      </w:pPr>
      <w:r>
        <w:rPr>
          <w:rFonts w:ascii="Courier New" w:cs="Courier New" w:eastAsia="Courier New" w:hAnsi="Courier New"/>
          <w:sz w:val="16"/>
          <w:szCs w:val="16"/>
          <w:color w:val="auto"/>
        </w:rPr>
        <w:t>change...................................</w:t>
      </w:r>
    </w:p>
    <w:p>
      <w:pPr>
        <w:ind w:left="224"/>
        <w:spacing w:after="0" w:line="238" w:lineRule="auto"/>
        <w:rPr>
          <w:sz w:val="20"/>
          <w:szCs w:val="20"/>
          <w:color w:val="auto"/>
        </w:rPr>
      </w:pPr>
      <w:r>
        <w:rPr>
          <w:rFonts w:ascii="Courier New" w:cs="Courier New" w:eastAsia="Courier New" w:hAnsi="Courier New"/>
          <w:sz w:val="16"/>
          <w:szCs w:val="16"/>
          <w:color w:val="auto"/>
        </w:rPr>
        <w:t>616.7 36.7 (106.8) (321.0) 225.6 Basic</w:t>
      </w:r>
    </w:p>
    <w:p>
      <w:pPr>
        <w:jc w:val="center"/>
        <w:ind w:right="6195"/>
        <w:spacing w:after="0"/>
        <w:rPr>
          <w:sz w:val="20"/>
          <w:szCs w:val="20"/>
          <w:color w:val="auto"/>
        </w:rPr>
      </w:pPr>
      <w:r>
        <w:rPr>
          <w:rFonts w:ascii="Courier New" w:cs="Courier New" w:eastAsia="Courier New" w:hAnsi="Courier New"/>
          <w:sz w:val="16"/>
          <w:szCs w:val="16"/>
          <w:color w:val="auto"/>
        </w:rPr>
        <w:t>earnings (loss) for common stockholders</w:t>
      </w:r>
    </w:p>
    <w:p>
      <w:pPr>
        <w:jc w:val="center"/>
        <w:ind w:right="6195"/>
        <w:spacing w:after="0" w:line="238" w:lineRule="auto"/>
        <w:rPr>
          <w:sz w:val="20"/>
          <w:szCs w:val="20"/>
          <w:color w:val="auto"/>
        </w:rPr>
      </w:pPr>
      <w:r>
        <w:rPr>
          <w:rFonts w:ascii="Courier New" w:cs="Courier New" w:eastAsia="Courier New" w:hAnsi="Courier New"/>
          <w:sz w:val="16"/>
          <w:szCs w:val="16"/>
          <w:color w:val="auto"/>
        </w:rPr>
        <w:t>per common share Income (loss) before</w:t>
      </w:r>
    </w:p>
    <w:p>
      <w:pPr>
        <w:jc w:val="center"/>
        <w:ind w:right="6195"/>
        <w:spacing w:after="0"/>
        <w:rPr>
          <w:sz w:val="20"/>
          <w:szCs w:val="20"/>
          <w:color w:val="auto"/>
        </w:rPr>
      </w:pPr>
      <w:r>
        <w:rPr>
          <w:rFonts w:ascii="Courier New" w:cs="Courier New" w:eastAsia="Courier New" w:hAnsi="Courier New"/>
          <w:sz w:val="16"/>
          <w:szCs w:val="16"/>
          <w:color w:val="auto"/>
        </w:rPr>
        <w:t>extraordinary items and cumulative effect</w:t>
      </w:r>
    </w:p>
    <w:p>
      <w:pPr>
        <w:jc w:val="center"/>
        <w:ind w:right="6195"/>
        <w:spacing w:after="0" w:line="237" w:lineRule="auto"/>
        <w:rPr>
          <w:sz w:val="20"/>
          <w:szCs w:val="20"/>
          <w:color w:val="auto"/>
        </w:rPr>
      </w:pPr>
      <w:r>
        <w:rPr>
          <w:rFonts w:ascii="Courier New" w:cs="Courier New" w:eastAsia="Courier New" w:hAnsi="Courier New"/>
          <w:sz w:val="16"/>
          <w:szCs w:val="16"/>
          <w:color w:val="auto"/>
        </w:rPr>
        <w:t>of accounting</w:t>
      </w:r>
    </w:p>
    <w:p>
      <w:pPr>
        <w:jc w:val="center"/>
        <w:ind w:right="6195"/>
        <w:spacing w:after="0"/>
        <w:rPr>
          <w:sz w:val="20"/>
          <w:szCs w:val="20"/>
          <w:color w:val="auto"/>
        </w:rPr>
      </w:pPr>
      <w:r>
        <w:rPr>
          <w:rFonts w:ascii="Courier New" w:cs="Courier New" w:eastAsia="Courier New" w:hAnsi="Courier New"/>
          <w:sz w:val="16"/>
          <w:szCs w:val="16"/>
          <w:color w:val="auto"/>
        </w:rPr>
        <w:t>change................................</w:t>
      </w:r>
    </w:p>
    <w:p>
      <w:pPr>
        <w:ind w:left="184"/>
        <w:spacing w:after="0" w:line="238" w:lineRule="auto"/>
        <w:rPr>
          <w:sz w:val="20"/>
          <w:szCs w:val="20"/>
          <w:color w:val="auto"/>
        </w:rPr>
      </w:pPr>
      <w:r>
        <w:rPr>
          <w:rFonts w:ascii="Courier New" w:cs="Courier New" w:eastAsia="Courier New" w:hAnsi="Courier New"/>
          <w:sz w:val="16"/>
          <w:szCs w:val="16"/>
          <w:color w:val="auto"/>
        </w:rPr>
        <w:t>0.65 0.04 (0.11) (0.34) 0.24 Net income</w:t>
      </w:r>
    </w:p>
    <w:tbl>
      <w:tblPr>
        <w:tblLayout w:type="fixed"/>
        <w:tblInd w:w="144" w:type="dxa"/>
        <w:tblCellMar>
          <w:top w:w="0" w:type="dxa"/>
          <w:left w:w="0" w:type="dxa"/>
          <w:bottom w:w="0" w:type="dxa"/>
          <w:right w:w="0" w:type="dxa"/>
        </w:tblCellMar>
      </w:tblP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w w:val="98"/>
              </w:rPr>
              <w:t>(loss)........................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1.06 0.04</w:t>
            </w:r>
          </w:p>
        </w:tc>
      </w:tr>
    </w:tbl>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(0.11) (0.34) 0.64 Diluted earnings (loss)</w:t>
      </w:r>
    </w:p>
    <w:p>
      <w:pPr>
        <w:spacing w:after="0" w:line="5"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for common stockholders per common share</w:t>
      </w:r>
    </w:p>
    <w:p>
      <w:pPr>
        <w:jc w:val="center"/>
        <w:ind w:right="6195"/>
        <w:spacing w:after="0"/>
        <w:rPr>
          <w:sz w:val="20"/>
          <w:szCs w:val="20"/>
          <w:color w:val="auto"/>
        </w:rPr>
      </w:pPr>
      <w:r>
        <w:rPr>
          <w:rFonts w:ascii="Courier New" w:cs="Courier New" w:eastAsia="Courier New" w:hAnsi="Courier New"/>
          <w:sz w:val="16"/>
          <w:szCs w:val="16"/>
          <w:color w:val="auto"/>
        </w:rPr>
        <w:t>Income (loss) before extraordinary items</w:t>
      </w:r>
    </w:p>
    <w:p>
      <w:pPr>
        <w:jc w:val="center"/>
        <w:ind w:right="6195"/>
        <w:spacing w:after="0" w:line="237" w:lineRule="auto"/>
        <w:rPr>
          <w:sz w:val="20"/>
          <w:szCs w:val="20"/>
          <w:color w:val="auto"/>
        </w:rPr>
      </w:pPr>
      <w:r>
        <w:rPr>
          <w:rFonts w:ascii="Courier New" w:cs="Courier New" w:eastAsia="Courier New" w:hAnsi="Courier New"/>
          <w:sz w:val="16"/>
          <w:szCs w:val="16"/>
          <w:color w:val="auto"/>
        </w:rPr>
        <w:t>and cumulative effect of accounting</w:t>
      </w:r>
    </w:p>
    <w:p>
      <w:pPr>
        <w:jc w:val="center"/>
        <w:ind w:right="6195"/>
        <w:spacing w:after="0"/>
        <w:rPr>
          <w:sz w:val="20"/>
          <w:szCs w:val="20"/>
          <w:color w:val="auto"/>
        </w:rPr>
      </w:pPr>
      <w:r>
        <w:rPr>
          <w:rFonts w:ascii="Courier New" w:cs="Courier New" w:eastAsia="Courier New" w:hAnsi="Courier New"/>
          <w:sz w:val="16"/>
          <w:szCs w:val="16"/>
          <w:color w:val="auto"/>
        </w:rPr>
        <w:t>change................................</w:t>
      </w:r>
    </w:p>
    <w:p>
      <w:pPr>
        <w:ind w:left="184"/>
        <w:spacing w:after="0" w:line="238" w:lineRule="auto"/>
        <w:rPr>
          <w:sz w:val="20"/>
          <w:szCs w:val="20"/>
          <w:color w:val="auto"/>
        </w:rPr>
      </w:pPr>
      <w:r>
        <w:rPr>
          <w:rFonts w:ascii="Courier New" w:cs="Courier New" w:eastAsia="Courier New" w:hAnsi="Courier New"/>
          <w:sz w:val="16"/>
          <w:szCs w:val="16"/>
          <w:color w:val="auto"/>
        </w:rPr>
        <w:t>0.64 0.04 (0.11) (0.34) 0.23 Net income</w:t>
      </w:r>
    </w:p>
    <w:tbl>
      <w:tblPr>
        <w:tblLayout w:type="fixed"/>
        <w:tblInd w:w="144" w:type="dxa"/>
        <w:tblCellMar>
          <w:top w:w="0" w:type="dxa"/>
          <w:left w:w="0" w:type="dxa"/>
          <w:bottom w:w="0" w:type="dxa"/>
          <w:right w:w="0" w:type="dxa"/>
        </w:tblCellMar>
      </w:tblP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w w:val="98"/>
              </w:rPr>
              <w:t>(loss)........................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1.04 0.04</w:t>
            </w:r>
          </w:p>
        </w:tc>
      </w:tr>
    </w:tbl>
    <w:p>
      <w:pPr>
        <w:ind w:left="44"/>
        <w:spacing w:after="0"/>
        <w:rPr>
          <w:sz w:val="20"/>
          <w:szCs w:val="20"/>
          <w:color w:val="auto"/>
        </w:rPr>
      </w:pPr>
      <w:r>
        <w:rPr>
          <w:rFonts w:ascii="Courier New" w:cs="Courier New" w:eastAsia="Courier New" w:hAnsi="Courier New"/>
          <w:sz w:val="16"/>
          <w:szCs w:val="16"/>
          <w:color w:val="auto"/>
        </w:rPr>
        <w:t>(0.11) (0.34) 0.63 Operating income before</w:t>
      </w:r>
    </w:p>
    <w:tbl>
      <w:tblPr>
        <w:tblLayout w:type="fixed"/>
        <w:tblInd w:w="4" w:type="dxa"/>
        <w:tblCellMar>
          <w:top w:w="0" w:type="dxa"/>
          <w:left w:w="0" w:type="dxa"/>
          <w:bottom w:w="0" w:type="dxa"/>
          <w:right w:w="0" w:type="dxa"/>
        </w:tblCellMar>
      </w:tblPr>
      <w:tr>
        <w:trPr>
          <w:trHeight w:val="179"/>
        </w:trPr>
        <w:tc>
          <w:tcPr>
            <w:tcW w:w="840" w:type="dxa"/>
            <w:vAlign w:val="bottom"/>
          </w:tcPr>
          <w:p>
            <w:pPr>
              <w:spacing w:after="0"/>
              <w:rPr>
                <w:sz w:val="15"/>
                <w:szCs w:val="15"/>
                <w:color w:val="auto"/>
              </w:rPr>
            </w:pPr>
          </w:p>
        </w:tc>
        <w:tc>
          <w:tcPr>
            <w:tcW w:w="2060" w:type="dxa"/>
            <w:vAlign w:val="bottom"/>
            <w:gridSpan w:val="3"/>
          </w:tcPr>
          <w:p>
            <w:pPr>
              <w:jc w:val="center"/>
              <w:ind w:left="202"/>
              <w:spacing w:after="0" w:line="179" w:lineRule="exact"/>
              <w:rPr>
                <w:sz w:val="20"/>
                <w:szCs w:val="20"/>
                <w:color w:val="auto"/>
              </w:rPr>
            </w:pPr>
            <w:r>
              <w:rPr>
                <w:rFonts w:ascii="Courier New" w:cs="Courier New" w:eastAsia="Courier New" w:hAnsi="Courier New"/>
                <w:sz w:val="16"/>
                <w:szCs w:val="16"/>
                <w:color w:val="auto"/>
                <w:w w:val="97"/>
              </w:rPr>
              <w:t>depreciation and</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29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73"/>
              </w:rPr>
              <w:t>amortization(1)..........................</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640.9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700.4</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705.8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654.7 2,701.8</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14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Revenues...................................</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2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$1,938.9 $1,912.1</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$1,960.0</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$2,407.6</w:t>
            </w:r>
          </w:p>
        </w:tc>
      </w:tr>
      <w:tr>
        <w:trPr>
          <w:trHeight w:val="180"/>
        </w:trPr>
        <w:tc>
          <w:tcPr>
            <w:tcW w:w="840" w:type="dxa"/>
            <w:vAlign w:val="bottom"/>
          </w:tcPr>
          <w:p>
            <w:pPr>
              <w:spacing w:after="0"/>
              <w:rPr>
                <w:sz w:val="15"/>
                <w:szCs w:val="15"/>
                <w:color w:val="auto"/>
              </w:rPr>
            </w:pPr>
          </w:p>
        </w:tc>
        <w:tc>
          <w:tcPr>
            <w:tcW w:w="2440" w:type="dxa"/>
            <w:vAlign w:val="bottom"/>
            <w:gridSpan w:val="4"/>
          </w:tcPr>
          <w:p>
            <w:pPr>
              <w:jc w:val="center"/>
              <w:ind w:right="22"/>
              <w:spacing w:after="0"/>
              <w:rPr>
                <w:sz w:val="20"/>
                <w:szCs w:val="20"/>
                <w:color w:val="auto"/>
              </w:rPr>
            </w:pPr>
            <w:r>
              <w:rPr>
                <w:rFonts w:ascii="Courier New" w:cs="Courier New" w:eastAsia="Courier New" w:hAnsi="Courier New"/>
                <w:sz w:val="16"/>
                <w:szCs w:val="16"/>
                <w:color w:val="auto"/>
                <w:w w:val="97"/>
              </w:rPr>
              <w:t>$8,218.6 Operating income</w:t>
            </w:r>
          </w:p>
        </w:tc>
        <w:tc>
          <w:tcPr>
            <w:tcW w:w="520" w:type="dxa"/>
            <w:vAlign w:val="bottom"/>
          </w:tcPr>
          <w:p>
            <w:pPr>
              <w:spacing w:after="0"/>
              <w:rPr>
                <w:sz w:val="15"/>
                <w:szCs w:val="15"/>
                <w:color w:val="auto"/>
              </w:rPr>
            </w:pPr>
          </w:p>
        </w:tc>
      </w:tr>
      <w:tr>
        <w:trPr>
          <w:trHeight w:val="180"/>
        </w:trPr>
        <w:tc>
          <w:tcPr>
            <w:tcW w:w="14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(loss)....................</w:t>
            </w:r>
          </w:p>
        </w:tc>
        <w:tc>
          <w:tcPr>
            <w:tcW w:w="6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41.2 (31.6)</w:t>
            </w:r>
          </w:p>
        </w:tc>
      </w:tr>
      <w:tr>
        <w:trPr>
          <w:trHeight w:val="180"/>
        </w:trPr>
        <w:tc>
          <w:tcPr>
            <w:tcW w:w="3800" w:type="dxa"/>
            <w:vAlign w:val="bottom"/>
            <w:gridSpan w:val="6"/>
          </w:tcPr>
          <w:p>
            <w:pPr>
              <w:jc w:val="center"/>
              <w:ind w:left="151"/>
              <w:spacing w:after="0"/>
              <w:rPr>
                <w:sz w:val="20"/>
                <w:szCs w:val="20"/>
                <w:color w:val="auto"/>
              </w:rPr>
            </w:pPr>
            <w:r>
              <w:rPr>
                <w:rFonts w:ascii="Courier New" w:cs="Courier New" w:eastAsia="Courier New" w:hAnsi="Courier New"/>
                <w:sz w:val="16"/>
                <w:szCs w:val="16"/>
                <w:color w:val="auto"/>
                <w:w w:val="97"/>
              </w:rPr>
              <w:t>(56.4) (114.2) (161.0) Income (loss)</w:t>
            </w:r>
          </w:p>
        </w:tc>
      </w:tr>
      <w:tr>
        <w:trPr>
          <w:trHeight w:val="180"/>
        </w:trPr>
        <w:tc>
          <w:tcPr>
            <w:tcW w:w="2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before extraordinary items...</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(186.4)</w:t>
            </w:r>
          </w:p>
        </w:tc>
      </w:tr>
    </w:tbl>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198.8 1,249.1 783.6 2,045.1 Basic earnings</w:t>
      </w:r>
    </w:p>
    <w:p>
      <w:pPr>
        <w:spacing w:after="0" w:line="5"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(loss) for common stockholders per common</w:t>
      </w:r>
    </w:p>
    <w:p>
      <w:pPr>
        <w:jc w:val="center"/>
        <w:ind w:right="6195"/>
        <w:spacing w:after="0"/>
        <w:rPr>
          <w:sz w:val="20"/>
          <w:szCs w:val="20"/>
          <w:color w:val="auto"/>
        </w:rPr>
      </w:pPr>
      <w:r>
        <w:rPr>
          <w:rFonts w:ascii="Courier New" w:cs="Courier New" w:eastAsia="Courier New" w:hAnsi="Courier New"/>
          <w:sz w:val="16"/>
          <w:szCs w:val="16"/>
          <w:color w:val="auto"/>
        </w:rPr>
        <w:t>share Income (loss) before extraordinary</w:t>
      </w:r>
    </w:p>
    <w:p>
      <w:pPr>
        <w:jc w:val="center"/>
        <w:ind w:right="6195"/>
        <w:spacing w:after="0" w:line="237" w:lineRule="auto"/>
        <w:rPr>
          <w:sz w:val="20"/>
          <w:szCs w:val="20"/>
          <w:color w:val="auto"/>
        </w:rPr>
      </w:pPr>
      <w:r>
        <w:rPr>
          <w:rFonts w:ascii="Courier New" w:cs="Courier New" w:eastAsia="Courier New" w:hAnsi="Courier New"/>
          <w:sz w:val="16"/>
          <w:szCs w:val="16"/>
          <w:color w:val="auto"/>
        </w:rPr>
        <w:t>items.................................</w:t>
      </w:r>
    </w:p>
    <w:p>
      <w:pPr>
        <w:ind w:left="284"/>
        <w:spacing w:after="0"/>
        <w:rPr>
          <w:sz w:val="20"/>
          <w:szCs w:val="20"/>
          <w:color w:val="auto"/>
        </w:rPr>
      </w:pPr>
      <w:r>
        <w:rPr>
          <w:rFonts w:ascii="Courier New" w:cs="Courier New" w:eastAsia="Courier New" w:hAnsi="Courier New"/>
          <w:sz w:val="16"/>
          <w:szCs w:val="16"/>
          <w:color w:val="auto"/>
        </w:rPr>
        <w:t>(0.23) 0.21 1.37 0.87 2.27 Net income</w:t>
      </w:r>
    </w:p>
    <w:tbl>
      <w:tblPr>
        <w:tblLayout w:type="fixed"/>
        <w:tblInd w:w="44" w:type="dxa"/>
        <w:tblCellMar>
          <w:top w:w="0" w:type="dxa"/>
          <w:left w:w="0" w:type="dxa"/>
          <w:bottom w:w="0" w:type="dxa"/>
          <w:right w:w="0" w:type="dxa"/>
        </w:tblCellMar>
      </w:tblPr>
      <w:tr>
        <w:trPr>
          <w:trHeight w:val="180"/>
        </w:trPr>
        <w:tc>
          <w:tcPr>
            <w:tcW w:w="2860" w:type="dxa"/>
            <w:vAlign w:val="bottom"/>
          </w:tcPr>
          <w:p>
            <w:pPr>
              <w:spacing w:after="0" w:line="180" w:lineRule="exact"/>
              <w:rPr>
                <w:sz w:val="20"/>
                <w:szCs w:val="20"/>
                <w:color w:val="auto"/>
              </w:rPr>
            </w:pPr>
            <w:r>
              <w:rPr>
                <w:rFonts w:ascii="Courier New" w:cs="Courier New" w:eastAsia="Courier New" w:hAnsi="Courier New"/>
                <w:sz w:val="16"/>
                <w:szCs w:val="16"/>
                <w:color w:val="auto"/>
                <w:w w:val="98"/>
              </w:rPr>
              <w:t>(loss)........................</w:t>
            </w:r>
          </w:p>
        </w:tc>
        <w:tc>
          <w:tcPr>
            <w:tcW w:w="108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(0.24) 0.20</w:t>
            </w:r>
          </w:p>
        </w:tc>
      </w:tr>
    </w:tbl>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1.37 0.86 2.24 Diluted earnings (loss) for</w:t>
      </w:r>
    </w:p>
    <w:p>
      <w:pPr>
        <w:spacing w:after="0" w:line="5"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common stockholders per common share</w:t>
      </w:r>
    </w:p>
    <w:p>
      <w:pPr>
        <w:jc w:val="center"/>
        <w:ind w:right="6195"/>
        <w:spacing w:after="0"/>
        <w:rPr>
          <w:sz w:val="20"/>
          <w:szCs w:val="20"/>
          <w:color w:val="auto"/>
        </w:rPr>
      </w:pPr>
      <w:r>
        <w:rPr>
          <w:rFonts w:ascii="Courier New" w:cs="Courier New" w:eastAsia="Courier New" w:hAnsi="Courier New"/>
          <w:sz w:val="16"/>
          <w:szCs w:val="16"/>
          <w:color w:val="auto"/>
        </w:rPr>
        <w:t>Income (loss) before extraordinary</w:t>
      </w:r>
    </w:p>
    <w:p>
      <w:pPr>
        <w:jc w:val="center"/>
        <w:ind w:right="6195"/>
        <w:spacing w:after="0" w:line="237" w:lineRule="auto"/>
        <w:rPr>
          <w:sz w:val="20"/>
          <w:szCs w:val="20"/>
          <w:color w:val="auto"/>
        </w:rPr>
      </w:pPr>
      <w:r>
        <w:rPr>
          <w:rFonts w:ascii="Courier New" w:cs="Courier New" w:eastAsia="Courier New" w:hAnsi="Courier New"/>
          <w:sz w:val="16"/>
          <w:szCs w:val="16"/>
          <w:color w:val="auto"/>
        </w:rPr>
        <w:t>items.................................</w:t>
      </w:r>
    </w:p>
    <w:p>
      <w:pPr>
        <w:ind w:left="284"/>
        <w:spacing w:after="0"/>
        <w:rPr>
          <w:sz w:val="20"/>
          <w:szCs w:val="20"/>
          <w:color w:val="auto"/>
        </w:rPr>
      </w:pPr>
      <w:r>
        <w:rPr>
          <w:rFonts w:ascii="Courier New" w:cs="Courier New" w:eastAsia="Courier New" w:hAnsi="Courier New"/>
          <w:sz w:val="16"/>
          <w:szCs w:val="16"/>
          <w:color w:val="auto"/>
        </w:rPr>
        <w:t>(0.23) 0.20 1.29 0.81 2.16 Net income</w:t>
      </w:r>
    </w:p>
    <w:tbl>
      <w:tblPr>
        <w:tblLayout w:type="fixed"/>
        <w:tblInd w:w="44" w:type="dxa"/>
        <w:tblCellMar>
          <w:top w:w="0" w:type="dxa"/>
          <w:left w:w="0" w:type="dxa"/>
          <w:bottom w:w="0" w:type="dxa"/>
          <w:right w:w="0" w:type="dxa"/>
        </w:tblCellMar>
      </w:tblPr>
      <w:tr>
        <w:trPr>
          <w:trHeight w:val="180"/>
        </w:trPr>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(loss)........................</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(0.24) 0.19</w:t>
            </w:r>
          </w:p>
        </w:tc>
      </w:tr>
      <w:tr>
        <w:trPr>
          <w:trHeight w:val="180"/>
        </w:trPr>
        <w:tc>
          <w:tcPr>
            <w:tcW w:w="394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1.29 0.80 2.13 Operating income before</w:t>
            </w:r>
          </w:p>
        </w:tc>
      </w:tr>
      <w:tr>
        <w:trPr>
          <w:trHeight w:val="180"/>
        </w:trPr>
        <w:tc>
          <w:tcPr>
            <w:tcW w:w="1080" w:type="dxa"/>
            <w:vAlign w:val="bottom"/>
          </w:tcPr>
          <w:p>
            <w:pPr>
              <w:spacing w:after="0"/>
              <w:rPr>
                <w:sz w:val="15"/>
                <w:szCs w:val="15"/>
                <w:color w:val="auto"/>
              </w:rPr>
            </w:pPr>
          </w:p>
        </w:tc>
        <w:tc>
          <w:tcPr>
            <w:tcW w:w="1660" w:type="dxa"/>
            <w:vAlign w:val="bottom"/>
            <w:gridSpan w:val="3"/>
          </w:tcPr>
          <w:p>
            <w:pPr>
              <w:jc w:val="center"/>
              <w:ind w:left="42"/>
              <w:spacing w:after="0"/>
              <w:rPr>
                <w:sz w:val="20"/>
                <w:szCs w:val="20"/>
                <w:color w:val="auto"/>
              </w:rPr>
            </w:pPr>
            <w:r>
              <w:rPr>
                <w:rFonts w:ascii="Courier New" w:cs="Courier New" w:eastAsia="Courier New" w:hAnsi="Courier New"/>
                <w:sz w:val="16"/>
                <w:szCs w:val="16"/>
                <w:color w:val="auto"/>
                <w:w w:val="97"/>
              </w:rPr>
              <w:t>depreciation and</w:t>
            </w:r>
          </w:p>
        </w:tc>
        <w:tc>
          <w:tcPr>
            <w:tcW w:w="1200" w:type="dxa"/>
            <w:vAlign w:val="bottom"/>
          </w:tcPr>
          <w:p>
            <w:pPr>
              <w:spacing w:after="0"/>
              <w:rPr>
                <w:sz w:val="15"/>
                <w:szCs w:val="15"/>
                <w:color w:val="auto"/>
              </w:rPr>
            </w:pPr>
          </w:p>
        </w:tc>
      </w:tr>
      <w:tr>
        <w:trPr>
          <w:trHeight w:val="180"/>
        </w:trPr>
        <w:tc>
          <w:tcPr>
            <w:tcW w:w="21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2"/>
              </w:rPr>
              <w:t>amortization(1)..........................</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1080" w:type="dxa"/>
            <w:vAlign w:val="bottom"/>
          </w:tcPr>
          <w:p>
            <w:pPr>
              <w:jc w:val="right"/>
              <w:ind w:right="30"/>
              <w:spacing w:after="0"/>
              <w:rPr>
                <w:sz w:val="20"/>
                <w:szCs w:val="20"/>
                <w:color w:val="auto"/>
              </w:rPr>
            </w:pPr>
            <w:r>
              <w:rPr>
                <w:rFonts w:ascii="Courier New" w:cs="Courier New" w:eastAsia="Courier New" w:hAnsi="Courier New"/>
                <w:sz w:val="16"/>
                <w:szCs w:val="16"/>
                <w:color w:val="auto"/>
              </w:rPr>
              <w:t>586.9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602.8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605.7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674.9</w:t>
            </w:r>
          </w:p>
        </w:tc>
        <w:tc>
          <w:tcPr>
            <w:tcW w:w="120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8"/>
              </w:rPr>
              <w:t>2,470.3</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 See Note 12, note 3.</w:t>
      </w:r>
    </w:p>
    <w:p>
      <w:pPr>
        <w:spacing w:after="0" w:line="17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F-125</w:t>
      </w:r>
    </w:p>
    <w:p>
      <w:pPr>
        <w:sectPr>
          <w:pgSz w:w="11900" w:h="16838" w:orient="portrait"/>
          <w:cols w:equalWidth="0" w:num="1">
            <w:col w:w="10223"/>
          </w:cols>
          <w:pgMar w:left="236" w:top="473" w:right="1440" w:bottom="1440" w:gutter="0" w:footer="0" w:header="0"/>
        </w:sectPr>
      </w:pPr>
    </w:p>
    <w:bookmarkStart w:id="316" w:name="page317"/>
    <w:bookmarkEnd w:id="316"/>
    <w:p>
      <w:pPr>
        <w:jc w:val="center"/>
        <w:ind w:right="273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15"/>
        <w:spacing w:after="0"/>
        <w:rPr>
          <w:sz w:val="20"/>
          <w:szCs w:val="20"/>
          <w:color w:val="auto"/>
        </w:rPr>
      </w:pPr>
      <w:r>
        <w:rPr>
          <w:rFonts w:ascii="Courier New" w:cs="Courier New" w:eastAsia="Courier New" w:hAnsi="Courier New"/>
          <w:sz w:val="16"/>
          <w:szCs w:val="16"/>
          <w:color w:val="auto"/>
        </w:rPr>
        <w:t>YEARS ENDED DECEMBER 31, 2001, 2000 AND 1999 (CONCLUDED)</w:t>
      </w:r>
    </w:p>
    <w:p>
      <w:pPr>
        <w:spacing w:after="0" w:line="179" w:lineRule="exact"/>
        <w:rPr>
          <w:sz w:val="20"/>
          <w:szCs w:val="20"/>
          <w:color w:val="auto"/>
        </w:rPr>
      </w:pPr>
    </w:p>
    <w:p>
      <w:pPr>
        <w:ind w:left="464" w:hanging="464"/>
        <w:spacing w:after="0"/>
        <w:tabs>
          <w:tab w:leader="none" w:pos="464"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TRANSITIONAL DISCLOSURE RELATING TO SFAS NO. 142</w:t>
      </w:r>
    </w:p>
    <w:p>
      <w:pPr>
        <w:spacing w:after="0" w:line="185" w:lineRule="exact"/>
        <w:rPr>
          <w:sz w:val="20"/>
          <w:szCs w:val="20"/>
          <w:color w:val="auto"/>
        </w:rPr>
      </w:pPr>
    </w:p>
    <w:p>
      <w:pPr>
        <w:ind w:left="4" w:right="2819" w:firstLine="469"/>
        <w:spacing w:after="0" w:line="259" w:lineRule="auto"/>
        <w:rPr>
          <w:sz w:val="20"/>
          <w:szCs w:val="20"/>
          <w:color w:val="auto"/>
        </w:rPr>
      </w:pPr>
      <w:r>
        <w:rPr>
          <w:rFonts w:ascii="Courier New" w:cs="Courier New" w:eastAsia="Courier New" w:hAnsi="Courier New"/>
          <w:sz w:val="15"/>
          <w:szCs w:val="15"/>
          <w:color w:val="auto"/>
        </w:rPr>
        <w:t>The following pro forma financial information for the years ended December 31, 2001, 2000 and 1999 is presented as if SFAS No. 142 was adopted as of January 1, 1999 (amounts in millions, except per share data) (see Note 3):</w:t>
      </w:r>
    </w:p>
    <w:p>
      <w:pPr>
        <w:spacing w:after="0" w:line="166"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YEARS ENDED DECEMBER 31, -----------------------------</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- 2001 2000 1999 -------- -------- -------- Net Income</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reported...............................................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$ 608.6 $2,021.5 $1,065.7 Amortization of</w:t>
      </w:r>
    </w:p>
    <w:p>
      <w:pPr>
        <w:jc w:val="center"/>
        <w:ind w:right="5055"/>
        <w:spacing w:after="0"/>
        <w:rPr>
          <w:sz w:val="20"/>
          <w:szCs w:val="20"/>
          <w:color w:val="auto"/>
        </w:rPr>
      </w:pPr>
      <w:r>
        <w:rPr>
          <w:rFonts w:ascii="Courier New" w:cs="Courier New" w:eastAsia="Courier New" w:hAnsi="Courier New"/>
          <w:sz w:val="16"/>
          <w:szCs w:val="16"/>
          <w:color w:val="auto"/>
        </w:rPr>
        <w:t>goodwill............................... 334.8 303.5</w:t>
      </w:r>
    </w:p>
    <w:p>
      <w:pPr>
        <w:jc w:val="center"/>
        <w:ind w:right="5055"/>
        <w:spacing w:after="0" w:line="237" w:lineRule="auto"/>
        <w:rPr>
          <w:sz w:val="20"/>
          <w:szCs w:val="20"/>
          <w:color w:val="auto"/>
        </w:rPr>
      </w:pPr>
      <w:r>
        <w:rPr>
          <w:rFonts w:ascii="Courier New" w:cs="Courier New" w:eastAsia="Courier New" w:hAnsi="Courier New"/>
          <w:sz w:val="16"/>
          <w:szCs w:val="16"/>
          <w:color w:val="auto"/>
        </w:rPr>
        <w:t>128.5 Amortization of equity method</w:t>
      </w:r>
    </w:p>
    <w:p>
      <w:pPr>
        <w:jc w:val="center"/>
        <w:ind w:right="5055"/>
        <w:spacing w:after="0"/>
        <w:rPr>
          <w:sz w:val="20"/>
          <w:szCs w:val="20"/>
          <w:color w:val="auto"/>
        </w:rPr>
      </w:pPr>
      <w:r>
        <w:rPr>
          <w:rFonts w:ascii="Courier New" w:cs="Courier New" w:eastAsia="Courier New" w:hAnsi="Courier New"/>
          <w:sz w:val="16"/>
          <w:szCs w:val="16"/>
          <w:color w:val="auto"/>
        </w:rPr>
        <w:t>goodwill................. 15.0 15.2 4.4 Amortization</w:t>
      </w:r>
    </w:p>
    <w:p>
      <w:pPr>
        <w:jc w:val="center"/>
        <w:ind w:right="5055"/>
        <w:spacing w:after="0" w:line="238" w:lineRule="auto"/>
        <w:rPr>
          <w:sz w:val="20"/>
          <w:szCs w:val="20"/>
          <w:color w:val="auto"/>
        </w:rPr>
      </w:pPr>
      <w:r>
        <w:rPr>
          <w:rFonts w:ascii="Courier New" w:cs="Courier New" w:eastAsia="Courier New" w:hAnsi="Courier New"/>
          <w:sz w:val="16"/>
          <w:szCs w:val="16"/>
          <w:color w:val="auto"/>
        </w:rPr>
        <w:t>of franchise rights....................... 1,083.7</w:t>
      </w:r>
    </w:p>
    <w:p>
      <w:pPr>
        <w:jc w:val="center"/>
        <w:ind w:right="5055"/>
        <w:spacing w:after="0"/>
        <w:rPr>
          <w:sz w:val="20"/>
          <w:szCs w:val="20"/>
          <w:color w:val="auto"/>
        </w:rPr>
      </w:pPr>
      <w:r>
        <w:rPr>
          <w:rFonts w:ascii="Courier New" w:cs="Courier New" w:eastAsia="Courier New" w:hAnsi="Courier New"/>
          <w:sz w:val="16"/>
          <w:szCs w:val="16"/>
          <w:color w:val="auto"/>
        </w:rPr>
        <w:t>858.1 258.3 -------- -------- -------- 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adjusted...............................................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$2,042.1 $3,198.3 $1,456.9 ======== ======== ========</w:t>
      </w:r>
    </w:p>
    <w:p>
      <w:pPr>
        <w:jc w:val="center"/>
        <w:ind w:right="5055"/>
        <w:spacing w:after="0"/>
        <w:rPr>
          <w:sz w:val="20"/>
          <w:szCs w:val="20"/>
          <w:color w:val="auto"/>
        </w:rPr>
      </w:pPr>
      <w:r>
        <w:rPr>
          <w:rFonts w:ascii="Courier New" w:cs="Courier New" w:eastAsia="Courier New" w:hAnsi="Courier New"/>
          <w:sz w:val="16"/>
          <w:szCs w:val="16"/>
          <w:color w:val="auto"/>
        </w:rPr>
        <w:t>Income before extraordinary items and cumulative</w:t>
      </w:r>
    </w:p>
    <w:p>
      <w:pPr>
        <w:jc w:val="center"/>
        <w:ind w:right="5055"/>
        <w:spacing w:after="0" w:line="237" w:lineRule="auto"/>
        <w:rPr>
          <w:sz w:val="20"/>
          <w:szCs w:val="20"/>
          <w:color w:val="auto"/>
        </w:rPr>
      </w:pPr>
      <w:r>
        <w:rPr>
          <w:rFonts w:ascii="Courier New" w:cs="Courier New" w:eastAsia="Courier New" w:hAnsi="Courier New"/>
          <w:sz w:val="16"/>
          <w:szCs w:val="16"/>
          <w:color w:val="auto"/>
        </w:rPr>
        <w:t>effect of accounting change, as</w:t>
      </w:r>
    </w:p>
    <w:p>
      <w:pPr>
        <w:jc w:val="center"/>
        <w:ind w:right="5055"/>
        <w:spacing w:after="0"/>
        <w:rPr>
          <w:sz w:val="20"/>
          <w:szCs w:val="20"/>
          <w:color w:val="auto"/>
        </w:rPr>
      </w:pPr>
      <w:r>
        <w:rPr>
          <w:rFonts w:ascii="Courier New" w:cs="Courier New" w:eastAsia="Courier New" w:hAnsi="Courier New"/>
          <w:sz w:val="16"/>
          <w:szCs w:val="16"/>
          <w:color w:val="auto"/>
        </w:rPr>
        <w:t>adjusted......................... $1,659.1 $3,221.9</w:t>
      </w:r>
    </w:p>
    <w:p>
      <w:pPr>
        <w:jc w:val="center"/>
        <w:ind w:right="5055"/>
        <w:spacing w:after="0" w:line="238" w:lineRule="auto"/>
        <w:rPr>
          <w:sz w:val="20"/>
          <w:szCs w:val="20"/>
          <w:color w:val="auto"/>
        </w:rPr>
      </w:pPr>
      <w:r>
        <w:rPr>
          <w:rFonts w:ascii="Courier New" w:cs="Courier New" w:eastAsia="Courier New" w:hAnsi="Courier New"/>
          <w:sz w:val="16"/>
          <w:szCs w:val="16"/>
          <w:color w:val="auto"/>
        </w:rPr>
        <w:t>$1,507.9 ======== ======== ======== Basic EPS 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reported...............................................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$ 0.64 $ 2.24 $ 1.38 Amortization of</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goodwill............................... 0.35 0.34 0.17</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Amortization of equity method</w:t>
      </w:r>
    </w:p>
    <w:p>
      <w:pPr>
        <w:jc w:val="center"/>
        <w:ind w:right="5055"/>
        <w:spacing w:after="0"/>
        <w:rPr>
          <w:sz w:val="20"/>
          <w:szCs w:val="20"/>
          <w:color w:val="auto"/>
        </w:rPr>
      </w:pPr>
      <w:r>
        <w:rPr>
          <w:rFonts w:ascii="Courier New" w:cs="Courier New" w:eastAsia="Courier New" w:hAnsi="Courier New"/>
          <w:sz w:val="16"/>
          <w:szCs w:val="16"/>
          <w:color w:val="auto"/>
        </w:rPr>
        <w:t>goodwill................. 0.02 0.02 0.01 Amortization</w:t>
      </w:r>
    </w:p>
    <w:p>
      <w:pPr>
        <w:jc w:val="center"/>
        <w:ind w:right="5055"/>
        <w:spacing w:after="0" w:line="237" w:lineRule="auto"/>
        <w:rPr>
          <w:sz w:val="20"/>
          <w:szCs w:val="20"/>
          <w:color w:val="auto"/>
        </w:rPr>
      </w:pPr>
      <w:r>
        <w:rPr>
          <w:rFonts w:ascii="Courier New" w:cs="Courier New" w:eastAsia="Courier New" w:hAnsi="Courier New"/>
          <w:sz w:val="16"/>
          <w:szCs w:val="16"/>
          <w:color w:val="auto"/>
        </w:rPr>
        <w:t>of franchise rights....................... 1.14 0.96</w:t>
      </w:r>
    </w:p>
    <w:p>
      <w:pPr>
        <w:jc w:val="center"/>
        <w:ind w:right="5055"/>
        <w:spacing w:after="0"/>
        <w:rPr>
          <w:sz w:val="20"/>
          <w:szCs w:val="20"/>
          <w:color w:val="auto"/>
        </w:rPr>
      </w:pPr>
      <w:r>
        <w:rPr>
          <w:rFonts w:ascii="Courier New" w:cs="Courier New" w:eastAsia="Courier New" w:hAnsi="Courier New"/>
          <w:sz w:val="16"/>
          <w:szCs w:val="16"/>
          <w:color w:val="auto"/>
        </w:rPr>
        <w:t>0.35 -------- -------- -------- 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adjusted...............................................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$ 2.15 $ 3.56 $ 1.91 ======== ======== ========</w:t>
      </w:r>
    </w:p>
    <w:p>
      <w:pPr>
        <w:jc w:val="center"/>
        <w:ind w:right="5055"/>
        <w:spacing w:after="0"/>
        <w:rPr>
          <w:sz w:val="20"/>
          <w:szCs w:val="20"/>
          <w:color w:val="auto"/>
        </w:rPr>
      </w:pPr>
      <w:r>
        <w:rPr>
          <w:rFonts w:ascii="Courier New" w:cs="Courier New" w:eastAsia="Courier New" w:hAnsi="Courier New"/>
          <w:sz w:val="16"/>
          <w:szCs w:val="16"/>
          <w:color w:val="auto"/>
        </w:rPr>
        <w:t>Diluted EPS As</w:t>
      </w:r>
    </w:p>
    <w:p>
      <w:pPr>
        <w:spacing w:after="0" w:line="3"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reported...............................................</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$ 0.63 $ 2.13 $ 1.30 Amortization of</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goodwill............................... 0.35 0.32 0.16</w:t>
      </w:r>
    </w:p>
    <w:p>
      <w:pPr>
        <w:spacing w:after="0" w:line="5"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6"/>
          <w:szCs w:val="16"/>
          <w:color w:val="auto"/>
        </w:rPr>
        <w:t>Amortization of equity method</w:t>
      </w:r>
    </w:p>
    <w:p>
      <w:pPr>
        <w:jc w:val="center"/>
        <w:ind w:right="5055"/>
        <w:spacing w:after="0"/>
        <w:rPr>
          <w:sz w:val="20"/>
          <w:szCs w:val="20"/>
          <w:color w:val="auto"/>
        </w:rPr>
      </w:pPr>
      <w:r>
        <w:rPr>
          <w:rFonts w:ascii="Courier New" w:cs="Courier New" w:eastAsia="Courier New" w:hAnsi="Courier New"/>
          <w:sz w:val="16"/>
          <w:szCs w:val="16"/>
          <w:color w:val="auto"/>
        </w:rPr>
        <w:t>goodwill................. 0.02 0.02 0.01 Amortization</w:t>
      </w:r>
    </w:p>
    <w:p>
      <w:pPr>
        <w:jc w:val="center"/>
        <w:ind w:right="5055"/>
        <w:spacing w:after="0" w:line="237" w:lineRule="auto"/>
        <w:rPr>
          <w:sz w:val="20"/>
          <w:szCs w:val="20"/>
          <w:color w:val="auto"/>
        </w:rPr>
      </w:pPr>
      <w:r>
        <w:rPr>
          <w:rFonts w:ascii="Courier New" w:cs="Courier New" w:eastAsia="Courier New" w:hAnsi="Courier New"/>
          <w:sz w:val="16"/>
          <w:szCs w:val="16"/>
          <w:color w:val="auto"/>
        </w:rPr>
        <w:t>of franchise rights....................... 1.12 0.90</w:t>
      </w:r>
    </w:p>
    <w:p>
      <w:pPr>
        <w:jc w:val="center"/>
        <w:ind w:right="5055"/>
        <w:spacing w:after="0"/>
        <w:rPr>
          <w:sz w:val="20"/>
          <w:szCs w:val="20"/>
          <w:color w:val="auto"/>
        </w:rPr>
      </w:pPr>
      <w:r>
        <w:rPr>
          <w:rFonts w:ascii="Courier New" w:cs="Courier New" w:eastAsia="Courier New" w:hAnsi="Courier New"/>
          <w:sz w:val="16"/>
          <w:szCs w:val="16"/>
          <w:color w:val="auto"/>
        </w:rPr>
        <w:t>0.31 -------- -------- -------- As</w:t>
      </w:r>
    </w:p>
    <w:p>
      <w:pPr>
        <w:spacing w:after="0" w:line="4" w:lineRule="exact"/>
        <w:rPr>
          <w:sz w:val="20"/>
          <w:szCs w:val="20"/>
          <w:color w:val="auto"/>
        </w:rPr>
      </w:pPr>
    </w:p>
    <w:p>
      <w:pPr>
        <w:jc w:val="center"/>
        <w:ind w:right="5055"/>
        <w:spacing w:after="0"/>
        <w:rPr>
          <w:sz w:val="20"/>
          <w:szCs w:val="20"/>
          <w:color w:val="auto"/>
        </w:rPr>
      </w:pPr>
      <w:r>
        <w:rPr>
          <w:rFonts w:ascii="Courier New" w:cs="Courier New" w:eastAsia="Courier New" w:hAnsi="Courier New"/>
          <w:sz w:val="15"/>
          <w:szCs w:val="15"/>
          <w:color w:val="auto"/>
        </w:rPr>
        <w:t>adjusted...............................................</w:t>
      </w:r>
    </w:p>
    <w:p>
      <w:pPr>
        <w:spacing w:after="0" w:line="5" w:lineRule="exact"/>
        <w:rPr>
          <w:sz w:val="20"/>
          <w:szCs w:val="20"/>
          <w:color w:val="auto"/>
        </w:rPr>
      </w:pPr>
    </w:p>
    <w:p>
      <w:pPr>
        <w:ind w:left="564" w:hanging="189"/>
        <w:spacing w:after="0"/>
        <w:tabs>
          <w:tab w:leader="none" w:pos="564"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2.12 $ 3.37 $ 1.78 ======== ======== ========</w:t>
      </w:r>
    </w:p>
    <w:p>
      <w:pPr>
        <w:spacing w:after="0" w:line="359" w:lineRule="exact"/>
        <w:rPr>
          <w:rFonts w:ascii="Courier New" w:cs="Courier New" w:eastAsia="Courier New" w:hAnsi="Courier New"/>
          <w:sz w:val="16"/>
          <w:szCs w:val="16"/>
          <w:color w:val="auto"/>
        </w:rPr>
      </w:pPr>
    </w:p>
    <w:p>
      <w:pPr>
        <w:ind w:left="3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F-126</w:t>
      </w:r>
    </w:p>
    <w:p>
      <w:pPr>
        <w:sectPr>
          <w:pgSz w:w="11900" w:h="16838" w:orient="portrait"/>
          <w:cols w:equalWidth="0" w:num="1">
            <w:col w:w="10223"/>
          </w:cols>
          <w:pgMar w:left="236" w:top="473" w:right="1440" w:bottom="1440" w:gutter="0" w:footer="0" w:header="0"/>
        </w:sectPr>
      </w:pPr>
    </w:p>
    <w:bookmarkStart w:id="317" w:name="page318"/>
    <w:bookmarkEnd w:id="317"/>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CONDENSED CONSOLIDATED BALANCE SHEET</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JUNE 30, DECEMBER 31, 2002 2001 ----------- --------------</w:t>
      </w:r>
    </w:p>
    <w:p>
      <w:pPr>
        <w:ind w:left="240"/>
        <w:spacing w:after="0"/>
        <w:rPr>
          <w:sz w:val="20"/>
          <w:szCs w:val="20"/>
          <w:color w:val="auto"/>
        </w:rPr>
      </w:pPr>
      <w:r>
        <w:rPr>
          <w:rFonts w:ascii="Courier New" w:cs="Courier New" w:eastAsia="Courier New" w:hAnsi="Courier New"/>
          <w:sz w:val="16"/>
          <w:szCs w:val="16"/>
          <w:color w:val="auto"/>
        </w:rPr>
        <w:t>(DOLLARS IN MILLIONS, EXCEPT SHARE DATA) ASSETS CURRENT</w:t>
      </w:r>
    </w:p>
    <w:tbl>
      <w:tblPr>
        <w:tblLayout w:type="fixed"/>
        <w:tblInd w:w="0" w:type="dxa"/>
        <w:tblCellMar>
          <w:top w:w="0" w:type="dxa"/>
          <w:left w:w="0" w:type="dxa"/>
          <w:bottom w:w="0" w:type="dxa"/>
          <w:right w:w="0" w:type="dxa"/>
        </w:tblCellMar>
      </w:tblPr>
      <w:tr>
        <w:trPr>
          <w:trHeight w:val="179"/>
        </w:trPr>
        <w:tc>
          <w:tcPr>
            <w:tcW w:w="4180" w:type="dxa"/>
            <w:vAlign w:val="bottom"/>
            <w:gridSpan w:val="2"/>
          </w:tcPr>
          <w:p>
            <w:pPr>
              <w:jc w:val="center"/>
              <w:ind w:left="1363"/>
              <w:spacing w:after="0" w:line="179" w:lineRule="exact"/>
              <w:rPr>
                <w:sz w:val="20"/>
                <w:szCs w:val="20"/>
                <w:color w:val="auto"/>
              </w:rPr>
            </w:pPr>
            <w:r>
              <w:rPr>
                <w:rFonts w:ascii="Courier New" w:cs="Courier New" w:eastAsia="Courier New" w:hAnsi="Courier New"/>
                <w:sz w:val="16"/>
                <w:szCs w:val="16"/>
                <w:color w:val="auto"/>
                <w:w w:val="96"/>
              </w:rPr>
              <w:t>ASSETS Cash and cash</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equivalents.................................</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557.8 $ 350.0</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Investments...............................................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55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1,057.6 2,623.2 Accounts receivable, less allowance for</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doubtful accounts of $166.9 and</w:t>
            </w: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957.0 967.4</w:t>
            </w: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Inventories, net..........................................</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center"/>
              <w:ind w:left="1363"/>
              <w:spacing w:after="0"/>
              <w:rPr>
                <w:sz w:val="20"/>
                <w:szCs w:val="20"/>
                <w:color w:val="auto"/>
              </w:rPr>
            </w:pPr>
            <w:r>
              <w:rPr>
                <w:rFonts w:ascii="Courier New" w:cs="Courier New" w:eastAsia="Courier New" w:hAnsi="Courier New"/>
                <w:sz w:val="16"/>
                <w:szCs w:val="16"/>
                <w:color w:val="auto"/>
                <w:w w:val="97"/>
              </w:rPr>
              <w:t>414.0 454.5 Deferred income</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taxes.....................................</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135.9 128.7</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Other current assets......................................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96"/>
              </w:rPr>
              <w:t>337.7 153.7 ---------</w:t>
            </w:r>
          </w:p>
        </w:tc>
        <w:tc>
          <w:tcPr>
            <w:tcW w:w="33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 Total current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1"/>
              </w:rPr>
              <w:t>assets...................................</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3,460.0 4,677.5 -</w:t>
            </w: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8"/>
              </w:rPr>
              <w:t>-------- ---------</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INVESTMENTS.................................................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55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727.6 1,679.2 PROPERTY AND EQUIPMENT, net of accumulated</w:t>
            </w:r>
          </w:p>
        </w:tc>
      </w:tr>
      <w:tr>
        <w:trPr>
          <w:trHeight w:val="180"/>
        </w:trPr>
        <w:tc>
          <w:tcPr>
            <w:tcW w:w="4180" w:type="dxa"/>
            <w:vAlign w:val="bottom"/>
            <w:gridSpan w:val="2"/>
          </w:tcPr>
          <w:p>
            <w:pPr>
              <w:jc w:val="center"/>
              <w:ind w:left="1363"/>
              <w:spacing w:after="0"/>
              <w:rPr>
                <w:sz w:val="20"/>
                <w:szCs w:val="20"/>
                <w:color w:val="auto"/>
              </w:rPr>
            </w:pPr>
            <w:r>
              <w:rPr>
                <w:rFonts w:ascii="Courier New" w:cs="Courier New" w:eastAsia="Courier New" w:hAnsi="Courier New"/>
                <w:sz w:val="16"/>
                <w:szCs w:val="16"/>
                <w:color w:val="auto"/>
                <w:w w:val="97"/>
              </w:rPr>
              <w:t>depreciation of $3,238.2 and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$2,725.7.....................................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7,023.1</w:t>
            </w:r>
          </w:p>
        </w:tc>
        <w:tc>
          <w:tcPr>
            <w:tcW w:w="280" w:type="dxa"/>
            <w:vAlign w:val="bottom"/>
          </w:tcPr>
          <w:p>
            <w:pPr>
              <w:spacing w:after="0"/>
              <w:rPr>
                <w:sz w:val="15"/>
                <w:szCs w:val="15"/>
                <w:color w:val="auto"/>
              </w:rPr>
            </w:pP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8"/>
              </w:rPr>
              <w:t>7,011.1</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GOODWILL....................................................</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center"/>
              <w:ind w:left="1363"/>
              <w:spacing w:after="0"/>
              <w:rPr>
                <w:sz w:val="20"/>
                <w:szCs w:val="20"/>
                <w:color w:val="auto"/>
              </w:rPr>
            </w:pPr>
            <w:r>
              <w:rPr>
                <w:rFonts w:ascii="Courier New" w:cs="Courier New" w:eastAsia="Courier New" w:hAnsi="Courier New"/>
                <w:sz w:val="16"/>
                <w:szCs w:val="16"/>
                <w:color w:val="auto"/>
                <w:w w:val="97"/>
              </w:rPr>
              <w:t>6,446.3 6,289.4 FRANCHISE</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RIGHTS............................................</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16,599.4</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16,533.0 OTHER INTANGIBLE ASSETS, net of accumulated</w:t>
            </w:r>
          </w:p>
        </w:tc>
        <w:tc>
          <w:tcPr>
            <w:tcW w:w="280" w:type="dxa"/>
            <w:vAlign w:val="bottom"/>
          </w:tcPr>
          <w:p>
            <w:pPr>
              <w:spacing w:after="0"/>
              <w:rPr>
                <w:sz w:val="15"/>
                <w:szCs w:val="15"/>
                <w:color w:val="auto"/>
              </w:rPr>
            </w:pPr>
          </w:p>
        </w:tc>
      </w:tr>
      <w:tr>
        <w:trPr>
          <w:trHeight w:val="180"/>
        </w:trPr>
        <w:tc>
          <w:tcPr>
            <w:tcW w:w="4180" w:type="dxa"/>
            <w:vAlign w:val="bottom"/>
            <w:gridSpan w:val="2"/>
          </w:tcPr>
          <w:p>
            <w:pPr>
              <w:jc w:val="center"/>
              <w:ind w:left="1363"/>
              <w:spacing w:after="0"/>
              <w:rPr>
                <w:sz w:val="20"/>
                <w:szCs w:val="20"/>
                <w:color w:val="auto"/>
              </w:rPr>
            </w:pPr>
            <w:r>
              <w:rPr>
                <w:rFonts w:ascii="Courier New" w:cs="Courier New" w:eastAsia="Courier New" w:hAnsi="Courier New"/>
                <w:sz w:val="16"/>
                <w:szCs w:val="16"/>
                <w:color w:val="auto"/>
                <w:w w:val="96"/>
              </w:rPr>
              <w:t>amortization of $803.3 and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$664.6.........................................</w:t>
            </w:r>
          </w:p>
        </w:tc>
        <w:tc>
          <w:tcPr>
            <w:tcW w:w="14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1,471.7</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8"/>
              </w:rPr>
              <w:t>1,686.9 OTHER NONCURRENT ASSETS,</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1"/>
              </w:rPr>
              <w:t>net................................</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390.7 383.4 --------- -</w:t>
            </w:r>
          </w:p>
        </w:tc>
      </w:tr>
      <w:tr>
        <w:trPr>
          <w:trHeight w:val="180"/>
        </w:trPr>
        <w:tc>
          <w:tcPr>
            <w:tcW w:w="55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-------- 36,118.8 $38,260.5 ========= ========= LIABILITIES</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AND STOCKHOLDERS' EQUITY CURRENT LIABILITIES Accounts</w:t>
            </w: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payable..........................................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680.1</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698.2 Accrued expenses and other current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87"/>
              </w:rPr>
              <w:t>liabilities............</w:t>
            </w:r>
          </w:p>
        </w:tc>
        <w:tc>
          <w:tcPr>
            <w:tcW w:w="362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1,371.7 1,695.5 Deferred income</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taxes.....................................</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121.8 404.1</w:t>
            </w:r>
          </w:p>
        </w:tc>
      </w:tr>
      <w:tr>
        <w:trPr>
          <w:trHeight w:val="180"/>
        </w:trPr>
        <w:tc>
          <w:tcPr>
            <w:tcW w:w="530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3"/>
              </w:rPr>
              <w:t>Current portion of long-term debt.........................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96"/>
              </w:rPr>
              <w:t>206.9 460.2 ---------</w:t>
            </w:r>
          </w:p>
        </w:tc>
        <w:tc>
          <w:tcPr>
            <w:tcW w:w="33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 Total current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1"/>
              </w:rPr>
              <w:t>liabilities..............................</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2,380.5 3,258.0 -</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3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LONG-TERM DEBT, less current</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80"/>
              </w:rPr>
              <w:t>portion........................</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10,543.5 11,741.6 ---------</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DEFERRED INCOME</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TAXES.......................................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6,755.2</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6,375.7 ---------</w:t>
            </w:r>
          </w:p>
        </w:tc>
        <w:tc>
          <w:tcPr>
            <w:tcW w:w="3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 OTHER NONCURRENT</w:t>
            </w:r>
          </w:p>
        </w:tc>
        <w:tc>
          <w:tcPr>
            <w:tcW w:w="280" w:type="dxa"/>
            <w:vAlign w:val="bottom"/>
          </w:tcPr>
          <w:p>
            <w:pPr>
              <w:spacing w:after="0"/>
              <w:rPr>
                <w:sz w:val="15"/>
                <w:szCs w:val="15"/>
                <w:color w:val="auto"/>
              </w:rPr>
            </w:pPr>
          </w:p>
        </w:tc>
      </w:tr>
      <w:tr>
        <w:trPr>
          <w:trHeight w:val="180"/>
        </w:trPr>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LIABILITIES................................</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1,421.1 1,532.0</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w w:val="99"/>
              </w:rPr>
              <w:t>--------- MINORITY</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INTEREST...........................................</w:t>
            </w:r>
          </w:p>
        </w:tc>
        <w:tc>
          <w:tcPr>
            <w:tcW w:w="1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986.7</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80"/>
              </w:rPr>
              <w:t>880.2 --------- ---------</w:t>
            </w:r>
          </w:p>
        </w:tc>
        <w:tc>
          <w:tcPr>
            <w:tcW w:w="362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COMMITMENTS AND CONTINGENCIES</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(NOTE 10) STOCKHOLDERS' EQUITY Class A special common</w:t>
            </w:r>
          </w:p>
        </w:tc>
        <w:tc>
          <w:tcPr>
            <w:tcW w:w="280" w:type="dxa"/>
            <w:vAlign w:val="bottom"/>
          </w:tcPr>
          <w:p>
            <w:pPr>
              <w:spacing w:after="0"/>
              <w:rPr>
                <w:sz w:val="15"/>
                <w:szCs w:val="15"/>
                <w:color w:val="auto"/>
              </w:rPr>
            </w:pP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stock, $1 par value</w:t>
            </w:r>
          </w:p>
        </w:tc>
        <w:tc>
          <w:tcPr>
            <w:tcW w:w="362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 authorized, 2,500,000,000 shares;</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issued, 915,707,981 and 937,256,465; outstanding,</w:t>
            </w:r>
          </w:p>
        </w:tc>
        <w:tc>
          <w:tcPr>
            <w:tcW w:w="280" w:type="dxa"/>
            <w:vAlign w:val="bottom"/>
          </w:tcPr>
          <w:p>
            <w:pPr>
              <w:spacing w:after="0"/>
              <w:rPr>
                <w:sz w:val="15"/>
                <w:szCs w:val="15"/>
                <w:color w:val="auto"/>
              </w:rPr>
            </w:pP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8"/>
              </w:rPr>
              <w:t>915,707,981 and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913,931,554............................................</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915.7 913.9 Class A common stock, $1 par value --</w:t>
            </w:r>
          </w:p>
        </w:tc>
        <w:tc>
          <w:tcPr>
            <w:tcW w:w="280" w:type="dxa"/>
            <w:vAlign w:val="bottom"/>
          </w:tcPr>
          <w:p>
            <w:pPr>
              <w:spacing w:after="0"/>
              <w:rPr>
                <w:sz w:val="15"/>
                <w:szCs w:val="15"/>
                <w:color w:val="auto"/>
              </w:rPr>
            </w:pPr>
          </w:p>
        </w:tc>
      </w:tr>
      <w:tr>
        <w:trPr>
          <w:trHeight w:val="180"/>
        </w:trPr>
        <w:tc>
          <w:tcPr>
            <w:tcW w:w="55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authorized, 200,000,000 shares; issued, 21,591,115 and</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21,829,422.............................................</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21.6 21.8 Class B common stock, $1 par value</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authorized,</w:t>
            </w:r>
          </w:p>
        </w:tc>
      </w:tr>
      <w:tr>
        <w:trPr>
          <w:trHeight w:val="180"/>
        </w:trPr>
        <w:tc>
          <w:tcPr>
            <w:tcW w:w="53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50,000,000 shares; issued, 9,444,375...................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9.4</w:t>
            </w: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6"/>
              </w:rPr>
              <w:t>9.4 Additional</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capital........................................</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11,791.5</w:t>
            </w: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6"/>
              </w:rPr>
              <w:t>11,752.0 Retained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earnings.........................................</w:t>
            </w:r>
          </w:p>
        </w:tc>
        <w:tc>
          <w:tcPr>
            <w:tcW w:w="1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1,317.3</w:t>
            </w:r>
          </w:p>
        </w:tc>
      </w:tr>
      <w:tr>
        <w:trPr>
          <w:trHeight w:val="180"/>
        </w:trPr>
        <w:tc>
          <w:tcPr>
            <w:tcW w:w="5300" w:type="dxa"/>
            <w:vAlign w:val="bottom"/>
            <w:gridSpan w:val="3"/>
          </w:tcPr>
          <w:p>
            <w:pPr>
              <w:jc w:val="center"/>
              <w:ind w:left="243"/>
              <w:spacing w:after="0"/>
              <w:rPr>
                <w:sz w:val="20"/>
                <w:szCs w:val="20"/>
                <w:color w:val="auto"/>
              </w:rPr>
            </w:pPr>
            <w:r>
              <w:rPr>
                <w:rFonts w:ascii="Courier New" w:cs="Courier New" w:eastAsia="Courier New" w:hAnsi="Courier New"/>
                <w:sz w:val="16"/>
                <w:szCs w:val="16"/>
                <w:color w:val="auto"/>
                <w:w w:val="97"/>
              </w:rPr>
              <w:t>1,631.5 Accumulated other comprehensive income</w:t>
            </w:r>
          </w:p>
        </w:tc>
        <w:tc>
          <w:tcPr>
            <w:tcW w:w="280" w:type="dxa"/>
            <w:vAlign w:val="bottom"/>
          </w:tcPr>
          <w:p>
            <w:pPr>
              <w:spacing w:after="0"/>
              <w:rPr>
                <w:sz w:val="15"/>
                <w:szCs w:val="15"/>
                <w:color w:val="auto"/>
              </w:rPr>
            </w:pPr>
          </w:p>
        </w:tc>
      </w:tr>
      <w:tr>
        <w:trPr>
          <w:trHeight w:val="180"/>
        </w:trPr>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(loss).............</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(23.7) 144.4 --------- --------- Total</w:t>
            </w:r>
          </w:p>
        </w:tc>
      </w:tr>
      <w:tr>
        <w:trPr>
          <w:trHeight w:val="18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stockholders' equity.............................</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14,031.8</w:t>
            </w:r>
          </w:p>
        </w:tc>
      </w:tr>
      <w:tr>
        <w:trPr>
          <w:trHeight w:val="180"/>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72"/>
              </w:rPr>
              <w:t>14,473.0 --------- ---------</w:t>
            </w: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$36,118.8 $38,260.5 =========</w:t>
            </w:r>
          </w:p>
        </w:tc>
      </w:tr>
      <w:tr>
        <w:trPr>
          <w:trHeight w:val="180"/>
        </w:trPr>
        <w:tc>
          <w:tcPr>
            <w:tcW w:w="1960" w:type="dxa"/>
            <w:vAlign w:val="bottom"/>
          </w:tcPr>
          <w:p>
            <w:pPr>
              <w:spacing w:after="0"/>
              <w:rPr>
                <w:sz w:val="15"/>
                <w:szCs w:val="15"/>
                <w:color w:val="auto"/>
              </w:rPr>
            </w:pPr>
          </w:p>
        </w:tc>
        <w:tc>
          <w:tcPr>
            <w:tcW w:w="2220" w:type="dxa"/>
            <w:vAlign w:val="bottom"/>
          </w:tcPr>
          <w:p>
            <w:pPr>
              <w:jc w:val="center"/>
              <w:ind w:right="442"/>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r>
    </w:tbl>
    <w:p>
      <w:pPr>
        <w:spacing w:after="0" w:line="36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F-127</w:t>
      </w:r>
    </w:p>
    <w:p>
      <w:pPr>
        <w:sectPr>
          <w:pgSz w:w="11900" w:h="16838" w:orient="portrait"/>
          <w:cols w:equalWidth="0" w:num="1">
            <w:col w:w="10219"/>
          </w:cols>
          <w:pgMar w:left="240" w:top="654" w:right="1440" w:bottom="1440" w:gutter="0" w:footer="0" w:header="0"/>
        </w:sectPr>
      </w:pPr>
    </w:p>
    <w:bookmarkStart w:id="318" w:name="page319"/>
    <w:bookmarkEnd w:id="318"/>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CONDENSED CONSOLIDATED STATEMENT OF OPERATIONS AND</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RETAINED EARNINGS</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ENDED SIX MONTHS ENDED JUNE 30, JUNE</w:t>
      </w:r>
    </w:p>
    <w:p>
      <w:pPr>
        <w:ind w:left="80"/>
        <w:spacing w:after="0"/>
        <w:rPr>
          <w:sz w:val="20"/>
          <w:szCs w:val="20"/>
          <w:color w:val="auto"/>
        </w:rPr>
      </w:pPr>
      <w:r>
        <w:rPr>
          <w:rFonts w:ascii="Courier New" w:cs="Courier New" w:eastAsia="Courier New" w:hAnsi="Courier New"/>
          <w:sz w:val="16"/>
          <w:szCs w:val="16"/>
          <w:color w:val="auto"/>
        </w:rPr>
        <w:t>30, --------------------- ----------------------</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2002 2001 2002 2001 ---------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(AMOUNTS IN MILLIONS, EXCEPT PER</w:t>
      </w:r>
    </w:p>
    <w:p>
      <w:pPr>
        <w:jc w:val="center"/>
        <w:ind w:right="5539"/>
        <w:spacing w:after="0"/>
        <w:rPr>
          <w:sz w:val="20"/>
          <w:szCs w:val="20"/>
          <w:color w:val="auto"/>
        </w:rPr>
      </w:pPr>
      <w:r>
        <w:rPr>
          <w:rFonts w:ascii="Courier New" w:cs="Courier New" w:eastAsia="Courier New" w:hAnsi="Courier New"/>
          <w:sz w:val="16"/>
          <w:szCs w:val="16"/>
          <w:color w:val="auto"/>
        </w:rPr>
        <w:t>SHARE DATA) REVENUES Service</w:t>
      </w:r>
    </w:p>
    <w:p>
      <w:pPr>
        <w:jc w:val="center"/>
        <w:ind w:right="5539"/>
        <w:spacing w:after="0" w:line="237" w:lineRule="auto"/>
        <w:rPr>
          <w:sz w:val="20"/>
          <w:szCs w:val="20"/>
          <w:color w:val="auto"/>
        </w:rPr>
      </w:pPr>
      <w:r>
        <w:rPr>
          <w:rFonts w:ascii="Courier New" w:cs="Courier New" w:eastAsia="Courier New" w:hAnsi="Courier New"/>
          <w:sz w:val="16"/>
          <w:szCs w:val="16"/>
          <w:color w:val="auto"/>
        </w:rPr>
        <w:t>revenues..................................</w:t>
      </w:r>
    </w:p>
    <w:p>
      <w:pPr>
        <w:jc w:val="center"/>
        <w:ind w:right="5539"/>
        <w:spacing w:after="0"/>
        <w:rPr>
          <w:sz w:val="20"/>
          <w:szCs w:val="20"/>
          <w:color w:val="auto"/>
        </w:rPr>
      </w:pPr>
      <w:r>
        <w:rPr>
          <w:rFonts w:ascii="Courier New" w:cs="Courier New" w:eastAsia="Courier New" w:hAnsi="Courier New"/>
          <w:sz w:val="16"/>
          <w:szCs w:val="16"/>
          <w:color w:val="auto"/>
        </w:rPr>
        <w:t>$1,714.4 $1,462.7 $3,393.4 $2,810.7 Net sales</w:t>
      </w:r>
    </w:p>
    <w:p>
      <w:pPr>
        <w:jc w:val="center"/>
        <w:ind w:right="5539"/>
        <w:spacing w:after="0" w:line="238" w:lineRule="auto"/>
        <w:rPr>
          <w:sz w:val="20"/>
          <w:szCs w:val="20"/>
          <w:color w:val="auto"/>
        </w:rPr>
      </w:pPr>
      <w:r>
        <w:rPr>
          <w:rFonts w:ascii="Courier New" w:cs="Courier New" w:eastAsia="Courier New" w:hAnsi="Courier New"/>
          <w:sz w:val="16"/>
          <w:szCs w:val="16"/>
          <w:color w:val="auto"/>
        </w:rPr>
        <w:t>from electronic retailing............... 994.5</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876.0 1,988.0 1,760.0 -------- -------- ---------</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-------- 2,708.9 2,338.7 5,381.4 4,570.7 --------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COSTS AND EXPENSES</w:t>
      </w:r>
    </w:p>
    <w:p>
      <w:pPr>
        <w:jc w:val="center"/>
        <w:ind w:right="5539"/>
        <w:spacing w:after="0"/>
        <w:rPr>
          <w:sz w:val="20"/>
          <w:szCs w:val="20"/>
          <w:color w:val="auto"/>
        </w:rPr>
      </w:pPr>
      <w:r>
        <w:rPr>
          <w:rFonts w:ascii="Courier New" w:cs="Courier New" w:eastAsia="Courier New" w:hAnsi="Courier New"/>
          <w:sz w:val="16"/>
          <w:szCs w:val="16"/>
          <w:color w:val="auto"/>
        </w:rPr>
        <w:t>Operating (excluding</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depreciation)................ 723.4 671.7 1,469.4</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1,311.4 Cost of goods sold from electronic</w:t>
      </w:r>
    </w:p>
    <w:p>
      <w:pPr>
        <w:jc w:val="center"/>
        <w:ind w:right="5539"/>
        <w:spacing w:after="0"/>
        <w:rPr>
          <w:sz w:val="20"/>
          <w:szCs w:val="20"/>
          <w:color w:val="auto"/>
        </w:rPr>
      </w:pPr>
      <w:r>
        <w:rPr>
          <w:rFonts w:ascii="Courier New" w:cs="Courier New" w:eastAsia="Courier New" w:hAnsi="Courier New"/>
          <w:sz w:val="16"/>
          <w:szCs w:val="16"/>
          <w:color w:val="auto"/>
        </w:rPr>
        <w:t>retailing (excluding</w:t>
      </w:r>
    </w:p>
    <w:p>
      <w:pPr>
        <w:jc w:val="center"/>
        <w:ind w:right="5539"/>
        <w:spacing w:after="0" w:line="237" w:lineRule="auto"/>
        <w:rPr>
          <w:sz w:val="20"/>
          <w:szCs w:val="20"/>
          <w:color w:val="auto"/>
        </w:rPr>
      </w:pPr>
      <w:r>
        <w:rPr>
          <w:rFonts w:ascii="Courier New" w:cs="Courier New" w:eastAsia="Courier New" w:hAnsi="Courier New"/>
          <w:sz w:val="16"/>
          <w:szCs w:val="16"/>
          <w:color w:val="auto"/>
        </w:rPr>
        <w:t>depreciation)....................... 628.8 555.2</w:t>
      </w:r>
    </w:p>
    <w:p>
      <w:pPr>
        <w:jc w:val="center"/>
        <w:ind w:right="5539"/>
        <w:spacing w:after="0"/>
        <w:rPr>
          <w:sz w:val="20"/>
          <w:szCs w:val="20"/>
          <w:color w:val="auto"/>
        </w:rPr>
      </w:pPr>
      <w:r>
        <w:rPr>
          <w:rFonts w:ascii="Courier New" w:cs="Courier New" w:eastAsia="Courier New" w:hAnsi="Courier New"/>
          <w:sz w:val="16"/>
          <w:szCs w:val="16"/>
          <w:color w:val="auto"/>
        </w:rPr>
        <w:t>1,260.0 1,111.8 Selling, general and</w:t>
      </w:r>
    </w:p>
    <w:p>
      <w:pPr>
        <w:jc w:val="center"/>
        <w:ind w:right="5539"/>
        <w:spacing w:after="0" w:line="238" w:lineRule="auto"/>
        <w:rPr>
          <w:sz w:val="20"/>
          <w:szCs w:val="20"/>
          <w:color w:val="auto"/>
        </w:rPr>
      </w:pPr>
      <w:r>
        <w:rPr>
          <w:rFonts w:ascii="Courier New" w:cs="Courier New" w:eastAsia="Courier New" w:hAnsi="Courier New"/>
          <w:sz w:val="16"/>
          <w:szCs w:val="16"/>
          <w:color w:val="auto"/>
        </w:rPr>
        <w:t>administrative............... 490.1 418.9 977.2</w:t>
      </w:r>
    </w:p>
    <w:p>
      <w:pPr>
        <w:jc w:val="center"/>
        <w:ind w:right="5539"/>
        <w:spacing w:after="0"/>
        <w:rPr>
          <w:sz w:val="20"/>
          <w:szCs w:val="20"/>
          <w:color w:val="auto"/>
        </w:rPr>
      </w:pPr>
      <w:r>
        <w:rPr>
          <w:rFonts w:ascii="Courier New" w:cs="Courier New" w:eastAsia="Courier New" w:hAnsi="Courier New"/>
          <w:sz w:val="16"/>
          <w:szCs w:val="16"/>
          <w:color w:val="auto"/>
        </w:rPr>
        <w:t>820.4</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Depreciation......................................</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342.8 273.9 676.6 514.7</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Amortization......................................</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45.4 552.3 98.7 1,046.2 -------- -------- -------</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 -------- 2,230.5 2,472.0 4,481.9 4,804.5 -----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 OPERATING INCOME</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(LOSS)............................. 478.4 (133.3)</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899.5 (233.8) OTHER INCOME (EXPENSE) Interest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expense.................................. (182.6)</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(178.5) (369.3) (360.8) Investment income</w:t>
      </w:r>
    </w:p>
    <w:p>
      <w:pPr>
        <w:jc w:val="center"/>
        <w:ind w:right="5539"/>
        <w:spacing w:after="0"/>
        <w:rPr>
          <w:sz w:val="20"/>
          <w:szCs w:val="20"/>
          <w:color w:val="auto"/>
        </w:rPr>
      </w:pPr>
      <w:r>
        <w:rPr>
          <w:rFonts w:ascii="Courier New" w:cs="Courier New" w:eastAsia="Courier New" w:hAnsi="Courier New"/>
          <w:sz w:val="16"/>
          <w:szCs w:val="16"/>
          <w:color w:val="auto"/>
        </w:rPr>
        <w:t>(expense)....................... (459.1) 502.7</w:t>
      </w:r>
    </w:p>
    <w:p>
      <w:pPr>
        <w:jc w:val="center"/>
        <w:ind w:right="5539"/>
        <w:spacing w:after="0" w:line="237" w:lineRule="auto"/>
        <w:rPr>
          <w:sz w:val="20"/>
          <w:szCs w:val="20"/>
          <w:color w:val="auto"/>
        </w:rPr>
      </w:pPr>
      <w:r>
        <w:rPr>
          <w:rFonts w:ascii="Courier New" w:cs="Courier New" w:eastAsia="Courier New" w:hAnsi="Courier New"/>
          <w:sz w:val="16"/>
          <w:szCs w:val="16"/>
          <w:color w:val="auto"/>
        </w:rPr>
        <w:t>(707.1) 717.4 Equity in net losses of</w:t>
      </w:r>
    </w:p>
    <w:p>
      <w:pPr>
        <w:jc w:val="center"/>
        <w:ind w:right="5539"/>
        <w:spacing w:after="0"/>
        <w:rPr>
          <w:sz w:val="20"/>
          <w:szCs w:val="20"/>
          <w:color w:val="auto"/>
        </w:rPr>
      </w:pPr>
      <w:r>
        <w:rPr>
          <w:rFonts w:ascii="Courier New" w:cs="Courier New" w:eastAsia="Courier New" w:hAnsi="Courier New"/>
          <w:sz w:val="16"/>
          <w:szCs w:val="16"/>
          <w:color w:val="auto"/>
        </w:rPr>
        <w:t>affiliates................ (43.0) (9.5) (48.4)</w:t>
      </w:r>
    </w:p>
    <w:p>
      <w:pPr>
        <w:jc w:val="center"/>
        <w:ind w:right="5539"/>
        <w:spacing w:after="0" w:line="238" w:lineRule="auto"/>
        <w:rPr>
          <w:sz w:val="20"/>
          <w:szCs w:val="20"/>
          <w:color w:val="auto"/>
        </w:rPr>
      </w:pPr>
      <w:r>
        <w:rPr>
          <w:rFonts w:ascii="Courier New" w:cs="Courier New" w:eastAsia="Courier New" w:hAnsi="Courier New"/>
          <w:sz w:val="16"/>
          <w:szCs w:val="16"/>
          <w:color w:val="auto"/>
        </w:rPr>
        <w:t>(6.6) Other income</w:t>
      </w:r>
    </w:p>
    <w:p>
      <w:pPr>
        <w:jc w:val="center"/>
        <w:ind w:right="5539"/>
        <w:spacing w:after="0"/>
        <w:rPr>
          <w:sz w:val="20"/>
          <w:szCs w:val="20"/>
          <w:color w:val="auto"/>
        </w:rPr>
      </w:pPr>
      <w:r>
        <w:rPr>
          <w:rFonts w:ascii="Courier New" w:cs="Courier New" w:eastAsia="Courier New" w:hAnsi="Courier New"/>
          <w:sz w:val="16"/>
          <w:szCs w:val="16"/>
          <w:color w:val="auto"/>
        </w:rPr>
        <w:t>(expense)............................ 9.6 (6.3)</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(14.0) 1,187.9 -------- -------- --------- ------</w:t>
      </w:r>
    </w:p>
    <w:p>
      <w:pPr>
        <w:spacing w:after="0" w:line="10"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 (675.1) 308.4 (1,138.8) 1,537.9 --------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INCOME (LOSS) BEFORE</w:t>
      </w:r>
    </w:p>
    <w:p>
      <w:pPr>
        <w:jc w:val="center"/>
        <w:ind w:right="5539"/>
        <w:spacing w:after="0"/>
        <w:rPr>
          <w:sz w:val="20"/>
          <w:szCs w:val="20"/>
          <w:color w:val="auto"/>
        </w:rPr>
      </w:pPr>
      <w:r>
        <w:rPr>
          <w:rFonts w:ascii="Courier New" w:cs="Courier New" w:eastAsia="Courier New" w:hAnsi="Courier New"/>
          <w:sz w:val="16"/>
          <w:szCs w:val="16"/>
          <w:color w:val="auto"/>
        </w:rPr>
        <w:t>INCOME TAXES, MINORITY INTEREST AND CUMULATIVE</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EFFECT OF ACCOUNTING CHANGE........ (196.7) 175.1</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(239.3) 1,304.1 INCOME TAX BENEFIT</w:t>
      </w:r>
    </w:p>
    <w:p>
      <w:pPr>
        <w:jc w:val="center"/>
        <w:ind w:right="5539"/>
        <w:spacing w:after="0"/>
        <w:rPr>
          <w:sz w:val="20"/>
          <w:szCs w:val="20"/>
          <w:color w:val="auto"/>
        </w:rPr>
      </w:pPr>
      <w:r>
        <w:rPr>
          <w:rFonts w:ascii="Courier New" w:cs="Courier New" w:eastAsia="Courier New" w:hAnsi="Courier New"/>
          <w:sz w:val="16"/>
          <w:szCs w:val="16"/>
          <w:color w:val="auto"/>
        </w:rPr>
        <w:t>(EXPENSE)........................ 32.9 (103.0)</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30.2 (588.6) --------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INCOME (LOSS) BEFORE MINORITY INTEREST AND</w:t>
      </w:r>
    </w:p>
    <w:p>
      <w:pPr>
        <w:jc w:val="center"/>
        <w:ind w:right="5539"/>
        <w:spacing w:after="0"/>
        <w:rPr>
          <w:sz w:val="20"/>
          <w:szCs w:val="20"/>
          <w:color w:val="auto"/>
        </w:rPr>
      </w:pPr>
      <w:r>
        <w:rPr>
          <w:rFonts w:ascii="Courier New" w:cs="Courier New" w:eastAsia="Courier New" w:hAnsi="Courier New"/>
          <w:sz w:val="16"/>
          <w:szCs w:val="16"/>
          <w:color w:val="auto"/>
        </w:rPr>
        <w:t>CUMULATIVE EFFECT OF ACCOUNTING</w:t>
      </w:r>
    </w:p>
    <w:p>
      <w:pPr>
        <w:jc w:val="center"/>
        <w:ind w:right="5539"/>
        <w:spacing w:after="0" w:line="237" w:lineRule="auto"/>
        <w:rPr>
          <w:sz w:val="20"/>
          <w:szCs w:val="20"/>
          <w:color w:val="auto"/>
        </w:rPr>
      </w:pPr>
      <w:r>
        <w:rPr>
          <w:rFonts w:ascii="Courier New" w:cs="Courier New" w:eastAsia="Courier New" w:hAnsi="Courier New"/>
          <w:sz w:val="16"/>
          <w:szCs w:val="16"/>
          <w:color w:val="auto"/>
        </w:rPr>
        <w:t>CHANGE............ (163.8) 72.1 (209.1) 715.5</w:t>
      </w:r>
    </w:p>
    <w:p>
      <w:pPr>
        <w:jc w:val="center"/>
        <w:ind w:right="5539"/>
        <w:spacing w:after="0"/>
        <w:rPr>
          <w:sz w:val="20"/>
          <w:szCs w:val="20"/>
          <w:color w:val="auto"/>
        </w:rPr>
      </w:pPr>
      <w:r>
        <w:rPr>
          <w:rFonts w:ascii="Courier New" w:cs="Courier New" w:eastAsia="Courier New" w:hAnsi="Courier New"/>
          <w:sz w:val="16"/>
          <w:szCs w:val="16"/>
          <w:color w:val="auto"/>
        </w:rPr>
        <w:t>MINORITY</w:t>
      </w:r>
    </w:p>
    <w:p>
      <w:pPr>
        <w:jc w:val="center"/>
        <w:ind w:right="5539"/>
        <w:spacing w:after="0" w:line="238" w:lineRule="auto"/>
        <w:rPr>
          <w:sz w:val="20"/>
          <w:szCs w:val="20"/>
          <w:color w:val="auto"/>
        </w:rPr>
      </w:pPr>
      <w:r>
        <w:rPr>
          <w:rFonts w:ascii="Courier New" w:cs="Courier New" w:eastAsia="Courier New" w:hAnsi="Courier New"/>
          <w:sz w:val="16"/>
          <w:szCs w:val="16"/>
          <w:color w:val="auto"/>
        </w:rPr>
        <w:t>INTEREST...................................</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(45.8) (36.9) (89.4) (63.6)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INCOME (LOSS) BEFORE CUMULATIVE</w:t>
      </w:r>
    </w:p>
    <w:p>
      <w:pPr>
        <w:jc w:val="center"/>
        <w:ind w:right="5539"/>
        <w:spacing w:after="0"/>
        <w:rPr>
          <w:sz w:val="20"/>
          <w:szCs w:val="20"/>
          <w:color w:val="auto"/>
        </w:rPr>
      </w:pPr>
      <w:r>
        <w:rPr>
          <w:rFonts w:ascii="Courier New" w:cs="Courier New" w:eastAsia="Courier New" w:hAnsi="Courier New"/>
          <w:sz w:val="16"/>
          <w:szCs w:val="16"/>
          <w:color w:val="auto"/>
        </w:rPr>
        <w:t>EFFECT OF ACCOUNTING</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CHANGE............................................</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(209.6) 35.2 (298.5) 651.9 CUMULATIVE EFFECT OF</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ACCOUNTING CHANGE.............. 384.5 --------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NET INCOME</w:t>
      </w:r>
    </w:p>
    <w:p>
      <w:pPr>
        <w:jc w:val="center"/>
        <w:ind w:right="5539"/>
        <w:spacing w:after="0"/>
        <w:rPr>
          <w:sz w:val="20"/>
          <w:szCs w:val="20"/>
          <w:color w:val="auto"/>
        </w:rPr>
      </w:pPr>
      <w:r>
        <w:rPr>
          <w:rFonts w:ascii="Courier New" w:cs="Courier New" w:eastAsia="Courier New" w:hAnsi="Courier New"/>
          <w:sz w:val="16"/>
          <w:szCs w:val="16"/>
          <w:color w:val="auto"/>
        </w:rPr>
        <w:t>(LOSS)...................................</w:t>
      </w:r>
    </w:p>
    <w:p>
      <w:pPr>
        <w:jc w:val="center"/>
        <w:ind w:right="5539"/>
        <w:spacing w:after="0" w:line="237" w:lineRule="auto"/>
        <w:rPr>
          <w:sz w:val="20"/>
          <w:szCs w:val="20"/>
          <w:color w:val="auto"/>
        </w:rPr>
      </w:pPr>
      <w:r>
        <w:rPr>
          <w:rFonts w:ascii="Courier New" w:cs="Courier New" w:eastAsia="Courier New" w:hAnsi="Courier New"/>
          <w:sz w:val="16"/>
          <w:szCs w:val="16"/>
          <w:color w:val="auto"/>
        </w:rPr>
        <w:t>($209.6) $35.2 ($298.5) $1,036.4 ========</w:t>
      </w:r>
    </w:p>
    <w:p>
      <w:pPr>
        <w:jc w:val="center"/>
        <w:ind w:right="5539"/>
        <w:spacing w:after="0"/>
        <w:rPr>
          <w:sz w:val="20"/>
          <w:szCs w:val="20"/>
          <w:color w:val="auto"/>
        </w:rPr>
      </w:pPr>
      <w:r>
        <w:rPr>
          <w:rFonts w:ascii="Courier New" w:cs="Courier New" w:eastAsia="Courier New" w:hAnsi="Courier New"/>
          <w:sz w:val="16"/>
          <w:szCs w:val="16"/>
          <w:color w:val="auto"/>
        </w:rPr>
        <w:t>======== ========= ======== RETAINED EARNINGS</w:t>
      </w:r>
    </w:p>
    <w:p>
      <w:pPr>
        <w:jc w:val="center"/>
        <w:ind w:right="5539"/>
        <w:spacing w:after="0" w:line="238" w:lineRule="auto"/>
        <w:rPr>
          <w:sz w:val="20"/>
          <w:szCs w:val="20"/>
          <w:color w:val="auto"/>
        </w:rPr>
      </w:pPr>
      <w:r>
        <w:rPr>
          <w:rFonts w:ascii="Courier New" w:cs="Courier New" w:eastAsia="Courier New" w:hAnsi="Courier New"/>
          <w:sz w:val="16"/>
          <w:szCs w:val="16"/>
          <w:color w:val="auto"/>
        </w:rPr>
        <w:t>Beginning of</w:t>
      </w:r>
    </w:p>
    <w:p>
      <w:pPr>
        <w:jc w:val="center"/>
        <w:ind w:right="5539"/>
        <w:spacing w:after="0"/>
        <w:rPr>
          <w:sz w:val="20"/>
          <w:szCs w:val="20"/>
          <w:color w:val="auto"/>
        </w:rPr>
      </w:pPr>
      <w:r>
        <w:rPr>
          <w:rFonts w:ascii="Courier New" w:cs="Courier New" w:eastAsia="Courier New" w:hAnsi="Courier New"/>
          <w:sz w:val="16"/>
          <w:szCs w:val="16"/>
          <w:color w:val="auto"/>
        </w:rPr>
        <w:t>period............................... $1,541.4</w:t>
      </w:r>
    </w:p>
    <w:p>
      <w:pPr>
        <w:jc w:val="center"/>
        <w:ind w:right="5539"/>
        <w:spacing w:after="0" w:line="238" w:lineRule="auto"/>
        <w:rPr>
          <w:sz w:val="20"/>
          <w:szCs w:val="20"/>
          <w:color w:val="auto"/>
        </w:rPr>
      </w:pPr>
      <w:r>
        <w:rPr>
          <w:rFonts w:ascii="Courier New" w:cs="Courier New" w:eastAsia="Courier New" w:hAnsi="Courier New"/>
          <w:sz w:val="16"/>
          <w:szCs w:val="16"/>
          <w:color w:val="auto"/>
        </w:rPr>
        <w:t>$2,040.6 $1,631.5 $1,056.5 Net income</w:t>
      </w:r>
    </w:p>
    <w:p>
      <w:pPr>
        <w:jc w:val="center"/>
        <w:ind w:right="5539"/>
        <w:spacing w:after="0"/>
        <w:rPr>
          <w:sz w:val="20"/>
          <w:szCs w:val="20"/>
          <w:color w:val="auto"/>
        </w:rPr>
      </w:pPr>
      <w:r>
        <w:rPr>
          <w:rFonts w:ascii="Courier New" w:cs="Courier New" w:eastAsia="Courier New" w:hAnsi="Courier New"/>
          <w:sz w:val="16"/>
          <w:szCs w:val="16"/>
          <w:color w:val="auto"/>
        </w:rPr>
        <w:t>(loss)................................. (209.6)</w:t>
      </w:r>
    </w:p>
    <w:p>
      <w:pPr>
        <w:jc w:val="center"/>
        <w:ind w:right="5539"/>
        <w:spacing w:after="0" w:line="237" w:lineRule="auto"/>
        <w:rPr>
          <w:sz w:val="20"/>
          <w:szCs w:val="20"/>
          <w:color w:val="auto"/>
        </w:rPr>
      </w:pPr>
      <w:r>
        <w:rPr>
          <w:rFonts w:ascii="Courier New" w:cs="Courier New" w:eastAsia="Courier New" w:hAnsi="Courier New"/>
          <w:sz w:val="16"/>
          <w:szCs w:val="16"/>
          <w:color w:val="auto"/>
        </w:rPr>
        <w:t>35.2 (298.5) 1,036.4 Retirement of common</w:t>
      </w:r>
    </w:p>
    <w:p>
      <w:pPr>
        <w:jc w:val="center"/>
        <w:ind w:right="5539"/>
        <w:spacing w:after="0"/>
        <w:rPr>
          <w:sz w:val="20"/>
          <w:szCs w:val="20"/>
          <w:color w:val="auto"/>
        </w:rPr>
      </w:pPr>
      <w:r>
        <w:rPr>
          <w:rFonts w:ascii="Courier New" w:cs="Courier New" w:eastAsia="Courier New" w:hAnsi="Courier New"/>
          <w:sz w:val="16"/>
          <w:szCs w:val="16"/>
          <w:color w:val="auto"/>
        </w:rPr>
        <w:t>stock........................ (14.5) (15.7)</w:t>
      </w:r>
    </w:p>
    <w:p>
      <w:pPr>
        <w:jc w:val="center"/>
        <w:ind w:right="5539"/>
        <w:spacing w:after="0" w:line="238" w:lineRule="auto"/>
        <w:rPr>
          <w:sz w:val="20"/>
          <w:szCs w:val="20"/>
          <w:color w:val="auto"/>
        </w:rPr>
      </w:pPr>
      <w:r>
        <w:rPr>
          <w:rFonts w:ascii="Courier New" w:cs="Courier New" w:eastAsia="Courier New" w:hAnsi="Courier New"/>
          <w:sz w:val="16"/>
          <w:szCs w:val="16"/>
          <w:color w:val="auto"/>
        </w:rPr>
        <w:t>(17.1) -------- -------- --------- -------- End</w:t>
      </w:r>
    </w:p>
    <w:p>
      <w:pPr>
        <w:jc w:val="center"/>
        <w:ind w:right="5539"/>
        <w:spacing w:after="0"/>
        <w:rPr>
          <w:sz w:val="20"/>
          <w:szCs w:val="20"/>
          <w:color w:val="auto"/>
        </w:rPr>
      </w:pPr>
      <w:r>
        <w:rPr>
          <w:rFonts w:ascii="Courier New" w:cs="Courier New" w:eastAsia="Courier New" w:hAnsi="Courier New"/>
          <w:sz w:val="16"/>
          <w:szCs w:val="16"/>
          <w:color w:val="auto"/>
        </w:rPr>
        <w:t>of period.....................................</w:t>
      </w:r>
    </w:p>
    <w:p>
      <w:pPr>
        <w:jc w:val="center"/>
        <w:ind w:right="5539"/>
        <w:spacing w:after="0" w:line="238" w:lineRule="auto"/>
        <w:rPr>
          <w:sz w:val="20"/>
          <w:szCs w:val="20"/>
          <w:color w:val="auto"/>
        </w:rPr>
      </w:pPr>
      <w:r>
        <w:rPr>
          <w:rFonts w:ascii="Courier New" w:cs="Courier New" w:eastAsia="Courier New" w:hAnsi="Courier New"/>
          <w:sz w:val="16"/>
          <w:szCs w:val="16"/>
          <w:color w:val="auto"/>
        </w:rPr>
        <w:t>$1,317.3 $2,075.8 $1,317.3 $2,075.8 ========</w:t>
      </w:r>
    </w:p>
    <w:p>
      <w:pPr>
        <w:jc w:val="center"/>
        <w:ind w:right="5539"/>
        <w:spacing w:after="0"/>
        <w:rPr>
          <w:sz w:val="20"/>
          <w:szCs w:val="20"/>
          <w:color w:val="auto"/>
        </w:rPr>
      </w:pPr>
      <w:r>
        <w:rPr>
          <w:rFonts w:ascii="Courier New" w:cs="Courier New" w:eastAsia="Courier New" w:hAnsi="Courier New"/>
          <w:sz w:val="16"/>
          <w:szCs w:val="16"/>
          <w:color w:val="auto"/>
        </w:rPr>
        <w:t>======== ========= ========</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F-128</w:t>
      </w:r>
    </w:p>
    <w:p>
      <w:pPr>
        <w:sectPr>
          <w:pgSz w:w="11900" w:h="16838" w:orient="portrait"/>
          <w:cols w:equalWidth="0" w:num="1">
            <w:col w:w="10219"/>
          </w:cols>
          <w:pgMar w:left="240" w:top="653" w:right="1440" w:bottom="1440" w:gutter="0" w:footer="0" w:header="0"/>
        </w:sectPr>
      </w:pPr>
    </w:p>
    <w:bookmarkStart w:id="319" w:name="page320"/>
    <w:bookmarkEnd w:id="319"/>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CONDENSED CONSOLIDATED STATEMENT OF OPERATIONS AND</w:t>
      </w:r>
    </w:p>
    <w:p>
      <w:pPr>
        <w:jc w:val="center"/>
        <w:ind w:right="2719"/>
        <w:spacing w:after="0"/>
        <w:rPr>
          <w:sz w:val="20"/>
          <w:szCs w:val="20"/>
          <w:color w:val="auto"/>
        </w:rPr>
      </w:pPr>
      <w:r>
        <w:rPr>
          <w:rFonts w:ascii="Courier New" w:cs="Courier New" w:eastAsia="Courier New" w:hAnsi="Courier New"/>
          <w:sz w:val="16"/>
          <w:szCs w:val="16"/>
          <w:color w:val="auto"/>
        </w:rPr>
        <w:t>RETAINED EARNINGS -- (CONTINUED)</w:t>
      </w:r>
    </w:p>
    <w:p>
      <w:pPr>
        <w:jc w:val="center"/>
        <w:ind w:right="281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ENDED SIX MONTHS ENDED JUNE 30, JUNE</w:t>
      </w:r>
    </w:p>
    <w:p>
      <w:pPr>
        <w:ind w:left="80"/>
        <w:spacing w:after="0"/>
        <w:rPr>
          <w:sz w:val="20"/>
          <w:szCs w:val="20"/>
          <w:color w:val="auto"/>
        </w:rPr>
      </w:pPr>
      <w:r>
        <w:rPr>
          <w:rFonts w:ascii="Courier New" w:cs="Courier New" w:eastAsia="Courier New" w:hAnsi="Courier New"/>
          <w:sz w:val="16"/>
          <w:szCs w:val="16"/>
          <w:color w:val="auto"/>
        </w:rPr>
        <w:t>30, --------------------- ----------------------</w:t>
      </w:r>
    </w:p>
    <w:p>
      <w:pPr>
        <w:spacing w:after="0" w:line="3"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2002 2001 2002 2001 ---------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(AMOUNTS IN MILLIONS, EXCEPT PER</w:t>
      </w:r>
    </w:p>
    <w:p>
      <w:pPr>
        <w:jc w:val="center"/>
        <w:ind w:right="5539"/>
        <w:spacing w:after="0"/>
        <w:rPr>
          <w:sz w:val="20"/>
          <w:szCs w:val="20"/>
          <w:color w:val="auto"/>
        </w:rPr>
      </w:pPr>
      <w:r>
        <w:rPr>
          <w:rFonts w:ascii="Courier New" w:cs="Courier New" w:eastAsia="Courier New" w:hAnsi="Courier New"/>
          <w:sz w:val="16"/>
          <w:szCs w:val="16"/>
          <w:color w:val="auto"/>
        </w:rPr>
        <w:t>SHARE DATA) BASIC EARNINGS (LOSS) PER COMMON</w:t>
      </w:r>
    </w:p>
    <w:p>
      <w:pPr>
        <w:jc w:val="center"/>
        <w:ind w:right="5539"/>
        <w:spacing w:after="0" w:line="237" w:lineRule="auto"/>
        <w:rPr>
          <w:sz w:val="20"/>
          <w:szCs w:val="20"/>
          <w:color w:val="auto"/>
        </w:rPr>
      </w:pPr>
      <w:r>
        <w:rPr>
          <w:rFonts w:ascii="Courier New" w:cs="Courier New" w:eastAsia="Courier New" w:hAnsi="Courier New"/>
          <w:sz w:val="16"/>
          <w:szCs w:val="16"/>
          <w:color w:val="auto"/>
        </w:rPr>
        <w:t>SHARE Income (loss) before cumulative effect of</w:t>
      </w:r>
    </w:p>
    <w:p>
      <w:pPr>
        <w:jc w:val="center"/>
        <w:ind w:right="5539"/>
        <w:spacing w:after="0"/>
        <w:rPr>
          <w:sz w:val="20"/>
          <w:szCs w:val="20"/>
          <w:color w:val="auto"/>
        </w:rPr>
      </w:pPr>
      <w:r>
        <w:rPr>
          <w:rFonts w:ascii="Courier New" w:cs="Courier New" w:eastAsia="Courier New" w:hAnsi="Courier New"/>
          <w:sz w:val="16"/>
          <w:szCs w:val="16"/>
          <w:color w:val="auto"/>
        </w:rPr>
        <w:t>accounting change..............................</w:t>
      </w:r>
    </w:p>
    <w:p>
      <w:pPr>
        <w:jc w:val="center"/>
        <w:ind w:right="5539"/>
        <w:spacing w:after="0" w:line="238" w:lineRule="auto"/>
        <w:rPr>
          <w:sz w:val="20"/>
          <w:szCs w:val="20"/>
          <w:color w:val="auto"/>
        </w:rPr>
      </w:pPr>
      <w:r>
        <w:rPr>
          <w:rFonts w:ascii="Courier New" w:cs="Courier New" w:eastAsia="Courier New" w:hAnsi="Courier New"/>
          <w:sz w:val="16"/>
          <w:szCs w:val="16"/>
          <w:color w:val="auto"/>
        </w:rPr>
        <w:t>($0.22) $0.04 ($0.31) $0.69 Cumulative effect of</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accounting change............ 0.40 --------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Net income</w:t>
      </w:r>
    </w:p>
    <w:p>
      <w:pPr>
        <w:jc w:val="center"/>
        <w:ind w:right="5539"/>
        <w:spacing w:after="0"/>
        <w:rPr>
          <w:sz w:val="20"/>
          <w:szCs w:val="20"/>
          <w:color w:val="auto"/>
        </w:rPr>
      </w:pPr>
      <w:r>
        <w:rPr>
          <w:rFonts w:ascii="Courier New" w:cs="Courier New" w:eastAsia="Courier New" w:hAnsi="Courier New"/>
          <w:sz w:val="16"/>
          <w:szCs w:val="16"/>
          <w:color w:val="auto"/>
        </w:rPr>
        <w:t>(loss).............................. ($0.22)</w:t>
      </w:r>
    </w:p>
    <w:p>
      <w:pPr>
        <w:jc w:val="center"/>
        <w:ind w:right="5539"/>
        <w:spacing w:after="0" w:line="237" w:lineRule="auto"/>
        <w:rPr>
          <w:sz w:val="20"/>
          <w:szCs w:val="20"/>
          <w:color w:val="auto"/>
        </w:rPr>
      </w:pPr>
      <w:r>
        <w:rPr>
          <w:rFonts w:ascii="Courier New" w:cs="Courier New" w:eastAsia="Courier New" w:hAnsi="Courier New"/>
          <w:sz w:val="16"/>
          <w:szCs w:val="16"/>
          <w:color w:val="auto"/>
        </w:rPr>
        <w:t>$0.04 ($0.31) $1.09 ======== ======== =========</w:t>
      </w:r>
    </w:p>
    <w:p>
      <w:pPr>
        <w:jc w:val="center"/>
        <w:ind w:right="5539"/>
        <w:spacing w:after="0"/>
        <w:rPr>
          <w:sz w:val="20"/>
          <w:szCs w:val="20"/>
          <w:color w:val="auto"/>
        </w:rPr>
      </w:pPr>
      <w:r>
        <w:rPr>
          <w:rFonts w:ascii="Courier New" w:cs="Courier New" w:eastAsia="Courier New" w:hAnsi="Courier New"/>
          <w:sz w:val="16"/>
          <w:szCs w:val="16"/>
          <w:color w:val="auto"/>
        </w:rPr>
        <w:t>======== BASIC WEIGHTED AVERAGE NUMBER OF COMMON</w:t>
      </w:r>
    </w:p>
    <w:p>
      <w:pPr>
        <w:jc w:val="center"/>
        <w:ind w:right="5539"/>
        <w:spacing w:after="0" w:line="238" w:lineRule="auto"/>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952.3 951.1 951.9 948.2 ======== ========</w:t>
      </w:r>
    </w:p>
    <w:p>
      <w:pPr>
        <w:jc w:val="center"/>
        <w:ind w:right="5539"/>
        <w:spacing w:after="0"/>
        <w:rPr>
          <w:sz w:val="20"/>
          <w:szCs w:val="20"/>
          <w:color w:val="auto"/>
        </w:rPr>
      </w:pPr>
      <w:r>
        <w:rPr>
          <w:rFonts w:ascii="Courier New" w:cs="Courier New" w:eastAsia="Courier New" w:hAnsi="Courier New"/>
          <w:sz w:val="16"/>
          <w:szCs w:val="16"/>
          <w:color w:val="auto"/>
        </w:rPr>
        <w:t>========= ======== DILUTED EARNINGS (LOSS) PER</w:t>
      </w:r>
    </w:p>
    <w:p>
      <w:pPr>
        <w:jc w:val="center"/>
        <w:ind w:right="5539"/>
        <w:spacing w:after="0" w:line="237" w:lineRule="auto"/>
        <w:rPr>
          <w:sz w:val="20"/>
          <w:szCs w:val="20"/>
          <w:color w:val="auto"/>
        </w:rPr>
      </w:pPr>
      <w:r>
        <w:rPr>
          <w:rFonts w:ascii="Courier New" w:cs="Courier New" w:eastAsia="Courier New" w:hAnsi="Courier New"/>
          <w:sz w:val="16"/>
          <w:szCs w:val="16"/>
          <w:color w:val="auto"/>
        </w:rPr>
        <w:t>COMMON SHARE Income (loss) before cumulative</w:t>
      </w:r>
    </w:p>
    <w:p>
      <w:pPr>
        <w:jc w:val="center"/>
        <w:ind w:right="5539"/>
        <w:spacing w:after="0"/>
        <w:rPr>
          <w:sz w:val="20"/>
          <w:szCs w:val="20"/>
          <w:color w:val="auto"/>
        </w:rPr>
      </w:pPr>
      <w:r>
        <w:rPr>
          <w:rFonts w:ascii="Courier New" w:cs="Courier New" w:eastAsia="Courier New" w:hAnsi="Courier New"/>
          <w:sz w:val="16"/>
          <w:szCs w:val="16"/>
          <w:color w:val="auto"/>
        </w:rPr>
        <w:t>effect of accounting</w:t>
      </w:r>
    </w:p>
    <w:p>
      <w:pPr>
        <w:jc w:val="center"/>
        <w:ind w:right="5539"/>
        <w:spacing w:after="0" w:line="238" w:lineRule="auto"/>
        <w:rPr>
          <w:sz w:val="20"/>
          <w:szCs w:val="20"/>
          <w:color w:val="auto"/>
        </w:rPr>
      </w:pPr>
      <w:r>
        <w:rPr>
          <w:rFonts w:ascii="Courier New" w:cs="Courier New" w:eastAsia="Courier New" w:hAnsi="Courier New"/>
          <w:sz w:val="16"/>
          <w:szCs w:val="16"/>
          <w:color w:val="auto"/>
        </w:rPr>
        <w:t>change.............................. ($0.22)</w:t>
      </w:r>
    </w:p>
    <w:p>
      <w:pPr>
        <w:jc w:val="center"/>
        <w:ind w:right="5539"/>
        <w:spacing w:after="0"/>
        <w:rPr>
          <w:sz w:val="20"/>
          <w:szCs w:val="20"/>
          <w:color w:val="auto"/>
        </w:rPr>
      </w:pPr>
      <w:r>
        <w:rPr>
          <w:rFonts w:ascii="Courier New" w:cs="Courier New" w:eastAsia="Courier New" w:hAnsi="Courier New"/>
          <w:sz w:val="16"/>
          <w:szCs w:val="16"/>
          <w:color w:val="auto"/>
        </w:rPr>
        <w:t>$0.04 ($0.31) $0.67 Cumulative effect of</w:t>
      </w:r>
    </w:p>
    <w:p>
      <w:pPr>
        <w:spacing w:after="0" w:line="4"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5"/>
          <w:szCs w:val="15"/>
          <w:color w:val="auto"/>
        </w:rPr>
        <w:t>accounting change............ 0.40 -------- -----</w:t>
      </w:r>
    </w:p>
    <w:p>
      <w:pPr>
        <w:spacing w:after="0" w:line="5" w:lineRule="exact"/>
        <w:rPr>
          <w:sz w:val="20"/>
          <w:szCs w:val="20"/>
          <w:color w:val="auto"/>
        </w:rPr>
      </w:pPr>
    </w:p>
    <w:p>
      <w:pPr>
        <w:jc w:val="center"/>
        <w:ind w:right="5539"/>
        <w:spacing w:after="0"/>
        <w:rPr>
          <w:sz w:val="20"/>
          <w:szCs w:val="20"/>
          <w:color w:val="auto"/>
        </w:rPr>
      </w:pPr>
      <w:r>
        <w:rPr>
          <w:rFonts w:ascii="Courier New" w:cs="Courier New" w:eastAsia="Courier New" w:hAnsi="Courier New"/>
          <w:sz w:val="16"/>
          <w:szCs w:val="16"/>
          <w:color w:val="auto"/>
        </w:rPr>
        <w:t>--- --------- -------- Net income</w:t>
      </w:r>
    </w:p>
    <w:p>
      <w:pPr>
        <w:jc w:val="center"/>
        <w:ind w:right="5539"/>
        <w:spacing w:after="0"/>
        <w:rPr>
          <w:sz w:val="20"/>
          <w:szCs w:val="20"/>
          <w:color w:val="auto"/>
        </w:rPr>
      </w:pPr>
      <w:r>
        <w:rPr>
          <w:rFonts w:ascii="Courier New" w:cs="Courier New" w:eastAsia="Courier New" w:hAnsi="Courier New"/>
          <w:sz w:val="16"/>
          <w:szCs w:val="16"/>
          <w:color w:val="auto"/>
        </w:rPr>
        <w:t>(loss).............................. ($0.22)</w:t>
      </w:r>
    </w:p>
    <w:p>
      <w:pPr>
        <w:jc w:val="center"/>
        <w:ind w:right="5539"/>
        <w:spacing w:after="0" w:line="237" w:lineRule="auto"/>
        <w:rPr>
          <w:sz w:val="20"/>
          <w:szCs w:val="20"/>
          <w:color w:val="auto"/>
        </w:rPr>
      </w:pPr>
      <w:r>
        <w:rPr>
          <w:rFonts w:ascii="Courier New" w:cs="Courier New" w:eastAsia="Courier New" w:hAnsi="Courier New"/>
          <w:sz w:val="16"/>
          <w:szCs w:val="16"/>
          <w:color w:val="auto"/>
        </w:rPr>
        <w:t>$0.04 ($0.31) $1.07 ======== ======== =========</w:t>
      </w:r>
    </w:p>
    <w:p>
      <w:pPr>
        <w:jc w:val="center"/>
        <w:ind w:right="5539"/>
        <w:spacing w:after="0"/>
        <w:rPr>
          <w:sz w:val="20"/>
          <w:szCs w:val="20"/>
          <w:color w:val="auto"/>
        </w:rPr>
      </w:pPr>
      <w:r>
        <w:rPr>
          <w:rFonts w:ascii="Courier New" w:cs="Courier New" w:eastAsia="Courier New" w:hAnsi="Courier New"/>
          <w:sz w:val="16"/>
          <w:szCs w:val="16"/>
          <w:color w:val="auto"/>
        </w:rPr>
        <w:t>======== DILUTED WEIGHTED AVERAGE NUMBER OF</w:t>
      </w:r>
    </w:p>
    <w:p>
      <w:pPr>
        <w:jc w:val="center"/>
        <w:ind w:right="5539"/>
        <w:spacing w:after="0" w:line="238" w:lineRule="auto"/>
        <w:rPr>
          <w:sz w:val="20"/>
          <w:szCs w:val="20"/>
          <w:color w:val="auto"/>
        </w:rPr>
      </w:pPr>
      <w:r>
        <w:rPr>
          <w:rFonts w:ascii="Courier New" w:cs="Courier New" w:eastAsia="Courier New" w:hAnsi="Courier New"/>
          <w:sz w:val="16"/>
          <w:szCs w:val="16"/>
          <w:color w:val="auto"/>
        </w:rPr>
        <w:t>COMMON SHARES</w:t>
      </w:r>
    </w:p>
    <w:p>
      <w:pPr>
        <w:spacing w:after="0"/>
        <w:rPr>
          <w:sz w:val="20"/>
          <w:szCs w:val="20"/>
          <w:color w:val="auto"/>
        </w:rPr>
      </w:pPr>
      <w:r>
        <w:rPr>
          <w:rFonts w:ascii="Courier New" w:cs="Courier New" w:eastAsia="Courier New" w:hAnsi="Courier New"/>
          <w:sz w:val="16"/>
          <w:szCs w:val="16"/>
          <w:color w:val="auto"/>
        </w:rPr>
        <w:t>OUTSTANDING.......................................</w:t>
      </w:r>
    </w:p>
    <w:p>
      <w:pPr>
        <w:jc w:val="center"/>
        <w:ind w:right="5539"/>
        <w:spacing w:after="0" w:line="238" w:lineRule="auto"/>
        <w:rPr>
          <w:sz w:val="20"/>
          <w:szCs w:val="20"/>
          <w:color w:val="auto"/>
        </w:rPr>
      </w:pPr>
      <w:r>
        <w:rPr>
          <w:rFonts w:ascii="Courier New" w:cs="Courier New" w:eastAsia="Courier New" w:hAnsi="Courier New"/>
          <w:sz w:val="16"/>
          <w:szCs w:val="16"/>
          <w:color w:val="auto"/>
        </w:rPr>
        <w:t>952.3 965.6 951.9 965.3 ======== ========</w:t>
      </w:r>
    </w:p>
    <w:p>
      <w:pPr>
        <w:jc w:val="center"/>
        <w:ind w:right="5539"/>
        <w:spacing w:after="0"/>
        <w:rPr>
          <w:sz w:val="20"/>
          <w:szCs w:val="20"/>
          <w:color w:val="auto"/>
        </w:rPr>
      </w:pPr>
      <w:r>
        <w:rPr>
          <w:rFonts w:ascii="Courier New" w:cs="Courier New" w:eastAsia="Courier New" w:hAnsi="Courier New"/>
          <w:sz w:val="16"/>
          <w:szCs w:val="16"/>
          <w:color w:val="auto"/>
        </w:rPr>
        <w:t>========= ========</w:t>
      </w:r>
    </w:p>
    <w:p>
      <w:pPr>
        <w:spacing w:after="0" w:line="36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F-129</w:t>
      </w:r>
    </w:p>
    <w:p>
      <w:pPr>
        <w:sectPr>
          <w:pgSz w:w="11900" w:h="16838" w:orient="portrait"/>
          <w:cols w:equalWidth="0" w:num="1">
            <w:col w:w="10219"/>
          </w:cols>
          <w:pgMar w:left="240" w:top="473" w:right="1440" w:bottom="1440" w:gutter="0" w:footer="0" w:header="0"/>
        </w:sectPr>
      </w:pPr>
    </w:p>
    <w:bookmarkStart w:id="320" w:name="page321"/>
    <w:bookmarkEnd w:id="320"/>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CONDENSED CONSOLIDATED STATEMENT OF CASH FLOWS</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SIX MONTHS ENDED JUNE 30, --------------------- 2002</w:t>
      </w:r>
    </w:p>
    <w:p>
      <w:pPr>
        <w:ind w:left="420"/>
        <w:spacing w:after="0"/>
        <w:rPr>
          <w:sz w:val="20"/>
          <w:szCs w:val="20"/>
          <w:color w:val="auto"/>
        </w:rPr>
      </w:pPr>
      <w:r>
        <w:rPr>
          <w:rFonts w:ascii="Courier New" w:cs="Courier New" w:eastAsia="Courier New" w:hAnsi="Courier New"/>
          <w:sz w:val="16"/>
          <w:szCs w:val="16"/>
          <w:color w:val="auto"/>
        </w:rPr>
        <w:t>2001 --------- --------- (DOLLARS IN MILLIONS)</w:t>
      </w:r>
    </w:p>
    <w:p>
      <w:pPr>
        <w:ind w:left="1120"/>
        <w:spacing w:after="0" w:line="237" w:lineRule="auto"/>
        <w:rPr>
          <w:sz w:val="20"/>
          <w:szCs w:val="20"/>
          <w:color w:val="auto"/>
        </w:rPr>
      </w:pPr>
      <w:r>
        <w:rPr>
          <w:rFonts w:ascii="Courier New" w:cs="Courier New" w:eastAsia="Courier New" w:hAnsi="Courier New"/>
          <w:sz w:val="16"/>
          <w:szCs w:val="16"/>
          <w:color w:val="auto"/>
        </w:rPr>
        <w:t>OPERATING ACTIVITIES Net income</w:t>
      </w:r>
    </w:p>
    <w:p>
      <w:pPr>
        <w:ind w:left="280"/>
        <w:spacing w:after="0"/>
        <w:rPr>
          <w:sz w:val="20"/>
          <w:szCs w:val="20"/>
          <w:color w:val="auto"/>
        </w:rPr>
      </w:pPr>
      <w:r>
        <w:rPr>
          <w:rFonts w:ascii="Courier New" w:cs="Courier New" w:eastAsia="Courier New" w:hAnsi="Courier New"/>
          <w:sz w:val="16"/>
          <w:szCs w:val="16"/>
          <w:color w:val="auto"/>
        </w:rPr>
        <w:t>(loss)......................................... $</w:t>
      </w:r>
    </w:p>
    <w:p>
      <w:pPr>
        <w:ind w:left="80"/>
        <w:spacing w:after="0" w:line="238" w:lineRule="auto"/>
        <w:rPr>
          <w:sz w:val="20"/>
          <w:szCs w:val="20"/>
          <w:color w:val="auto"/>
        </w:rPr>
      </w:pPr>
      <w:r>
        <w:rPr>
          <w:rFonts w:ascii="Courier New" w:cs="Courier New" w:eastAsia="Courier New" w:hAnsi="Courier New"/>
          <w:sz w:val="16"/>
          <w:szCs w:val="16"/>
          <w:color w:val="auto"/>
        </w:rPr>
        <w:t>(298.5) $ 1,036.4 Adjustments to reconcile net income</w:t>
      </w:r>
    </w:p>
    <w:p>
      <w:pPr>
        <w:ind w:left="140"/>
        <w:spacing w:after="0"/>
        <w:rPr>
          <w:sz w:val="20"/>
          <w:szCs w:val="20"/>
          <w:color w:val="auto"/>
        </w:rPr>
      </w:pPr>
      <w:r>
        <w:rPr>
          <w:rFonts w:ascii="Courier New" w:cs="Courier New" w:eastAsia="Courier New" w:hAnsi="Courier New"/>
          <w:sz w:val="16"/>
          <w:szCs w:val="16"/>
          <w:color w:val="auto"/>
        </w:rPr>
        <w:t>(loss) to net cash provided by operating activities:</w:t>
      </w:r>
    </w:p>
    <w:p>
      <w:pPr>
        <w:spacing w:after="0" w:line="238" w:lineRule="auto"/>
        <w:rPr>
          <w:sz w:val="20"/>
          <w:szCs w:val="20"/>
          <w:color w:val="auto"/>
        </w:rPr>
      </w:pPr>
      <w:r>
        <w:rPr>
          <w:rFonts w:ascii="Courier New" w:cs="Courier New" w:eastAsia="Courier New" w:hAnsi="Courier New"/>
          <w:sz w:val="16"/>
          <w:szCs w:val="16"/>
          <w:color w:val="auto"/>
        </w:rPr>
        <w:t>Depreciation...........................................</w:t>
      </w:r>
    </w:p>
    <w:p>
      <w:pPr>
        <w:ind w:left="2060"/>
        <w:spacing w:after="0"/>
        <w:rPr>
          <w:sz w:val="20"/>
          <w:szCs w:val="20"/>
          <w:color w:val="auto"/>
        </w:rPr>
      </w:pPr>
      <w:r>
        <w:rPr>
          <w:rFonts w:ascii="Courier New" w:cs="Courier New" w:eastAsia="Courier New" w:hAnsi="Courier New"/>
          <w:sz w:val="16"/>
          <w:szCs w:val="16"/>
          <w:color w:val="auto"/>
        </w:rPr>
        <w:t>676.6 514.7</w:t>
      </w:r>
    </w:p>
    <w:p>
      <w:pPr>
        <w:spacing w:after="0" w:line="237" w:lineRule="auto"/>
        <w:rPr>
          <w:sz w:val="20"/>
          <w:szCs w:val="20"/>
          <w:color w:val="auto"/>
        </w:rPr>
      </w:pPr>
      <w:r>
        <w:rPr>
          <w:rFonts w:ascii="Courier New" w:cs="Courier New" w:eastAsia="Courier New" w:hAnsi="Courier New"/>
          <w:sz w:val="16"/>
          <w:szCs w:val="16"/>
          <w:color w:val="auto"/>
        </w:rPr>
        <w:t>Amortization...........................................</w:t>
      </w:r>
    </w:p>
    <w:p>
      <w:pPr>
        <w:ind w:left="740"/>
        <w:spacing w:after="0"/>
        <w:rPr>
          <w:sz w:val="20"/>
          <w:szCs w:val="20"/>
          <w:color w:val="auto"/>
        </w:rPr>
      </w:pPr>
      <w:r>
        <w:rPr>
          <w:rFonts w:ascii="Courier New" w:cs="Courier New" w:eastAsia="Courier New" w:hAnsi="Courier New"/>
          <w:sz w:val="16"/>
          <w:szCs w:val="16"/>
          <w:color w:val="auto"/>
        </w:rPr>
        <w:t>98.7 1,046.2 Non-cash interest expense,</w:t>
      </w:r>
    </w:p>
    <w:p>
      <w:pPr>
        <w:ind w:left="140"/>
        <w:spacing w:after="0" w:line="238" w:lineRule="auto"/>
        <w:rPr>
          <w:sz w:val="20"/>
          <w:szCs w:val="20"/>
          <w:color w:val="auto"/>
        </w:rPr>
      </w:pPr>
      <w:r>
        <w:rPr>
          <w:rFonts w:ascii="Courier New" w:cs="Courier New" w:eastAsia="Courier New" w:hAnsi="Courier New"/>
          <w:sz w:val="16"/>
          <w:szCs w:val="16"/>
          <w:color w:val="auto"/>
        </w:rPr>
        <w:t>net......................... 21.5 26.1 Equity in net</w:t>
      </w:r>
    </w:p>
    <w:p>
      <w:pPr>
        <w:ind w:left="240"/>
        <w:spacing w:after="0"/>
        <w:rPr>
          <w:sz w:val="20"/>
          <w:szCs w:val="20"/>
          <w:color w:val="auto"/>
        </w:rPr>
      </w:pPr>
      <w:r>
        <w:rPr>
          <w:rFonts w:ascii="Courier New" w:cs="Courier New" w:eastAsia="Courier New" w:hAnsi="Courier New"/>
          <w:sz w:val="16"/>
          <w:szCs w:val="16"/>
          <w:color w:val="auto"/>
        </w:rPr>
        <w:t>losses of affiliates..................... 48.4 6.6</w:t>
      </w:r>
    </w:p>
    <w:p>
      <w:pPr>
        <w:ind w:left="420"/>
        <w:spacing w:after="0" w:line="238" w:lineRule="auto"/>
        <w:rPr>
          <w:sz w:val="20"/>
          <w:szCs w:val="20"/>
          <w:color w:val="auto"/>
        </w:rPr>
      </w:pPr>
      <w:r>
        <w:rPr>
          <w:rFonts w:ascii="Courier New" w:cs="Courier New" w:eastAsia="Courier New" w:hAnsi="Courier New"/>
          <w:sz w:val="16"/>
          <w:szCs w:val="16"/>
          <w:color w:val="auto"/>
        </w:rPr>
        <w:t>Losses (gains) on investments and other income</w:t>
      </w:r>
    </w:p>
    <w:p>
      <w:pPr>
        <w:ind w:left="40"/>
        <w:spacing w:after="0"/>
        <w:rPr>
          <w:sz w:val="20"/>
          <w:szCs w:val="20"/>
          <w:color w:val="auto"/>
        </w:rPr>
      </w:pPr>
      <w:r>
        <w:rPr>
          <w:rFonts w:ascii="Courier New" w:cs="Courier New" w:eastAsia="Courier New" w:hAnsi="Courier New"/>
          <w:sz w:val="16"/>
          <w:szCs w:val="16"/>
          <w:color w:val="auto"/>
        </w:rPr>
        <w:t>(expense), net........................................</w:t>
      </w:r>
    </w:p>
    <w:p>
      <w:pPr>
        <w:ind w:left="1440"/>
        <w:spacing w:after="0" w:line="237" w:lineRule="auto"/>
        <w:rPr>
          <w:sz w:val="20"/>
          <w:szCs w:val="20"/>
          <w:color w:val="auto"/>
        </w:rPr>
      </w:pPr>
      <w:r>
        <w:rPr>
          <w:rFonts w:ascii="Courier New" w:cs="Courier New" w:eastAsia="Courier New" w:hAnsi="Courier New"/>
          <w:sz w:val="16"/>
          <w:szCs w:val="16"/>
          <w:color w:val="auto"/>
        </w:rPr>
        <w:t>738.8 (1,875.5) Minority</w:t>
      </w:r>
    </w:p>
    <w:p>
      <w:pPr>
        <w:ind w:left="180"/>
        <w:spacing w:after="0"/>
        <w:rPr>
          <w:sz w:val="20"/>
          <w:szCs w:val="20"/>
          <w:color w:val="auto"/>
        </w:rPr>
      </w:pPr>
      <w:r>
        <w:rPr>
          <w:rFonts w:ascii="Courier New" w:cs="Courier New" w:eastAsia="Courier New" w:hAnsi="Courier New"/>
          <w:sz w:val="16"/>
          <w:szCs w:val="16"/>
          <w:color w:val="auto"/>
        </w:rPr>
        <w:t>interest...................................... 89.4</w:t>
      </w:r>
    </w:p>
    <w:p>
      <w:pPr>
        <w:ind w:left="880"/>
        <w:spacing w:after="0" w:line="238" w:lineRule="auto"/>
        <w:rPr>
          <w:sz w:val="20"/>
          <w:szCs w:val="20"/>
          <w:color w:val="auto"/>
        </w:rPr>
      </w:pPr>
      <w:r>
        <w:rPr>
          <w:rFonts w:ascii="Courier New" w:cs="Courier New" w:eastAsia="Courier New" w:hAnsi="Courier New"/>
          <w:sz w:val="16"/>
          <w:szCs w:val="16"/>
          <w:color w:val="auto"/>
        </w:rPr>
        <w:t>63.6 Cumulative effect of accounting</w:t>
      </w:r>
    </w:p>
    <w:p>
      <w:pPr>
        <w:ind w:left="380"/>
        <w:spacing w:after="0"/>
        <w:rPr>
          <w:sz w:val="20"/>
          <w:szCs w:val="20"/>
          <w:color w:val="auto"/>
        </w:rPr>
      </w:pPr>
      <w:r>
        <w:rPr>
          <w:rFonts w:ascii="Courier New" w:cs="Courier New" w:eastAsia="Courier New" w:hAnsi="Courier New"/>
          <w:sz w:val="16"/>
          <w:szCs w:val="16"/>
          <w:color w:val="auto"/>
        </w:rPr>
        <w:t>change................. (384.5) Deferred income</w:t>
      </w:r>
    </w:p>
    <w:p>
      <w:pPr>
        <w:ind w:left="80"/>
        <w:spacing w:after="0" w:line="238" w:lineRule="auto"/>
        <w:rPr>
          <w:sz w:val="20"/>
          <w:szCs w:val="20"/>
          <w:color w:val="auto"/>
        </w:rPr>
      </w:pPr>
      <w:r>
        <w:rPr>
          <w:rFonts w:ascii="Courier New" w:cs="Courier New" w:eastAsia="Courier New" w:hAnsi="Courier New"/>
          <w:sz w:val="16"/>
          <w:szCs w:val="16"/>
          <w:color w:val="auto"/>
        </w:rPr>
        <w:t>taxes.................................. (4.2) (131.9)</w:t>
      </w:r>
    </w:p>
    <w:p>
      <w:pPr>
        <w:ind w:left="1160"/>
        <w:spacing w:after="0"/>
        <w:rPr>
          <w:sz w:val="20"/>
          <w:szCs w:val="20"/>
          <w:color w:val="auto"/>
        </w:rPr>
      </w:pPr>
      <w:r>
        <w:rPr>
          <w:rFonts w:ascii="Courier New" w:cs="Courier New" w:eastAsia="Courier New" w:hAnsi="Courier New"/>
          <w:sz w:val="16"/>
          <w:szCs w:val="16"/>
          <w:color w:val="auto"/>
        </w:rPr>
        <w:t>Proceeds from sales of trading</w:t>
      </w:r>
    </w:p>
    <w:p>
      <w:pPr>
        <w:ind w:left="1160"/>
        <w:spacing w:after="0" w:line="237" w:lineRule="auto"/>
        <w:rPr>
          <w:sz w:val="20"/>
          <w:szCs w:val="20"/>
          <w:color w:val="auto"/>
        </w:rPr>
      </w:pPr>
      <w:r>
        <w:rPr>
          <w:rFonts w:ascii="Courier New" w:cs="Courier New" w:eastAsia="Courier New" w:hAnsi="Courier New"/>
          <w:sz w:val="16"/>
          <w:szCs w:val="16"/>
          <w:color w:val="auto"/>
        </w:rPr>
        <w:t>security................ 280.3</w:t>
      </w:r>
    </w:p>
    <w:p>
      <w:pPr>
        <w:spacing w:after="0"/>
        <w:rPr>
          <w:sz w:val="20"/>
          <w:szCs w:val="20"/>
          <w:color w:val="auto"/>
        </w:rPr>
      </w:pPr>
      <w:r>
        <w:rPr>
          <w:rFonts w:ascii="Courier New" w:cs="Courier New" w:eastAsia="Courier New" w:hAnsi="Courier New"/>
          <w:sz w:val="16"/>
          <w:szCs w:val="16"/>
          <w:color w:val="auto"/>
        </w:rPr>
        <w:t>Other..................................................</w:t>
      </w:r>
    </w:p>
    <w:p>
      <w:pPr>
        <w:ind w:left="140"/>
        <w:spacing w:after="0" w:line="238" w:lineRule="auto"/>
        <w:rPr>
          <w:sz w:val="20"/>
          <w:szCs w:val="20"/>
          <w:color w:val="auto"/>
        </w:rPr>
      </w:pPr>
      <w:r>
        <w:rPr>
          <w:rFonts w:ascii="Courier New" w:cs="Courier New" w:eastAsia="Courier New" w:hAnsi="Courier New"/>
          <w:sz w:val="16"/>
          <w:szCs w:val="16"/>
          <w:color w:val="auto"/>
        </w:rPr>
        <w:t>(9.7) 19.3 --------- --------- 1,361.0 601.3 Changes</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5"/>
          <w:szCs w:val="15"/>
          <w:color w:val="auto"/>
        </w:rPr>
        <w:t>in working capital, net of effects of acquisitions and</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divestitures: Decrease in accounts receivable,</w:t>
      </w:r>
    </w:p>
    <w:p>
      <w:pPr>
        <w:ind w:left="80"/>
        <w:spacing w:after="0"/>
        <w:rPr>
          <w:sz w:val="20"/>
          <w:szCs w:val="20"/>
          <w:color w:val="auto"/>
        </w:rPr>
      </w:pPr>
      <w:r>
        <w:rPr>
          <w:rFonts w:ascii="Courier New" w:cs="Courier New" w:eastAsia="Courier New" w:hAnsi="Courier New"/>
          <w:sz w:val="16"/>
          <w:szCs w:val="16"/>
          <w:color w:val="auto"/>
        </w:rPr>
        <w:t>net................. 8.9 111.2 Decrease (increase) in</w:t>
      </w:r>
    </w:p>
    <w:p>
      <w:pPr>
        <w:ind w:left="40"/>
        <w:spacing w:after="0" w:line="237" w:lineRule="auto"/>
        <w:rPr>
          <w:sz w:val="20"/>
          <w:szCs w:val="20"/>
          <w:color w:val="auto"/>
        </w:rPr>
      </w:pPr>
      <w:r>
        <w:rPr>
          <w:rFonts w:ascii="Courier New" w:cs="Courier New" w:eastAsia="Courier New" w:hAnsi="Courier New"/>
          <w:sz w:val="16"/>
          <w:szCs w:val="16"/>
          <w:color w:val="auto"/>
        </w:rPr>
        <w:t>inventories, net.............. 40.5 (33.3) Increase in</w:t>
      </w:r>
    </w:p>
    <w:p>
      <w:pPr>
        <w:ind w:left="320"/>
        <w:spacing w:after="0"/>
        <w:rPr>
          <w:sz w:val="20"/>
          <w:szCs w:val="20"/>
          <w:color w:val="auto"/>
        </w:rPr>
      </w:pPr>
      <w:r>
        <w:rPr>
          <w:rFonts w:ascii="Courier New" w:cs="Courier New" w:eastAsia="Courier New" w:hAnsi="Courier New"/>
          <w:sz w:val="16"/>
          <w:szCs w:val="16"/>
          <w:color w:val="auto"/>
        </w:rPr>
        <w:t>other current assets..................... (18.2)</w:t>
      </w:r>
    </w:p>
    <w:p>
      <w:pPr>
        <w:ind w:left="380"/>
        <w:spacing w:after="0" w:line="238" w:lineRule="auto"/>
        <w:rPr>
          <w:sz w:val="20"/>
          <w:szCs w:val="20"/>
          <w:color w:val="auto"/>
        </w:rPr>
      </w:pPr>
      <w:r>
        <w:rPr>
          <w:rFonts w:ascii="Courier New" w:cs="Courier New" w:eastAsia="Courier New" w:hAnsi="Courier New"/>
          <w:sz w:val="16"/>
          <w:szCs w:val="16"/>
          <w:color w:val="auto"/>
        </w:rPr>
        <w:t>(65.3) (Decrease) increase in accounts payable,</w:t>
      </w:r>
    </w:p>
    <w:p>
      <w:pPr>
        <w:ind w:left="980"/>
        <w:spacing w:after="0"/>
        <w:rPr>
          <w:sz w:val="20"/>
          <w:szCs w:val="20"/>
          <w:color w:val="auto"/>
        </w:rPr>
      </w:pPr>
      <w:r>
        <w:rPr>
          <w:rFonts w:ascii="Courier New" w:cs="Courier New" w:eastAsia="Courier New" w:hAnsi="Courier New"/>
          <w:sz w:val="16"/>
          <w:szCs w:val="16"/>
          <w:color w:val="auto"/>
        </w:rPr>
        <w:t>accrued expenses and other current</w:t>
      </w:r>
    </w:p>
    <w:p>
      <w:pPr>
        <w:ind w:left="40"/>
        <w:spacing w:after="0" w:line="238" w:lineRule="auto"/>
        <w:rPr>
          <w:sz w:val="20"/>
          <w:szCs w:val="20"/>
          <w:color w:val="auto"/>
        </w:rPr>
      </w:pPr>
      <w:r>
        <w:rPr>
          <w:rFonts w:ascii="Courier New" w:cs="Courier New" w:eastAsia="Courier New" w:hAnsi="Courier New"/>
          <w:sz w:val="16"/>
          <w:szCs w:val="16"/>
          <w:color w:val="auto"/>
        </w:rPr>
        <w:t>liabilities.............. (341.7) 360.7 --------- ----</w:t>
      </w:r>
    </w:p>
    <w:p>
      <w:pPr>
        <w:ind w:left="140"/>
        <w:spacing w:after="0"/>
        <w:rPr>
          <w:sz w:val="20"/>
          <w:szCs w:val="20"/>
          <w:color w:val="auto"/>
        </w:rPr>
      </w:pPr>
      <w:r>
        <w:rPr>
          <w:rFonts w:ascii="Courier New" w:cs="Courier New" w:eastAsia="Courier New" w:hAnsi="Courier New"/>
          <w:sz w:val="16"/>
          <w:szCs w:val="16"/>
          <w:color w:val="auto"/>
        </w:rPr>
        <w:t>----- (310.5) (373.3) Net cash provided by operating</w:t>
      </w:r>
    </w:p>
    <w:p>
      <w:pPr>
        <w:ind w:left="80"/>
        <w:spacing w:after="0" w:line="237" w:lineRule="auto"/>
        <w:rPr>
          <w:sz w:val="20"/>
          <w:szCs w:val="20"/>
          <w:color w:val="auto"/>
        </w:rPr>
      </w:pPr>
      <w:r>
        <w:rPr>
          <w:rFonts w:ascii="Courier New" w:cs="Courier New" w:eastAsia="Courier New" w:hAnsi="Courier New"/>
          <w:sz w:val="16"/>
          <w:szCs w:val="16"/>
          <w:color w:val="auto"/>
        </w:rPr>
        <w:t>activities......... 1,050.5 974.6 --------- ---------</w:t>
      </w:r>
    </w:p>
    <w:p>
      <w:pPr>
        <w:ind w:left="980"/>
        <w:spacing w:after="0"/>
        <w:rPr>
          <w:sz w:val="20"/>
          <w:szCs w:val="20"/>
          <w:color w:val="auto"/>
        </w:rPr>
      </w:pPr>
      <w:r>
        <w:rPr>
          <w:rFonts w:ascii="Courier New" w:cs="Courier New" w:eastAsia="Courier New" w:hAnsi="Courier New"/>
          <w:sz w:val="16"/>
          <w:szCs w:val="16"/>
          <w:color w:val="auto"/>
        </w:rPr>
        <w:t>FINANCING ACTIVITIES Proceeds from</w:t>
      </w:r>
    </w:p>
    <w:p>
      <w:pPr>
        <w:ind w:left="240"/>
        <w:spacing w:after="0" w:line="238" w:lineRule="auto"/>
        <w:rPr>
          <w:sz w:val="20"/>
          <w:szCs w:val="20"/>
          <w:color w:val="auto"/>
        </w:rPr>
      </w:pPr>
      <w:r>
        <w:rPr>
          <w:rFonts w:ascii="Courier New" w:cs="Courier New" w:eastAsia="Courier New" w:hAnsi="Courier New"/>
          <w:sz w:val="16"/>
          <w:szCs w:val="16"/>
          <w:color w:val="auto"/>
        </w:rPr>
        <w:t>borrowings.................................. 632.1</w:t>
      </w:r>
    </w:p>
    <w:p>
      <w:pPr>
        <w:ind w:left="840"/>
        <w:spacing w:after="0"/>
        <w:rPr>
          <w:sz w:val="20"/>
          <w:szCs w:val="20"/>
          <w:color w:val="auto"/>
        </w:rPr>
      </w:pPr>
      <w:r>
        <w:rPr>
          <w:rFonts w:ascii="Courier New" w:cs="Courier New" w:eastAsia="Courier New" w:hAnsi="Courier New"/>
          <w:sz w:val="16"/>
          <w:szCs w:val="16"/>
          <w:color w:val="auto"/>
        </w:rPr>
        <w:t>4,554.7 Retirements and repayments of</w:t>
      </w:r>
    </w:p>
    <w:p>
      <w:pPr>
        <w:ind w:left="320"/>
        <w:spacing w:after="0" w:line="238" w:lineRule="auto"/>
        <w:rPr>
          <w:sz w:val="20"/>
          <w:szCs w:val="20"/>
          <w:color w:val="auto"/>
        </w:rPr>
      </w:pPr>
      <w:r>
        <w:rPr>
          <w:rFonts w:ascii="Courier New" w:cs="Courier New" w:eastAsia="Courier New" w:hAnsi="Courier New"/>
          <w:sz w:val="16"/>
          <w:szCs w:val="16"/>
          <w:color w:val="auto"/>
        </w:rPr>
        <w:t>debt........................ (1,169.3) (3,206.4)</w:t>
      </w:r>
    </w:p>
    <w:p>
      <w:pPr>
        <w:ind w:left="240"/>
        <w:spacing w:after="0"/>
        <w:rPr>
          <w:sz w:val="20"/>
          <w:szCs w:val="20"/>
          <w:color w:val="auto"/>
        </w:rPr>
      </w:pPr>
      <w:r>
        <w:rPr>
          <w:rFonts w:ascii="Courier New" w:cs="Courier New" w:eastAsia="Courier New" w:hAnsi="Courier New"/>
          <w:sz w:val="16"/>
          <w:szCs w:val="16"/>
          <w:color w:val="auto"/>
        </w:rPr>
        <w:t>Proceeds from settlement of interest rate exchange</w:t>
      </w:r>
    </w:p>
    <w:p>
      <w:pPr>
        <w:spacing w:after="0" w:line="237" w:lineRule="auto"/>
        <w:rPr>
          <w:sz w:val="20"/>
          <w:szCs w:val="20"/>
          <w:color w:val="auto"/>
        </w:rPr>
      </w:pPr>
      <w:r>
        <w:rPr>
          <w:rFonts w:ascii="Courier New" w:cs="Courier New" w:eastAsia="Courier New" w:hAnsi="Courier New"/>
          <w:sz w:val="16"/>
          <w:szCs w:val="16"/>
          <w:color w:val="auto"/>
        </w:rPr>
        <w:t>agreements.............................................</w:t>
      </w:r>
    </w:p>
    <w:p>
      <w:pPr>
        <w:ind w:left="1440"/>
        <w:spacing w:after="0"/>
        <w:rPr>
          <w:sz w:val="20"/>
          <w:szCs w:val="20"/>
          <w:color w:val="auto"/>
        </w:rPr>
      </w:pPr>
      <w:r>
        <w:rPr>
          <w:rFonts w:ascii="Courier New" w:cs="Courier New" w:eastAsia="Courier New" w:hAnsi="Courier New"/>
          <w:sz w:val="16"/>
          <w:szCs w:val="16"/>
          <w:color w:val="auto"/>
        </w:rPr>
        <w:t>56.8 Issuances of common</w:t>
      </w:r>
    </w:p>
    <w:p>
      <w:pPr>
        <w:ind w:left="320"/>
        <w:spacing w:after="0" w:line="238" w:lineRule="auto"/>
        <w:rPr>
          <w:sz w:val="20"/>
          <w:szCs w:val="20"/>
          <w:color w:val="auto"/>
        </w:rPr>
      </w:pPr>
      <w:r>
        <w:rPr>
          <w:rFonts w:ascii="Courier New" w:cs="Courier New" w:eastAsia="Courier New" w:hAnsi="Courier New"/>
          <w:sz w:val="16"/>
          <w:szCs w:val="16"/>
          <w:color w:val="auto"/>
        </w:rPr>
        <w:t>stock................................. 11.2 20.2</w:t>
      </w:r>
    </w:p>
    <w:p>
      <w:pPr>
        <w:ind w:left="1740"/>
        <w:spacing w:after="0"/>
        <w:rPr>
          <w:sz w:val="20"/>
          <w:szCs w:val="20"/>
          <w:color w:val="auto"/>
        </w:rPr>
      </w:pPr>
      <w:r>
        <w:rPr>
          <w:rFonts w:ascii="Courier New" w:cs="Courier New" w:eastAsia="Courier New" w:hAnsi="Courier New"/>
          <w:sz w:val="16"/>
          <w:szCs w:val="16"/>
          <w:color w:val="auto"/>
        </w:rPr>
        <w:t>Deferred financing</w:t>
      </w:r>
    </w:p>
    <w:p>
      <w:pPr>
        <w:ind w:left="40"/>
        <w:spacing w:after="0" w:line="238" w:lineRule="auto"/>
        <w:rPr>
          <w:sz w:val="20"/>
          <w:szCs w:val="20"/>
          <w:color w:val="auto"/>
        </w:rPr>
      </w:pPr>
      <w:r>
        <w:rPr>
          <w:rFonts w:ascii="Courier New" w:cs="Courier New" w:eastAsia="Courier New" w:hAnsi="Courier New"/>
          <w:sz w:val="16"/>
          <w:szCs w:val="16"/>
          <w:color w:val="auto"/>
        </w:rPr>
        <w:t>costs.................................. (2.3) (22.5) -</w:t>
      </w:r>
    </w:p>
    <w:p>
      <w:pPr>
        <w:ind w:left="280"/>
        <w:spacing w:after="0"/>
        <w:rPr>
          <w:sz w:val="20"/>
          <w:szCs w:val="20"/>
          <w:color w:val="auto"/>
        </w:rPr>
      </w:pPr>
      <w:r>
        <w:rPr>
          <w:rFonts w:ascii="Courier New" w:cs="Courier New" w:eastAsia="Courier New" w:hAnsi="Courier New"/>
          <w:sz w:val="16"/>
          <w:szCs w:val="16"/>
          <w:color w:val="auto"/>
        </w:rPr>
        <w:t>-------- --------- Net cash (used in) provided by</w:t>
      </w:r>
    </w:p>
    <w:p>
      <w:pPr>
        <w:ind w:left="2160"/>
        <w:spacing w:after="0" w:line="237" w:lineRule="auto"/>
        <w:rPr>
          <w:sz w:val="20"/>
          <w:szCs w:val="20"/>
          <w:color w:val="auto"/>
        </w:rPr>
      </w:pPr>
      <w:r>
        <w:rPr>
          <w:rFonts w:ascii="Courier New" w:cs="Courier New" w:eastAsia="Courier New" w:hAnsi="Courier New"/>
          <w:sz w:val="16"/>
          <w:szCs w:val="16"/>
          <w:color w:val="auto"/>
        </w:rPr>
        <w:t>financing</w:t>
      </w:r>
    </w:p>
    <w:p>
      <w:pPr>
        <w:ind w:left="320"/>
        <w:spacing w:after="0"/>
        <w:rPr>
          <w:sz w:val="20"/>
          <w:szCs w:val="20"/>
          <w:color w:val="auto"/>
        </w:rPr>
      </w:pPr>
      <w:r>
        <w:rPr>
          <w:rFonts w:ascii="Courier New" w:cs="Courier New" w:eastAsia="Courier New" w:hAnsi="Courier New"/>
          <w:sz w:val="16"/>
          <w:szCs w:val="16"/>
          <w:color w:val="auto"/>
        </w:rPr>
        <w:t>activities......................................</w:t>
      </w:r>
    </w:p>
    <w:p>
      <w:pPr>
        <w:ind w:left="460"/>
        <w:spacing w:after="0" w:line="238" w:lineRule="auto"/>
        <w:rPr>
          <w:sz w:val="20"/>
          <w:szCs w:val="20"/>
          <w:color w:val="auto"/>
        </w:rPr>
      </w:pPr>
      <w:r>
        <w:rPr>
          <w:rFonts w:ascii="Courier New" w:cs="Courier New" w:eastAsia="Courier New" w:hAnsi="Courier New"/>
          <w:sz w:val="16"/>
          <w:szCs w:val="16"/>
          <w:color w:val="auto"/>
        </w:rPr>
        <w:t>(471.5) 1,346.0 --------- --------- INVESTING</w:t>
      </w:r>
    </w:p>
    <w:p>
      <w:pPr>
        <w:ind w:left="880"/>
        <w:spacing w:after="0"/>
        <w:rPr>
          <w:sz w:val="20"/>
          <w:szCs w:val="20"/>
          <w:color w:val="auto"/>
        </w:rPr>
      </w:pPr>
      <w:r>
        <w:rPr>
          <w:rFonts w:ascii="Courier New" w:cs="Courier New" w:eastAsia="Courier New" w:hAnsi="Courier New"/>
          <w:sz w:val="16"/>
          <w:szCs w:val="16"/>
          <w:color w:val="auto"/>
        </w:rPr>
        <w:t>ACTIVITIES Acquisitions, net of cash</w:t>
      </w:r>
    </w:p>
    <w:p>
      <w:pPr>
        <w:ind w:left="80"/>
        <w:spacing w:after="0" w:line="238" w:lineRule="auto"/>
        <w:rPr>
          <w:sz w:val="20"/>
          <w:szCs w:val="20"/>
          <w:color w:val="auto"/>
        </w:rPr>
      </w:pPr>
      <w:r>
        <w:rPr>
          <w:rFonts w:ascii="Courier New" w:cs="Courier New" w:eastAsia="Courier New" w:hAnsi="Courier New"/>
          <w:sz w:val="16"/>
          <w:szCs w:val="16"/>
          <w:color w:val="auto"/>
        </w:rPr>
        <w:t>acquired........................ (16.1) (872.8) Sales</w:t>
      </w:r>
    </w:p>
    <w:p>
      <w:pPr>
        <w:ind w:left="140"/>
        <w:spacing w:after="0"/>
        <w:rPr>
          <w:sz w:val="20"/>
          <w:szCs w:val="20"/>
          <w:color w:val="auto"/>
        </w:rPr>
      </w:pPr>
      <w:r>
        <w:rPr>
          <w:rFonts w:ascii="Courier New" w:cs="Courier New" w:eastAsia="Courier New" w:hAnsi="Courier New"/>
          <w:sz w:val="16"/>
          <w:szCs w:val="16"/>
          <w:color w:val="auto"/>
        </w:rPr>
        <w:t>(purchases) of short-term investments, net..........</w:t>
      </w:r>
    </w:p>
    <w:p>
      <w:pPr>
        <w:ind w:left="1440"/>
        <w:spacing w:after="0" w:line="237" w:lineRule="auto"/>
        <w:rPr>
          <w:sz w:val="20"/>
          <w:szCs w:val="20"/>
          <w:color w:val="auto"/>
        </w:rPr>
      </w:pPr>
      <w:r>
        <w:rPr>
          <w:rFonts w:ascii="Courier New" w:cs="Courier New" w:eastAsia="Courier New" w:hAnsi="Courier New"/>
          <w:sz w:val="16"/>
          <w:szCs w:val="16"/>
          <w:color w:val="auto"/>
        </w:rPr>
        <w:t>3.0 (135.5) Purchases of</w:t>
      </w:r>
    </w:p>
    <w:p>
      <w:pPr>
        <w:ind w:left="140"/>
        <w:spacing w:after="0"/>
        <w:rPr>
          <w:sz w:val="20"/>
          <w:szCs w:val="20"/>
          <w:color w:val="auto"/>
        </w:rPr>
      </w:pPr>
      <w:r>
        <w:rPr>
          <w:rFonts w:ascii="Courier New" w:cs="Courier New" w:eastAsia="Courier New" w:hAnsi="Courier New"/>
          <w:sz w:val="16"/>
          <w:szCs w:val="16"/>
          <w:color w:val="auto"/>
        </w:rPr>
        <w:t>investments.................................. (31.6)</w:t>
      </w:r>
    </w:p>
    <w:p>
      <w:pPr>
        <w:ind w:left="1160"/>
        <w:spacing w:after="0" w:line="238" w:lineRule="auto"/>
        <w:rPr>
          <w:sz w:val="20"/>
          <w:szCs w:val="20"/>
          <w:color w:val="auto"/>
        </w:rPr>
      </w:pPr>
      <w:r>
        <w:rPr>
          <w:rFonts w:ascii="Courier New" w:cs="Courier New" w:eastAsia="Courier New" w:hAnsi="Courier New"/>
          <w:sz w:val="16"/>
          <w:szCs w:val="16"/>
          <w:color w:val="auto"/>
        </w:rPr>
        <w:t>(175.7) Proceeds from sales of</w:t>
      </w:r>
    </w:p>
    <w:p>
      <w:pPr>
        <w:ind w:left="380"/>
        <w:spacing w:after="0"/>
        <w:rPr>
          <w:sz w:val="20"/>
          <w:szCs w:val="20"/>
          <w:color w:val="auto"/>
        </w:rPr>
      </w:pPr>
      <w:r>
        <w:rPr>
          <w:rFonts w:ascii="Courier New" w:cs="Courier New" w:eastAsia="Courier New" w:hAnsi="Courier New"/>
          <w:sz w:val="16"/>
          <w:szCs w:val="16"/>
          <w:color w:val="auto"/>
        </w:rPr>
        <w:t>investments........................ 595.9 225.3</w:t>
      </w:r>
    </w:p>
    <w:p>
      <w:pPr>
        <w:ind w:left="2240"/>
        <w:spacing w:after="0" w:line="238" w:lineRule="auto"/>
        <w:rPr>
          <w:sz w:val="20"/>
          <w:szCs w:val="20"/>
          <w:color w:val="auto"/>
        </w:rPr>
      </w:pPr>
      <w:r>
        <w:rPr>
          <w:rFonts w:ascii="Courier New" w:cs="Courier New" w:eastAsia="Courier New" w:hAnsi="Courier New"/>
          <w:sz w:val="16"/>
          <w:szCs w:val="16"/>
          <w:color w:val="auto"/>
        </w:rPr>
        <w:t>Capital</w:t>
      </w:r>
    </w:p>
    <w:p>
      <w:pPr>
        <w:ind w:left="240"/>
        <w:spacing w:after="0"/>
        <w:rPr>
          <w:sz w:val="20"/>
          <w:szCs w:val="20"/>
          <w:color w:val="auto"/>
        </w:rPr>
      </w:pPr>
      <w:r>
        <w:rPr>
          <w:rFonts w:ascii="Courier New" w:cs="Courier New" w:eastAsia="Courier New" w:hAnsi="Courier New"/>
          <w:sz w:val="16"/>
          <w:szCs w:val="16"/>
          <w:color w:val="auto"/>
        </w:rPr>
        <w:t>expenditures......................................</w:t>
      </w:r>
    </w:p>
    <w:p>
      <w:pPr>
        <w:ind w:left="180"/>
        <w:spacing w:after="0" w:line="237" w:lineRule="auto"/>
        <w:rPr>
          <w:sz w:val="20"/>
          <w:szCs w:val="20"/>
          <w:color w:val="auto"/>
        </w:rPr>
      </w:pPr>
      <w:r>
        <w:rPr>
          <w:rFonts w:ascii="Courier New" w:cs="Courier New" w:eastAsia="Courier New" w:hAnsi="Courier New"/>
          <w:sz w:val="16"/>
          <w:szCs w:val="16"/>
          <w:color w:val="auto"/>
        </w:rPr>
        <w:t>(788.9) (1,143.7) Additions to intangible and other</w:t>
      </w:r>
    </w:p>
    <w:p>
      <w:pPr>
        <w:ind w:left="40"/>
        <w:spacing w:after="0"/>
        <w:rPr>
          <w:sz w:val="20"/>
          <w:szCs w:val="20"/>
          <w:color w:val="auto"/>
        </w:rPr>
      </w:pPr>
      <w:r>
        <w:rPr>
          <w:rFonts w:ascii="Courier New" w:cs="Courier New" w:eastAsia="Courier New" w:hAnsi="Courier New"/>
          <w:sz w:val="16"/>
          <w:szCs w:val="16"/>
          <w:color w:val="auto"/>
        </w:rPr>
        <w:t>noncurrent assets....... (133.5) (123.8) --------- ---</w:t>
      </w:r>
    </w:p>
    <w:p>
      <w:pPr>
        <w:ind w:left="1020"/>
        <w:spacing w:after="0" w:line="238" w:lineRule="auto"/>
        <w:rPr>
          <w:sz w:val="20"/>
          <w:szCs w:val="20"/>
          <w:color w:val="auto"/>
        </w:rPr>
      </w:pPr>
      <w:r>
        <w:rPr>
          <w:rFonts w:ascii="Courier New" w:cs="Courier New" w:eastAsia="Courier New" w:hAnsi="Courier New"/>
          <w:sz w:val="16"/>
          <w:szCs w:val="16"/>
          <w:color w:val="auto"/>
        </w:rPr>
        <w:t>------ Net cash used in investing</w:t>
      </w:r>
    </w:p>
    <w:p>
      <w:pPr>
        <w:ind w:left="40"/>
        <w:spacing w:after="0"/>
        <w:rPr>
          <w:sz w:val="20"/>
          <w:szCs w:val="20"/>
          <w:color w:val="auto"/>
        </w:rPr>
      </w:pPr>
      <w:r>
        <w:rPr>
          <w:rFonts w:ascii="Courier New" w:cs="Courier New" w:eastAsia="Courier New" w:hAnsi="Courier New"/>
          <w:sz w:val="16"/>
          <w:szCs w:val="16"/>
          <w:color w:val="auto"/>
        </w:rPr>
        <w:t>activities............. (371.2) (2,226.2) --------- --</w:t>
      </w:r>
    </w:p>
    <w:p>
      <w:pPr>
        <w:ind w:left="1020"/>
        <w:spacing w:after="0" w:line="238" w:lineRule="auto"/>
        <w:rPr>
          <w:sz w:val="20"/>
          <w:szCs w:val="20"/>
          <w:color w:val="auto"/>
        </w:rPr>
      </w:pPr>
      <w:r>
        <w:rPr>
          <w:rFonts w:ascii="Courier New" w:cs="Courier New" w:eastAsia="Courier New" w:hAnsi="Courier New"/>
          <w:sz w:val="16"/>
          <w:szCs w:val="16"/>
          <w:color w:val="auto"/>
        </w:rPr>
        <w:t>------- INCREASE IN CASH AND CASH</w:t>
      </w:r>
    </w:p>
    <w:p>
      <w:pPr>
        <w:ind w:left="40"/>
        <w:spacing w:after="0"/>
        <w:rPr>
          <w:sz w:val="20"/>
          <w:szCs w:val="20"/>
          <w:color w:val="auto"/>
        </w:rPr>
      </w:pPr>
      <w:r>
        <w:rPr>
          <w:rFonts w:ascii="Courier New" w:cs="Courier New" w:eastAsia="Courier New" w:hAnsi="Courier New"/>
          <w:sz w:val="16"/>
          <w:szCs w:val="16"/>
          <w:color w:val="auto"/>
        </w:rPr>
        <w:t>EQUIVALENTS....................... 207.8 94.4 CASH AND</w:t>
      </w:r>
    </w:p>
    <w:p>
      <w:pPr>
        <w:ind w:left="180"/>
        <w:spacing w:after="0" w:line="237" w:lineRule="auto"/>
        <w:rPr>
          <w:sz w:val="20"/>
          <w:szCs w:val="20"/>
          <w:color w:val="auto"/>
        </w:rPr>
      </w:pPr>
      <w:r>
        <w:rPr>
          <w:rFonts w:ascii="Courier New" w:cs="Courier New" w:eastAsia="Courier New" w:hAnsi="Courier New"/>
          <w:sz w:val="16"/>
          <w:szCs w:val="16"/>
          <w:color w:val="auto"/>
        </w:rPr>
        <w:t>CASH EQUIVALENTS, beginning of period..............</w:t>
      </w:r>
    </w:p>
    <w:p>
      <w:pPr>
        <w:ind w:left="460"/>
        <w:spacing w:after="0"/>
        <w:rPr>
          <w:sz w:val="20"/>
          <w:szCs w:val="20"/>
          <w:color w:val="auto"/>
        </w:rPr>
      </w:pPr>
      <w:r>
        <w:rPr>
          <w:rFonts w:ascii="Courier New" w:cs="Courier New" w:eastAsia="Courier New" w:hAnsi="Courier New"/>
          <w:sz w:val="16"/>
          <w:szCs w:val="16"/>
          <w:color w:val="auto"/>
        </w:rPr>
        <w:t>350.0 651.5 --------- --------- CASH AND CASH</w:t>
      </w:r>
    </w:p>
    <w:p>
      <w:pPr>
        <w:ind w:left="40"/>
        <w:spacing w:after="0" w:line="238" w:lineRule="auto"/>
        <w:rPr>
          <w:sz w:val="20"/>
          <w:szCs w:val="20"/>
          <w:color w:val="auto"/>
        </w:rPr>
      </w:pPr>
      <w:r>
        <w:rPr>
          <w:rFonts w:ascii="Courier New" w:cs="Courier New" w:eastAsia="Courier New" w:hAnsi="Courier New"/>
          <w:sz w:val="16"/>
          <w:szCs w:val="16"/>
          <w:color w:val="auto"/>
        </w:rPr>
        <w:t>EQUIVALENTS, end of period.................... $ 557.8</w:t>
      </w:r>
    </w:p>
    <w:p>
      <w:pPr>
        <w:ind w:left="1300"/>
        <w:spacing w:after="0"/>
        <w:rPr>
          <w:sz w:val="20"/>
          <w:szCs w:val="20"/>
          <w:color w:val="auto"/>
        </w:rPr>
      </w:pPr>
      <w:r>
        <w:rPr>
          <w:rFonts w:ascii="Courier New" w:cs="Courier New" w:eastAsia="Courier New" w:hAnsi="Courier New"/>
          <w:sz w:val="16"/>
          <w:szCs w:val="16"/>
          <w:color w:val="auto"/>
        </w:rPr>
        <w:t>$ 745.9 ========= =========</w:t>
      </w:r>
    </w:p>
    <w:p>
      <w:pPr>
        <w:spacing w:after="0" w:line="36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F-130</w:t>
      </w:r>
    </w:p>
    <w:p>
      <w:pPr>
        <w:sectPr>
          <w:pgSz w:w="11900" w:h="16838" w:orient="portrait"/>
          <w:cols w:equalWidth="0" w:num="1">
            <w:col w:w="10219"/>
          </w:cols>
          <w:pgMar w:left="240" w:top="653" w:right="1440" w:bottom="1440" w:gutter="0" w:footer="0" w:header="0"/>
        </w:sectPr>
      </w:pPr>
    </w:p>
    <w:bookmarkStart w:id="321" w:name="page322"/>
    <w:bookmarkEnd w:id="321"/>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CONDENSED CONSOLIDATED FINANCIAL STATEMENTS</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left="184" w:right="5819" w:hanging="184"/>
        <w:spacing w:after="0" w:line="471" w:lineRule="auto"/>
        <w:tabs>
          <w:tab w:leader="none" w:pos="371"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 BASIS OF PRESENTATION</w:t>
      </w:r>
    </w:p>
    <w:p>
      <w:pPr>
        <w:spacing w:after="0" w:line="10" w:lineRule="exact"/>
        <w:rPr>
          <w:sz w:val="20"/>
          <w:szCs w:val="20"/>
          <w:color w:val="auto"/>
        </w:rPr>
      </w:pPr>
    </w:p>
    <w:p>
      <w:pPr>
        <w:ind w:left="4" w:right="2719" w:firstLine="469"/>
        <w:spacing w:after="0" w:line="259" w:lineRule="auto"/>
        <w:rPr>
          <w:sz w:val="20"/>
          <w:szCs w:val="20"/>
          <w:color w:val="auto"/>
        </w:rPr>
      </w:pPr>
      <w:r>
        <w:rPr>
          <w:rFonts w:ascii="Courier New" w:cs="Courier New" w:eastAsia="Courier New" w:hAnsi="Courier New"/>
          <w:sz w:val="15"/>
          <w:szCs w:val="15"/>
          <w:color w:val="auto"/>
        </w:rPr>
        <w:t>Comcast Corporation and its subsidiaries (the "Company") has prepared these unaudited condensed consolidated financial statements based upon Securities and Exchange Commission rules that permit reduced disclosure for interim periods.</w:t>
      </w:r>
    </w:p>
    <w:p>
      <w:pPr>
        <w:spacing w:after="0" w:line="171"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7" w:lineRule="exact"/>
        <w:rPr>
          <w:sz w:val="20"/>
          <w:szCs w:val="20"/>
          <w:color w:val="auto"/>
        </w:rPr>
      </w:pPr>
    </w:p>
    <w:p>
      <w:pPr>
        <w:jc w:val="both"/>
        <w:ind w:left="4" w:right="3099" w:firstLine="469"/>
        <w:spacing w:after="0" w:line="259" w:lineRule="auto"/>
        <w:rPr>
          <w:sz w:val="20"/>
          <w:szCs w:val="20"/>
          <w:color w:val="auto"/>
        </w:rPr>
      </w:pPr>
      <w:r>
        <w:rPr>
          <w:rFonts w:ascii="Courier New" w:cs="Courier New" w:eastAsia="Courier New" w:hAnsi="Courier New"/>
          <w:sz w:val="15"/>
          <w:szCs w:val="15"/>
          <w:color w:val="auto"/>
        </w:rPr>
        <w:t>For a more complete discussion of the Company's accounting policies and certain other information, refer to the financial statements included in the Company's Annual Report on Form 10-K for the year ended December 31, 2001.</w:t>
      </w:r>
    </w:p>
    <w:p>
      <w:pPr>
        <w:spacing w:after="0" w:line="166"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RECLASSIFICATIONS</w:t>
      </w:r>
    </w:p>
    <w:p>
      <w:pPr>
        <w:spacing w:after="0" w:line="185" w:lineRule="exact"/>
        <w:rPr>
          <w:sz w:val="20"/>
          <w:szCs w:val="20"/>
          <w:color w:val="auto"/>
        </w:rPr>
      </w:pPr>
    </w:p>
    <w:p>
      <w:pPr>
        <w:jc w:val="both"/>
        <w:ind w:left="4" w:right="3379" w:firstLine="469"/>
        <w:spacing w:after="0" w:line="263" w:lineRule="auto"/>
        <w:rPr>
          <w:sz w:val="20"/>
          <w:szCs w:val="20"/>
          <w:color w:val="auto"/>
        </w:rPr>
      </w:pPr>
      <w:r>
        <w:rPr>
          <w:rFonts w:ascii="Courier New" w:cs="Courier New" w:eastAsia="Courier New" w:hAnsi="Courier New"/>
          <w:sz w:val="15"/>
          <w:szCs w:val="15"/>
          <w:color w:val="auto"/>
        </w:rPr>
        <w:t>Certain reclassifications have been made to the prior year financial statements to conform to those classifications used in 2002 (see Note 2).</w:t>
      </w:r>
    </w:p>
    <w:p>
      <w:pPr>
        <w:spacing w:after="0" w:line="169" w:lineRule="exact"/>
        <w:rPr>
          <w:sz w:val="20"/>
          <w:szCs w:val="20"/>
          <w:color w:val="auto"/>
        </w:rPr>
      </w:pPr>
    </w:p>
    <w:p>
      <w:pPr>
        <w:ind w:left="184" w:right="6839" w:hanging="184"/>
        <w:spacing w:after="0" w:line="509" w:lineRule="auto"/>
        <w:tabs>
          <w:tab w:leader="none" w:pos="371"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SFAS NO. 133, AS AMENDED</w:t>
      </w:r>
    </w:p>
    <w:p>
      <w:pPr>
        <w:spacing w:after="0" w:line="1"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January 1, 2001, the Company adopted Statement of Financial Accounting Standards ("SFAS") No. 133, "Accounting for Derivatives and Hedging Activities," as amended. SFAS No. 133 establishes accounting and reporting standards for derivatives and hedging activities. SFAS No. 133 requires that all derivative instruments be reported on the balance sheet at their fair values. Upon adoption of SFAS No. 133, the Company recognized as income a cumulative effect of accounting change, net of related income taxes, of $384.5 million. The increase in income consisted of a $400.2 million adjustment to record the debt component of indexed debt at a discount from its value at maturity and $191.3 million principally related to the reclassification of gains previously recognized as a component of accumulated other comprehensive income (loss) on the Company's equity derivative instruments, net of related deferred income taxes of $207.0 million.</w:t>
      </w:r>
    </w:p>
    <w:p>
      <w:pPr>
        <w:spacing w:after="0" w:line="184"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SFAS NO. 142</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Financial Accounting Standards Board ("FASB") issued SFAS No. 142, "Goodwill and Other Intangible Assets," in June 2001. SFAS No. 142 addresses how intangible assets that are acquired individually or with a group of other assets should be accounted for in financial statements upon and subsequent to their acquisition. The Company adopted SFAS No. 142 on January 1, 2002, as required by the new statement. Upon adoption, the Company no longer amortizes goodwill and other indefinite lived intangible assets, which consist of cable and sports franchise rights. The Company is required to test its goodwill and intangible assets that are determined to have an indefinite life for impairment at least annually. The provisions of SFAS No. 142 require the completion of an initial transitional impairment assessment, with any impairments identified treated as a cumulative effect of a change in accounting principle. The Company completed this assessment and determined that no cumulative effect results from adopting this change in accounting principle. The provisions of SFAS No. 142 also require the completion of an annual impairment test, with any impairments recognized in current earnings. The Company</w:t>
      </w:r>
    </w:p>
    <w:p>
      <w:pPr>
        <w:spacing w:after="0" w:line="17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F-131</w:t>
      </w:r>
    </w:p>
    <w:p>
      <w:pPr>
        <w:sectPr>
          <w:pgSz w:w="11900" w:h="16838" w:orient="portrait"/>
          <w:cols w:equalWidth="0" w:num="1">
            <w:col w:w="10223"/>
          </w:cols>
          <w:pgMar w:left="236" w:top="654" w:right="1440" w:bottom="1440" w:gutter="0" w:footer="0" w:header="0"/>
        </w:sectPr>
      </w:pPr>
    </w:p>
    <w:bookmarkStart w:id="322" w:name="page323"/>
    <w:bookmarkEnd w:id="322"/>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completed the annual impairment test during the three months ended June 30, 2002 and determined that no impairment charge is necessary (see Note 6).</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143</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The Company does not expect the adoption of SFAS No. 143 will have a material impact on its financial condition or results of operations.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144</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The Company adopted SFAS No. 144 on January 1, 2002. The adoption of SFAS No. 144 had no impact on the Company's financial condition or results of operations.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145</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FASB issued SFAS No. 145, "Rescission of FASB Statements No. 4, 44, and 64, Amendment of FASB Statement No. 13, and Technical Corrections," in April 2002. SFAS No. 145 rescinds, amends or makes various technical corrections to certain existing authoritative pronouncements. Among other things, SFAS No. 145 will change the accounting for certain gains and losses resulting from extinguishments of debt by requiring that a gain or loss from extinguishments of debt be classified as an extraordinary item only if it meets the specific criteria of APB Opinion No. 30. SFAS No. 145 also requires that cash flows from all trading securities, such as the Company's investment in Sprint PCS, be classified as cash flows from operating activities in its statement of cash flows.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adopted the provisions of SFAS No. 145 effective April 1, 2002, as permitted by the new statement. The Company previously classified losses from debt extinguishments as extraordinary items in its statement of operations. Upon adoption of SFAS No. 145, the Company reclassified these losses from extraordinary items to interest expense for all periods presented in its statement of operations. The change in classification had no effect on the Company's net income (loss) or financial condition. The Company previously classified cash flows from purchases, sales and maturities of its investment in Sprint PCS as cash flows from investing activities in its statement of cash flows. The change in classification was to increase the Company's net cash provided by operating activities and to increase the Company's net cash used in investing activities for the six months ended in June 30, 2001.</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146</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FASB issued SFAS No. 146, "Accounting for Costs Associated with Exit or Disposal Activities," in June 2002. SFAS No. 146 changes the standards for recognition of a liability for a cost associated with an exit or disposal activity. SFAS No. 146 requires that a liability for a cost associated with an exit or disposal activity be recognized when the liability is incurred. SFAS No. 146 establishes that fair value is</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F-132</w:t>
      </w:r>
    </w:p>
    <w:p>
      <w:pPr>
        <w:sectPr>
          <w:pgSz w:w="11900" w:h="16838" w:orient="portrait"/>
          <w:cols w:equalWidth="0" w:num="1">
            <w:col w:w="10219"/>
          </w:cols>
          <w:pgMar w:left="240" w:top="473" w:right="1440" w:bottom="1440" w:gutter="0" w:footer="0" w:header="0"/>
        </w:sectPr>
      </w:pPr>
    </w:p>
    <w:bookmarkStart w:id="323" w:name="page324"/>
    <w:bookmarkEnd w:id="323"/>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364"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the objective for initial measurement of the liability. SFAS No. 146 nullifies the guidance of Emerging Issues Task Force ("EITF") 94-3 under which an entity recognized a liability for an exit cost on the date that the entity committed itself to an exit plan. The Company will adopt the provisions of SFAS No. 146 for exit or disposal activities that are initiated after December 31, 2002, as required by the new statement. The Company does not expect the adoption of SFAS No. 146 will have a material impact on its financial condition or results of operations.</w:t>
      </w:r>
    </w:p>
    <w:p>
      <w:pPr>
        <w:spacing w:after="0" w:line="361"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EITF 01-9</w:t>
      </w:r>
    </w:p>
    <w:p>
      <w:pPr>
        <w:spacing w:after="0" w:line="36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November 2001, the EITF of the FASB reached a consensus on EITF 01-9, "Accounting for Consideration Given to a Customer (Including a Reseller of the Vendor's Products)."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previously classified the amortization of these distribution fees as expense in its statement of operations. Upon adoption of EITF 01-9 on January 1, 2002, the Company reclassified certain of these distribution fees from expense to a revenue reduction for all periods presented in its statement of operations. The change in classification had no impact on the Company's reported operating income (loss) or financial condition. This change does not apply to distribution fees paid by the Company's consolidated subsidiary, QVC, Inc. ("QVC") as the counterparties to QVC's distribution agreements do not make revenue payments to QVC. Amortization expense includes $5.0 million, $7.0 million, $9.6 million and $14.1 million during the three months ended June 30, 2002 and 2001 and during the six months ended June 30, 2002 and 2001, respectively, related to QVC distribution fees.</w:t>
      </w:r>
    </w:p>
    <w:p>
      <w:pPr>
        <w:spacing w:after="0" w:line="368"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EITF 01-14</w:t>
      </w:r>
    </w:p>
    <w:p>
      <w:pPr>
        <w:spacing w:after="0" w:line="365" w:lineRule="exact"/>
        <w:rPr>
          <w:sz w:val="20"/>
          <w:szCs w:val="20"/>
          <w:color w:val="auto"/>
        </w:rPr>
      </w:pPr>
    </w:p>
    <w:p>
      <w:pPr>
        <w:ind w:left="4" w:right="2899" w:firstLine="469"/>
        <w:spacing w:after="0" w:line="256" w:lineRule="auto"/>
        <w:rPr>
          <w:sz w:val="20"/>
          <w:szCs w:val="20"/>
          <w:color w:val="auto"/>
        </w:rPr>
      </w:pPr>
      <w:r>
        <w:rPr>
          <w:rFonts w:ascii="Courier New" w:cs="Courier New" w:eastAsia="Courier New" w:hAnsi="Courier New"/>
          <w:sz w:val="15"/>
          <w:szCs w:val="15"/>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35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previously classified cable franchise fees collected from its cable subscribers as a reduction of the related franchise fee expense included within selling, general and administrative expenses in its statement of operations.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EITF 01-14, by analogy, applies to franchise fees. Upon adoption of EITF 01-14 on January 1, 2002, the Company reclassified franchise fees collected from cable subscribers from a reduction of selling, general and administrative expenses to a component of service revenues for all periods presented in its statement of operations. The change in classification had no impact on the Company's reported operating income (loss) or financial condition.</w:t>
      </w:r>
    </w:p>
    <w:p>
      <w:pPr>
        <w:spacing w:after="0" w:line="184" w:lineRule="exact"/>
        <w:rPr>
          <w:sz w:val="20"/>
          <w:szCs w:val="20"/>
          <w:color w:val="auto"/>
        </w:rPr>
      </w:pPr>
    </w:p>
    <w:p>
      <w:pPr>
        <w:ind w:left="384" w:hanging="384"/>
        <w:spacing w:after="0"/>
        <w:tabs>
          <w:tab w:leader="none" w:pos="384"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Earnings (loss) per common share is computed by dividing net income (loss) by the weighted average number of common shares outstanding during the period on a basic and diluted basis.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F-133</w:t>
      </w:r>
    </w:p>
    <w:p>
      <w:pPr>
        <w:sectPr>
          <w:pgSz w:w="11900" w:h="16838" w:orient="portrait"/>
          <w:cols w:equalWidth="0" w:num="1">
            <w:col w:w="10223"/>
          </w:cols>
          <w:pgMar w:left="236" w:top="473" w:right="1440" w:bottom="1440" w:gutter="0" w:footer="0" w:header="0"/>
        </w:sectPr>
      </w:pPr>
    </w:p>
    <w:bookmarkStart w:id="324" w:name="page325"/>
    <w:bookmarkEnd w:id="324"/>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(loss) per common share ("Diluted EPS") for the interim periods presented.</w:t>
      </w:r>
    </w:p>
    <w:p>
      <w:pPr>
        <w:spacing w:after="0" w:line="180"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THREE MONTHS ENDED SIX MONTHS ENDED JUNE 30,</w:t>
      </w:r>
    </w:p>
    <w:p>
      <w:pPr>
        <w:ind w:left="44"/>
        <w:spacing w:after="0"/>
        <w:rPr>
          <w:sz w:val="20"/>
          <w:szCs w:val="20"/>
          <w:color w:val="auto"/>
        </w:rPr>
      </w:pPr>
      <w:r>
        <w:rPr>
          <w:rFonts w:ascii="Courier New" w:cs="Courier New" w:eastAsia="Courier New" w:hAnsi="Courier New"/>
          <w:sz w:val="16"/>
          <w:szCs w:val="16"/>
          <w:color w:val="auto"/>
        </w:rPr>
        <w:t>JUNE 30, ----------------------- ------------</w:t>
      </w:r>
    </w:p>
    <w:p>
      <w:pPr>
        <w:ind w:left="44"/>
        <w:spacing w:after="0" w:line="237" w:lineRule="auto"/>
        <w:rPr>
          <w:sz w:val="20"/>
          <w:szCs w:val="20"/>
          <w:color w:val="auto"/>
        </w:rPr>
      </w:pPr>
      <w:r>
        <w:rPr>
          <w:rFonts w:ascii="Courier New" w:cs="Courier New" w:eastAsia="Courier New" w:hAnsi="Courier New"/>
          <w:sz w:val="16"/>
          <w:szCs w:val="16"/>
          <w:color w:val="auto"/>
        </w:rPr>
        <w:t>-------- 2002 2001 2002 2001 ---------- -----</w:t>
      </w:r>
    </w:p>
    <w:p>
      <w:pPr>
        <w:spacing w:after="0" w:line="5" w:lineRule="exact"/>
        <w:rPr>
          <w:sz w:val="20"/>
          <w:szCs w:val="20"/>
          <w:color w:val="auto"/>
        </w:rPr>
      </w:pPr>
    </w:p>
    <w:p>
      <w:pPr>
        <w:ind w:left="144" w:right="5959" w:hanging="102"/>
        <w:spacing w:after="0" w:line="254" w:lineRule="auto"/>
        <w:tabs>
          <w:tab w:leader="none" w:pos="519"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(AMOUNTS IN MILLIONS, EXCEPT PER SHARE DATA) Income (loss) before cumulative effect of accounting change used</w:t>
      </w:r>
    </w:p>
    <w:p>
      <w:pPr>
        <w:ind w:left="3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 Diluted EPS........ $(209.6) $ 35.2</w:t>
      </w:r>
    </w:p>
    <w:p>
      <w:pPr>
        <w:spacing w:after="0" w:line="3" w:lineRule="exact"/>
        <w:rPr>
          <w:sz w:val="20"/>
          <w:szCs w:val="20"/>
          <w:color w:val="auto"/>
        </w:rPr>
      </w:pPr>
    </w:p>
    <w:p>
      <w:pPr>
        <w:jc w:val="center"/>
        <w:ind w:right="5915"/>
        <w:spacing w:after="0"/>
        <w:rPr>
          <w:sz w:val="20"/>
          <w:szCs w:val="20"/>
          <w:color w:val="auto"/>
        </w:rPr>
      </w:pPr>
      <w:r>
        <w:rPr>
          <w:rFonts w:ascii="Courier New" w:cs="Courier New" w:eastAsia="Courier New" w:hAnsi="Courier New"/>
          <w:sz w:val="15"/>
          <w:szCs w:val="15"/>
          <w:color w:val="auto"/>
        </w:rPr>
        <w:t>$(298.5) $651.9 ======= ====== ======= ======</w:t>
      </w:r>
    </w:p>
    <w:p>
      <w:pPr>
        <w:spacing w:after="0" w:line="5" w:lineRule="exact"/>
        <w:rPr>
          <w:sz w:val="20"/>
          <w:szCs w:val="20"/>
          <w:color w:val="auto"/>
        </w:rPr>
      </w:pPr>
    </w:p>
    <w:p>
      <w:pPr>
        <w:jc w:val="center"/>
        <w:ind w:right="5915"/>
        <w:spacing w:after="0"/>
        <w:rPr>
          <w:sz w:val="20"/>
          <w:szCs w:val="20"/>
          <w:color w:val="auto"/>
        </w:rPr>
      </w:pPr>
      <w:r>
        <w:rPr>
          <w:rFonts w:ascii="Courier New" w:cs="Courier New" w:eastAsia="Courier New" w:hAnsi="Courier New"/>
          <w:sz w:val="16"/>
          <w:szCs w:val="16"/>
          <w:color w:val="auto"/>
        </w:rPr>
        <w:t>Basic weighted average number of common</w:t>
      </w:r>
    </w:p>
    <w:p>
      <w:pPr>
        <w:ind w:left="1864"/>
        <w:spacing w:after="0"/>
        <w:rPr>
          <w:sz w:val="20"/>
          <w:szCs w:val="20"/>
          <w:color w:val="auto"/>
        </w:rPr>
      </w:pPr>
      <w:r>
        <w:rPr>
          <w:rFonts w:ascii="Courier New" w:cs="Courier New" w:eastAsia="Courier New" w:hAnsi="Courier New"/>
          <w:sz w:val="16"/>
          <w:szCs w:val="16"/>
          <w:color w:val="auto"/>
        </w:rPr>
        <w:t>shares</w:t>
      </w:r>
    </w:p>
    <w:p>
      <w:pPr>
        <w:ind w:left="4"/>
        <w:spacing w:after="0" w:line="237" w:lineRule="auto"/>
        <w:rPr>
          <w:sz w:val="20"/>
          <w:szCs w:val="20"/>
          <w:color w:val="auto"/>
        </w:rPr>
      </w:pPr>
      <w:r>
        <w:rPr>
          <w:rFonts w:ascii="Courier New" w:cs="Courier New" w:eastAsia="Courier New" w:hAnsi="Courier New"/>
          <w:sz w:val="16"/>
          <w:szCs w:val="16"/>
          <w:color w:val="auto"/>
        </w:rPr>
        <w:t>outstanding...................................</w:t>
      </w:r>
    </w:p>
    <w:p>
      <w:pPr>
        <w:ind w:left="84"/>
        <w:spacing w:after="0"/>
        <w:rPr>
          <w:sz w:val="20"/>
          <w:szCs w:val="20"/>
          <w:color w:val="auto"/>
        </w:rPr>
      </w:pPr>
      <w:r>
        <w:rPr>
          <w:rFonts w:ascii="Courier New" w:cs="Courier New" w:eastAsia="Courier New" w:hAnsi="Courier New"/>
          <w:sz w:val="16"/>
          <w:szCs w:val="16"/>
          <w:color w:val="auto"/>
        </w:rPr>
        <w:t>952.3 951.1 951.9 948.2 Dilutive securities:</w:t>
      </w:r>
    </w:p>
    <w:p>
      <w:pPr>
        <w:ind w:left="744"/>
        <w:spacing w:after="0" w:line="238" w:lineRule="auto"/>
        <w:rPr>
          <w:sz w:val="20"/>
          <w:szCs w:val="20"/>
          <w:color w:val="auto"/>
        </w:rPr>
      </w:pPr>
      <w:r>
        <w:rPr>
          <w:rFonts w:ascii="Courier New" w:cs="Courier New" w:eastAsia="Courier New" w:hAnsi="Courier New"/>
          <w:sz w:val="16"/>
          <w:szCs w:val="16"/>
          <w:color w:val="auto"/>
        </w:rPr>
        <w:t>Series B convertible preferred</w:t>
      </w:r>
    </w:p>
    <w:p>
      <w:pPr>
        <w:ind w:left="464"/>
        <w:spacing w:after="0"/>
        <w:rPr>
          <w:sz w:val="20"/>
          <w:szCs w:val="20"/>
          <w:color w:val="auto"/>
        </w:rPr>
      </w:pPr>
      <w:r>
        <w:rPr>
          <w:rFonts w:ascii="Courier New" w:cs="Courier New" w:eastAsia="Courier New" w:hAnsi="Courier New"/>
          <w:sz w:val="16"/>
          <w:szCs w:val="16"/>
          <w:color w:val="auto"/>
        </w:rPr>
        <w:t>stock.......... 2.1 Stock option and</w:t>
      </w:r>
    </w:p>
    <w:p>
      <w:pPr>
        <w:ind w:left="44"/>
        <w:spacing w:after="0" w:line="238" w:lineRule="auto"/>
        <w:rPr>
          <w:sz w:val="20"/>
          <w:szCs w:val="20"/>
          <w:color w:val="auto"/>
        </w:rPr>
      </w:pPr>
      <w:r>
        <w:rPr>
          <w:rFonts w:ascii="Courier New" w:cs="Courier New" w:eastAsia="Courier New" w:hAnsi="Courier New"/>
          <w:sz w:val="16"/>
          <w:szCs w:val="16"/>
          <w:color w:val="auto"/>
        </w:rPr>
        <w:t>restricted stock plans....... 14.5 15.0 -----</w:t>
      </w:r>
    </w:p>
    <w:p>
      <w:pPr>
        <w:spacing w:after="0" w:line="4" w:lineRule="exact"/>
        <w:rPr>
          <w:sz w:val="20"/>
          <w:szCs w:val="20"/>
          <w:color w:val="auto"/>
        </w:rPr>
      </w:pPr>
    </w:p>
    <w:p>
      <w:pPr>
        <w:ind w:left="704" w:right="6139" w:hanging="474"/>
        <w:spacing w:after="0" w:line="254" w:lineRule="auto"/>
        <w:tabs>
          <w:tab w:leader="none" w:pos="516"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Diluted weighted average number of common shares</w:t>
      </w:r>
    </w:p>
    <w:p>
      <w:pPr>
        <w:ind w:left="4"/>
        <w:spacing w:after="0" w:line="234" w:lineRule="auto"/>
        <w:rPr>
          <w:sz w:val="20"/>
          <w:szCs w:val="20"/>
          <w:color w:val="auto"/>
        </w:rPr>
      </w:pPr>
      <w:r>
        <w:rPr>
          <w:rFonts w:ascii="Courier New" w:cs="Courier New" w:eastAsia="Courier New" w:hAnsi="Courier New"/>
          <w:sz w:val="16"/>
          <w:szCs w:val="16"/>
          <w:color w:val="auto"/>
        </w:rPr>
        <w:t>outstanding...................................</w:t>
      </w:r>
    </w:p>
    <w:p>
      <w:pPr>
        <w:jc w:val="center"/>
        <w:ind w:right="5915"/>
        <w:spacing w:after="0"/>
        <w:rPr>
          <w:sz w:val="20"/>
          <w:szCs w:val="20"/>
          <w:color w:val="auto"/>
        </w:rPr>
      </w:pPr>
      <w:r>
        <w:rPr>
          <w:rFonts w:ascii="Courier New" w:cs="Courier New" w:eastAsia="Courier New" w:hAnsi="Courier New"/>
          <w:sz w:val="16"/>
          <w:szCs w:val="16"/>
          <w:color w:val="auto"/>
        </w:rPr>
        <w:t>952.3 965.6 951.9 965.3 ======= ======</w:t>
      </w:r>
    </w:p>
    <w:p>
      <w:pPr>
        <w:ind w:left="144"/>
        <w:spacing w:after="0" w:line="238" w:lineRule="auto"/>
        <w:rPr>
          <w:sz w:val="20"/>
          <w:szCs w:val="20"/>
          <w:color w:val="auto"/>
        </w:rPr>
      </w:pPr>
      <w:r>
        <w:rPr>
          <w:rFonts w:ascii="Courier New" w:cs="Courier New" w:eastAsia="Courier New" w:hAnsi="Courier New"/>
          <w:sz w:val="16"/>
          <w:szCs w:val="16"/>
          <w:color w:val="auto"/>
        </w:rPr>
        <w:t>======= ====== Diluted income (loss) before</w:t>
      </w:r>
    </w:p>
    <w:p>
      <w:pPr>
        <w:ind w:left="184"/>
        <w:spacing w:after="0"/>
        <w:rPr>
          <w:sz w:val="20"/>
          <w:szCs w:val="20"/>
          <w:color w:val="auto"/>
        </w:rPr>
      </w:pPr>
      <w:r>
        <w:rPr>
          <w:rFonts w:ascii="Courier New" w:cs="Courier New" w:eastAsia="Courier New" w:hAnsi="Courier New"/>
          <w:sz w:val="16"/>
          <w:szCs w:val="16"/>
          <w:color w:val="auto"/>
        </w:rPr>
        <w:t>cumulative effect of accounting change per</w:t>
      </w:r>
    </w:p>
    <w:tbl>
      <w:tblPr>
        <w:tblLayout w:type="fixed"/>
        <w:tblInd w:w="4" w:type="dxa"/>
        <w:tblCellMar>
          <w:top w:w="0" w:type="dxa"/>
          <w:left w:w="0" w:type="dxa"/>
          <w:bottom w:w="0" w:type="dxa"/>
          <w:right w:w="0" w:type="dxa"/>
        </w:tblCellMar>
      </w:tblPr>
      <w:tr>
        <w:trPr>
          <w:trHeight w:val="180"/>
        </w:trPr>
        <w:tc>
          <w:tcPr>
            <w:tcW w:w="2360" w:type="dxa"/>
            <w:vAlign w:val="bottom"/>
            <w:gridSpan w:val="2"/>
          </w:tcPr>
          <w:p>
            <w:pPr>
              <w:ind w:left="320"/>
              <w:spacing w:after="0" w:line="180" w:lineRule="exact"/>
              <w:rPr>
                <w:sz w:val="20"/>
                <w:szCs w:val="20"/>
                <w:color w:val="auto"/>
              </w:rPr>
            </w:pPr>
            <w:r>
              <w:rPr>
                <w:rFonts w:ascii="Courier New" w:cs="Courier New" w:eastAsia="Courier New" w:hAnsi="Courier New"/>
                <w:sz w:val="16"/>
                <w:szCs w:val="16"/>
                <w:color w:val="auto"/>
              </w:rPr>
              <w:t>common share.........</w:t>
            </w:r>
          </w:p>
        </w:tc>
        <w:tc>
          <w:tcPr>
            <w:tcW w:w="3680" w:type="dxa"/>
            <w:vAlign w:val="bottom"/>
          </w:tcPr>
          <w:p>
            <w:pPr>
              <w:ind w:left="20"/>
              <w:spacing w:after="0" w:line="180" w:lineRule="exact"/>
              <w:rPr>
                <w:sz w:val="20"/>
                <w:szCs w:val="20"/>
                <w:color w:val="auto"/>
              </w:rPr>
            </w:pPr>
            <w:r>
              <w:rPr>
                <w:rFonts w:ascii="Courier New" w:cs="Courier New" w:eastAsia="Courier New" w:hAnsi="Courier New"/>
                <w:sz w:val="16"/>
                <w:szCs w:val="16"/>
                <w:color w:val="auto"/>
              </w:rPr>
              <w:t>$ (0.22) $ 0.04 $</w:t>
            </w:r>
          </w:p>
        </w:tc>
        <w:tc>
          <w:tcPr>
            <w:tcW w:w="1460" w:type="dxa"/>
            <w:vAlign w:val="bottom"/>
          </w:tcPr>
          <w:p>
            <w:pPr>
              <w:spacing w:after="0"/>
              <w:rPr>
                <w:sz w:val="15"/>
                <w:szCs w:val="15"/>
                <w:color w:val="auto"/>
              </w:rPr>
            </w:pPr>
          </w:p>
        </w:tc>
      </w:tr>
      <w:tr>
        <w:trPr>
          <w:trHeight w:val="180"/>
        </w:trPr>
        <w:tc>
          <w:tcPr>
            <w:tcW w:w="60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(0.31) $ 0.67 ======= ====== ======= ======</w:t>
            </w:r>
          </w:p>
        </w:tc>
        <w:tc>
          <w:tcPr>
            <w:tcW w:w="1460" w:type="dxa"/>
            <w:vAlign w:val="bottom"/>
          </w:tcPr>
          <w:p>
            <w:pPr>
              <w:spacing w:after="0"/>
              <w:rPr>
                <w:sz w:val="15"/>
                <w:szCs w:val="15"/>
                <w:color w:val="auto"/>
              </w:rPr>
            </w:pPr>
          </w:p>
        </w:tc>
      </w:tr>
      <w:tr>
        <w:trPr>
          <w:trHeight w:val="541"/>
        </w:trPr>
        <w:tc>
          <w:tcPr>
            <w:tcW w:w="23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Potentially dilutive</w:t>
            </w:r>
          </w:p>
        </w:tc>
        <w:tc>
          <w:tcPr>
            <w:tcW w:w="51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securities related to the Company's Zero Coupon</w:t>
            </w:r>
          </w:p>
        </w:tc>
      </w:tr>
      <w:tr>
        <w:trPr>
          <w:trHeight w:val="180"/>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w w:val="97"/>
              </w:rPr>
              <w:t>Debentures, stock options</w:t>
            </w:r>
          </w:p>
        </w:tc>
        <w:tc>
          <w:tcPr>
            <w:tcW w:w="3680" w:type="dxa"/>
            <w:vAlign w:val="bottom"/>
          </w:tcPr>
          <w:p>
            <w:pPr>
              <w:ind w:left="80"/>
              <w:spacing w:after="0"/>
              <w:rPr>
                <w:sz w:val="20"/>
                <w:szCs w:val="20"/>
                <w:color w:val="auto"/>
              </w:rPr>
            </w:pPr>
            <w:r>
              <w:rPr>
                <w:rFonts w:ascii="Courier New" w:cs="Courier New" w:eastAsia="Courier New" w:hAnsi="Courier New"/>
                <w:sz w:val="16"/>
                <w:szCs w:val="16"/>
                <w:color w:val="auto"/>
                <w:w w:val="98"/>
              </w:rPr>
              <w:t>and restricted stock plans (see below)</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were excluded</w:t>
            </w:r>
          </w:p>
        </w:tc>
      </w:tr>
      <w:tr>
        <w:trPr>
          <w:trHeight w:val="180"/>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w w:val="97"/>
              </w:rPr>
              <w:t>from the computation of Diluted EPS for the three and six months</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ended June 30,</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2002 because their</w:t>
            </w: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effect</w:t>
            </w:r>
          </w:p>
        </w:tc>
        <w:tc>
          <w:tcPr>
            <w:tcW w:w="51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on loss per common share was antidilutive.</w:t>
            </w:r>
          </w:p>
        </w:tc>
      </w:tr>
      <w:tr>
        <w:trPr>
          <w:trHeight w:val="361"/>
        </w:trPr>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rPr>
              <w:t>The Company's</w:t>
            </w:r>
          </w:p>
        </w:tc>
        <w:tc>
          <w:tcPr>
            <w:tcW w:w="5720" w:type="dxa"/>
            <w:vAlign w:val="bottom"/>
            <w:gridSpan w:val="3"/>
          </w:tcPr>
          <w:p>
            <w:pPr>
              <w:spacing w:after="0"/>
              <w:rPr>
                <w:sz w:val="20"/>
                <w:szCs w:val="20"/>
                <w:color w:val="auto"/>
              </w:rPr>
            </w:pPr>
            <w:r>
              <w:rPr>
                <w:rFonts w:ascii="Courier New" w:cs="Courier New" w:eastAsia="Courier New" w:hAnsi="Courier New"/>
                <w:sz w:val="16"/>
                <w:szCs w:val="16"/>
                <w:color w:val="auto"/>
                <w:w w:val="97"/>
              </w:rPr>
              <w:t>Zero Coupon Convertible Debentures due 2020 (the "Zero Coupon</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Debentures" -- see</w:t>
            </w:r>
          </w:p>
        </w:tc>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w w:val="98"/>
              </w:rPr>
              <w:t>Note 7) may be converted at any time prior to</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w w:val="95"/>
              </w:rPr>
              <w:t>maturity if the</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closing sale price</w:t>
            </w: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of the</w:t>
            </w:r>
          </w:p>
        </w:tc>
        <w:tc>
          <w:tcPr>
            <w:tcW w:w="3680" w:type="dxa"/>
            <w:vAlign w:val="bottom"/>
          </w:tcPr>
          <w:p>
            <w:pPr>
              <w:ind w:left="80"/>
              <w:spacing w:after="0"/>
              <w:rPr>
                <w:sz w:val="20"/>
                <w:szCs w:val="20"/>
                <w:color w:val="auto"/>
              </w:rPr>
            </w:pPr>
            <w:r>
              <w:rPr>
                <w:rFonts w:ascii="Courier New" w:cs="Courier New" w:eastAsia="Courier New" w:hAnsi="Courier New"/>
                <w:sz w:val="16"/>
                <w:szCs w:val="16"/>
                <w:color w:val="auto"/>
                <w:w w:val="98"/>
              </w:rPr>
              <w:t>Company's Class A Special Common Stock</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w w:val="95"/>
              </w:rPr>
              <w:t>is greater than</w:t>
            </w:r>
          </w:p>
        </w:tc>
      </w:tr>
    </w:tbl>
    <w:p>
      <w:pPr>
        <w:spacing w:after="0" w:line="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110% of the accreted conversion price (as defined). Diluted EPS for the three months ended June 30, 2002 and 2001 and for the six months ended June 30, 2002 and 2001, respectively, excludes approximately 19.8 million, 21.1 million, 19.8 million and 21.1 million potential common shares related to the Zero Coupon Debentures, respectively, as the weighted average closing sale price of the Company's Class A Special Common Stock was not greater than 110% of the accreted conversion price.</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Diluted EPS for the three and six months ended June 30, 2002 excludes approximately 64.7 million and 63.7 million potential common shares related to the Company's stock option and restricted stock plans because the assumed issuance of such potential common shares is antidilutive in periods in which there is a loss. Diluted EPS for the three and six months ended June 30, 2001 excludes approximately 2.3 million and 2.1 million potential common shares, respectively, related to the Company's stock option plans because the option exercise price was greater than the average market price of the Company's common stock for the period.</w:t>
      </w:r>
    </w:p>
    <w:p>
      <w:pPr>
        <w:spacing w:after="0" w:line="186" w:lineRule="exact"/>
        <w:rPr>
          <w:sz w:val="20"/>
          <w:szCs w:val="20"/>
          <w:color w:val="auto"/>
        </w:rPr>
      </w:pPr>
    </w:p>
    <w:p>
      <w:pPr>
        <w:ind w:left="184" w:right="5539" w:hanging="184"/>
        <w:spacing w:after="0" w:line="509" w:lineRule="auto"/>
        <w:tabs>
          <w:tab w:leader="none" w:pos="371"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 AGREEMENT AND PLAN OF MERGER WITH AT&amp;T BROADBAND</w:t>
      </w:r>
    </w:p>
    <w:p>
      <w:pPr>
        <w:spacing w:after="0" w:line="1"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F-134</w:t>
      </w:r>
    </w:p>
    <w:p>
      <w:pPr>
        <w:sectPr>
          <w:pgSz w:w="11900" w:h="16838" w:orient="portrait"/>
          <w:cols w:equalWidth="0" w:num="1">
            <w:col w:w="10223"/>
          </w:cols>
          <w:pgMar w:left="236" w:top="473" w:right="1440" w:bottom="1440" w:gutter="0" w:footer="0" w:header="0"/>
        </w:sectPr>
      </w:pPr>
    </w:p>
    <w:bookmarkStart w:id="325" w:name="page326"/>
    <w:bookmarkEnd w:id="325"/>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Broadband") that AT&amp;T will spin off to its shareholders immediately prior to the combination. As of June 30, 2002, AT&amp;T Broadband served approximately 13.3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Excluding AT&amp;T Broadband's exchangeable notes, which are mandatorily redeemable at AT&amp;T Broadband's option into shares of certain publicly traded companies held by AT&amp;T Broadband, the Company currently estimates that the combined company will require approximately $20 billion of assumed, refinanced and new indebtedness upon completion of the AT&amp;T Broadband transaction. For each share of a class of common stock of Comcast that they hold at the time of the merger, each Comcast shareholder will receive one share of a corresponding class of stock of the combined company. The Company expects that the transaction will qualify as tax-free to both the Company and to AT&amp;T. The Company will account for the transaction as an acquisition under the purchase method of accounting, with the Company as the acquiring entity. Consideration of facts and circumstances leading to the identification of the Company as the acquiring entity is described in Note 5 to the financial statements included in the Company's Annual Report on Form 10-K for the year ended December 31, 2001. On July 10, 2002, shareholders of both the Company and AT&amp;T approved the transaction. The transaction is subject to customary closing conditions and regulatory and other approvals. The Company expects to close the transaction by the end of 2002.</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UNAUDITED PRO FORMA INFORMATION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made by the Company in 2001 each occurred on January 1, 2001. For a discussion of the Company's 2001 acquisitions, refer to the financial statements included in the Company's Annual Report on Form 10-K for the year ended December 31, 2001. This information is based on historical results of operations and has been adjusted for acquisition costs. This information is not necessarily indicative of what the results would have been had the Company operated the entities acquired since January 1, 2001.</w:t>
      </w:r>
    </w:p>
    <w:p>
      <w:pPr>
        <w:spacing w:after="0" w:line="180"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(AMOUNTS IN MILLIONS, EXCEPT PER SHARE DATA) SIX MONTHS</w:t>
      </w:r>
    </w:p>
    <w:p>
      <w:pPr>
        <w:ind w:left="1120"/>
        <w:spacing w:after="0"/>
        <w:rPr>
          <w:sz w:val="20"/>
          <w:szCs w:val="20"/>
          <w:color w:val="auto"/>
        </w:rPr>
      </w:pPr>
      <w:r>
        <w:rPr>
          <w:rFonts w:ascii="Courier New" w:cs="Courier New" w:eastAsia="Courier New" w:hAnsi="Courier New"/>
          <w:sz w:val="16"/>
          <w:szCs w:val="16"/>
          <w:color w:val="auto"/>
        </w:rPr>
        <w:t>ENDED JUNE 30, 2001 ----------------</w:t>
      </w:r>
    </w:p>
    <w:p>
      <w:pPr>
        <w:spacing w:after="0" w:line="237" w:lineRule="auto"/>
        <w:rPr>
          <w:sz w:val="20"/>
          <w:szCs w:val="20"/>
          <w:color w:val="auto"/>
        </w:rPr>
      </w:pPr>
      <w:r>
        <w:rPr>
          <w:rFonts w:ascii="Courier New" w:cs="Courier New" w:eastAsia="Courier New" w:hAnsi="Courier New"/>
          <w:sz w:val="16"/>
          <w:szCs w:val="16"/>
          <w:color w:val="auto"/>
        </w:rPr>
        <w:t>Revenues....................................................</w:t>
      </w:r>
    </w:p>
    <w:p>
      <w:pPr>
        <w:jc w:val="center"/>
        <w:ind w:right="4599"/>
        <w:spacing w:after="0"/>
        <w:rPr>
          <w:sz w:val="20"/>
          <w:szCs w:val="20"/>
          <w:color w:val="auto"/>
        </w:rPr>
      </w:pPr>
      <w:r>
        <w:rPr>
          <w:rFonts w:ascii="Courier New" w:cs="Courier New" w:eastAsia="Courier New" w:hAnsi="Courier New"/>
          <w:sz w:val="16"/>
          <w:szCs w:val="16"/>
          <w:color w:val="auto"/>
        </w:rPr>
        <w:t>$4,806.1 Income before cumulative effect of accounting</w:t>
      </w:r>
    </w:p>
    <w:p>
      <w:pPr>
        <w:jc w:val="center"/>
        <w:ind w:right="4599"/>
        <w:spacing w:after="0" w:line="238" w:lineRule="auto"/>
        <w:rPr>
          <w:sz w:val="20"/>
          <w:szCs w:val="20"/>
          <w:color w:val="auto"/>
        </w:rPr>
      </w:pPr>
      <w:r>
        <w:rPr>
          <w:rFonts w:ascii="Courier New" w:cs="Courier New" w:eastAsia="Courier New" w:hAnsi="Courier New"/>
          <w:sz w:val="16"/>
          <w:szCs w:val="16"/>
          <w:color w:val="auto"/>
        </w:rPr>
        <w:t>change........ $ 605.9 Net</w:t>
      </w:r>
    </w:p>
    <w:p>
      <w:pPr>
        <w:jc w:val="center"/>
        <w:ind w:right="4599"/>
        <w:spacing w:after="0"/>
        <w:rPr>
          <w:sz w:val="20"/>
          <w:szCs w:val="20"/>
          <w:color w:val="auto"/>
        </w:rPr>
      </w:pPr>
      <w:r>
        <w:rPr>
          <w:rFonts w:ascii="Courier New" w:cs="Courier New" w:eastAsia="Courier New" w:hAnsi="Courier New"/>
          <w:sz w:val="16"/>
          <w:szCs w:val="16"/>
          <w:color w:val="auto"/>
        </w:rPr>
        <w:t>income.................................................. $</w:t>
      </w:r>
    </w:p>
    <w:p>
      <w:pPr>
        <w:jc w:val="center"/>
        <w:ind w:right="4599"/>
        <w:spacing w:after="0" w:line="238" w:lineRule="auto"/>
        <w:rPr>
          <w:sz w:val="20"/>
          <w:szCs w:val="20"/>
          <w:color w:val="auto"/>
        </w:rPr>
      </w:pPr>
      <w:r>
        <w:rPr>
          <w:rFonts w:ascii="Courier New" w:cs="Courier New" w:eastAsia="Courier New" w:hAnsi="Courier New"/>
          <w:sz w:val="16"/>
          <w:szCs w:val="16"/>
          <w:color w:val="auto"/>
        </w:rPr>
        <w:t>990.4 Diluted</w:t>
      </w:r>
    </w:p>
    <w:p>
      <w:pPr>
        <w:spacing w:after="0" w:line="4"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EPS................................................. $ 1.03</w:t>
      </w:r>
    </w:p>
    <w:p>
      <w:pPr>
        <w:spacing w:after="0" w:line="3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 INCOME (EXPENSE)</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(expense) a pre-tax gain of $1.199 billion, representing the difference between the estimated fair value of $1.799 billion as of the closing date of the transaction and the Company's cost basis in the systems exchanged (see Note 9).</w:t>
      </w:r>
    </w:p>
    <w:p>
      <w:pPr>
        <w:spacing w:after="0" w:line="16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F-135</w:t>
      </w:r>
    </w:p>
    <w:p>
      <w:pPr>
        <w:sectPr>
          <w:pgSz w:w="11900" w:h="16838" w:orient="portrait"/>
          <w:cols w:equalWidth="0" w:num="1">
            <w:col w:w="10219"/>
          </w:cols>
          <w:pgMar w:left="240" w:top="473" w:right="1440" w:bottom="1440" w:gutter="0" w:footer="0" w:header="0"/>
        </w:sectPr>
      </w:pPr>
    </w:p>
    <w:bookmarkStart w:id="326" w:name="page327"/>
    <w:bookmarkEnd w:id="326"/>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384" w:hanging="384"/>
        <w:spacing w:after="0"/>
        <w:tabs>
          <w:tab w:leader="none" w:pos="384"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79" w:lineRule="exact"/>
        <w:rPr>
          <w:sz w:val="20"/>
          <w:szCs w:val="20"/>
          <w:color w:val="auto"/>
        </w:rPr>
      </w:pPr>
    </w:p>
    <w:p>
      <w:pPr>
        <w:ind w:left="224"/>
        <w:spacing w:after="0"/>
        <w:rPr>
          <w:sz w:val="20"/>
          <w:szCs w:val="20"/>
          <w:color w:val="auto"/>
        </w:rPr>
      </w:pPr>
      <w:r>
        <w:rPr>
          <w:rFonts w:ascii="Courier New" w:cs="Courier New" w:eastAsia="Courier New" w:hAnsi="Courier New"/>
          <w:sz w:val="16"/>
          <w:szCs w:val="16"/>
          <w:color w:val="auto"/>
        </w:rPr>
        <w:t>JUNE 30, DECEMBER 31, 2002 2001 -------- ------------</w:t>
      </w:r>
    </w:p>
    <w:p>
      <w:pPr>
        <w:jc w:val="center"/>
        <w:ind w:right="4775"/>
        <w:spacing w:after="0"/>
        <w:rPr>
          <w:sz w:val="20"/>
          <w:szCs w:val="20"/>
          <w:color w:val="auto"/>
        </w:rPr>
      </w:pPr>
      <w:r>
        <w:rPr>
          <w:rFonts w:ascii="Courier New" w:cs="Courier New" w:eastAsia="Courier New" w:hAnsi="Courier New"/>
          <w:sz w:val="16"/>
          <w:szCs w:val="16"/>
          <w:color w:val="auto"/>
        </w:rPr>
        <w:t>(DOLLARS IN MILLIONS) Fair value method AT&amp;T Corp.</w:t>
      </w:r>
    </w:p>
    <w:p>
      <w:pPr>
        <w:ind w:left="144"/>
        <w:spacing w:after="0" w:line="237" w:lineRule="auto"/>
        <w:rPr>
          <w:sz w:val="20"/>
          <w:szCs w:val="20"/>
          <w:color w:val="auto"/>
        </w:rPr>
      </w:pPr>
      <w:r>
        <w:rPr>
          <w:rFonts w:ascii="Courier New" w:cs="Courier New" w:eastAsia="Courier New" w:hAnsi="Courier New"/>
          <w:sz w:val="16"/>
          <w:szCs w:val="16"/>
          <w:color w:val="auto"/>
        </w:rPr>
        <w:t>............................................... $ 444.2</w:t>
      </w:r>
    </w:p>
    <w:p>
      <w:pPr>
        <w:ind w:left="1544"/>
        <w:spacing w:after="0"/>
        <w:rPr>
          <w:sz w:val="20"/>
          <w:szCs w:val="20"/>
          <w:color w:val="auto"/>
        </w:rPr>
      </w:pPr>
      <w:r>
        <w:rPr>
          <w:rFonts w:ascii="Courier New" w:cs="Courier New" w:eastAsia="Courier New" w:hAnsi="Courier New"/>
          <w:sz w:val="16"/>
          <w:szCs w:val="16"/>
          <w:color w:val="auto"/>
        </w:rPr>
        <w:t>$1,514.9 Sprint Corp. PCS</w:t>
      </w:r>
    </w:p>
    <w:p>
      <w:pPr>
        <w:ind w:left="144"/>
        <w:spacing w:after="0" w:line="238" w:lineRule="auto"/>
        <w:rPr>
          <w:sz w:val="20"/>
          <w:szCs w:val="20"/>
          <w:color w:val="auto"/>
        </w:rPr>
      </w:pPr>
      <w:r>
        <w:rPr>
          <w:rFonts w:ascii="Courier New" w:cs="Courier New" w:eastAsia="Courier New" w:hAnsi="Courier New"/>
          <w:sz w:val="16"/>
          <w:szCs w:val="16"/>
          <w:color w:val="auto"/>
        </w:rPr>
        <w:t>Group.................................... 758.2 2,109.5</w:t>
      </w:r>
    </w:p>
    <w:p>
      <w:pPr>
        <w:ind w:left="4"/>
        <w:spacing w:after="0"/>
        <w:rPr>
          <w:sz w:val="20"/>
          <w:szCs w:val="20"/>
          <w:color w:val="auto"/>
        </w:rPr>
      </w:pPr>
      <w:r>
        <w:rPr>
          <w:rFonts w:ascii="Courier New" w:cs="Courier New" w:eastAsia="Courier New" w:hAnsi="Courier New"/>
          <w:sz w:val="16"/>
          <w:szCs w:val="16"/>
          <w:color w:val="auto"/>
        </w:rPr>
        <w:t>Other.....................................................</w:t>
      </w:r>
    </w:p>
    <w:p>
      <w:pPr>
        <w:ind w:left="364"/>
        <w:spacing w:after="0" w:line="238" w:lineRule="auto"/>
        <w:rPr>
          <w:sz w:val="20"/>
          <w:szCs w:val="20"/>
          <w:color w:val="auto"/>
        </w:rPr>
      </w:pPr>
      <w:r>
        <w:rPr>
          <w:rFonts w:ascii="Courier New" w:cs="Courier New" w:eastAsia="Courier New" w:hAnsi="Courier New"/>
          <w:sz w:val="16"/>
          <w:szCs w:val="16"/>
          <w:color w:val="auto"/>
        </w:rPr>
        <w:t>100.8 227.2 -------- -------- 1,303.2 3,851.6 Cost</w:t>
      </w:r>
    </w:p>
    <w:p>
      <w:pPr>
        <w:ind w:left="144"/>
        <w:spacing w:after="0"/>
        <w:rPr>
          <w:sz w:val="20"/>
          <w:szCs w:val="20"/>
          <w:color w:val="auto"/>
        </w:rPr>
      </w:pPr>
      <w:r>
        <w:rPr>
          <w:rFonts w:ascii="Courier New" w:cs="Courier New" w:eastAsia="Courier New" w:hAnsi="Courier New"/>
          <w:sz w:val="16"/>
          <w:szCs w:val="16"/>
          <w:color w:val="auto"/>
        </w:rPr>
        <w:t>method.................................................</w:t>
      </w:r>
    </w:p>
    <w:p>
      <w:pPr>
        <w:ind w:left="1864"/>
        <w:spacing w:after="0" w:line="237" w:lineRule="auto"/>
        <w:rPr>
          <w:sz w:val="20"/>
          <w:szCs w:val="20"/>
          <w:color w:val="auto"/>
        </w:rPr>
      </w:pPr>
      <w:r>
        <w:rPr>
          <w:rFonts w:ascii="Courier New" w:cs="Courier New" w:eastAsia="Courier New" w:hAnsi="Courier New"/>
          <w:sz w:val="16"/>
          <w:szCs w:val="16"/>
          <w:color w:val="auto"/>
        </w:rPr>
        <w:t>128.3 143.6 Equity</w:t>
      </w:r>
    </w:p>
    <w:p>
      <w:pPr>
        <w:ind w:left="224"/>
        <w:spacing w:after="0"/>
        <w:rPr>
          <w:sz w:val="20"/>
          <w:szCs w:val="20"/>
          <w:color w:val="auto"/>
        </w:rPr>
      </w:pPr>
      <w:r>
        <w:rPr>
          <w:rFonts w:ascii="Courier New" w:cs="Courier New" w:eastAsia="Courier New" w:hAnsi="Courier New"/>
          <w:sz w:val="16"/>
          <w:szCs w:val="16"/>
          <w:color w:val="auto"/>
        </w:rPr>
        <w:t>method...............................................</w:t>
      </w:r>
    </w:p>
    <w:p>
      <w:pPr>
        <w:ind w:left="1084"/>
        <w:spacing w:after="0" w:line="238" w:lineRule="auto"/>
        <w:rPr>
          <w:sz w:val="20"/>
          <w:szCs w:val="20"/>
          <w:color w:val="auto"/>
        </w:rPr>
      </w:pPr>
      <w:r>
        <w:rPr>
          <w:rFonts w:ascii="Courier New" w:cs="Courier New" w:eastAsia="Courier New" w:hAnsi="Courier New"/>
          <w:sz w:val="16"/>
          <w:szCs w:val="16"/>
          <w:color w:val="auto"/>
        </w:rPr>
        <w:t>353.7 307.2 -------- -------- Total</w:t>
      </w:r>
    </w:p>
    <w:p>
      <w:pPr>
        <w:ind w:left="284"/>
        <w:spacing w:after="0"/>
        <w:rPr>
          <w:sz w:val="20"/>
          <w:szCs w:val="20"/>
          <w:color w:val="auto"/>
        </w:rPr>
      </w:pPr>
      <w:r>
        <w:rPr>
          <w:rFonts w:ascii="Courier New" w:cs="Courier New" w:eastAsia="Courier New" w:hAnsi="Courier New"/>
          <w:sz w:val="16"/>
          <w:szCs w:val="16"/>
          <w:color w:val="auto"/>
        </w:rPr>
        <w:t>investments.........................................</w:t>
      </w:r>
    </w:p>
    <w:p>
      <w:pPr>
        <w:ind w:left="1364"/>
        <w:spacing w:after="0" w:line="238" w:lineRule="auto"/>
        <w:rPr>
          <w:sz w:val="20"/>
          <w:szCs w:val="20"/>
          <w:color w:val="auto"/>
        </w:rPr>
      </w:pPr>
      <w:r>
        <w:rPr>
          <w:rFonts w:ascii="Courier New" w:cs="Courier New" w:eastAsia="Courier New" w:hAnsi="Courier New"/>
          <w:sz w:val="16"/>
          <w:szCs w:val="16"/>
          <w:color w:val="auto"/>
        </w:rPr>
        <w:t>1,785.2 4,302.4 Less, current</w:t>
      </w:r>
    </w:p>
    <w:p>
      <w:pPr>
        <w:ind w:left="184"/>
        <w:spacing w:after="0"/>
        <w:rPr>
          <w:sz w:val="20"/>
          <w:szCs w:val="20"/>
          <w:color w:val="auto"/>
        </w:rPr>
      </w:pPr>
      <w:r>
        <w:rPr>
          <w:rFonts w:ascii="Courier New" w:cs="Courier New" w:eastAsia="Courier New" w:hAnsi="Courier New"/>
          <w:sz w:val="16"/>
          <w:szCs w:val="16"/>
          <w:color w:val="auto"/>
        </w:rPr>
        <w:t>investments................................... 1,057.6</w:t>
      </w:r>
    </w:p>
    <w:p>
      <w:pPr>
        <w:ind w:left="984"/>
        <w:spacing w:after="0" w:line="237" w:lineRule="auto"/>
        <w:rPr>
          <w:sz w:val="20"/>
          <w:szCs w:val="20"/>
          <w:color w:val="auto"/>
        </w:rPr>
      </w:pPr>
      <w:r>
        <w:rPr>
          <w:rFonts w:ascii="Courier New" w:cs="Courier New" w:eastAsia="Courier New" w:hAnsi="Courier New"/>
          <w:sz w:val="16"/>
          <w:szCs w:val="16"/>
          <w:color w:val="auto"/>
        </w:rPr>
        <w:t>2,623.2 -------- -------- Non-current</w:t>
      </w:r>
    </w:p>
    <w:p>
      <w:pPr>
        <w:ind w:left="84"/>
        <w:spacing w:after="0"/>
        <w:rPr>
          <w:sz w:val="20"/>
          <w:szCs w:val="20"/>
          <w:color w:val="auto"/>
        </w:rPr>
      </w:pPr>
      <w:r>
        <w:rPr>
          <w:rFonts w:ascii="Courier New" w:cs="Courier New" w:eastAsia="Courier New" w:hAnsi="Courier New"/>
          <w:sz w:val="16"/>
          <w:szCs w:val="16"/>
          <w:color w:val="auto"/>
        </w:rPr>
        <w:t>investments..................................... $ 727.6</w:t>
      </w:r>
    </w:p>
    <w:p>
      <w:pPr>
        <w:ind w:left="1504"/>
        <w:spacing w:after="0" w:line="238" w:lineRule="auto"/>
        <w:rPr>
          <w:sz w:val="20"/>
          <w:szCs w:val="20"/>
          <w:color w:val="auto"/>
        </w:rPr>
      </w:pPr>
      <w:r>
        <w:rPr>
          <w:rFonts w:ascii="Courier New" w:cs="Courier New" w:eastAsia="Courier New" w:hAnsi="Courier New"/>
          <w:sz w:val="16"/>
          <w:szCs w:val="16"/>
          <w:color w:val="auto"/>
        </w:rPr>
        <w:t>$1,679.2 ======== ========</w:t>
      </w:r>
    </w:p>
    <w:p>
      <w:pPr>
        <w:spacing w:after="0" w:line="36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FAIR VALUE METHOD</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available for sale investments as of June 30, 2002 and December 31, 2001 of $32.4 million and $280.3 million, respectively, have been reported in the Company's balance sheet principally as a component of accumulated other comprehensive income (loss), net of related deferred income taxes of $11.3 million and $95.3 million, respectively.</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cost, fair value and gross unrealized gains and losses related to the</w:t>
      </w:r>
    </w:p>
    <w:p>
      <w:pPr>
        <w:ind w:left="4"/>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179" w:lineRule="exact"/>
        <w:rPr>
          <w:sz w:val="20"/>
          <w:szCs w:val="20"/>
          <w:color w:val="auto"/>
        </w:rPr>
      </w:pPr>
    </w:p>
    <w:p>
      <w:pPr>
        <w:ind w:left="324"/>
        <w:spacing w:after="0"/>
        <w:rPr>
          <w:sz w:val="20"/>
          <w:szCs w:val="20"/>
          <w:color w:val="auto"/>
        </w:rPr>
      </w:pPr>
      <w:r>
        <w:rPr>
          <w:rFonts w:ascii="Courier New" w:cs="Courier New" w:eastAsia="Courier New" w:hAnsi="Courier New"/>
          <w:sz w:val="16"/>
          <w:szCs w:val="16"/>
          <w:color w:val="auto"/>
        </w:rPr>
        <w:t>JUNE 30, DECEMBER 31, 2002 2001 -------- ------------</w:t>
      </w:r>
    </w:p>
    <w:p>
      <w:pPr>
        <w:jc w:val="center"/>
        <w:ind w:right="4595"/>
        <w:spacing w:after="0"/>
        <w:rPr>
          <w:sz w:val="20"/>
          <w:szCs w:val="20"/>
          <w:color w:val="auto"/>
        </w:rPr>
      </w:pPr>
      <w:r>
        <w:rPr>
          <w:rFonts w:ascii="Courier New" w:cs="Courier New" w:eastAsia="Courier New" w:hAnsi="Courier New"/>
          <w:sz w:val="16"/>
          <w:szCs w:val="16"/>
          <w:color w:val="auto"/>
        </w:rPr>
        <w:t>(DOLLARS IN MILLIONS)</w:t>
      </w:r>
    </w:p>
    <w:p>
      <w:pPr>
        <w:spacing w:after="0" w:line="3" w:lineRule="exact"/>
        <w:rPr>
          <w:sz w:val="20"/>
          <w:szCs w:val="20"/>
          <w:color w:val="auto"/>
        </w:rPr>
      </w:pPr>
    </w:p>
    <w:p>
      <w:pPr>
        <w:jc w:val="center"/>
        <w:ind w:right="4595"/>
        <w:spacing w:after="0"/>
        <w:rPr>
          <w:sz w:val="20"/>
          <w:szCs w:val="20"/>
          <w:color w:val="auto"/>
        </w:rPr>
      </w:pPr>
      <w:r>
        <w:rPr>
          <w:rFonts w:ascii="Courier New" w:cs="Courier New" w:eastAsia="Courier New" w:hAnsi="Courier New"/>
          <w:sz w:val="15"/>
          <w:szCs w:val="15"/>
          <w:color w:val="auto"/>
        </w:rPr>
        <w:t>Cost........................................................</w:t>
      </w:r>
    </w:p>
    <w:p>
      <w:pPr>
        <w:spacing w:after="0" w:line="5" w:lineRule="exact"/>
        <w:rPr>
          <w:sz w:val="20"/>
          <w:szCs w:val="20"/>
          <w:color w:val="auto"/>
        </w:rPr>
      </w:pPr>
    </w:p>
    <w:p>
      <w:pPr>
        <w:jc w:val="center"/>
        <w:ind w:right="4595"/>
        <w:spacing w:after="0"/>
        <w:rPr>
          <w:sz w:val="20"/>
          <w:szCs w:val="20"/>
          <w:color w:val="auto"/>
        </w:rPr>
      </w:pPr>
      <w:r>
        <w:rPr>
          <w:rFonts w:ascii="Courier New" w:cs="Courier New" w:eastAsia="Courier New" w:hAnsi="Courier New"/>
          <w:sz w:val="16"/>
          <w:szCs w:val="16"/>
          <w:color w:val="auto"/>
        </w:rPr>
        <w:t>$469.7 $1,355.0 Gross unrealized</w:t>
      </w:r>
    </w:p>
    <w:p>
      <w:pPr>
        <w:jc w:val="center"/>
        <w:ind w:right="4595"/>
        <w:spacing w:after="0"/>
        <w:rPr>
          <w:sz w:val="20"/>
          <w:szCs w:val="20"/>
          <w:color w:val="auto"/>
        </w:rPr>
      </w:pPr>
      <w:r>
        <w:rPr>
          <w:rFonts w:ascii="Courier New" w:cs="Courier New" w:eastAsia="Courier New" w:hAnsi="Courier New"/>
          <w:sz w:val="16"/>
          <w:szCs w:val="16"/>
          <w:color w:val="auto"/>
        </w:rPr>
        <w:t>gains...................................... 33.1 283.2</w:t>
      </w:r>
    </w:p>
    <w:p>
      <w:pPr>
        <w:jc w:val="center"/>
        <w:ind w:right="4595"/>
        <w:spacing w:after="0" w:line="237" w:lineRule="auto"/>
        <w:rPr>
          <w:sz w:val="20"/>
          <w:szCs w:val="20"/>
          <w:color w:val="auto"/>
        </w:rPr>
      </w:pPr>
      <w:r>
        <w:rPr>
          <w:rFonts w:ascii="Courier New" w:cs="Courier New" w:eastAsia="Courier New" w:hAnsi="Courier New"/>
          <w:sz w:val="16"/>
          <w:szCs w:val="16"/>
          <w:color w:val="auto"/>
        </w:rPr>
        <w:t>Gross unrealized</w:t>
      </w:r>
    </w:p>
    <w:p>
      <w:pPr>
        <w:spacing w:after="0" w:line="5" w:lineRule="exact"/>
        <w:rPr>
          <w:sz w:val="20"/>
          <w:szCs w:val="20"/>
          <w:color w:val="auto"/>
        </w:rPr>
      </w:pPr>
    </w:p>
    <w:p>
      <w:pPr>
        <w:jc w:val="center"/>
        <w:ind w:right="4595"/>
        <w:spacing w:after="0"/>
        <w:rPr>
          <w:sz w:val="20"/>
          <w:szCs w:val="20"/>
          <w:color w:val="auto"/>
        </w:rPr>
      </w:pPr>
      <w:r>
        <w:rPr>
          <w:rFonts w:ascii="Courier New" w:cs="Courier New" w:eastAsia="Courier New" w:hAnsi="Courier New"/>
          <w:sz w:val="15"/>
          <w:szCs w:val="15"/>
          <w:color w:val="auto"/>
        </w:rPr>
        <w:t>losses..................................... (0.7) (2.9) ---</w:t>
      </w:r>
    </w:p>
    <w:p>
      <w:pPr>
        <w:spacing w:after="0" w:line="5" w:lineRule="exact"/>
        <w:rPr>
          <w:sz w:val="20"/>
          <w:szCs w:val="20"/>
          <w:color w:val="auto"/>
        </w:rPr>
      </w:pPr>
    </w:p>
    <w:p>
      <w:pPr>
        <w:jc w:val="center"/>
        <w:ind w:right="4595"/>
        <w:spacing w:after="0"/>
        <w:rPr>
          <w:sz w:val="20"/>
          <w:szCs w:val="20"/>
          <w:color w:val="auto"/>
        </w:rPr>
      </w:pPr>
      <w:r>
        <w:rPr>
          <w:rFonts w:ascii="Courier New" w:cs="Courier New" w:eastAsia="Courier New" w:hAnsi="Courier New"/>
          <w:sz w:val="16"/>
          <w:szCs w:val="16"/>
          <w:color w:val="auto"/>
        </w:rPr>
        <w:t>--- -------- Fair</w:t>
      </w:r>
    </w:p>
    <w:p>
      <w:pPr>
        <w:jc w:val="center"/>
        <w:ind w:right="4595"/>
        <w:spacing w:after="0"/>
        <w:rPr>
          <w:sz w:val="20"/>
          <w:szCs w:val="20"/>
          <w:color w:val="auto"/>
        </w:rPr>
      </w:pPr>
      <w:r>
        <w:rPr>
          <w:rFonts w:ascii="Courier New" w:cs="Courier New" w:eastAsia="Courier New" w:hAnsi="Courier New"/>
          <w:sz w:val="16"/>
          <w:szCs w:val="16"/>
          <w:color w:val="auto"/>
        </w:rPr>
        <w:t>value..................................................</w:t>
      </w:r>
    </w:p>
    <w:p>
      <w:pPr>
        <w:jc w:val="center"/>
        <w:ind w:right="4595"/>
        <w:spacing w:after="0" w:line="237" w:lineRule="auto"/>
        <w:rPr>
          <w:sz w:val="20"/>
          <w:szCs w:val="20"/>
          <w:color w:val="auto"/>
        </w:rPr>
      </w:pPr>
      <w:r>
        <w:rPr>
          <w:rFonts w:ascii="Courier New" w:cs="Courier New" w:eastAsia="Courier New" w:hAnsi="Courier New"/>
          <w:sz w:val="16"/>
          <w:szCs w:val="16"/>
          <w:color w:val="auto"/>
        </w:rPr>
        <w:t>$502.1 $1,635.3 ====== ========</w:t>
      </w:r>
    </w:p>
    <w:p>
      <w:pPr>
        <w:spacing w:after="0" w:line="36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DERIVATIVES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securities prices and certain foreign currencies. The Company also invests in businesses, to some degree, through the purchase of equity call option or call warrant agreements. The Company has issued indexed debt instruments and prepaid forward sale agreements whose value, in part, is derived from the market value of Sprint PCS common stock.</w:t>
      </w:r>
    </w:p>
    <w:p>
      <w:pPr>
        <w:spacing w:after="0" w:line="189"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unrealized pre-tax losses on cash flow hedges as of June 30, 2002 and December 31, 2001 of $1.7 million and $0.9 million have been reported in the Company's balance sheet as a component of</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F-136</w:t>
      </w:r>
    </w:p>
    <w:p>
      <w:pPr>
        <w:sectPr>
          <w:pgSz w:w="11900" w:h="16838" w:orient="portrait"/>
          <w:cols w:equalWidth="0" w:num="1">
            <w:col w:w="10223"/>
          </w:cols>
          <w:pgMar w:left="236" w:top="473" w:right="1440" w:bottom="1440" w:gutter="0" w:footer="0" w:header="0"/>
        </w:sectPr>
      </w:pPr>
    </w:p>
    <w:bookmarkStart w:id="327" w:name="page328"/>
    <w:bookmarkEnd w:id="327"/>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accumulated other comprehensive income (loss), net of related deferred income taxes of $0.6 million and $0.3 million, respectively.</w:t>
      </w:r>
    </w:p>
    <w:p>
      <w:pPr>
        <w:spacing w:after="0" w:line="18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INVESTMENT INCOME (EXPENSE)</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Investment income (expense) for the interim periods includes the following (in millions):</w:t>
      </w:r>
    </w:p>
    <w:p>
      <w:pPr>
        <w:spacing w:after="0" w:line="180"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6"/>
          <w:szCs w:val="16"/>
          <w:color w:val="auto"/>
        </w:rPr>
        <w:t>THREE MONTHS ENDED SIX MONTHS ENDED JUNE</w:t>
      </w:r>
    </w:p>
    <w:p>
      <w:pPr>
        <w:spacing w:after="0" w:line="4" w:lineRule="exact"/>
        <w:rPr>
          <w:sz w:val="20"/>
          <w:szCs w:val="20"/>
          <w:color w:val="auto"/>
        </w:rPr>
      </w:pPr>
    </w:p>
    <w:p>
      <w:pPr>
        <w:jc w:val="center"/>
        <w:ind w:right="6195"/>
        <w:spacing w:after="0"/>
        <w:rPr>
          <w:sz w:val="20"/>
          <w:szCs w:val="20"/>
          <w:color w:val="auto"/>
        </w:rPr>
      </w:pPr>
      <w:r>
        <w:rPr>
          <w:rFonts w:ascii="Courier New" w:cs="Courier New" w:eastAsia="Courier New" w:hAnsi="Courier New"/>
          <w:sz w:val="15"/>
          <w:szCs w:val="15"/>
          <w:color w:val="auto"/>
        </w:rPr>
        <w:t>30, JUNE 30, ------------------- ---------</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----------- 2002 2001 2002 2001 -------- -</w:t>
      </w:r>
    </w:p>
    <w:p>
      <w:pPr>
        <w:ind w:left="184"/>
        <w:spacing w:after="0"/>
        <w:rPr>
          <w:sz w:val="20"/>
          <w:szCs w:val="20"/>
          <w:color w:val="auto"/>
        </w:rPr>
      </w:pPr>
      <w:r>
        <w:rPr>
          <w:rFonts w:ascii="Courier New" w:cs="Courier New" w:eastAsia="Courier New" w:hAnsi="Courier New"/>
          <w:sz w:val="16"/>
          <w:szCs w:val="16"/>
          <w:color w:val="auto"/>
        </w:rPr>
        <w:t>------- --------- -------- Interest and</w:t>
      </w:r>
    </w:p>
    <w:p>
      <w:pPr>
        <w:ind w:left="84"/>
        <w:spacing w:after="0" w:line="237" w:lineRule="auto"/>
        <w:rPr>
          <w:sz w:val="20"/>
          <w:szCs w:val="20"/>
          <w:color w:val="auto"/>
        </w:rPr>
      </w:pPr>
      <w:r>
        <w:rPr>
          <w:rFonts w:ascii="Courier New" w:cs="Courier New" w:eastAsia="Courier New" w:hAnsi="Courier New"/>
          <w:sz w:val="16"/>
          <w:szCs w:val="16"/>
          <w:color w:val="auto"/>
        </w:rPr>
        <w:t>dividend income................. $ 10.6 $</w:t>
      </w:r>
    </w:p>
    <w:p>
      <w:pPr>
        <w:ind w:left="44"/>
        <w:spacing w:after="0"/>
        <w:rPr>
          <w:sz w:val="20"/>
          <w:szCs w:val="20"/>
          <w:color w:val="auto"/>
        </w:rPr>
      </w:pPr>
      <w:r>
        <w:rPr>
          <w:rFonts w:ascii="Courier New" w:cs="Courier New" w:eastAsia="Courier New" w:hAnsi="Courier New"/>
          <w:sz w:val="16"/>
          <w:szCs w:val="16"/>
          <w:color w:val="auto"/>
        </w:rPr>
        <w:t>17.4 $ 17.5 $ 35.0 (Losses) gains on sales</w:t>
      </w:r>
    </w:p>
    <w:p>
      <w:pPr>
        <w:ind w:left="664"/>
        <w:spacing w:after="0" w:line="238" w:lineRule="auto"/>
        <w:rPr>
          <w:sz w:val="20"/>
          <w:szCs w:val="20"/>
          <w:color w:val="auto"/>
        </w:rPr>
      </w:pPr>
      <w:r>
        <w:rPr>
          <w:rFonts w:ascii="Courier New" w:cs="Courier New" w:eastAsia="Courier New" w:hAnsi="Courier New"/>
          <w:sz w:val="16"/>
          <w:szCs w:val="16"/>
          <w:color w:val="auto"/>
        </w:rPr>
        <w:t>and exchanges of investments,</w:t>
      </w:r>
    </w:p>
    <w:p>
      <w:pPr>
        <w:ind w:left="224"/>
        <w:spacing w:after="0"/>
        <w:rPr>
          <w:sz w:val="20"/>
          <w:szCs w:val="20"/>
          <w:color w:val="auto"/>
        </w:rPr>
      </w:pPr>
      <w:r>
        <w:rPr>
          <w:rFonts w:ascii="Courier New" w:cs="Courier New" w:eastAsia="Courier New" w:hAnsi="Courier New"/>
          <w:sz w:val="16"/>
          <w:szCs w:val="16"/>
          <w:color w:val="auto"/>
        </w:rPr>
        <w:t>net........................... (102.5)</w:t>
      </w:r>
    </w:p>
    <w:p>
      <w:pPr>
        <w:ind w:left="84"/>
        <w:spacing w:after="0" w:line="238" w:lineRule="auto"/>
        <w:rPr>
          <w:sz w:val="20"/>
          <w:szCs w:val="20"/>
          <w:color w:val="auto"/>
        </w:rPr>
      </w:pPr>
      <w:r>
        <w:rPr>
          <w:rFonts w:ascii="Courier New" w:cs="Courier New" w:eastAsia="Courier New" w:hAnsi="Courier New"/>
          <w:sz w:val="16"/>
          <w:szCs w:val="16"/>
          <w:color w:val="auto"/>
        </w:rPr>
        <w:t>448.0 (100.9) 459.6 Investment impairment</w:t>
      </w:r>
    </w:p>
    <w:tbl>
      <w:tblPr>
        <w:tblLayout w:type="fixed"/>
        <w:tblInd w:w="22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losses.................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6"/>
              </w:rPr>
              <w:t>(208.7) (45.0)</w:t>
            </w:r>
          </w:p>
        </w:tc>
      </w:tr>
      <w:tr>
        <w:trPr>
          <w:trHeight w:val="180"/>
        </w:trPr>
        <w:tc>
          <w:tcPr>
            <w:tcW w:w="35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(221.3) (939.1) Reclassification of</w:t>
            </w:r>
          </w:p>
        </w:tc>
      </w:tr>
      <w:tr>
        <w:trPr>
          <w:trHeight w:val="180"/>
        </w:trPr>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w w:val="83"/>
              </w:rPr>
              <w:t>unrealized gains.........</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1,092.4</w:t>
            </w:r>
          </w:p>
        </w:tc>
      </w:tr>
    </w:tbl>
    <w:p>
      <w:pPr>
        <w:jc w:val="center"/>
        <w:ind w:right="6195"/>
        <w:spacing w:after="0"/>
        <w:rPr>
          <w:sz w:val="20"/>
          <w:szCs w:val="20"/>
          <w:color w:val="auto"/>
        </w:rPr>
      </w:pPr>
      <w:r>
        <w:rPr>
          <w:rFonts w:ascii="Courier New" w:cs="Courier New" w:eastAsia="Courier New" w:hAnsi="Courier New"/>
          <w:sz w:val="16"/>
          <w:szCs w:val="16"/>
          <w:color w:val="auto"/>
        </w:rPr>
        <w:t>Unrealized (loss) gain on Sprint PCS</w:t>
      </w:r>
    </w:p>
    <w:p>
      <w:pPr>
        <w:jc w:val="center"/>
        <w:ind w:right="6195"/>
        <w:spacing w:after="0" w:line="237" w:lineRule="auto"/>
        <w:rPr>
          <w:sz w:val="20"/>
          <w:szCs w:val="20"/>
          <w:color w:val="auto"/>
        </w:rPr>
      </w:pPr>
      <w:r>
        <w:rPr>
          <w:rFonts w:ascii="Courier New" w:cs="Courier New" w:eastAsia="Courier New" w:hAnsi="Courier New"/>
          <w:sz w:val="16"/>
          <w:szCs w:val="16"/>
          <w:color w:val="auto"/>
        </w:rPr>
        <w:t>common</w:t>
      </w:r>
    </w:p>
    <w:p>
      <w:pPr>
        <w:ind w:left="4"/>
        <w:spacing w:after="0"/>
        <w:rPr>
          <w:sz w:val="20"/>
          <w:szCs w:val="20"/>
          <w:color w:val="auto"/>
        </w:rPr>
      </w:pPr>
      <w:r>
        <w:rPr>
          <w:rFonts w:ascii="Courier New" w:cs="Courier New" w:eastAsia="Courier New" w:hAnsi="Courier New"/>
          <w:sz w:val="16"/>
          <w:szCs w:val="16"/>
          <w:color w:val="auto"/>
        </w:rPr>
        <w:t>stock......................................</w:t>
      </w:r>
    </w:p>
    <w:p>
      <w:pPr>
        <w:jc w:val="center"/>
        <w:ind w:right="6195"/>
        <w:spacing w:after="0" w:line="238" w:lineRule="auto"/>
        <w:rPr>
          <w:sz w:val="20"/>
          <w:szCs w:val="20"/>
          <w:color w:val="auto"/>
        </w:rPr>
      </w:pPr>
      <w:r>
        <w:rPr>
          <w:rFonts w:ascii="Courier New" w:cs="Courier New" w:eastAsia="Courier New" w:hAnsi="Courier New"/>
          <w:sz w:val="16"/>
          <w:szCs w:val="16"/>
          <w:color w:val="auto"/>
        </w:rPr>
        <w:t>(420.2) 392.4 (1,439.7) 265.6 Mark to</w:t>
      </w:r>
    </w:p>
    <w:p>
      <w:pPr>
        <w:jc w:val="center"/>
        <w:ind w:right="6195"/>
        <w:spacing w:after="0"/>
        <w:rPr>
          <w:sz w:val="20"/>
          <w:szCs w:val="20"/>
          <w:color w:val="auto"/>
        </w:rPr>
      </w:pPr>
      <w:r>
        <w:rPr>
          <w:rFonts w:ascii="Courier New" w:cs="Courier New" w:eastAsia="Courier New" w:hAnsi="Courier New"/>
          <w:sz w:val="16"/>
          <w:szCs w:val="16"/>
          <w:color w:val="auto"/>
        </w:rPr>
        <w:t>market adjustments on derivatives related</w:t>
      </w:r>
    </w:p>
    <w:p>
      <w:pPr>
        <w:ind w:left="84"/>
        <w:spacing w:after="0" w:line="238" w:lineRule="auto"/>
        <w:rPr>
          <w:sz w:val="20"/>
          <w:szCs w:val="20"/>
          <w:color w:val="auto"/>
        </w:rPr>
      </w:pPr>
      <w:r>
        <w:rPr>
          <w:rFonts w:ascii="Courier New" w:cs="Courier New" w:eastAsia="Courier New" w:hAnsi="Courier New"/>
          <w:sz w:val="16"/>
          <w:szCs w:val="16"/>
          <w:color w:val="auto"/>
        </w:rPr>
        <w:t>to Sprint PCS common stock......... 324.2</w:t>
      </w:r>
    </w:p>
    <w:p>
      <w:pPr>
        <w:ind w:left="224"/>
        <w:spacing w:after="0"/>
        <w:rPr>
          <w:sz w:val="20"/>
          <w:szCs w:val="20"/>
          <w:color w:val="auto"/>
        </w:rPr>
      </w:pPr>
      <w:r>
        <w:rPr>
          <w:rFonts w:ascii="Courier New" w:cs="Courier New" w:eastAsia="Courier New" w:hAnsi="Courier New"/>
          <w:sz w:val="16"/>
          <w:szCs w:val="16"/>
          <w:color w:val="auto"/>
        </w:rPr>
        <w:t>(317.9) 1,171.1 (191.5) Mark to market</w:t>
      </w:r>
    </w:p>
    <w:p>
      <w:pPr>
        <w:ind w:left="284"/>
        <w:spacing w:after="0" w:line="237" w:lineRule="auto"/>
        <w:rPr>
          <w:sz w:val="20"/>
          <w:szCs w:val="20"/>
          <w:color w:val="auto"/>
        </w:rPr>
      </w:pPr>
      <w:r>
        <w:rPr>
          <w:rFonts w:ascii="Courier New" w:cs="Courier New" w:eastAsia="Courier New" w:hAnsi="Courier New"/>
          <w:sz w:val="16"/>
          <w:szCs w:val="16"/>
          <w:color w:val="auto"/>
        </w:rPr>
        <w:t>adjustments on derivatives and hedged</w:t>
      </w:r>
    </w:p>
    <w:p>
      <w:pPr>
        <w:ind w:left="324"/>
        <w:spacing w:after="0"/>
        <w:rPr>
          <w:sz w:val="20"/>
          <w:szCs w:val="20"/>
          <w:color w:val="auto"/>
        </w:rPr>
      </w:pPr>
      <w:r>
        <w:rPr>
          <w:rFonts w:ascii="Courier New" w:cs="Courier New" w:eastAsia="Courier New" w:hAnsi="Courier New"/>
          <w:sz w:val="16"/>
          <w:szCs w:val="16"/>
          <w:color w:val="auto"/>
        </w:rPr>
        <w:t>items...............................</w:t>
      </w:r>
    </w:p>
    <w:p>
      <w:pPr>
        <w:ind w:left="44"/>
        <w:spacing w:after="0" w:line="238" w:lineRule="auto"/>
        <w:rPr>
          <w:sz w:val="20"/>
          <w:szCs w:val="20"/>
          <w:color w:val="auto"/>
        </w:rPr>
      </w:pPr>
      <w:r>
        <w:rPr>
          <w:rFonts w:ascii="Courier New" w:cs="Courier New" w:eastAsia="Courier New" w:hAnsi="Courier New"/>
          <w:sz w:val="16"/>
          <w:szCs w:val="16"/>
          <w:color w:val="auto"/>
        </w:rPr>
        <w:t>(62.5) 7.8 (133.8) (4.6) ------- ------- -</w:t>
      </w:r>
    </w:p>
    <w:p>
      <w:pPr>
        <w:ind w:left="364"/>
        <w:spacing w:after="0"/>
        <w:rPr>
          <w:sz w:val="20"/>
          <w:szCs w:val="20"/>
          <w:color w:val="auto"/>
        </w:rPr>
      </w:pPr>
      <w:r>
        <w:rPr>
          <w:rFonts w:ascii="Courier New" w:cs="Courier New" w:eastAsia="Courier New" w:hAnsi="Courier New"/>
          <w:sz w:val="16"/>
          <w:szCs w:val="16"/>
          <w:color w:val="auto"/>
        </w:rPr>
        <w:t>-------- -------- Investment income</w:t>
      </w:r>
    </w:p>
    <w:p>
      <w:pPr>
        <w:ind w:left="84"/>
        <w:spacing w:after="0" w:line="238" w:lineRule="auto"/>
        <w:rPr>
          <w:sz w:val="20"/>
          <w:szCs w:val="20"/>
          <w:color w:val="auto"/>
        </w:rPr>
      </w:pPr>
      <w:r>
        <w:rPr>
          <w:rFonts w:ascii="Courier New" w:cs="Courier New" w:eastAsia="Courier New" w:hAnsi="Courier New"/>
          <w:sz w:val="16"/>
          <w:szCs w:val="16"/>
          <w:color w:val="auto"/>
        </w:rPr>
        <w:t>(expense)............. $(459.1) $ 502.7 $</w:t>
      </w:r>
    </w:p>
    <w:p>
      <w:pPr>
        <w:jc w:val="center"/>
        <w:ind w:right="6195"/>
        <w:spacing w:after="0"/>
        <w:rPr>
          <w:sz w:val="20"/>
          <w:szCs w:val="20"/>
          <w:color w:val="auto"/>
        </w:rPr>
      </w:pPr>
      <w:r>
        <w:rPr>
          <w:rFonts w:ascii="Courier New" w:cs="Courier New" w:eastAsia="Courier New" w:hAnsi="Courier New"/>
          <w:sz w:val="16"/>
          <w:szCs w:val="16"/>
          <w:color w:val="auto"/>
        </w:rPr>
        <w:t>(707.1) $ 717.4 ======= ======= =========</w:t>
      </w:r>
    </w:p>
    <w:p>
      <w:pPr>
        <w:jc w:val="center"/>
        <w:ind w:right="6195"/>
        <w:spacing w:after="0" w:line="237" w:lineRule="auto"/>
        <w:rPr>
          <w:sz w:val="20"/>
          <w:szCs w:val="20"/>
          <w:color w:val="auto"/>
        </w:rPr>
      </w:pPr>
      <w:r>
        <w:rPr>
          <w:rFonts w:ascii="Courier New" w:cs="Courier New" w:eastAsia="Courier New" w:hAnsi="Courier New"/>
          <w:sz w:val="16"/>
          <w:szCs w:val="16"/>
          <w:color w:val="auto"/>
        </w:rPr>
        <w:t>========</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investment impairment losses for the three and six months ended June 30, 2002 and the six months ended June 30, 2001 relate principally to other than temporary declines in the Company's investment in AT&amp;T.</w:t>
      </w:r>
    </w:p>
    <w:p>
      <w:pPr>
        <w:spacing w:after="0" w:line="18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Company reclassified its investment in Sprint PCS from an available for</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sale security to a trading security in connection with the adoption of SFAS No.</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133 on January 1, 2001. In connection with this reclassification, the Company</w:t>
      </w:r>
    </w:p>
    <w:p>
      <w:pPr>
        <w:ind w:left="4"/>
        <w:spacing w:after="0"/>
        <w:rPr>
          <w:sz w:val="20"/>
          <w:szCs w:val="20"/>
          <w:color w:val="auto"/>
        </w:rPr>
      </w:pPr>
      <w:r>
        <w:rPr>
          <w:rFonts w:ascii="Courier New" w:cs="Courier New" w:eastAsia="Courier New" w:hAnsi="Courier New"/>
          <w:sz w:val="16"/>
          <w:szCs w:val="16"/>
          <w:color w:val="auto"/>
        </w:rPr>
        <w:t>recorded to investment income (expense) the accumulated unrealized gain of</w:t>
      </w:r>
    </w:p>
    <w:p>
      <w:pPr>
        <w:ind w:left="4"/>
        <w:spacing w:after="0" w:line="237" w:lineRule="auto"/>
        <w:rPr>
          <w:sz w:val="20"/>
          <w:szCs w:val="20"/>
          <w:color w:val="auto"/>
        </w:rPr>
      </w:pPr>
      <w:r>
        <w:rPr>
          <w:rFonts w:ascii="Courier New" w:cs="Courier New" w:eastAsia="Courier New" w:hAnsi="Courier New"/>
          <w:sz w:val="16"/>
          <w:szCs w:val="16"/>
          <w:color w:val="auto"/>
        </w:rPr>
        <w:t>$1.092 billion on the Company's investment in Sprint PCS which was previously</w:t>
      </w:r>
    </w:p>
    <w:p>
      <w:pPr>
        <w:ind w:left="4"/>
        <w:spacing w:after="0"/>
        <w:rPr>
          <w:sz w:val="20"/>
          <w:szCs w:val="20"/>
          <w:color w:val="auto"/>
        </w:rPr>
      </w:pPr>
      <w:r>
        <w:rPr>
          <w:rFonts w:ascii="Courier New" w:cs="Courier New" w:eastAsia="Courier New" w:hAnsi="Courier New"/>
          <w:sz w:val="16"/>
          <w:szCs w:val="16"/>
          <w:color w:val="auto"/>
        </w:rPr>
        <w:t>recorded as a component of accumulated other comprehensive income (loss).</w:t>
      </w:r>
    </w:p>
    <w:p>
      <w:pPr>
        <w:spacing w:after="0" w:line="179" w:lineRule="exact"/>
        <w:rPr>
          <w:sz w:val="20"/>
          <w:szCs w:val="20"/>
          <w:color w:val="auto"/>
        </w:rPr>
      </w:pPr>
    </w:p>
    <w:p>
      <w:pPr>
        <w:ind w:left="384" w:hanging="384"/>
        <w:spacing w:after="0"/>
        <w:tabs>
          <w:tab w:leader="none" w:pos="384"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 INTANGIBLE ASSETS</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changes in the carrying amount of goodwill by business segment (see</w:t>
      </w:r>
    </w:p>
    <w:p>
      <w:pPr>
        <w:ind w:left="4"/>
        <w:spacing w:after="0"/>
        <w:rPr>
          <w:sz w:val="20"/>
          <w:szCs w:val="20"/>
          <w:color w:val="auto"/>
        </w:rPr>
      </w:pPr>
      <w:r>
        <w:rPr>
          <w:rFonts w:ascii="Courier New" w:cs="Courier New" w:eastAsia="Courier New" w:hAnsi="Courier New"/>
          <w:sz w:val="16"/>
          <w:szCs w:val="16"/>
          <w:color w:val="auto"/>
        </w:rPr>
        <w:t>Note 11) for the periods presented are as follows (in millions):</w:t>
      </w:r>
    </w:p>
    <w:p>
      <w:pPr>
        <w:spacing w:after="0" w:line="179" w:lineRule="exact"/>
        <w:rPr>
          <w:sz w:val="20"/>
          <w:szCs w:val="20"/>
          <w:color w:val="auto"/>
        </w:rPr>
      </w:pPr>
    </w:p>
    <w:p>
      <w:pPr>
        <w:jc w:val="center"/>
        <w:ind w:right="7695"/>
        <w:spacing w:after="0"/>
        <w:rPr>
          <w:sz w:val="20"/>
          <w:szCs w:val="20"/>
          <w:color w:val="auto"/>
        </w:rPr>
      </w:pPr>
      <w:r>
        <w:rPr>
          <w:rFonts w:ascii="Courier New" w:cs="Courier New" w:eastAsia="Courier New" w:hAnsi="Courier New"/>
          <w:sz w:val="16"/>
          <w:szCs w:val="16"/>
          <w:color w:val="auto"/>
        </w:rPr>
        <w:t>CORPORATE AND CABLE</w:t>
      </w:r>
    </w:p>
    <w:p>
      <w:pPr>
        <w:ind w:left="44"/>
        <w:spacing w:after="0"/>
        <w:rPr>
          <w:sz w:val="20"/>
          <w:szCs w:val="20"/>
          <w:color w:val="auto"/>
        </w:rPr>
      </w:pPr>
      <w:r>
        <w:rPr>
          <w:rFonts w:ascii="Courier New" w:cs="Courier New" w:eastAsia="Courier New" w:hAnsi="Courier New"/>
          <w:sz w:val="16"/>
          <w:szCs w:val="16"/>
          <w:color w:val="auto"/>
        </w:rPr>
        <w:t>COMMERCE OTHER TOTAL -----</w:t>
      </w:r>
    </w:p>
    <w:p>
      <w:pPr>
        <w:ind w:left="44"/>
        <w:spacing w:after="0" w:line="237" w:lineRule="auto"/>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ind w:left="1124" w:right="7879" w:hanging="940"/>
        <w:spacing w:after="0" w:line="236" w:lineRule="auto"/>
        <w:tabs>
          <w:tab w:leader="none" w:pos="749"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December 31,</w:t>
      </w:r>
    </w:p>
    <w:p>
      <w:pPr>
        <w:ind w:left="184"/>
        <w:spacing w:after="0"/>
        <w:rPr>
          <w:sz w:val="20"/>
          <w:szCs w:val="20"/>
          <w:color w:val="auto"/>
        </w:rPr>
      </w:pPr>
      <w:r>
        <w:rPr>
          <w:rFonts w:ascii="Courier New" w:cs="Courier New" w:eastAsia="Courier New" w:hAnsi="Courier New"/>
          <w:sz w:val="16"/>
          <w:szCs w:val="16"/>
          <w:color w:val="auto"/>
        </w:rPr>
        <w:t>2001...................</w:t>
      </w:r>
    </w:p>
    <w:p>
      <w:pPr>
        <w:jc w:val="center"/>
        <w:ind w:right="7695"/>
        <w:spacing w:after="0" w:line="237" w:lineRule="auto"/>
        <w:rPr>
          <w:sz w:val="20"/>
          <w:szCs w:val="20"/>
          <w:color w:val="auto"/>
        </w:rPr>
      </w:pPr>
      <w:r>
        <w:rPr>
          <w:rFonts w:ascii="Courier New" w:cs="Courier New" w:eastAsia="Courier New" w:hAnsi="Courier New"/>
          <w:sz w:val="16"/>
          <w:szCs w:val="16"/>
          <w:color w:val="auto"/>
        </w:rPr>
        <w:t>$4,688.4 $834.8 $766.2</w:t>
      </w:r>
    </w:p>
    <w:p>
      <w:pPr>
        <w:jc w:val="center"/>
        <w:ind w:right="7695"/>
        <w:spacing w:after="0"/>
        <w:rPr>
          <w:sz w:val="20"/>
          <w:szCs w:val="20"/>
          <w:color w:val="auto"/>
        </w:rPr>
      </w:pPr>
      <w:r>
        <w:rPr>
          <w:rFonts w:ascii="Courier New" w:cs="Courier New" w:eastAsia="Courier New" w:hAnsi="Courier New"/>
          <w:sz w:val="16"/>
          <w:szCs w:val="16"/>
          <w:color w:val="auto"/>
        </w:rPr>
        <w:t>$6,289.4 Purchase price</w:t>
      </w:r>
    </w:p>
    <w:p>
      <w:pPr>
        <w:jc w:val="center"/>
        <w:ind w:right="7695"/>
        <w:spacing w:after="0" w:line="238" w:lineRule="auto"/>
        <w:rPr>
          <w:sz w:val="20"/>
          <w:szCs w:val="20"/>
          <w:color w:val="auto"/>
        </w:rPr>
      </w:pPr>
      <w:r>
        <w:rPr>
          <w:rFonts w:ascii="Courier New" w:cs="Courier New" w:eastAsia="Courier New" w:hAnsi="Courier New"/>
          <w:sz w:val="16"/>
          <w:szCs w:val="16"/>
          <w:color w:val="auto"/>
        </w:rPr>
        <w:t>allocation</w:t>
      </w:r>
    </w:p>
    <w:p>
      <w:pPr>
        <w:jc w:val="center"/>
        <w:ind w:right="7695"/>
        <w:spacing w:after="0"/>
        <w:rPr>
          <w:sz w:val="20"/>
          <w:szCs w:val="20"/>
          <w:color w:val="auto"/>
        </w:rPr>
      </w:pPr>
      <w:r>
        <w:rPr>
          <w:rFonts w:ascii="Courier New" w:cs="Courier New" w:eastAsia="Courier New" w:hAnsi="Courier New"/>
          <w:sz w:val="16"/>
          <w:szCs w:val="16"/>
          <w:color w:val="auto"/>
        </w:rPr>
        <w:t>adjustments...... 5.1</w:t>
      </w:r>
    </w:p>
    <w:p>
      <w:pPr>
        <w:ind w:left="44"/>
        <w:spacing w:after="0" w:line="238" w:lineRule="auto"/>
        <w:rPr>
          <w:sz w:val="20"/>
          <w:szCs w:val="20"/>
          <w:color w:val="auto"/>
        </w:rPr>
      </w:pPr>
      <w:r>
        <w:rPr>
          <w:rFonts w:ascii="Courier New" w:cs="Courier New" w:eastAsia="Courier New" w:hAnsi="Courier New"/>
          <w:sz w:val="16"/>
          <w:szCs w:val="16"/>
          <w:color w:val="auto"/>
        </w:rPr>
        <w:t>151.8 156.9 -------- -----</w:t>
      </w:r>
    </w:p>
    <w:p>
      <w:pPr>
        <w:ind w:left="44"/>
        <w:spacing w:after="0"/>
        <w:rPr>
          <w:sz w:val="20"/>
          <w:szCs w:val="20"/>
          <w:color w:val="auto"/>
        </w:rPr>
      </w:pPr>
      <w:r>
        <w:rPr>
          <w:rFonts w:ascii="Courier New" w:cs="Courier New" w:eastAsia="Courier New" w:hAnsi="Courier New"/>
          <w:sz w:val="16"/>
          <w:szCs w:val="16"/>
          <w:color w:val="auto"/>
        </w:rPr>
        <w:t>- ------ -------- Balance,</w:t>
      </w:r>
    </w:p>
    <w:p>
      <w:pPr>
        <w:jc w:val="center"/>
        <w:ind w:right="7695"/>
        <w:spacing w:after="0" w:line="237" w:lineRule="auto"/>
        <w:rPr>
          <w:sz w:val="20"/>
          <w:szCs w:val="20"/>
          <w:color w:val="auto"/>
        </w:rPr>
      </w:pPr>
      <w:r>
        <w:rPr>
          <w:rFonts w:ascii="Courier New" w:cs="Courier New" w:eastAsia="Courier New" w:hAnsi="Courier New"/>
          <w:sz w:val="16"/>
          <w:szCs w:val="16"/>
          <w:color w:val="auto"/>
        </w:rPr>
        <w:t>June 30,</w:t>
      </w:r>
    </w:p>
    <w:p>
      <w:pPr>
        <w:ind w:left="4"/>
        <w:spacing w:after="0"/>
        <w:rPr>
          <w:sz w:val="20"/>
          <w:szCs w:val="20"/>
          <w:color w:val="auto"/>
        </w:rPr>
      </w:pPr>
      <w:r>
        <w:rPr>
          <w:rFonts w:ascii="Courier New" w:cs="Courier New" w:eastAsia="Courier New" w:hAnsi="Courier New"/>
          <w:sz w:val="16"/>
          <w:szCs w:val="16"/>
          <w:color w:val="auto"/>
        </w:rPr>
        <w:t>2002.......................</w:t>
      </w:r>
    </w:p>
    <w:p>
      <w:pPr>
        <w:jc w:val="center"/>
        <w:ind w:right="7695"/>
        <w:spacing w:after="0" w:line="238" w:lineRule="auto"/>
        <w:rPr>
          <w:sz w:val="20"/>
          <w:szCs w:val="20"/>
          <w:color w:val="auto"/>
        </w:rPr>
      </w:pPr>
      <w:r>
        <w:rPr>
          <w:rFonts w:ascii="Courier New" w:cs="Courier New" w:eastAsia="Courier New" w:hAnsi="Courier New"/>
          <w:sz w:val="16"/>
          <w:szCs w:val="16"/>
          <w:color w:val="auto"/>
        </w:rPr>
        <w:t>$4,693.5 $834.8 $918.0</w:t>
      </w:r>
    </w:p>
    <w:p>
      <w:pPr>
        <w:jc w:val="center"/>
        <w:ind w:right="7695"/>
        <w:spacing w:after="0"/>
        <w:rPr>
          <w:sz w:val="20"/>
          <w:szCs w:val="20"/>
          <w:color w:val="auto"/>
        </w:rPr>
      </w:pPr>
      <w:r>
        <w:rPr>
          <w:rFonts w:ascii="Courier New" w:cs="Courier New" w:eastAsia="Courier New" w:hAnsi="Courier New"/>
          <w:sz w:val="16"/>
          <w:szCs w:val="16"/>
          <w:color w:val="auto"/>
        </w:rPr>
        <w:t>$6,446.3 ======== ======</w:t>
      </w:r>
    </w:p>
    <w:p>
      <w:pPr>
        <w:ind w:left="564"/>
        <w:spacing w:after="0" w:line="238" w:lineRule="auto"/>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5"/>
          <w:szCs w:val="15"/>
          <w:color w:val="auto"/>
        </w:rPr>
        <w:t>During the six months ended June 30, 2002, the Company recorded the final purchase price allocation related to the Company's acquisition, on October 30, 2001, of Outdoor Life Network, which resulted in an increase in goodwill and a corresponding decrease in cable and satellite television distribution rights. In</w:t>
      </w:r>
    </w:p>
    <w:p>
      <w:pPr>
        <w:spacing w:after="0" w:line="16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F-137</w:t>
      </w:r>
    </w:p>
    <w:p>
      <w:pPr>
        <w:sectPr>
          <w:pgSz w:w="11900" w:h="16838" w:orient="portrait"/>
          <w:cols w:equalWidth="0" w:num="1">
            <w:col w:w="10223"/>
          </w:cols>
          <w:pgMar w:left="236" w:top="473" w:right="1440" w:bottom="648" w:gutter="0" w:footer="0" w:header="0"/>
        </w:sectPr>
      </w:pPr>
    </w:p>
    <w:bookmarkStart w:id="328" w:name="page329"/>
    <w:bookmarkEnd w:id="328"/>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addition, during the six months ended June 30, 2002, the Company recorded the final purchase price allocation related to certain of its cable system acquisitions, which resulted in an increase in goodwill and a corresponding decrease in franchise rights.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As of June 30, 2002, the weighted average amortization period for the Company's intangible assets subject to amortization is 8.3 years and estimated related amortization expense for each of the five years ended December 31 is as follows (in millions):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$200.7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$188.4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$173.4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$159.1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2006........................................................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$136.9</w:t>
            </w:r>
          </w:p>
        </w:tc>
      </w:tr>
    </w:tbl>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pro forma financial information for the three and six months ended June 30, 2001, and for the years ended December 31, 2001, 2000 and 1999, is presented as if SFAS No. 142 was adopted as of January 1, 1999 (amounts in millions, except per share data):</w:t>
      </w:r>
    </w:p>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THREE SIX MONTHS MONTHS ENDED</w:t>
      </w:r>
    </w:p>
    <w:p>
      <w:pPr>
        <w:ind w:left="80"/>
        <w:spacing w:after="0"/>
        <w:rPr>
          <w:sz w:val="20"/>
          <w:szCs w:val="20"/>
          <w:color w:val="auto"/>
        </w:rPr>
      </w:pPr>
      <w:r>
        <w:rPr>
          <w:rFonts w:ascii="Courier New" w:cs="Courier New" w:eastAsia="Courier New" w:hAnsi="Courier New"/>
          <w:sz w:val="16"/>
          <w:szCs w:val="16"/>
          <w:color w:val="auto"/>
        </w:rPr>
        <w:t>ENDED JUNE 30, JUNE 30, YEARS</w:t>
      </w:r>
    </w:p>
    <w:p>
      <w:pPr>
        <w:ind w:left="140"/>
        <w:spacing w:after="0" w:line="237" w:lineRule="auto"/>
        <w:rPr>
          <w:sz w:val="20"/>
          <w:szCs w:val="20"/>
          <w:color w:val="auto"/>
        </w:rPr>
      </w:pPr>
      <w:r>
        <w:rPr>
          <w:rFonts w:ascii="Courier New" w:cs="Courier New" w:eastAsia="Courier New" w:hAnsi="Courier New"/>
          <w:sz w:val="16"/>
          <w:szCs w:val="16"/>
          <w:color w:val="auto"/>
        </w:rPr>
        <w:t>ENDED DECEMBER 31, 2001 2001</w:t>
      </w:r>
    </w:p>
    <w:p>
      <w:pPr>
        <w:ind w:left="40"/>
        <w:spacing w:after="0"/>
        <w:rPr>
          <w:sz w:val="20"/>
          <w:szCs w:val="20"/>
          <w:color w:val="auto"/>
        </w:rPr>
      </w:pPr>
      <w:r>
        <w:rPr>
          <w:rFonts w:ascii="Courier New" w:cs="Courier New" w:eastAsia="Courier New" w:hAnsi="Courier New"/>
          <w:sz w:val="16"/>
          <w:szCs w:val="16"/>
          <w:color w:val="auto"/>
        </w:rPr>
        <w:t>2001 2000 1999 -------- ------</w:t>
      </w:r>
    </w:p>
    <w:p>
      <w:pPr>
        <w:ind w:left="80"/>
        <w:spacing w:after="0" w:line="238" w:lineRule="auto"/>
        <w:rPr>
          <w:sz w:val="20"/>
          <w:szCs w:val="20"/>
          <w:color w:val="auto"/>
        </w:rPr>
      </w:pPr>
      <w:r>
        <w:rPr>
          <w:rFonts w:ascii="Courier New" w:cs="Courier New" w:eastAsia="Courier New" w:hAnsi="Courier New"/>
          <w:sz w:val="16"/>
          <w:szCs w:val="16"/>
          <w:color w:val="auto"/>
        </w:rPr>
        <w:t>-- -------- -------- --------</w:t>
      </w: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7"/>
              </w:rPr>
              <w:t>Net Income As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8"/>
                <w:szCs w:val="8"/>
                <w:color w:val="auto"/>
                <w:w w:val="76"/>
              </w:rPr>
              <w:t>reported.......................</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980" w:type="dxa"/>
            <w:vAlign w:val="bottom"/>
            <w:gridSpan w:val="3"/>
          </w:tcPr>
          <w:p>
            <w:pPr>
              <w:ind w:left="360"/>
              <w:spacing w:after="0"/>
              <w:rPr>
                <w:sz w:val="20"/>
                <w:szCs w:val="20"/>
                <w:color w:val="auto"/>
              </w:rPr>
            </w:pPr>
            <w:r>
              <w:rPr>
                <w:rFonts w:ascii="Courier New" w:cs="Courier New" w:eastAsia="Courier New" w:hAnsi="Courier New"/>
                <w:sz w:val="16"/>
                <w:szCs w:val="16"/>
                <w:color w:val="auto"/>
              </w:rPr>
              <w:t>$ 35.2</w:t>
            </w:r>
          </w:p>
        </w:tc>
        <w:tc>
          <w:tcPr>
            <w:tcW w:w="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$1,036.4</w:t>
            </w:r>
          </w:p>
        </w:tc>
        <w:tc>
          <w:tcPr>
            <w:tcW w:w="9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$ 608.6</w:t>
            </w:r>
          </w:p>
        </w:tc>
        <w:tc>
          <w:tcPr>
            <w:tcW w:w="140" w:type="dxa"/>
            <w:vAlign w:val="bottom"/>
          </w:tcPr>
          <w:p>
            <w:pPr>
              <w:spacing w:after="0"/>
              <w:rPr>
                <w:sz w:val="15"/>
                <w:szCs w:val="15"/>
                <w:color w:val="auto"/>
              </w:rPr>
            </w:pPr>
          </w:p>
        </w:tc>
      </w:tr>
      <w:tr>
        <w:trPr>
          <w:trHeight w:val="180"/>
        </w:trPr>
        <w:tc>
          <w:tcPr>
            <w:tcW w:w="2860" w:type="dxa"/>
            <w:vAlign w:val="bottom"/>
            <w:gridSpan w:val="10"/>
          </w:tcPr>
          <w:p>
            <w:pPr>
              <w:jc w:val="center"/>
              <w:spacing w:after="0"/>
              <w:rPr>
                <w:sz w:val="20"/>
                <w:szCs w:val="20"/>
                <w:color w:val="auto"/>
              </w:rPr>
            </w:pPr>
            <w:r>
              <w:rPr>
                <w:rFonts w:ascii="Courier New" w:cs="Courier New" w:eastAsia="Courier New" w:hAnsi="Courier New"/>
                <w:sz w:val="16"/>
                <w:szCs w:val="16"/>
                <w:color w:val="auto"/>
                <w:w w:val="97"/>
              </w:rPr>
              <w:t>$2,021.5 $1,065.7 Amortization</w:t>
            </w:r>
          </w:p>
        </w:tc>
      </w:tr>
      <w:tr>
        <w:trPr>
          <w:trHeight w:val="180"/>
        </w:trPr>
        <w:tc>
          <w:tcPr>
            <w:tcW w:w="1400" w:type="dxa"/>
            <w:vAlign w:val="bottom"/>
            <w:gridSpan w:val="5"/>
          </w:tcPr>
          <w:p>
            <w:pPr>
              <w:ind w:left="80"/>
              <w:spacing w:after="0"/>
              <w:rPr>
                <w:sz w:val="20"/>
                <w:szCs w:val="20"/>
                <w:color w:val="auto"/>
              </w:rPr>
            </w:pPr>
            <w:r>
              <w:rPr>
                <w:rFonts w:ascii="Courier New" w:cs="Courier New" w:eastAsia="Courier New" w:hAnsi="Courier New"/>
                <w:sz w:val="16"/>
                <w:szCs w:val="16"/>
                <w:color w:val="auto"/>
                <w:w w:val="75"/>
              </w:rPr>
              <w:t>of goodwill.......</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81.8 154.4</w:t>
            </w:r>
          </w:p>
        </w:tc>
      </w:tr>
      <w:tr>
        <w:trPr>
          <w:trHeight w:val="180"/>
        </w:trPr>
        <w:tc>
          <w:tcPr>
            <w:tcW w:w="2860" w:type="dxa"/>
            <w:vAlign w:val="bottom"/>
            <w:gridSpan w:val="10"/>
          </w:tcPr>
          <w:p>
            <w:pPr>
              <w:jc w:val="center"/>
              <w:spacing w:after="0"/>
              <w:rPr>
                <w:sz w:val="20"/>
                <w:szCs w:val="20"/>
                <w:color w:val="auto"/>
              </w:rPr>
            </w:pPr>
            <w:r>
              <w:rPr>
                <w:rFonts w:ascii="Courier New" w:cs="Courier New" w:eastAsia="Courier New" w:hAnsi="Courier New"/>
                <w:sz w:val="16"/>
                <w:szCs w:val="16"/>
                <w:color w:val="auto"/>
                <w:w w:val="97"/>
              </w:rPr>
              <w:t>334.8 303.5 128.5 Amortization</w:t>
            </w:r>
          </w:p>
        </w:tc>
      </w:tr>
      <w:tr>
        <w:trPr>
          <w:trHeight w:val="180"/>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7"/>
          </w:tcPr>
          <w:p>
            <w:pPr>
              <w:jc w:val="center"/>
              <w:ind w:right="442"/>
              <w:spacing w:after="0"/>
              <w:rPr>
                <w:sz w:val="20"/>
                <w:szCs w:val="20"/>
                <w:color w:val="auto"/>
              </w:rPr>
            </w:pPr>
            <w:r>
              <w:rPr>
                <w:rFonts w:ascii="Courier New" w:cs="Courier New" w:eastAsia="Courier New" w:hAnsi="Courier New"/>
                <w:sz w:val="16"/>
                <w:szCs w:val="16"/>
                <w:color w:val="auto"/>
                <w:w w:val="97"/>
              </w:rPr>
              <w:t>of equity method</w:t>
            </w:r>
          </w:p>
        </w:tc>
        <w:tc>
          <w:tcPr>
            <w:tcW w:w="140" w:type="dxa"/>
            <w:vAlign w:val="bottom"/>
          </w:tcPr>
          <w:p>
            <w:pPr>
              <w:spacing w:after="0"/>
              <w:rPr>
                <w:sz w:val="15"/>
                <w:szCs w:val="15"/>
                <w:color w:val="auto"/>
              </w:rPr>
            </w:pP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2"/>
              </w:rPr>
              <w:t>goodwill.....................</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6.8</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11.1</w:t>
            </w:r>
          </w:p>
        </w:tc>
        <w:tc>
          <w:tcPr>
            <w:tcW w:w="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15.0</w:t>
            </w:r>
          </w:p>
        </w:tc>
        <w:tc>
          <w:tcPr>
            <w:tcW w:w="420" w:type="dxa"/>
            <w:vAlign w:val="bottom"/>
            <w:gridSpan w:val="2"/>
          </w:tcPr>
          <w:p>
            <w:pPr>
              <w:spacing w:after="0"/>
              <w:rPr>
                <w:sz w:val="20"/>
                <w:szCs w:val="20"/>
                <w:color w:val="auto"/>
              </w:rPr>
            </w:pPr>
            <w:r>
              <w:rPr>
                <w:rFonts w:ascii="Courier New" w:cs="Courier New" w:eastAsia="Courier New" w:hAnsi="Courier New"/>
                <w:sz w:val="16"/>
                <w:szCs w:val="16"/>
                <w:color w:val="auto"/>
              </w:rPr>
              <w:t>15.2</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4.4</w:t>
            </w:r>
          </w:p>
        </w:tc>
        <w:tc>
          <w:tcPr>
            <w:tcW w:w="140" w:type="dxa"/>
            <w:vAlign w:val="bottom"/>
          </w:tcPr>
          <w:p>
            <w:pPr>
              <w:spacing w:after="0"/>
              <w:rPr>
                <w:sz w:val="15"/>
                <w:szCs w:val="15"/>
                <w:color w:val="auto"/>
              </w:rPr>
            </w:pPr>
          </w:p>
        </w:tc>
      </w:tr>
      <w:tr>
        <w:trPr>
          <w:trHeight w:val="180"/>
        </w:trPr>
        <w:tc>
          <w:tcPr>
            <w:tcW w:w="2720" w:type="dxa"/>
            <w:vAlign w:val="bottom"/>
            <w:gridSpan w:val="9"/>
          </w:tcPr>
          <w:p>
            <w:pPr>
              <w:jc w:val="center"/>
              <w:ind w:left="113"/>
              <w:spacing w:after="0"/>
              <w:rPr>
                <w:sz w:val="20"/>
                <w:szCs w:val="20"/>
                <w:color w:val="auto"/>
              </w:rPr>
            </w:pPr>
            <w:r>
              <w:rPr>
                <w:rFonts w:ascii="Courier New" w:cs="Courier New" w:eastAsia="Courier New" w:hAnsi="Courier New"/>
                <w:sz w:val="16"/>
                <w:szCs w:val="16"/>
                <w:color w:val="auto"/>
                <w:w w:val="97"/>
              </w:rPr>
              <w:t>Amortization of franchise</w:t>
            </w:r>
          </w:p>
        </w:tc>
        <w:tc>
          <w:tcPr>
            <w:tcW w:w="140" w:type="dxa"/>
            <w:vAlign w:val="bottom"/>
          </w:tcPr>
          <w:p>
            <w:pPr>
              <w:spacing w:after="0"/>
              <w:rPr>
                <w:sz w:val="15"/>
                <w:szCs w:val="15"/>
                <w:color w:val="auto"/>
              </w:rPr>
            </w:pPr>
          </w:p>
        </w:tc>
      </w:tr>
      <w:tr>
        <w:trPr>
          <w:trHeight w:val="180"/>
        </w:trPr>
        <w:tc>
          <w:tcPr>
            <w:tcW w:w="980" w:type="dxa"/>
            <w:vAlign w:val="bottom"/>
            <w:gridSpan w:val="3"/>
          </w:tcPr>
          <w:p>
            <w:pPr>
              <w:ind w:left="80"/>
              <w:spacing w:after="0"/>
              <w:rPr>
                <w:sz w:val="20"/>
                <w:szCs w:val="20"/>
                <w:color w:val="auto"/>
              </w:rPr>
            </w:pPr>
            <w:r>
              <w:rPr>
                <w:rFonts w:ascii="Courier New" w:cs="Courier New" w:eastAsia="Courier New" w:hAnsi="Courier New"/>
                <w:sz w:val="7"/>
                <w:szCs w:val="7"/>
                <w:color w:val="auto"/>
                <w:w w:val="72"/>
              </w:rPr>
              <w:t>rights.......................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400" w:type="dxa"/>
            <w:vAlign w:val="bottom"/>
            <w:gridSpan w:val="5"/>
          </w:tcPr>
          <w:p>
            <w:pPr>
              <w:jc w:val="right"/>
              <w:ind w:right="22"/>
              <w:spacing w:after="0"/>
              <w:rPr>
                <w:sz w:val="20"/>
                <w:szCs w:val="20"/>
                <w:color w:val="auto"/>
              </w:rPr>
            </w:pPr>
            <w:r>
              <w:rPr>
                <w:rFonts w:ascii="Courier New" w:cs="Courier New" w:eastAsia="Courier New" w:hAnsi="Courier New"/>
                <w:sz w:val="16"/>
                <w:szCs w:val="16"/>
                <w:color w:val="auto"/>
              </w:rPr>
              <w:t>274.7 529.4</w:t>
            </w:r>
          </w:p>
        </w:tc>
        <w:tc>
          <w:tcPr>
            <w:tcW w:w="7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5"/>
              </w:rPr>
              <w:t>1,083.7</w:t>
            </w: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858.1</w:t>
            </w:r>
          </w:p>
        </w:tc>
        <w:tc>
          <w:tcPr>
            <w:tcW w:w="140" w:type="dxa"/>
            <w:vAlign w:val="bottom"/>
          </w:tcPr>
          <w:p>
            <w:pPr>
              <w:spacing w:after="0"/>
              <w:rPr>
                <w:sz w:val="15"/>
                <w:szCs w:val="15"/>
                <w:color w:val="auto"/>
              </w:rPr>
            </w:pPr>
          </w:p>
        </w:tc>
      </w:tr>
      <w:tr>
        <w:trPr>
          <w:trHeight w:val="180"/>
        </w:trPr>
        <w:tc>
          <w:tcPr>
            <w:tcW w:w="9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79"/>
              </w:rPr>
              <w:t>258.3 ------</w:t>
            </w:r>
          </w:p>
        </w:tc>
        <w:tc>
          <w:tcPr>
            <w:tcW w:w="1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3"/>
              </w:rPr>
              <w:t>--------</w:t>
            </w:r>
          </w:p>
        </w:tc>
        <w:tc>
          <w:tcPr>
            <w:tcW w:w="1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As</w:t>
            </w:r>
          </w:p>
        </w:tc>
        <w:tc>
          <w:tcPr>
            <w:tcW w:w="140" w:type="dxa"/>
            <w:vAlign w:val="bottom"/>
          </w:tcPr>
          <w:p>
            <w:pPr>
              <w:spacing w:after="0"/>
              <w:rPr>
                <w:sz w:val="15"/>
                <w:szCs w:val="15"/>
                <w:color w:val="auto"/>
              </w:rPr>
            </w:pP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8"/>
                <w:szCs w:val="8"/>
                <w:color w:val="auto"/>
                <w:w w:val="76"/>
              </w:rPr>
              <w:t>adjusted.......................</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98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$398.5</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$1,731.3</w:t>
            </w:r>
          </w:p>
        </w:tc>
        <w:tc>
          <w:tcPr>
            <w:tcW w:w="100" w:type="dxa"/>
            <w:vAlign w:val="bottom"/>
          </w:tcPr>
          <w:p>
            <w:pPr>
              <w:spacing w:after="0"/>
              <w:rPr>
                <w:sz w:val="15"/>
                <w:szCs w:val="15"/>
                <w:color w:val="auto"/>
              </w:rPr>
            </w:pP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$2,042.1</w:t>
            </w:r>
          </w:p>
        </w:tc>
        <w:tc>
          <w:tcPr>
            <w:tcW w:w="140" w:type="dxa"/>
            <w:vAlign w:val="bottom"/>
          </w:tcPr>
          <w:p>
            <w:pPr>
              <w:spacing w:after="0"/>
              <w:rPr>
                <w:sz w:val="15"/>
                <w:szCs w:val="15"/>
                <w:color w:val="auto"/>
              </w:rPr>
            </w:pPr>
          </w:p>
        </w:tc>
      </w:tr>
      <w:tr>
        <w:trPr>
          <w:trHeight w:val="180"/>
        </w:trPr>
        <w:tc>
          <w:tcPr>
            <w:tcW w:w="116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$3,198.3</w:t>
            </w:r>
          </w:p>
        </w:tc>
        <w:tc>
          <w:tcPr>
            <w:tcW w:w="1560" w:type="dxa"/>
            <w:vAlign w:val="bottom"/>
            <w:gridSpan w:val="5"/>
          </w:tcPr>
          <w:p>
            <w:pPr>
              <w:jc w:val="right"/>
              <w:ind w:right="62"/>
              <w:spacing w:after="0"/>
              <w:rPr>
                <w:sz w:val="20"/>
                <w:szCs w:val="20"/>
                <w:color w:val="auto"/>
              </w:rPr>
            </w:pPr>
            <w:r>
              <w:rPr>
                <w:rFonts w:ascii="Courier New" w:cs="Courier New" w:eastAsia="Courier New" w:hAnsi="Courier New"/>
                <w:sz w:val="16"/>
                <w:szCs w:val="16"/>
                <w:color w:val="auto"/>
                <w:w w:val="97"/>
              </w:rPr>
              <w:t>$1,456.9 ======</w:t>
            </w:r>
          </w:p>
        </w:tc>
        <w:tc>
          <w:tcPr>
            <w:tcW w:w="140" w:type="dxa"/>
            <w:vAlign w:val="bottom"/>
          </w:tcPr>
          <w:p>
            <w:pPr>
              <w:spacing w:after="0"/>
              <w:rPr>
                <w:sz w:val="15"/>
                <w:szCs w:val="15"/>
                <w:color w:val="auto"/>
              </w:rPr>
            </w:pPr>
          </w:p>
        </w:tc>
      </w:tr>
      <w:tr>
        <w:trPr>
          <w:trHeight w:val="180"/>
        </w:trPr>
        <w:tc>
          <w:tcPr>
            <w:tcW w:w="2720" w:type="dxa"/>
            <w:vAlign w:val="bottom"/>
            <w:gridSpan w:val="9"/>
          </w:tcPr>
          <w:p>
            <w:pPr>
              <w:jc w:val="center"/>
              <w:ind w:left="93"/>
              <w:spacing w:after="0"/>
              <w:rPr>
                <w:sz w:val="20"/>
                <w:szCs w:val="20"/>
                <w:color w:val="auto"/>
              </w:rPr>
            </w:pPr>
            <w:r>
              <w:rPr>
                <w:rFonts w:ascii="Courier New" w:cs="Courier New" w:eastAsia="Courier New" w:hAnsi="Courier New"/>
                <w:sz w:val="16"/>
                <w:szCs w:val="16"/>
                <w:color w:val="auto"/>
                <w:w w:val="97"/>
              </w:rPr>
              <w:t>======== ======== ========</w:t>
            </w:r>
          </w:p>
        </w:tc>
        <w:tc>
          <w:tcPr>
            <w:tcW w:w="14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2300" w:type="dxa"/>
            <w:vAlign w:val="bottom"/>
            <w:gridSpan w:val="8"/>
          </w:tcPr>
          <w:p>
            <w:pPr>
              <w:jc w:val="center"/>
              <w:ind w:right="162"/>
              <w:spacing w:after="0"/>
              <w:rPr>
                <w:sz w:val="20"/>
                <w:szCs w:val="20"/>
                <w:color w:val="auto"/>
              </w:rPr>
            </w:pPr>
            <w:r>
              <w:rPr>
                <w:rFonts w:ascii="Courier New" w:cs="Courier New" w:eastAsia="Courier New" w:hAnsi="Courier New"/>
                <w:sz w:val="16"/>
                <w:szCs w:val="16"/>
                <w:color w:val="auto"/>
                <w:w w:val="97"/>
              </w:rPr>
              <w:t>======== Income before</w:t>
            </w:r>
          </w:p>
        </w:tc>
        <w:tc>
          <w:tcPr>
            <w:tcW w:w="140" w:type="dxa"/>
            <w:vAlign w:val="bottom"/>
          </w:tcPr>
          <w:p>
            <w:pPr>
              <w:spacing w:after="0"/>
              <w:rPr>
                <w:sz w:val="15"/>
                <w:szCs w:val="15"/>
                <w:color w:val="auto"/>
              </w:rPr>
            </w:pPr>
          </w:p>
        </w:tc>
      </w:tr>
      <w:tr>
        <w:trPr>
          <w:trHeight w:val="180"/>
        </w:trPr>
        <w:tc>
          <w:tcPr>
            <w:tcW w:w="2720" w:type="dxa"/>
            <w:vAlign w:val="bottom"/>
            <w:gridSpan w:val="9"/>
          </w:tcPr>
          <w:p>
            <w:pPr>
              <w:jc w:val="center"/>
              <w:ind w:left="93"/>
              <w:spacing w:after="0"/>
              <w:rPr>
                <w:sz w:val="20"/>
                <w:szCs w:val="20"/>
                <w:color w:val="auto"/>
              </w:rPr>
            </w:pPr>
            <w:r>
              <w:rPr>
                <w:rFonts w:ascii="Courier New" w:cs="Courier New" w:eastAsia="Courier New" w:hAnsi="Courier New"/>
                <w:sz w:val="16"/>
                <w:szCs w:val="16"/>
                <w:color w:val="auto"/>
                <w:w w:val="97"/>
              </w:rPr>
              <w:t>extraordinary items and</w:t>
            </w:r>
          </w:p>
        </w:tc>
        <w:tc>
          <w:tcPr>
            <w:tcW w:w="14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2300" w:type="dxa"/>
            <w:vAlign w:val="bottom"/>
            <w:gridSpan w:val="8"/>
          </w:tcPr>
          <w:p>
            <w:pPr>
              <w:jc w:val="center"/>
              <w:ind w:right="182"/>
              <w:spacing w:after="0"/>
              <w:rPr>
                <w:sz w:val="20"/>
                <w:szCs w:val="20"/>
                <w:color w:val="auto"/>
              </w:rPr>
            </w:pPr>
            <w:r>
              <w:rPr>
                <w:rFonts w:ascii="Courier New" w:cs="Courier New" w:eastAsia="Courier New" w:hAnsi="Courier New"/>
                <w:sz w:val="16"/>
                <w:szCs w:val="16"/>
                <w:color w:val="auto"/>
                <w:w w:val="97"/>
              </w:rPr>
              <w:t>cumulative effect of</w:t>
            </w:r>
          </w:p>
        </w:tc>
        <w:tc>
          <w:tcPr>
            <w:tcW w:w="14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2300" w:type="dxa"/>
            <w:vAlign w:val="bottom"/>
            <w:gridSpan w:val="8"/>
          </w:tcPr>
          <w:p>
            <w:pPr>
              <w:jc w:val="center"/>
              <w:ind w:right="162"/>
              <w:spacing w:after="0"/>
              <w:rPr>
                <w:sz w:val="20"/>
                <w:szCs w:val="20"/>
                <w:color w:val="auto"/>
              </w:rPr>
            </w:pPr>
            <w:r>
              <w:rPr>
                <w:rFonts w:ascii="Courier New" w:cs="Courier New" w:eastAsia="Courier New" w:hAnsi="Courier New"/>
                <w:sz w:val="16"/>
                <w:szCs w:val="16"/>
                <w:color w:val="auto"/>
                <w:w w:val="98"/>
              </w:rPr>
              <w:t>accounting change, as</w:t>
            </w:r>
          </w:p>
        </w:tc>
        <w:tc>
          <w:tcPr>
            <w:tcW w:w="140" w:type="dxa"/>
            <w:vAlign w:val="bottom"/>
          </w:tcPr>
          <w:p>
            <w:pPr>
              <w:spacing w:after="0"/>
              <w:rPr>
                <w:sz w:val="15"/>
                <w:szCs w:val="15"/>
                <w:color w:val="auto"/>
              </w:rPr>
            </w:pP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8"/>
                <w:szCs w:val="8"/>
                <w:color w:val="auto"/>
                <w:w w:val="76"/>
              </w:rPr>
              <w:t>adjusted.......................</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98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$398.5</w:t>
            </w:r>
          </w:p>
        </w:tc>
        <w:tc>
          <w:tcPr>
            <w:tcW w:w="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$1,346.8</w:t>
            </w:r>
          </w:p>
        </w:tc>
        <w:tc>
          <w:tcPr>
            <w:tcW w:w="100" w:type="dxa"/>
            <w:vAlign w:val="bottom"/>
          </w:tcPr>
          <w:p>
            <w:pPr>
              <w:spacing w:after="0"/>
              <w:rPr>
                <w:sz w:val="15"/>
                <w:szCs w:val="15"/>
                <w:color w:val="auto"/>
              </w:rPr>
            </w:pP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$1,659.1</w:t>
            </w:r>
          </w:p>
        </w:tc>
        <w:tc>
          <w:tcPr>
            <w:tcW w:w="140" w:type="dxa"/>
            <w:vAlign w:val="bottom"/>
          </w:tcPr>
          <w:p>
            <w:pPr>
              <w:spacing w:after="0"/>
              <w:rPr>
                <w:sz w:val="15"/>
                <w:szCs w:val="15"/>
                <w:color w:val="auto"/>
              </w:rPr>
            </w:pPr>
          </w:p>
        </w:tc>
      </w:tr>
      <w:tr>
        <w:trPr>
          <w:trHeight w:val="180"/>
        </w:trPr>
        <w:tc>
          <w:tcPr>
            <w:tcW w:w="116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$3,221.9</w:t>
            </w:r>
          </w:p>
        </w:tc>
        <w:tc>
          <w:tcPr>
            <w:tcW w:w="1560" w:type="dxa"/>
            <w:vAlign w:val="bottom"/>
            <w:gridSpan w:val="5"/>
          </w:tcPr>
          <w:p>
            <w:pPr>
              <w:jc w:val="right"/>
              <w:ind w:right="62"/>
              <w:spacing w:after="0"/>
              <w:rPr>
                <w:sz w:val="20"/>
                <w:szCs w:val="20"/>
                <w:color w:val="auto"/>
              </w:rPr>
            </w:pPr>
            <w:r>
              <w:rPr>
                <w:rFonts w:ascii="Courier New" w:cs="Courier New" w:eastAsia="Courier New" w:hAnsi="Courier New"/>
                <w:sz w:val="16"/>
                <w:szCs w:val="16"/>
                <w:color w:val="auto"/>
                <w:w w:val="97"/>
              </w:rPr>
              <w:t>$1,507.9 ======</w:t>
            </w:r>
          </w:p>
        </w:tc>
        <w:tc>
          <w:tcPr>
            <w:tcW w:w="140" w:type="dxa"/>
            <w:vAlign w:val="bottom"/>
          </w:tcPr>
          <w:p>
            <w:pPr>
              <w:spacing w:after="0"/>
              <w:rPr>
                <w:sz w:val="15"/>
                <w:szCs w:val="15"/>
                <w:color w:val="auto"/>
              </w:rPr>
            </w:pPr>
          </w:p>
        </w:tc>
      </w:tr>
      <w:tr>
        <w:trPr>
          <w:trHeight w:val="180"/>
        </w:trPr>
        <w:tc>
          <w:tcPr>
            <w:tcW w:w="2720" w:type="dxa"/>
            <w:vAlign w:val="bottom"/>
            <w:gridSpan w:val="9"/>
          </w:tcPr>
          <w:p>
            <w:pPr>
              <w:jc w:val="center"/>
              <w:ind w:left="93"/>
              <w:spacing w:after="0"/>
              <w:rPr>
                <w:sz w:val="20"/>
                <w:szCs w:val="20"/>
                <w:color w:val="auto"/>
              </w:rPr>
            </w:pPr>
            <w:r>
              <w:rPr>
                <w:rFonts w:ascii="Courier New" w:cs="Courier New" w:eastAsia="Courier New" w:hAnsi="Courier New"/>
                <w:sz w:val="16"/>
                <w:szCs w:val="16"/>
                <w:color w:val="auto"/>
                <w:w w:val="97"/>
              </w:rPr>
              <w:t>======== ======== ========</w:t>
            </w:r>
          </w:p>
        </w:tc>
        <w:tc>
          <w:tcPr>
            <w:tcW w:w="14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2300" w:type="dxa"/>
            <w:vAlign w:val="bottom"/>
            <w:gridSpan w:val="8"/>
          </w:tcPr>
          <w:p>
            <w:pPr>
              <w:jc w:val="center"/>
              <w:ind w:right="162"/>
              <w:spacing w:after="0"/>
              <w:rPr>
                <w:sz w:val="20"/>
                <w:szCs w:val="20"/>
                <w:color w:val="auto"/>
              </w:rPr>
            </w:pPr>
            <w:r>
              <w:rPr>
                <w:rFonts w:ascii="Courier New" w:cs="Courier New" w:eastAsia="Courier New" w:hAnsi="Courier New"/>
                <w:sz w:val="16"/>
                <w:szCs w:val="16"/>
                <w:color w:val="auto"/>
                <w:w w:val="98"/>
              </w:rPr>
              <w:t>======== Basic EPS As</w:t>
            </w:r>
          </w:p>
        </w:tc>
        <w:tc>
          <w:tcPr>
            <w:tcW w:w="140" w:type="dxa"/>
            <w:vAlign w:val="bottom"/>
          </w:tcPr>
          <w:p>
            <w:pPr>
              <w:spacing w:after="0"/>
              <w:rPr>
                <w:sz w:val="15"/>
                <w:szCs w:val="15"/>
                <w:color w:val="auto"/>
              </w:rPr>
            </w:pP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8"/>
                <w:szCs w:val="8"/>
                <w:color w:val="auto"/>
                <w:w w:val="76"/>
              </w:rPr>
              <w:t>reported.......................</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7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$ 0.04</w:t>
            </w:r>
          </w:p>
        </w:tc>
        <w:tc>
          <w:tcPr>
            <w:tcW w:w="7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$ 1.09</w:t>
            </w:r>
          </w:p>
        </w:tc>
        <w:tc>
          <w:tcPr>
            <w:tcW w:w="132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6"/>
              </w:rPr>
              <w:t>$ 0.64 $ 2.24</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r>
      <w:tr>
        <w:trPr>
          <w:trHeight w:val="180"/>
        </w:trPr>
        <w:tc>
          <w:tcPr>
            <w:tcW w:w="420" w:type="dxa"/>
            <w:vAlign w:val="bottom"/>
          </w:tcPr>
          <w:p>
            <w:pPr>
              <w:spacing w:after="0"/>
              <w:rPr>
                <w:sz w:val="15"/>
                <w:szCs w:val="15"/>
                <w:color w:val="auto"/>
              </w:rPr>
            </w:pPr>
          </w:p>
        </w:tc>
        <w:tc>
          <w:tcPr>
            <w:tcW w:w="2300" w:type="dxa"/>
            <w:vAlign w:val="bottom"/>
            <w:gridSpan w:val="8"/>
          </w:tcPr>
          <w:p>
            <w:pPr>
              <w:jc w:val="center"/>
              <w:ind w:right="182"/>
              <w:spacing w:after="0"/>
              <w:rPr>
                <w:sz w:val="20"/>
                <w:szCs w:val="20"/>
                <w:color w:val="auto"/>
              </w:rPr>
            </w:pPr>
            <w:r>
              <w:rPr>
                <w:rFonts w:ascii="Courier New" w:cs="Courier New" w:eastAsia="Courier New" w:hAnsi="Courier New"/>
                <w:sz w:val="16"/>
                <w:szCs w:val="16"/>
                <w:color w:val="auto"/>
                <w:w w:val="97"/>
              </w:rPr>
              <w:t>1.38 Amortization of</w:t>
            </w:r>
          </w:p>
        </w:tc>
        <w:tc>
          <w:tcPr>
            <w:tcW w:w="140" w:type="dxa"/>
            <w:vAlign w:val="bottom"/>
          </w:tcPr>
          <w:p>
            <w:pPr>
              <w:spacing w:after="0"/>
              <w:rPr>
                <w:sz w:val="15"/>
                <w:szCs w:val="15"/>
                <w:color w:val="auto"/>
              </w:rPr>
            </w:pP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79"/>
              </w:rPr>
              <w:t>goodwill.......</w:t>
            </w:r>
          </w:p>
        </w:tc>
        <w:tc>
          <w:tcPr>
            <w:tcW w:w="240" w:type="dxa"/>
            <w:vAlign w:val="bottom"/>
          </w:tcPr>
          <w:p>
            <w:pPr>
              <w:spacing w:after="0"/>
              <w:rPr>
                <w:sz w:val="15"/>
                <w:szCs w:val="15"/>
                <w:color w:val="auto"/>
              </w:rPr>
            </w:pPr>
          </w:p>
        </w:tc>
        <w:tc>
          <w:tcPr>
            <w:tcW w:w="14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0.08 0.17 0.35</w:t>
            </w:r>
          </w:p>
        </w:tc>
      </w:tr>
      <w:tr>
        <w:trPr>
          <w:trHeight w:val="180"/>
        </w:trPr>
        <w:tc>
          <w:tcPr>
            <w:tcW w:w="2720" w:type="dxa"/>
            <w:vAlign w:val="bottom"/>
            <w:gridSpan w:val="9"/>
          </w:tcPr>
          <w:p>
            <w:pPr>
              <w:jc w:val="center"/>
              <w:ind w:left="113"/>
              <w:spacing w:after="0"/>
              <w:rPr>
                <w:sz w:val="20"/>
                <w:szCs w:val="20"/>
                <w:color w:val="auto"/>
              </w:rPr>
            </w:pPr>
            <w:r>
              <w:rPr>
                <w:rFonts w:ascii="Courier New" w:cs="Courier New" w:eastAsia="Courier New" w:hAnsi="Courier New"/>
                <w:sz w:val="16"/>
                <w:szCs w:val="16"/>
                <w:color w:val="auto"/>
                <w:w w:val="97"/>
              </w:rPr>
              <w:t>0.34 0.17 Amortization of</w:t>
            </w:r>
          </w:p>
        </w:tc>
        <w:tc>
          <w:tcPr>
            <w:tcW w:w="140" w:type="dxa"/>
            <w:vAlign w:val="bottom"/>
          </w:tcPr>
          <w:p>
            <w:pPr>
              <w:spacing w:after="0"/>
              <w:rPr>
                <w:sz w:val="15"/>
                <w:szCs w:val="15"/>
                <w:color w:val="auto"/>
              </w:rPr>
            </w:pPr>
          </w:p>
        </w:tc>
      </w:tr>
      <w:tr>
        <w:trPr>
          <w:trHeight w:val="180"/>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7"/>
              </w:rPr>
              <w:t>equity method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2"/>
              </w:rPr>
              <w:t>goodwill.....................</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70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3"/>
              </w:rPr>
              <w:t>0.01</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w:t>
            </w:r>
          </w:p>
        </w:tc>
        <w:tc>
          <w:tcPr>
            <w:tcW w:w="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0.02</w:t>
            </w:r>
          </w:p>
        </w:tc>
        <w:tc>
          <w:tcPr>
            <w:tcW w:w="420" w:type="dxa"/>
            <w:vAlign w:val="bottom"/>
            <w:gridSpan w:val="2"/>
          </w:tcPr>
          <w:p>
            <w:pPr>
              <w:spacing w:after="0"/>
              <w:rPr>
                <w:sz w:val="20"/>
                <w:szCs w:val="20"/>
                <w:color w:val="auto"/>
              </w:rPr>
            </w:pPr>
            <w:r>
              <w:rPr>
                <w:rFonts w:ascii="Courier New" w:cs="Courier New" w:eastAsia="Courier New" w:hAnsi="Courier New"/>
                <w:sz w:val="16"/>
                <w:szCs w:val="16"/>
                <w:color w:val="auto"/>
              </w:rPr>
              <w:t>0.02</w:t>
            </w:r>
          </w:p>
        </w:tc>
        <w:tc>
          <w:tcPr>
            <w:tcW w:w="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0.01</w:t>
            </w:r>
          </w:p>
        </w:tc>
        <w:tc>
          <w:tcPr>
            <w:tcW w:w="140" w:type="dxa"/>
            <w:vAlign w:val="bottom"/>
          </w:tcPr>
          <w:p>
            <w:pPr>
              <w:spacing w:after="0"/>
              <w:rPr>
                <w:sz w:val="15"/>
                <w:szCs w:val="15"/>
                <w:color w:val="auto"/>
              </w:rPr>
            </w:pPr>
          </w:p>
        </w:tc>
      </w:tr>
      <w:tr>
        <w:trPr>
          <w:trHeight w:val="180"/>
        </w:trPr>
        <w:tc>
          <w:tcPr>
            <w:tcW w:w="2720" w:type="dxa"/>
            <w:vAlign w:val="bottom"/>
            <w:gridSpan w:val="9"/>
          </w:tcPr>
          <w:p>
            <w:pPr>
              <w:jc w:val="center"/>
              <w:ind w:left="113"/>
              <w:spacing w:after="0"/>
              <w:rPr>
                <w:sz w:val="20"/>
                <w:szCs w:val="20"/>
                <w:color w:val="auto"/>
              </w:rPr>
            </w:pPr>
            <w:r>
              <w:rPr>
                <w:rFonts w:ascii="Courier New" w:cs="Courier New" w:eastAsia="Courier New" w:hAnsi="Courier New"/>
                <w:sz w:val="16"/>
                <w:szCs w:val="16"/>
                <w:color w:val="auto"/>
                <w:w w:val="97"/>
              </w:rPr>
              <w:t>Amortization of franchise</w:t>
            </w:r>
          </w:p>
        </w:tc>
        <w:tc>
          <w:tcPr>
            <w:tcW w:w="140" w:type="dxa"/>
            <w:vAlign w:val="bottom"/>
          </w:tcPr>
          <w:p>
            <w:pPr>
              <w:spacing w:after="0"/>
              <w:rPr>
                <w:sz w:val="15"/>
                <w:szCs w:val="15"/>
                <w:color w:val="auto"/>
              </w:rPr>
            </w:pPr>
          </w:p>
        </w:tc>
      </w:tr>
      <w:tr>
        <w:trPr>
          <w:trHeight w:val="180"/>
        </w:trPr>
        <w:tc>
          <w:tcPr>
            <w:tcW w:w="980" w:type="dxa"/>
            <w:vAlign w:val="bottom"/>
            <w:gridSpan w:val="3"/>
          </w:tcPr>
          <w:p>
            <w:pPr>
              <w:ind w:left="80"/>
              <w:spacing w:after="0"/>
              <w:rPr>
                <w:sz w:val="20"/>
                <w:szCs w:val="20"/>
                <w:color w:val="auto"/>
              </w:rPr>
            </w:pPr>
            <w:r>
              <w:rPr>
                <w:rFonts w:ascii="Courier New" w:cs="Courier New" w:eastAsia="Courier New" w:hAnsi="Courier New"/>
                <w:sz w:val="7"/>
                <w:szCs w:val="7"/>
                <w:color w:val="auto"/>
                <w:w w:val="72"/>
              </w:rPr>
              <w:t>rights.......................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0.29</w:t>
            </w:r>
          </w:p>
        </w:tc>
        <w:tc>
          <w:tcPr>
            <w:tcW w:w="5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0.56</w:t>
            </w:r>
          </w:p>
        </w:tc>
        <w:tc>
          <w:tcPr>
            <w:tcW w:w="420" w:type="dxa"/>
            <w:vAlign w:val="bottom"/>
            <w:gridSpan w:val="2"/>
          </w:tcPr>
          <w:p>
            <w:pPr>
              <w:spacing w:after="0"/>
              <w:rPr>
                <w:sz w:val="20"/>
                <w:szCs w:val="20"/>
                <w:color w:val="auto"/>
              </w:rPr>
            </w:pPr>
            <w:r>
              <w:rPr>
                <w:rFonts w:ascii="Courier New" w:cs="Courier New" w:eastAsia="Courier New" w:hAnsi="Courier New"/>
                <w:sz w:val="16"/>
                <w:szCs w:val="16"/>
                <w:color w:val="auto"/>
              </w:rPr>
              <w:t>1.14</w:t>
            </w:r>
          </w:p>
        </w:tc>
        <w:tc>
          <w:tcPr>
            <w:tcW w:w="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0.96</w:t>
            </w:r>
          </w:p>
        </w:tc>
        <w:tc>
          <w:tcPr>
            <w:tcW w:w="1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0.35 -----</w:t>
            </w:r>
          </w:p>
        </w:tc>
      </w:tr>
      <w:tr>
        <w:trPr>
          <w:trHeight w:val="180"/>
        </w:trPr>
        <w:tc>
          <w:tcPr>
            <w:tcW w:w="2860" w:type="dxa"/>
            <w:vAlign w:val="bottom"/>
            <w:gridSpan w:val="10"/>
          </w:tcPr>
          <w:p>
            <w:pPr>
              <w:jc w:val="center"/>
              <w:spacing w:after="0"/>
              <w:rPr>
                <w:sz w:val="20"/>
                <w:szCs w:val="20"/>
                <w:color w:val="auto"/>
              </w:rPr>
            </w:pPr>
            <w:r>
              <w:rPr>
                <w:rFonts w:ascii="Courier New" w:cs="Courier New" w:eastAsia="Courier New" w:hAnsi="Courier New"/>
                <w:sz w:val="16"/>
                <w:szCs w:val="16"/>
                <w:color w:val="auto"/>
                <w:w w:val="97"/>
              </w:rPr>
              <w:t>- -------- -------- -------- -</w:t>
            </w:r>
          </w:p>
        </w:tc>
      </w:tr>
      <w:tr>
        <w:trPr>
          <w:trHeight w:val="180"/>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Courier New" w:cs="Courier New" w:eastAsia="Courier New" w:hAnsi="Courier New"/>
                <w:sz w:val="13"/>
                <w:szCs w:val="13"/>
                <w:color w:val="auto"/>
                <w:w w:val="73"/>
              </w:rPr>
              <w:t>-------</w:t>
            </w:r>
          </w:p>
        </w:tc>
        <w:tc>
          <w:tcPr>
            <w:tcW w:w="32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Courier New" w:cs="Courier New" w:eastAsia="Courier New" w:hAnsi="Courier New"/>
                <w:sz w:val="16"/>
                <w:szCs w:val="16"/>
                <w:color w:val="auto"/>
              </w:rPr>
              <w:t>As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160" w:type="dxa"/>
            <w:vAlign w:val="bottom"/>
            <w:gridSpan w:val="4"/>
          </w:tcPr>
          <w:p>
            <w:pPr>
              <w:jc w:val="right"/>
              <w:spacing w:after="0"/>
              <w:rPr>
                <w:sz w:val="20"/>
                <w:szCs w:val="20"/>
                <w:color w:val="auto"/>
              </w:rPr>
            </w:pPr>
            <w:r>
              <w:rPr>
                <w:rFonts w:ascii="Courier New" w:cs="Courier New" w:eastAsia="Courier New" w:hAnsi="Courier New"/>
                <w:sz w:val="8"/>
                <w:szCs w:val="8"/>
                <w:color w:val="auto"/>
                <w:w w:val="76"/>
              </w:rPr>
              <w:t>adjusted.......................</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7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$ 0.42</w:t>
            </w:r>
          </w:p>
        </w:tc>
        <w:tc>
          <w:tcPr>
            <w:tcW w:w="7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$ 1.83</w:t>
            </w:r>
          </w:p>
        </w:tc>
        <w:tc>
          <w:tcPr>
            <w:tcW w:w="132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6"/>
              </w:rPr>
              <w:t>$ 2.15 $ 3.56</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r>
    </w:tbl>
    <w:p>
      <w:pPr>
        <w:jc w:val="center"/>
        <w:ind w:right="7319"/>
        <w:spacing w:after="0"/>
        <w:rPr>
          <w:sz w:val="20"/>
          <w:szCs w:val="20"/>
          <w:color w:val="auto"/>
        </w:rPr>
      </w:pPr>
      <w:r>
        <w:rPr>
          <w:rFonts w:ascii="Courier New" w:cs="Courier New" w:eastAsia="Courier New" w:hAnsi="Courier New"/>
          <w:sz w:val="16"/>
          <w:szCs w:val="16"/>
          <w:color w:val="auto"/>
        </w:rPr>
        <w:t>1.91 ====== ======== ========</w:t>
      </w:r>
    </w:p>
    <w:p>
      <w:pPr>
        <w:jc w:val="center"/>
        <w:ind w:right="7319"/>
        <w:spacing w:after="0" w:line="237" w:lineRule="auto"/>
        <w:rPr>
          <w:sz w:val="20"/>
          <w:szCs w:val="20"/>
          <w:color w:val="auto"/>
        </w:rPr>
      </w:pPr>
      <w:r>
        <w:rPr>
          <w:rFonts w:ascii="Courier New" w:cs="Courier New" w:eastAsia="Courier New" w:hAnsi="Courier New"/>
          <w:sz w:val="16"/>
          <w:szCs w:val="16"/>
          <w:color w:val="auto"/>
        </w:rPr>
        <w:t>======== ========</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F-138</w:t>
      </w:r>
    </w:p>
    <w:p>
      <w:pPr>
        <w:sectPr>
          <w:pgSz w:w="11900" w:h="16838" w:orient="portrait"/>
          <w:cols w:equalWidth="0" w:num="1">
            <w:col w:w="10219"/>
          </w:cols>
          <w:pgMar w:left="240" w:top="473" w:right="1440" w:bottom="828" w:gutter="0" w:footer="0" w:header="0"/>
        </w:sectPr>
      </w:pPr>
    </w:p>
    <w:bookmarkStart w:id="329" w:name="page330"/>
    <w:bookmarkEnd w:id="329"/>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84"/>
        <w:spacing w:after="0"/>
        <w:rPr>
          <w:sz w:val="20"/>
          <w:szCs w:val="20"/>
          <w:color w:val="auto"/>
        </w:rPr>
      </w:pPr>
      <w:r>
        <w:rPr>
          <w:rFonts w:ascii="Courier New" w:cs="Courier New" w:eastAsia="Courier New" w:hAnsi="Courier New"/>
          <w:sz w:val="16"/>
          <w:szCs w:val="16"/>
          <w:color w:val="auto"/>
        </w:rPr>
        <w:t>THREE SIX MONTHS MONTHS ENDED</w:t>
      </w:r>
    </w:p>
    <w:p>
      <w:pPr>
        <w:ind w:left="84"/>
        <w:spacing w:after="0"/>
        <w:rPr>
          <w:sz w:val="20"/>
          <w:szCs w:val="20"/>
          <w:color w:val="auto"/>
        </w:rPr>
      </w:pPr>
      <w:r>
        <w:rPr>
          <w:rFonts w:ascii="Courier New" w:cs="Courier New" w:eastAsia="Courier New" w:hAnsi="Courier New"/>
          <w:sz w:val="16"/>
          <w:szCs w:val="16"/>
          <w:color w:val="auto"/>
        </w:rPr>
        <w:t>ENDED JUNE 30, JUNE 30, YEARS</w:t>
      </w:r>
    </w:p>
    <w:p>
      <w:pPr>
        <w:jc w:val="center"/>
        <w:ind w:right="7315"/>
        <w:spacing w:after="0" w:line="237" w:lineRule="auto"/>
        <w:rPr>
          <w:sz w:val="20"/>
          <w:szCs w:val="20"/>
          <w:color w:val="auto"/>
        </w:rPr>
      </w:pPr>
      <w:r>
        <w:rPr>
          <w:rFonts w:ascii="Courier New" w:cs="Courier New" w:eastAsia="Courier New" w:hAnsi="Courier New"/>
          <w:sz w:val="16"/>
          <w:szCs w:val="16"/>
          <w:color w:val="auto"/>
        </w:rPr>
        <w:t>ENDED DECEMBER 31, 2001 2001</w:t>
      </w:r>
    </w:p>
    <w:p>
      <w:pPr>
        <w:jc w:val="center"/>
        <w:ind w:right="7315"/>
        <w:spacing w:after="0"/>
        <w:rPr>
          <w:sz w:val="20"/>
          <w:szCs w:val="20"/>
          <w:color w:val="auto"/>
        </w:rPr>
      </w:pPr>
      <w:r>
        <w:rPr>
          <w:rFonts w:ascii="Courier New" w:cs="Courier New" w:eastAsia="Courier New" w:hAnsi="Courier New"/>
          <w:sz w:val="16"/>
          <w:szCs w:val="16"/>
          <w:color w:val="auto"/>
        </w:rPr>
        <w:t>2001 2000 1999 -------- ------</w:t>
      </w:r>
    </w:p>
    <w:p>
      <w:pPr>
        <w:ind w:left="364" w:hanging="275"/>
        <w:spacing w:after="0" w:line="238" w:lineRule="auto"/>
        <w:tabs>
          <w:tab w:leader="none" w:pos="364"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7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As</w:t>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122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1"/>
              </w:rPr>
              <w:t>reported.......................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$ 0.04</w:t>
            </w:r>
          </w:p>
        </w:tc>
        <w:tc>
          <w:tcPr>
            <w:tcW w:w="640" w:type="dxa"/>
            <w:vAlign w:val="bottom"/>
            <w:gridSpan w:val="3"/>
          </w:tcPr>
          <w:p>
            <w:pPr>
              <w:spacing w:after="0"/>
              <w:rPr>
                <w:sz w:val="20"/>
                <w:szCs w:val="20"/>
                <w:color w:val="auto"/>
              </w:rPr>
            </w:pPr>
            <w:r>
              <w:rPr>
                <w:rFonts w:ascii="Courier New" w:cs="Courier New" w:eastAsia="Courier New" w:hAnsi="Courier New"/>
                <w:sz w:val="16"/>
                <w:szCs w:val="16"/>
                <w:color w:val="auto"/>
              </w:rPr>
              <w:t>$ 1.07</w:t>
            </w:r>
          </w:p>
        </w:tc>
        <w:tc>
          <w:tcPr>
            <w:tcW w:w="134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7"/>
              </w:rPr>
              <w:t>$ 0.63 $ 2.13</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r>
      <w:tr>
        <w:trPr>
          <w:trHeight w:val="180"/>
        </w:trPr>
        <w:tc>
          <w:tcPr>
            <w:tcW w:w="460" w:type="dxa"/>
            <w:vAlign w:val="bottom"/>
          </w:tcPr>
          <w:p>
            <w:pPr>
              <w:spacing w:after="0"/>
              <w:rPr>
                <w:sz w:val="15"/>
                <w:szCs w:val="15"/>
                <w:color w:val="auto"/>
              </w:rPr>
            </w:pPr>
          </w:p>
        </w:tc>
        <w:tc>
          <w:tcPr>
            <w:tcW w:w="2260" w:type="dxa"/>
            <w:vAlign w:val="bottom"/>
            <w:gridSpan w:val="8"/>
          </w:tcPr>
          <w:p>
            <w:pPr>
              <w:jc w:val="center"/>
              <w:ind w:right="222"/>
              <w:spacing w:after="0"/>
              <w:rPr>
                <w:sz w:val="20"/>
                <w:szCs w:val="20"/>
                <w:color w:val="auto"/>
              </w:rPr>
            </w:pPr>
            <w:r>
              <w:rPr>
                <w:rFonts w:ascii="Courier New" w:cs="Courier New" w:eastAsia="Courier New" w:hAnsi="Courier New"/>
                <w:sz w:val="16"/>
                <w:szCs w:val="16"/>
                <w:color w:val="auto"/>
                <w:w w:val="97"/>
              </w:rPr>
              <w:t>1.30 Amortization of</w:t>
            </w:r>
          </w:p>
        </w:tc>
        <w:tc>
          <w:tcPr>
            <w:tcW w:w="140" w:type="dxa"/>
            <w:vAlign w:val="bottom"/>
          </w:tcPr>
          <w:p>
            <w:pPr>
              <w:spacing w:after="0"/>
              <w:rPr>
                <w:sz w:val="15"/>
                <w:szCs w:val="15"/>
                <w:color w:val="auto"/>
              </w:rPr>
            </w:pPr>
          </w:p>
        </w:tc>
      </w:tr>
      <w:tr>
        <w:trPr>
          <w:trHeight w:val="180"/>
        </w:trPr>
        <w:tc>
          <w:tcPr>
            <w:tcW w:w="12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3"/>
              </w:rPr>
              <w:t>goodwill.......</w:t>
            </w:r>
          </w:p>
        </w:tc>
        <w:tc>
          <w:tcPr>
            <w:tcW w:w="160" w:type="dxa"/>
            <w:vAlign w:val="bottom"/>
          </w:tcPr>
          <w:p>
            <w:pPr>
              <w:spacing w:after="0"/>
              <w:rPr>
                <w:sz w:val="15"/>
                <w:szCs w:val="15"/>
                <w:color w:val="auto"/>
              </w:rPr>
            </w:pPr>
          </w:p>
        </w:tc>
        <w:tc>
          <w:tcPr>
            <w:tcW w:w="14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0.08 0.16 0.35</w:t>
            </w:r>
          </w:p>
        </w:tc>
      </w:tr>
      <w:tr>
        <w:trPr>
          <w:trHeight w:val="180"/>
        </w:trPr>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0.32</w:t>
            </w:r>
          </w:p>
        </w:tc>
        <w:tc>
          <w:tcPr>
            <w:tcW w:w="1980" w:type="dxa"/>
            <w:vAlign w:val="bottom"/>
            <w:gridSpan w:val="7"/>
          </w:tcPr>
          <w:p>
            <w:pPr>
              <w:spacing w:after="0"/>
              <w:rPr>
                <w:sz w:val="20"/>
                <w:szCs w:val="20"/>
                <w:color w:val="auto"/>
              </w:rPr>
            </w:pPr>
            <w:r>
              <w:rPr>
                <w:rFonts w:ascii="Courier New" w:cs="Courier New" w:eastAsia="Courier New" w:hAnsi="Courier New"/>
                <w:sz w:val="16"/>
                <w:szCs w:val="16"/>
                <w:color w:val="auto"/>
              </w:rPr>
              <w:t>0.16 Amortization of</w:t>
            </w:r>
          </w:p>
        </w:tc>
        <w:tc>
          <w:tcPr>
            <w:tcW w:w="140" w:type="dxa"/>
            <w:vAlign w:val="bottom"/>
          </w:tcPr>
          <w:p>
            <w:pPr>
              <w:spacing w:after="0"/>
              <w:rPr>
                <w:sz w:val="15"/>
                <w:szCs w:val="15"/>
                <w:color w:val="auto"/>
              </w:rPr>
            </w:pPr>
          </w:p>
        </w:tc>
      </w:tr>
      <w:tr>
        <w:trPr>
          <w:trHeight w:val="180"/>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7"/>
              </w:rPr>
              <w:t>equity method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220" w:type="dxa"/>
            <w:vAlign w:val="bottom"/>
            <w:gridSpan w:val="4"/>
          </w:tcPr>
          <w:p>
            <w:pPr>
              <w:jc w:val="right"/>
              <w:spacing w:after="0"/>
              <w:rPr>
                <w:sz w:val="20"/>
                <w:szCs w:val="20"/>
                <w:color w:val="auto"/>
              </w:rPr>
            </w:pPr>
            <w:r>
              <w:rPr>
                <w:rFonts w:ascii="Courier New" w:cs="Courier New" w:eastAsia="Courier New" w:hAnsi="Courier New"/>
                <w:sz w:val="9"/>
                <w:szCs w:val="9"/>
                <w:color w:val="auto"/>
                <w:w w:val="76"/>
              </w:rPr>
              <w:t>goodwill.....................</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w:t>
            </w:r>
          </w:p>
        </w:tc>
        <w:tc>
          <w:tcPr>
            <w:tcW w:w="4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0.02</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0.02</w:t>
            </w:r>
          </w:p>
        </w:tc>
        <w:tc>
          <w:tcPr>
            <w:tcW w:w="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0.01</w:t>
            </w:r>
          </w:p>
        </w:tc>
        <w:tc>
          <w:tcPr>
            <w:tcW w:w="140" w:type="dxa"/>
            <w:vAlign w:val="bottom"/>
          </w:tcPr>
          <w:p>
            <w:pPr>
              <w:spacing w:after="0"/>
              <w:rPr>
                <w:sz w:val="15"/>
                <w:szCs w:val="15"/>
                <w:color w:val="auto"/>
              </w:rPr>
            </w:pPr>
          </w:p>
        </w:tc>
      </w:tr>
      <w:tr>
        <w:trPr>
          <w:trHeight w:val="180"/>
        </w:trPr>
        <w:tc>
          <w:tcPr>
            <w:tcW w:w="2720" w:type="dxa"/>
            <w:vAlign w:val="bottom"/>
            <w:gridSpan w:val="9"/>
          </w:tcPr>
          <w:p>
            <w:pPr>
              <w:jc w:val="center"/>
              <w:ind w:left="114"/>
              <w:spacing w:after="0"/>
              <w:rPr>
                <w:sz w:val="20"/>
                <w:szCs w:val="20"/>
                <w:color w:val="auto"/>
              </w:rPr>
            </w:pPr>
            <w:r>
              <w:rPr>
                <w:rFonts w:ascii="Courier New" w:cs="Courier New" w:eastAsia="Courier New" w:hAnsi="Courier New"/>
                <w:sz w:val="16"/>
                <w:szCs w:val="16"/>
                <w:color w:val="auto"/>
                <w:w w:val="97"/>
              </w:rPr>
              <w:t>Amortization of franchise</w:t>
            </w:r>
          </w:p>
        </w:tc>
        <w:tc>
          <w:tcPr>
            <w:tcW w:w="140" w:type="dxa"/>
            <w:vAlign w:val="bottom"/>
          </w:tcPr>
          <w:p>
            <w:pPr>
              <w:spacing w:after="0"/>
              <w:rPr>
                <w:sz w:val="15"/>
                <w:szCs w:val="15"/>
                <w:color w:val="auto"/>
              </w:rPr>
            </w:pPr>
          </w:p>
        </w:tc>
      </w:tr>
      <w:tr>
        <w:trPr>
          <w:trHeight w:val="180"/>
        </w:trPr>
        <w:tc>
          <w:tcPr>
            <w:tcW w:w="9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8"/>
              </w:rPr>
              <w:t>rights.......................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0.28</w:t>
            </w:r>
          </w:p>
        </w:tc>
        <w:tc>
          <w:tcPr>
            <w:tcW w:w="5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0.55</w:t>
            </w:r>
          </w:p>
        </w:tc>
        <w:tc>
          <w:tcPr>
            <w:tcW w:w="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1.12</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0.90</w:t>
            </w:r>
          </w:p>
        </w:tc>
        <w:tc>
          <w:tcPr>
            <w:tcW w:w="1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0.31 -----</w:t>
            </w:r>
          </w:p>
        </w:tc>
      </w:tr>
    </w:tbl>
    <w:p>
      <w:pPr>
        <w:ind w:left="44"/>
        <w:spacing w:after="0"/>
        <w:rPr>
          <w:sz w:val="20"/>
          <w:szCs w:val="20"/>
          <w:color w:val="auto"/>
        </w:rPr>
      </w:pPr>
      <w:r>
        <w:rPr>
          <w:rFonts w:ascii="Courier New" w:cs="Courier New" w:eastAsia="Courier New" w:hAnsi="Courier New"/>
          <w:sz w:val="16"/>
          <w:szCs w:val="16"/>
          <w:color w:val="auto"/>
        </w:rPr>
        <w:t>- -------- -------- -------- -</w:t>
      </w:r>
    </w:p>
    <w:p>
      <w:pPr>
        <w:ind w:left="984"/>
        <w:spacing w:after="0" w:line="237" w:lineRule="auto"/>
        <w:rPr>
          <w:sz w:val="20"/>
          <w:szCs w:val="20"/>
          <w:color w:val="auto"/>
        </w:rPr>
      </w:pPr>
      <w:r>
        <w:rPr>
          <w:rFonts w:ascii="Courier New" w:cs="Courier New" w:eastAsia="Courier New" w:hAnsi="Courier New"/>
          <w:sz w:val="16"/>
          <w:szCs w:val="16"/>
          <w:color w:val="auto"/>
        </w:rPr>
        <w:t>------- As</w:t>
      </w:r>
    </w:p>
    <w:p>
      <w:pPr>
        <w:ind w:left="4"/>
        <w:spacing w:after="0"/>
        <w:rPr>
          <w:sz w:val="20"/>
          <w:szCs w:val="20"/>
          <w:color w:val="auto"/>
        </w:rPr>
      </w:pPr>
      <w:r>
        <w:rPr>
          <w:rFonts w:ascii="Courier New" w:cs="Courier New" w:eastAsia="Courier New" w:hAnsi="Courier New"/>
          <w:sz w:val="16"/>
          <w:szCs w:val="16"/>
          <w:color w:val="auto"/>
        </w:rPr>
        <w:t>adjusted.......................</w:t>
      </w:r>
    </w:p>
    <w:p>
      <w:pPr>
        <w:ind w:left="84"/>
        <w:spacing w:after="0" w:line="238" w:lineRule="auto"/>
        <w:rPr>
          <w:sz w:val="20"/>
          <w:szCs w:val="20"/>
          <w:color w:val="auto"/>
        </w:rPr>
      </w:pPr>
      <w:r>
        <w:rPr>
          <w:rFonts w:ascii="Courier New" w:cs="Courier New" w:eastAsia="Courier New" w:hAnsi="Courier New"/>
          <w:sz w:val="16"/>
          <w:szCs w:val="16"/>
          <w:color w:val="auto"/>
        </w:rPr>
        <w:t>$ 0.41 $ 1.79 $ 2.12 $ 3.37 $</w:t>
      </w:r>
    </w:p>
    <w:p>
      <w:pPr>
        <w:ind w:left="84"/>
        <w:spacing w:after="0"/>
        <w:rPr>
          <w:sz w:val="20"/>
          <w:szCs w:val="20"/>
          <w:color w:val="auto"/>
        </w:rPr>
      </w:pPr>
      <w:r>
        <w:rPr>
          <w:rFonts w:ascii="Courier New" w:cs="Courier New" w:eastAsia="Courier New" w:hAnsi="Courier New"/>
          <w:sz w:val="16"/>
          <w:szCs w:val="16"/>
          <w:color w:val="auto"/>
        </w:rPr>
        <w:t>1.78 ====== ======== ========</w:t>
      </w:r>
    </w:p>
    <w:p>
      <w:pPr>
        <w:ind w:left="644"/>
        <w:spacing w:after="0" w:line="238" w:lineRule="auto"/>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104" w:right="8539" w:hanging="104"/>
        <w:spacing w:after="0" w:line="509" w:lineRule="auto"/>
        <w:tabs>
          <w:tab w:leader="none" w:pos="385"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COMMERCIAL PAPER</w:t>
      </w:r>
    </w:p>
    <w:p>
      <w:pPr>
        <w:spacing w:after="0" w:line="1"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Company's senior bank credit facility consists of a $2.25 billion, five-year revolving credit facility and a $1.925 billion, 364-day revolving credit facility (together, the "Comcast Cable Revolver"). The 364-day revolving credit facility supports the commercial paper program of Comcast Cable Communications, Inc., a wholly owned subsidiary of the Company. Amounts outstanding under the commercial paper program are classified as long-term in the Company's balance sheet as of June 30, 2002 and December 31, 2001 as the Company has both the ability and the intent to refinance these obligations, if necessary, on a long-term basis with amounts available under the Comcast Cable Revolver.</w:t>
      </w:r>
    </w:p>
    <w:p>
      <w:pPr>
        <w:spacing w:after="0" w:line="182"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ZERO COUPON CONVERTIBLE DEBENTURES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Holders may require the Company to repurchase the Zero Coupon Debentures on December 19, 2002, 2003, 2005, 2010 and 2015. 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 Amounts outstanding under the Zero Coupon Debentures are classified as long-term in the Company's balance sheet as of June 30, 2002 and December 31, 2001 as the Company has both the ability and the intent to refinance the Zero Coupon Debentures on a long-term basis with amounts available under the Comcast Cable Revolver in the event holders of the Zero Coupon Debentures exercise their rights to require the Company to repurchase the Zero Coupon Debentures in December 2002.</w:t>
      </w:r>
    </w:p>
    <w:p>
      <w:pPr>
        <w:spacing w:after="0" w:line="183"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ZONES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F-139</w:t>
      </w:r>
    </w:p>
    <w:p>
      <w:pPr>
        <w:sectPr>
          <w:pgSz w:w="11900" w:h="16838" w:orient="portrait"/>
          <w:cols w:equalWidth="0" w:num="1">
            <w:col w:w="10223"/>
          </w:cols>
          <w:pgMar w:left="236" w:top="473" w:right="1440" w:bottom="1440" w:gutter="0" w:footer="0" w:header="0"/>
        </w:sectPr>
      </w:pPr>
    </w:p>
    <w:bookmarkStart w:id="330" w:name="page331"/>
    <w:bookmarkEnd w:id="330"/>
    <w:p>
      <w:pPr>
        <w:ind w:left="20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Prior to maturity, each ZONES is exchangeable at the holders' option for an amount of cash equal to 95% of the market value of Sprint PCS Stock. As of June 30, 2002, the number of Sprint PCS shares held by the Company exceeded the number of ZONES outstanding.</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 of June 30, 2002 and December 31, 2001, long-term debt includes $689.1 million and $1.613 billion, respectively, of ZONES. Upon adoption of SFAS No. 133, the Company split the accounting for the ZONES into derivative and debt components. The Company records the change in the fair value of the derivative component of the ZONES (see Note 5) and the increase in the carrying value of the debt component of the ZONES as follows (in millions):</w:t>
      </w:r>
    </w:p>
    <w:p>
      <w:pPr>
        <w:spacing w:after="0" w:line="18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ENDED SIX MONTHS ENDED JUNE</w:t>
      </w:r>
    </w:p>
    <w:p>
      <w:pPr>
        <w:ind w:left="40"/>
        <w:spacing w:after="0"/>
        <w:rPr>
          <w:sz w:val="20"/>
          <w:szCs w:val="20"/>
          <w:color w:val="auto"/>
        </w:rPr>
      </w:pPr>
      <w:r>
        <w:rPr>
          <w:rFonts w:ascii="Courier New" w:cs="Courier New" w:eastAsia="Courier New" w:hAnsi="Courier New"/>
          <w:sz w:val="16"/>
          <w:szCs w:val="16"/>
          <w:color w:val="auto"/>
        </w:rPr>
        <w:t>30, JUNE 30, ------------------ --------</w:t>
      </w:r>
    </w:p>
    <w:p>
      <w:pPr>
        <w:ind w:left="40"/>
        <w:spacing w:after="0" w:line="237" w:lineRule="auto"/>
        <w:rPr>
          <w:sz w:val="20"/>
          <w:szCs w:val="20"/>
          <w:color w:val="auto"/>
        </w:rPr>
      </w:pPr>
      <w:r>
        <w:rPr>
          <w:rFonts w:ascii="Courier New" w:cs="Courier New" w:eastAsia="Courier New" w:hAnsi="Courier New"/>
          <w:sz w:val="16"/>
          <w:szCs w:val="16"/>
          <w:color w:val="auto"/>
        </w:rPr>
        <w:t>---------- 2002 2001 2002 2001 ------- -</w:t>
      </w:r>
    </w:p>
    <w:p>
      <w:pPr>
        <w:spacing w:after="0" w:line="5" w:lineRule="exact"/>
        <w:rPr>
          <w:sz w:val="20"/>
          <w:szCs w:val="20"/>
          <w:color w:val="auto"/>
        </w:rPr>
      </w:pPr>
    </w:p>
    <w:p>
      <w:pPr>
        <w:ind w:left="180" w:right="6439" w:hanging="142"/>
        <w:spacing w:after="0" w:line="254" w:lineRule="auto"/>
        <w:tabs>
          <w:tab w:leader="none" w:pos="602"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Increase (decrease) in derivative component to investment income (expense)........... $(271.3)</w:t>
      </w:r>
    </w:p>
    <w:p>
      <w:pPr>
        <w:jc w:val="center"/>
        <w:ind w:right="6379"/>
        <w:spacing w:after="0" w:line="235" w:lineRule="auto"/>
        <w:rPr>
          <w:sz w:val="20"/>
          <w:szCs w:val="20"/>
          <w:color w:val="auto"/>
        </w:rPr>
      </w:pPr>
      <w:r>
        <w:rPr>
          <w:rFonts w:ascii="Courier New" w:cs="Courier New" w:eastAsia="Courier New" w:hAnsi="Courier New"/>
          <w:sz w:val="16"/>
          <w:szCs w:val="16"/>
          <w:color w:val="auto"/>
        </w:rPr>
        <w:t>$245.0 $(935.0) $175.6 Increase in debt</w:t>
      </w:r>
    </w:p>
    <w:p>
      <w:pPr>
        <w:jc w:val="center"/>
        <w:ind w:right="6379"/>
        <w:spacing w:after="0"/>
        <w:rPr>
          <w:sz w:val="20"/>
          <w:szCs w:val="20"/>
          <w:color w:val="auto"/>
        </w:rPr>
      </w:pPr>
      <w:r>
        <w:rPr>
          <w:rFonts w:ascii="Courier New" w:cs="Courier New" w:eastAsia="Courier New" w:hAnsi="Courier New"/>
          <w:sz w:val="16"/>
          <w:szCs w:val="16"/>
          <w:color w:val="auto"/>
        </w:rPr>
        <w:t>component to interest</w:t>
      </w:r>
    </w:p>
    <w:p>
      <w:pPr>
        <w:spacing w:after="0" w:line="238" w:lineRule="auto"/>
        <w:rPr>
          <w:sz w:val="20"/>
          <w:szCs w:val="20"/>
          <w:color w:val="auto"/>
        </w:rPr>
      </w:pPr>
      <w:r>
        <w:rPr>
          <w:rFonts w:ascii="Courier New" w:cs="Courier New" w:eastAsia="Courier New" w:hAnsi="Courier New"/>
          <w:sz w:val="16"/>
          <w:szCs w:val="16"/>
          <w:color w:val="auto"/>
        </w:rPr>
        <w:t>expense..................................</w:t>
      </w:r>
    </w:p>
    <w:p>
      <w:pPr>
        <w:ind w:left="740"/>
        <w:spacing w:after="0"/>
        <w:rPr>
          <w:sz w:val="20"/>
          <w:szCs w:val="20"/>
          <w:color w:val="auto"/>
        </w:rPr>
      </w:pPr>
      <w:r>
        <w:rPr>
          <w:rFonts w:ascii="Courier New" w:cs="Courier New" w:eastAsia="Courier New" w:hAnsi="Courier New"/>
          <w:sz w:val="16"/>
          <w:szCs w:val="16"/>
          <w:color w:val="auto"/>
        </w:rPr>
        <w:t>$ 5.8 $ 5.5 $ 11.5 $ 11.0</w:t>
      </w:r>
    </w:p>
    <w:p>
      <w:pPr>
        <w:spacing w:after="0" w:line="35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CREDIT FACILITIES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2002, AT&amp;T Broadband Corp. and AT&amp;T Comcast Corporation, a company owned 50% each by AT&amp;T and the Company ("AT&amp;T Comcast"), entered into definitive credit agreements with a syndicate of lenders for an aggregate of $12.825 billion of new indebtedness in order to obtain the financing necessary to complete the AT&amp;T Broadband transaction (see Note 4) and for the combined company's financing needs after the transaction. This financing requires subsidiary guarantees, including guarantees by certain of the Company's wholly owned subsidiaries and by subsidiaries of AT&amp;T Broadband. Under the terms of the new credit facilities, the obligations of the lenders to provide the financing upon the completion of the AT&amp;T Broadband transaction are subject to a number of conditions, including the condition that the combined company holds investment-grade credit ratings from both the Standard &amp; Poor's and Moody's rating agencies at the time of closing. Accordingly, there can be no assurance that AT&amp;T Broadband Corp. and AT&amp;T Comcast will be able to obtain the financing necessary to complete the AT&amp;T Broadband transaction.</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INTEREST RATES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Excluding the derivative component of the ZONES whose changes in fair value are recorded to investment income (expense), the Company's effective weighted average interest rate on its long-term debt outstanding was 6.35% and 6.03% as of June 30, 2002 and December 31, 2001, respectively.</w:t>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INTEREST RATE RISK MANAGEMENT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the six months ended June 30, 2002, the Company settled $950.0 million aggregate notional amount of fixed to variable interest rate exchange agreements ("Swaps") and received proceeds of $56.8 million. This amount is being recognized as an adjustment to interest expense over the term of the related debt. During the six months ended June 30, 2002, variable to fixed Swaps with an aggregate notional amount of $70.2 million expired. As of June 30, 2002, the Company has variable to fixed Swaps with an aggregate notional amount of $180.1 million with an average pay rate of 4.9% and an average receive rate of 1.9%. The Swaps mature between 2002 and 2003.</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June 2002, the Company entered into interest rate lock agreements ("Rate Locks") to hedge the risk that the cash flows related to the interest payments on an anticipated issuance or assumption of</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F-140</w:t>
      </w:r>
    </w:p>
    <w:p>
      <w:pPr>
        <w:sectPr>
          <w:pgSz w:w="11900" w:h="16838" w:orient="portrait"/>
          <w:cols w:equalWidth="0" w:num="1">
            <w:col w:w="10219"/>
          </w:cols>
          <w:pgMar w:left="240" w:top="473" w:right="1440" w:bottom="1440" w:gutter="0" w:footer="0" w:header="0"/>
        </w:sectPr>
      </w:pPr>
    </w:p>
    <w:bookmarkStart w:id="331" w:name="page332"/>
    <w:bookmarkEnd w:id="331"/>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certain fixed rate debt in connection with the AT&amp;T Broadband transaction may be adversely affected by interest rate fluctuations. The Rate Locks mature in the fourth quarter of 2002, the timing of the anticipated issuance or assumption of the fixed rate debt. To the extent the Rate Locks are effective in offsetting the variability of the hedged cash flows, changes in the fair value of the Rate Locks will not be included in earnings but will be reported as a component of accumulated other comprehensive income (loss). Upon the issuance or assumption of the debt, the value of the Rate Locks will be recognized as an adjustment to interest expense over the same period in which the related interest costs on the debt are recognized in earnings.</w:t>
      </w:r>
    </w:p>
    <w:p>
      <w:pPr>
        <w:spacing w:after="0" w:line="182"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LINES AND LETTERS OF CREDIT</w:t>
      </w:r>
    </w:p>
    <w:p>
      <w:pPr>
        <w:spacing w:after="0" w:line="185"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As of June 30, 2002, certain subsidiaries of the Company had unused lines of credit of $3.363 billion under their respective credit facilities.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As of June 30, 2002, the Company and certain of its subsidiaries had unused irrevocable standby letters of credit totaling $85.4 million to cover potential fundings under various agreements.</w:t>
      </w:r>
    </w:p>
    <w:p>
      <w:pPr>
        <w:spacing w:after="0" w:line="185" w:lineRule="exact"/>
        <w:rPr>
          <w:sz w:val="20"/>
          <w:szCs w:val="20"/>
          <w:color w:val="auto"/>
        </w:rPr>
      </w:pPr>
    </w:p>
    <w:p>
      <w:pPr>
        <w:ind w:left="104" w:right="7979" w:hanging="104"/>
        <w:spacing w:after="0" w:line="509" w:lineRule="auto"/>
        <w:tabs>
          <w:tab w:leader="none" w:pos="385"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RETIREMENT OF SHARES</w:t>
      </w:r>
    </w:p>
    <w:p>
      <w:pPr>
        <w:spacing w:after="0" w:line="1" w:lineRule="exact"/>
        <w:rPr>
          <w:sz w:val="20"/>
          <w:szCs w:val="20"/>
          <w:color w:val="auto"/>
        </w:rPr>
      </w:pPr>
    </w:p>
    <w:p>
      <w:pPr>
        <w:jc w:val="both"/>
        <w:ind w:left="4" w:right="2819" w:firstLine="469"/>
        <w:spacing w:after="0" w:line="237" w:lineRule="auto"/>
        <w:rPr>
          <w:sz w:val="20"/>
          <w:szCs w:val="20"/>
          <w:color w:val="auto"/>
        </w:rPr>
      </w:pPr>
      <w:r>
        <w:rPr>
          <w:rFonts w:ascii="Courier New" w:cs="Courier New" w:eastAsia="Courier New" w:hAnsi="Courier New"/>
          <w:sz w:val="16"/>
          <w:szCs w:val="16"/>
          <w:color w:val="auto"/>
        </w:rPr>
        <w:t>In March 2002, as a result of the merger of a wholly owned subsidiary into the Company, approximately 23.3 million shares of the Company's Class A Special Common Stock held by the subsidiary were retired and returned to authorized but unissued status.</w:t>
      </w:r>
    </w:p>
    <w:p>
      <w:pPr>
        <w:spacing w:after="0" w:line="181"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COMPREHENSIVE INCOME (LOSS)</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18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THREE MONTHS ENDED SIX MONTHS ENDED JUNE 30,</w:t>
      </w:r>
    </w:p>
    <w:p>
      <w:pPr>
        <w:ind w:left="44"/>
        <w:spacing w:after="0"/>
        <w:rPr>
          <w:sz w:val="20"/>
          <w:szCs w:val="20"/>
          <w:color w:val="auto"/>
        </w:rPr>
      </w:pPr>
      <w:r>
        <w:rPr>
          <w:rFonts w:ascii="Courier New" w:cs="Courier New" w:eastAsia="Courier New" w:hAnsi="Courier New"/>
          <w:sz w:val="16"/>
          <w:szCs w:val="16"/>
          <w:color w:val="auto"/>
        </w:rPr>
        <w:t>JUNE 30, ------------------ ----------------</w:t>
      </w:r>
    </w:p>
    <w:p>
      <w:pPr>
        <w:ind w:left="44"/>
        <w:spacing w:after="0" w:line="237" w:lineRule="auto"/>
        <w:rPr>
          <w:sz w:val="20"/>
          <w:szCs w:val="20"/>
          <w:color w:val="auto"/>
        </w:rPr>
      </w:pPr>
      <w:r>
        <w:rPr>
          <w:rFonts w:ascii="Courier New" w:cs="Courier New" w:eastAsia="Courier New" w:hAnsi="Courier New"/>
          <w:sz w:val="16"/>
          <w:szCs w:val="16"/>
          <w:color w:val="auto"/>
        </w:rPr>
        <w:t>-- 2002 2001 2002 2001 -------- ------- ----</w:t>
      </w:r>
    </w:p>
    <w:p>
      <w:pPr>
        <w:ind w:left="1024"/>
        <w:spacing w:after="0"/>
        <w:rPr>
          <w:sz w:val="20"/>
          <w:szCs w:val="20"/>
          <w:color w:val="auto"/>
        </w:rPr>
      </w:pPr>
      <w:r>
        <w:rPr>
          <w:rFonts w:ascii="Courier New" w:cs="Courier New" w:eastAsia="Courier New" w:hAnsi="Courier New"/>
          <w:sz w:val="16"/>
          <w:szCs w:val="16"/>
          <w:color w:val="auto"/>
        </w:rPr>
        <w:t>--- -------- Net income</w:t>
      </w:r>
    </w:p>
    <w:p>
      <w:pPr>
        <w:ind w:left="424"/>
        <w:spacing w:after="0" w:line="238" w:lineRule="auto"/>
        <w:rPr>
          <w:sz w:val="20"/>
          <w:szCs w:val="20"/>
          <w:color w:val="auto"/>
        </w:rPr>
      </w:pPr>
      <w:r>
        <w:rPr>
          <w:rFonts w:ascii="Courier New" w:cs="Courier New" w:eastAsia="Courier New" w:hAnsi="Courier New"/>
          <w:sz w:val="16"/>
          <w:szCs w:val="16"/>
          <w:color w:val="auto"/>
        </w:rPr>
        <w:t>(loss)..............................</w:t>
      </w:r>
    </w:p>
    <w:p>
      <w:pPr>
        <w:ind w:left="44"/>
        <w:spacing w:after="0"/>
        <w:rPr>
          <w:sz w:val="20"/>
          <w:szCs w:val="20"/>
          <w:color w:val="auto"/>
        </w:rPr>
      </w:pPr>
      <w:r>
        <w:rPr>
          <w:rFonts w:ascii="Courier New" w:cs="Courier New" w:eastAsia="Courier New" w:hAnsi="Courier New"/>
          <w:sz w:val="16"/>
          <w:szCs w:val="16"/>
          <w:color w:val="auto"/>
        </w:rPr>
        <w:t>$(209.6) $ 35.2 $(298.5) $1,036.4 Unrealized</w:t>
      </w:r>
    </w:p>
    <w:p>
      <w:pPr>
        <w:ind w:left="804"/>
        <w:spacing w:after="0" w:line="238" w:lineRule="auto"/>
        <w:rPr>
          <w:sz w:val="20"/>
          <w:szCs w:val="20"/>
          <w:color w:val="auto"/>
        </w:rPr>
      </w:pPr>
      <w:r>
        <w:rPr>
          <w:rFonts w:ascii="Courier New" w:cs="Courier New" w:eastAsia="Courier New" w:hAnsi="Courier New"/>
          <w:sz w:val="16"/>
          <w:szCs w:val="16"/>
          <w:color w:val="auto"/>
        </w:rPr>
        <w:t>(losses) gains on marketable</w:t>
      </w:r>
    </w:p>
    <w:p>
      <w:pPr>
        <w:ind w:left="4"/>
        <w:spacing w:after="0"/>
        <w:rPr>
          <w:sz w:val="20"/>
          <w:szCs w:val="20"/>
          <w:color w:val="auto"/>
        </w:rPr>
      </w:pPr>
      <w:r>
        <w:rPr>
          <w:rFonts w:ascii="Courier New" w:cs="Courier New" w:eastAsia="Courier New" w:hAnsi="Courier New"/>
          <w:sz w:val="16"/>
          <w:szCs w:val="16"/>
          <w:color w:val="auto"/>
        </w:rPr>
        <w:t>securities...................................</w:t>
      </w:r>
    </w:p>
    <w:p>
      <w:pPr>
        <w:ind w:left="84"/>
        <w:spacing w:after="0" w:line="237" w:lineRule="auto"/>
        <w:rPr>
          <w:sz w:val="20"/>
          <w:szCs w:val="20"/>
          <w:color w:val="auto"/>
        </w:rPr>
      </w:pPr>
      <w:r>
        <w:rPr>
          <w:rFonts w:ascii="Courier New" w:cs="Courier New" w:eastAsia="Courier New" w:hAnsi="Courier New"/>
          <w:sz w:val="16"/>
          <w:szCs w:val="16"/>
          <w:color w:val="auto"/>
        </w:rPr>
        <w:t>(223.0) 82.3 (364.3) 196.9 Reclassification</w:t>
      </w:r>
    </w:p>
    <w:p>
      <w:pPr>
        <w:ind w:left="144"/>
        <w:spacing w:after="0"/>
        <w:rPr>
          <w:sz w:val="20"/>
          <w:szCs w:val="20"/>
          <w:color w:val="auto"/>
        </w:rPr>
      </w:pPr>
      <w:r>
        <w:rPr>
          <w:rFonts w:ascii="Courier New" w:cs="Courier New" w:eastAsia="Courier New" w:hAnsi="Courier New"/>
          <w:sz w:val="16"/>
          <w:szCs w:val="16"/>
          <w:color w:val="auto"/>
        </w:rPr>
        <w:t>adjustments for losses (gains) included in</w:t>
      </w:r>
    </w:p>
    <w:p>
      <w:pPr>
        <w:ind w:left="284"/>
        <w:spacing w:after="0" w:line="238" w:lineRule="auto"/>
        <w:rPr>
          <w:sz w:val="20"/>
          <w:szCs w:val="20"/>
          <w:color w:val="auto"/>
        </w:rPr>
      </w:pPr>
      <w:r>
        <w:rPr>
          <w:rFonts w:ascii="Courier New" w:cs="Courier New" w:eastAsia="Courier New" w:hAnsi="Courier New"/>
          <w:sz w:val="16"/>
          <w:szCs w:val="16"/>
          <w:color w:val="auto"/>
        </w:rPr>
        <w:t>net income (loss)................ 198.4</w:t>
      </w:r>
    </w:p>
    <w:p>
      <w:pPr>
        <w:ind w:left="384"/>
        <w:spacing w:after="0"/>
        <w:rPr>
          <w:sz w:val="20"/>
          <w:szCs w:val="20"/>
          <w:color w:val="auto"/>
        </w:rPr>
      </w:pPr>
      <w:r>
        <w:rPr>
          <w:rFonts w:ascii="Courier New" w:cs="Courier New" w:eastAsia="Courier New" w:hAnsi="Courier New"/>
          <w:sz w:val="16"/>
          <w:szCs w:val="16"/>
          <w:color w:val="auto"/>
        </w:rPr>
        <w:t>(65.4) 203.1 (329.1) Unrealized gains</w:t>
      </w:r>
    </w:p>
    <w:p>
      <w:pPr>
        <w:ind w:left="184"/>
        <w:spacing w:after="0" w:line="238" w:lineRule="auto"/>
        <w:rPr>
          <w:sz w:val="20"/>
          <w:szCs w:val="20"/>
          <w:color w:val="auto"/>
        </w:rPr>
      </w:pPr>
      <w:r>
        <w:rPr>
          <w:rFonts w:ascii="Courier New" w:cs="Courier New" w:eastAsia="Courier New" w:hAnsi="Courier New"/>
          <w:sz w:val="16"/>
          <w:szCs w:val="16"/>
          <w:color w:val="auto"/>
        </w:rPr>
        <w:t>(losses) on the effective portion of cash</w:t>
      </w:r>
    </w:p>
    <w:p>
      <w:pPr>
        <w:ind w:left="284"/>
        <w:spacing w:after="0"/>
        <w:rPr>
          <w:sz w:val="20"/>
          <w:szCs w:val="20"/>
          <w:color w:val="auto"/>
        </w:rPr>
      </w:pPr>
      <w:r>
        <w:rPr>
          <w:rFonts w:ascii="Courier New" w:cs="Courier New" w:eastAsia="Courier New" w:hAnsi="Courier New"/>
          <w:sz w:val="16"/>
          <w:szCs w:val="16"/>
          <w:color w:val="auto"/>
        </w:rPr>
        <w:t>flow hedges.................. 3.7 (0.5)</w:t>
      </w:r>
    </w:p>
    <w:p>
      <w:pPr>
        <w:ind w:left="244"/>
        <w:spacing w:after="0" w:line="237" w:lineRule="auto"/>
        <w:rPr>
          <w:sz w:val="20"/>
          <w:szCs w:val="20"/>
          <w:color w:val="auto"/>
        </w:rPr>
      </w:pPr>
      <w:r>
        <w:rPr>
          <w:rFonts w:ascii="Courier New" w:cs="Courier New" w:eastAsia="Courier New" w:hAnsi="Courier New"/>
          <w:sz w:val="16"/>
          <w:szCs w:val="16"/>
          <w:color w:val="auto"/>
        </w:rPr>
        <w:t>(0.5) (1.7) Foreign currency translation</w:t>
      </w:r>
    </w:p>
    <w:p>
      <w:pPr>
        <w:ind w:left="44"/>
        <w:spacing w:after="0"/>
        <w:rPr>
          <w:sz w:val="20"/>
          <w:szCs w:val="20"/>
          <w:color w:val="auto"/>
        </w:rPr>
      </w:pPr>
      <w:r>
        <w:rPr>
          <w:rFonts w:ascii="Courier New" w:cs="Courier New" w:eastAsia="Courier New" w:hAnsi="Courier New"/>
          <w:sz w:val="16"/>
          <w:szCs w:val="16"/>
          <w:color w:val="auto"/>
        </w:rPr>
        <w:t>gains (losses).... 5.2 2.7 (6.4) (6.7) -----</w:t>
      </w:r>
    </w:p>
    <w:p>
      <w:pPr>
        <w:ind w:left="244"/>
        <w:spacing w:after="0" w:line="238" w:lineRule="auto"/>
        <w:rPr>
          <w:sz w:val="20"/>
          <w:szCs w:val="20"/>
          <w:color w:val="auto"/>
        </w:rPr>
      </w:pPr>
      <w:r>
        <w:rPr>
          <w:rFonts w:ascii="Courier New" w:cs="Courier New" w:eastAsia="Courier New" w:hAnsi="Courier New"/>
          <w:sz w:val="16"/>
          <w:szCs w:val="16"/>
          <w:color w:val="auto"/>
        </w:rPr>
        <w:t>-- ------ ------- -------- Comprehensive</w:t>
      </w:r>
    </w:p>
    <w:p>
      <w:pPr>
        <w:ind w:left="44"/>
        <w:spacing w:after="0"/>
        <w:rPr>
          <w:sz w:val="20"/>
          <w:szCs w:val="20"/>
          <w:color w:val="auto"/>
        </w:rPr>
      </w:pPr>
      <w:r>
        <w:rPr>
          <w:rFonts w:ascii="Courier New" w:cs="Courier New" w:eastAsia="Courier New" w:hAnsi="Courier New"/>
          <w:sz w:val="16"/>
          <w:szCs w:val="16"/>
          <w:color w:val="auto"/>
        </w:rPr>
        <w:t>income (loss).................... $(225.3) $</w:t>
      </w:r>
    </w:p>
    <w:p>
      <w:pPr>
        <w:spacing w:after="0" w:line="4" w:lineRule="exact"/>
        <w:rPr>
          <w:sz w:val="20"/>
          <w:szCs w:val="20"/>
          <w:color w:val="auto"/>
        </w:rPr>
      </w:pPr>
    </w:p>
    <w:p>
      <w:pPr>
        <w:jc w:val="center"/>
        <w:ind w:right="5995"/>
        <w:spacing w:after="0"/>
        <w:rPr>
          <w:sz w:val="20"/>
          <w:szCs w:val="20"/>
          <w:color w:val="auto"/>
        </w:rPr>
      </w:pPr>
      <w:r>
        <w:rPr>
          <w:rFonts w:ascii="Courier New" w:cs="Courier New" w:eastAsia="Courier New" w:hAnsi="Courier New"/>
          <w:sz w:val="15"/>
          <w:szCs w:val="15"/>
          <w:color w:val="auto"/>
        </w:rPr>
        <w:t>54.3 $(466.6) $ 895.8 ======= ====== =======</w:t>
      </w:r>
    </w:p>
    <w:p>
      <w:pPr>
        <w:spacing w:after="0" w:line="5" w:lineRule="exact"/>
        <w:rPr>
          <w:sz w:val="20"/>
          <w:szCs w:val="20"/>
          <w:color w:val="auto"/>
        </w:rPr>
      </w:pPr>
    </w:p>
    <w:p>
      <w:pPr>
        <w:jc w:val="center"/>
        <w:ind w:right="5995"/>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F-141</w:t>
      </w:r>
    </w:p>
    <w:p>
      <w:pPr>
        <w:sectPr>
          <w:pgSz w:w="11900" w:h="16838" w:orient="portrait"/>
          <w:cols w:equalWidth="0" w:num="1">
            <w:col w:w="10223"/>
          </w:cols>
          <w:pgMar w:left="236" w:top="473" w:right="1440" w:bottom="1440" w:gutter="0" w:footer="0" w:header="0"/>
        </w:sectPr>
      </w:pPr>
    </w:p>
    <w:bookmarkStart w:id="332" w:name="page333"/>
    <w:bookmarkEnd w:id="332"/>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4"/>
        <w:spacing w:after="0"/>
        <w:tabs>
          <w:tab w:leader="none" w:pos="363" w:val="left"/>
        </w:tabs>
        <w:rPr>
          <w:sz w:val="20"/>
          <w:szCs w:val="20"/>
          <w:color w:val="auto"/>
        </w:rPr>
      </w:pPr>
      <w:r>
        <w:rPr>
          <w:rFonts w:ascii="Courier New" w:cs="Courier New" w:eastAsia="Courier New" w:hAnsi="Courier New"/>
          <w:sz w:val="16"/>
          <w:szCs w:val="16"/>
          <w:color w:val="auto"/>
        </w:rPr>
        <w:t>9.</w:t>
        <w:tab/>
        <w:t>STATEMENT OF CASH FLOWS -- SUPPLEMENTAL INFORMATION</w:t>
      </w:r>
    </w:p>
    <w:p>
      <w:pPr>
        <w:spacing w:after="0" w:line="18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The fair values of the assets and liabilities acquired by the Company through noncash transactions during the six months ended June 30, 2001 are as follows (in millions):</w:t>
      </w:r>
    </w:p>
    <w:p>
      <w:pPr>
        <w:sectPr>
          <w:pgSz w:w="11900" w:h="16838" w:orient="portrait"/>
          <w:cols w:equalWidth="0" w:num="1">
            <w:col w:w="10223"/>
          </w:cols>
          <w:pgMar w:left="236" w:top="473"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Current assets..............................................</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Property, plant &amp; equipment.................................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Intangible assets...........................................</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Current liabilities.........................................</w:t>
      </w:r>
    </w:p>
    <w:p>
      <w:pPr>
        <w:spacing w:after="0" w:line="191"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6"/>
          <w:szCs w:val="16"/>
          <w:color w:val="auto"/>
        </w:rPr>
        <w:t>$</w:t>
        <w:tab/>
        <w:t>56.6</w:t>
      </w:r>
    </w:p>
    <w:p>
      <w:pPr>
        <w:ind w:left="280"/>
        <w:spacing w:after="0"/>
        <w:rPr>
          <w:sz w:val="20"/>
          <w:szCs w:val="20"/>
          <w:color w:val="auto"/>
        </w:rPr>
      </w:pPr>
      <w:r>
        <w:rPr>
          <w:rFonts w:ascii="Courier New" w:cs="Courier New" w:eastAsia="Courier New" w:hAnsi="Courier New"/>
          <w:sz w:val="16"/>
          <w:szCs w:val="16"/>
          <w:color w:val="auto"/>
        </w:rPr>
        <w:t>686.1</w:t>
      </w:r>
    </w:p>
    <w:p>
      <w:pPr>
        <w:ind w:left="80"/>
        <w:spacing w:after="0" w:line="237" w:lineRule="auto"/>
        <w:rPr>
          <w:sz w:val="20"/>
          <w:szCs w:val="20"/>
          <w:color w:val="auto"/>
        </w:rPr>
      </w:pPr>
      <w:r>
        <w:rPr>
          <w:rFonts w:ascii="Courier New" w:cs="Courier New" w:eastAsia="Courier New" w:hAnsi="Courier New"/>
          <w:sz w:val="16"/>
          <w:szCs w:val="16"/>
          <w:color w:val="auto"/>
        </w:rPr>
        <w:t>2,755.8</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$3,461.5</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24" w:space="200"/>
            <w:col w:w="4399"/>
          </w:cols>
          <w:pgMar w:left="236" w:top="473" w:right="1440" w:bottom="1440" w:gutter="0" w:footer="0" w:header="0"/>
          <w:type w:val="continuous"/>
        </w:sectPr>
      </w:pPr>
    </w:p>
    <w:p>
      <w:pPr>
        <w:spacing w:after="0" w:line="165"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The Company made cash payments for interest and income taxes during the interim periods as follows (in millions):</w:t>
      </w:r>
    </w:p>
    <w:p>
      <w:pPr>
        <w:spacing w:after="0" w:line="180"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THREE MONTHS ENDED SIX MONTHS ENDED JUNE 30,</w:t>
      </w:r>
    </w:p>
    <w:p>
      <w:pPr>
        <w:ind w:left="184"/>
        <w:spacing w:after="0"/>
        <w:rPr>
          <w:sz w:val="20"/>
          <w:szCs w:val="20"/>
          <w:color w:val="auto"/>
        </w:rPr>
      </w:pPr>
      <w:r>
        <w:rPr>
          <w:rFonts w:ascii="Courier New" w:cs="Courier New" w:eastAsia="Courier New" w:hAnsi="Courier New"/>
          <w:sz w:val="16"/>
          <w:szCs w:val="16"/>
          <w:color w:val="auto"/>
        </w:rPr>
        <w:t>JUNE 30, ------------------ ----------------</w:t>
      </w:r>
    </w:p>
    <w:p>
      <w:pPr>
        <w:ind w:left="44"/>
        <w:spacing w:after="0" w:line="237" w:lineRule="auto"/>
        <w:rPr>
          <w:sz w:val="20"/>
          <w:szCs w:val="20"/>
          <w:color w:val="auto"/>
        </w:rPr>
      </w:pPr>
      <w:r>
        <w:rPr>
          <w:rFonts w:ascii="Courier New" w:cs="Courier New" w:eastAsia="Courier New" w:hAnsi="Courier New"/>
          <w:sz w:val="16"/>
          <w:szCs w:val="16"/>
          <w:color w:val="auto"/>
        </w:rPr>
        <w:t>2002 2001 2002 2001 ------- ------- ------ ----</w:t>
      </w:r>
    </w:p>
    <w:p>
      <w:pPr>
        <w:ind w:left="216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Interest........................................</w:t>
      </w:r>
    </w:p>
    <w:p>
      <w:pPr>
        <w:ind w:left="664"/>
        <w:spacing w:after="0"/>
        <w:rPr>
          <w:sz w:val="20"/>
          <w:szCs w:val="20"/>
          <w:color w:val="auto"/>
        </w:rPr>
      </w:pPr>
      <w:r>
        <w:rPr>
          <w:rFonts w:ascii="Courier New" w:cs="Courier New" w:eastAsia="Courier New" w:hAnsi="Courier New"/>
          <w:sz w:val="16"/>
          <w:szCs w:val="16"/>
          <w:color w:val="auto"/>
        </w:rPr>
        <w:t>$237.5 $193.5 $347.3 $296.7 Income</w:t>
      </w:r>
    </w:p>
    <w:p>
      <w:pPr>
        <w:ind w:left="324"/>
        <w:spacing w:after="0" w:line="238" w:lineRule="auto"/>
        <w:rPr>
          <w:sz w:val="20"/>
          <w:szCs w:val="20"/>
          <w:color w:val="auto"/>
        </w:rPr>
      </w:pPr>
      <w:r>
        <w:rPr>
          <w:rFonts w:ascii="Courier New" w:cs="Courier New" w:eastAsia="Courier New" w:hAnsi="Courier New"/>
          <w:sz w:val="16"/>
          <w:szCs w:val="16"/>
          <w:color w:val="auto"/>
        </w:rPr>
        <w:t>taxes....................................</w:t>
      </w:r>
    </w:p>
    <w:p>
      <w:pPr>
        <w:ind w:left="984"/>
        <w:spacing w:after="0"/>
        <w:rPr>
          <w:sz w:val="20"/>
          <w:szCs w:val="20"/>
          <w:color w:val="auto"/>
        </w:rPr>
      </w:pPr>
      <w:r>
        <w:rPr>
          <w:rFonts w:ascii="Courier New" w:cs="Courier New" w:eastAsia="Courier New" w:hAnsi="Courier New"/>
          <w:sz w:val="16"/>
          <w:szCs w:val="16"/>
          <w:color w:val="auto"/>
        </w:rPr>
        <w:t>$128.9 $111.3 $158.4 $126.4</w:t>
      </w:r>
    </w:p>
    <w:p>
      <w:pPr>
        <w:sectPr>
          <w:pgSz w:w="11900" w:h="16838" w:orient="portrait"/>
          <w:cols w:equalWidth="0" w:num="1">
            <w:col w:w="10223"/>
          </w:cols>
          <w:pgMar w:left="236" w:top="473" w:right="1440" w:bottom="1440" w:gutter="0" w:footer="0" w:header="0"/>
          <w:type w:val="continuous"/>
        </w:sectPr>
      </w:pPr>
    </w:p>
    <w:p>
      <w:pPr>
        <w:spacing w:after="0" w:line="359" w:lineRule="exact"/>
        <w:rPr>
          <w:sz w:val="20"/>
          <w:szCs w:val="20"/>
          <w:color w:val="auto"/>
        </w:rPr>
      </w:pPr>
    </w:p>
    <w:p>
      <w:pPr>
        <w:ind w:left="464" w:hanging="464"/>
        <w:spacing w:after="0"/>
        <w:tabs>
          <w:tab w:leader="none" w:pos="464"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Certain litigation has been filed against the Company as a result of alleged conduct of the Company with respect to its investment in and distribution relationship with At Home Corporation ("At Home"). At Home was a provider of high-speed Internet access and content services, which filed for bankruptcy protection in September 2001. Filed actions are: (i) class action lawsuits against the Company, Brian L. Roberts (the Company's President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Cox Communications, Inc. ("Cox," also an investor in At Home and a former distributor of the At Home service); and (ii) class action lawsuits against the Company, AT&amp;T and others in the United States District Court for the Southern District of New York, alleging securities law violations and common law fraud in connection with disclosures made by At Home in 2001.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has ordered the actions consolidated into a single action. It is expected that an amended consolidated complaint will be served in mid-October 2002. Following closing of the AT&amp;T Comcast transaction, the Company may be contractually liable for 50% of the liabilities of AT&amp;T relating to At Home (AT&amp;T would be liable for the other 50% of these liabilities). The Company has denied any wrongdoing in connection with these claims, and intends to vigorously defend itself.</w:t>
      </w:r>
    </w:p>
    <w:p>
      <w:pPr>
        <w:spacing w:after="0" w:line="357"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On September 23, 2002, the Official Committee of Unsecured Bondholders of At Home filed suit in the United States District Court for the District of Delaware against the Company, Cox, Brian L. Roberts in his capacity as a director of At Home, and other corporate and individual defendants. The complaint seeks alleged "short-swing" profits under Section 16(b) of the Securities and Exchange Act in connection with At Home put options the Company and Cox entered into with AT&amp;T. The complaint alleges a total</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F-142</w:t>
      </w:r>
    </w:p>
    <w:p>
      <w:pPr>
        <w:sectPr>
          <w:pgSz w:w="11900" w:h="16838" w:orient="portrait"/>
          <w:cols w:equalWidth="0" w:num="1">
            <w:col w:w="10223"/>
          </w:cols>
          <w:pgMar w:left="236" w:top="473" w:right="1440" w:bottom="1440" w:gutter="0" w:footer="0" w:header="0"/>
          <w:type w:val="continuous"/>
        </w:sectPr>
      </w:pPr>
    </w:p>
    <w:bookmarkStart w:id="333" w:name="page334"/>
    <w:bookmarkEnd w:id="333"/>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of at least $600 million in damages in the aggregate from the Company and Cox in connection with this claim. The complaint also seeks damages in an unspecified amount for alleged breaches of fiduciary duty by the defendants in connection with transactions entered into among AT&amp;T, At Home, the Company and Cox. The Company believes this suit is without merit and intends to vigorously defend itself in the action.</w:t>
      </w:r>
    </w:p>
    <w:p>
      <w:pPr>
        <w:spacing w:after="0" w:line="189"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In management's opinion, the final disposition of all these claims (including taking into account the Company's contractual liability for 50% of AT&amp;T's liability as described above), will not have a material adverse effect on the Company's or, following the closing of the AT&amp;T Broadband transaction, the combined company's consolidated financial condition or results of operations.</w:t>
      </w:r>
    </w:p>
    <w:p>
      <w:pPr>
        <w:spacing w:after="0" w:line="176"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future expenditures (principally in the form of capital expenditures) that will be made by the affiliate necessary to comply with the performance requirements will not exceed $75 million.</w:t>
      </w:r>
    </w:p>
    <w:p>
      <w:pPr>
        <w:spacing w:after="0" w:line="180" w:lineRule="exact"/>
        <w:rPr>
          <w:sz w:val="20"/>
          <w:szCs w:val="20"/>
          <w:color w:val="auto"/>
        </w:rPr>
      </w:pPr>
    </w:p>
    <w:p>
      <w:pPr>
        <w:ind w:left="464" w:hanging="464"/>
        <w:spacing w:after="0"/>
        <w:tabs>
          <w:tab w:leader="none" w:pos="464"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85" w:lineRule="exact"/>
        <w:rPr>
          <w:sz w:val="20"/>
          <w:szCs w:val="20"/>
          <w:color w:val="auto"/>
        </w:rPr>
      </w:pPr>
    </w:p>
    <w:p>
      <w:pPr>
        <w:ind w:left="4" w:right="3179" w:firstLine="469"/>
        <w:spacing w:after="0" w:line="237" w:lineRule="auto"/>
        <w:rPr>
          <w:sz w:val="20"/>
          <w:szCs w:val="20"/>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are not separately evaluated by the Company's management on a segment basis (dollars in millions).</w:t>
      </w:r>
    </w:p>
    <w:p>
      <w:pPr>
        <w:spacing w:after="0" w:line="181"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CORPORATE AND CABLE COMMERCE OTHER(1) TOTAL</w:t>
      </w:r>
    </w:p>
    <w:p>
      <w:pPr>
        <w:ind w:left="104"/>
        <w:spacing w:after="0"/>
        <w:rPr>
          <w:sz w:val="20"/>
          <w:szCs w:val="20"/>
          <w:color w:val="auto"/>
        </w:rPr>
      </w:pPr>
      <w:r>
        <w:rPr>
          <w:rFonts w:ascii="Courier New" w:cs="Courier New" w:eastAsia="Courier New" w:hAnsi="Courier New"/>
          <w:sz w:val="16"/>
          <w:szCs w:val="16"/>
          <w:color w:val="auto"/>
        </w:rPr>
        <w:t>--------- --------- ------------- ---------</w:t>
      </w:r>
    </w:p>
    <w:p>
      <w:pPr>
        <w:jc w:val="center"/>
        <w:ind w:right="5995"/>
        <w:spacing w:after="0" w:line="237" w:lineRule="auto"/>
        <w:rPr>
          <w:sz w:val="20"/>
          <w:szCs w:val="20"/>
          <w:color w:val="auto"/>
        </w:rPr>
      </w:pPr>
      <w:r>
        <w:rPr>
          <w:rFonts w:ascii="Courier New" w:cs="Courier New" w:eastAsia="Courier New" w:hAnsi="Courier New"/>
          <w:sz w:val="16"/>
          <w:szCs w:val="16"/>
          <w:color w:val="auto"/>
        </w:rPr>
        <w:t>Three Months Ended June 30, 2002</w:t>
      </w:r>
    </w:p>
    <w:p>
      <w:pPr>
        <w:ind w:left="4"/>
        <w:spacing w:after="0"/>
        <w:rPr>
          <w:sz w:val="20"/>
          <w:szCs w:val="20"/>
          <w:color w:val="auto"/>
        </w:rPr>
      </w:pPr>
      <w:r>
        <w:rPr>
          <w:rFonts w:ascii="Courier New" w:cs="Courier New" w:eastAsia="Courier New" w:hAnsi="Courier New"/>
          <w:sz w:val="16"/>
          <w:szCs w:val="16"/>
          <w:color w:val="auto"/>
        </w:rPr>
        <w:t>Revenues(2)..................................</w:t>
      </w:r>
    </w:p>
    <w:p>
      <w:pPr>
        <w:spacing w:after="0" w:line="4" w:lineRule="exact"/>
        <w:rPr>
          <w:sz w:val="20"/>
          <w:szCs w:val="20"/>
          <w:color w:val="auto"/>
        </w:rPr>
      </w:pPr>
    </w:p>
    <w:p>
      <w:pPr>
        <w:ind w:left="244" w:right="6239" w:firstLine="225"/>
        <w:spacing w:after="0" w:line="254" w:lineRule="auto"/>
        <w:tabs>
          <w:tab w:leader="none" w:pos="666"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1,540.8 $ 994.5 $ 173.6 $ 2,708.9 Operating income before depreciation and</w:t>
      </w:r>
    </w:p>
    <w:p>
      <w:pPr>
        <w:ind w:left="144"/>
        <w:spacing w:after="0"/>
        <w:tabs>
          <w:tab w:leader="none" w:pos="1523" w:val="left"/>
        </w:tabs>
        <w:rPr>
          <w:sz w:val="20"/>
          <w:szCs w:val="20"/>
          <w:color w:val="auto"/>
        </w:rPr>
      </w:pPr>
      <w:r>
        <w:rPr>
          <w:rFonts w:ascii="Courier New" w:cs="Courier New" w:eastAsia="Courier New" w:hAnsi="Courier New"/>
          <w:sz w:val="16"/>
          <w:szCs w:val="16"/>
          <w:color w:val="auto"/>
        </w:rPr>
        <w:t>amortization(3)</w:t>
      </w:r>
      <w:r>
        <w:rPr>
          <w:sz w:val="20"/>
          <w:szCs w:val="20"/>
          <w:color w:val="auto"/>
        </w:rPr>
        <w:tab/>
      </w:r>
      <w:r>
        <w:rPr>
          <w:rFonts w:ascii="Courier New" w:cs="Courier New" w:eastAsia="Courier New" w:hAnsi="Courier New"/>
          <w:sz w:val="15"/>
          <w:szCs w:val="15"/>
          <w:color w:val="auto"/>
        </w:rPr>
        <w:t>...........................</w:t>
      </w:r>
    </w:p>
    <w:p>
      <w:pPr>
        <w:ind w:left="284"/>
        <w:spacing w:after="0"/>
        <w:rPr>
          <w:sz w:val="20"/>
          <w:szCs w:val="20"/>
          <w:color w:val="auto"/>
        </w:rPr>
      </w:pPr>
      <w:r>
        <w:rPr>
          <w:rFonts w:ascii="Courier New" w:cs="Courier New" w:eastAsia="Courier New" w:hAnsi="Courier New"/>
          <w:sz w:val="16"/>
          <w:szCs w:val="16"/>
          <w:color w:val="auto"/>
        </w:rPr>
        <w:t>653.2 194.5 18.9 866.6 Depreciation and</w:t>
      </w:r>
    </w:p>
    <w:p>
      <w:pPr>
        <w:ind w:left="44"/>
        <w:spacing w:after="0"/>
        <w:tabs>
          <w:tab w:leader="dot" w:pos="2743" w:val="left"/>
        </w:tabs>
        <w:rPr>
          <w:sz w:val="20"/>
          <w:szCs w:val="20"/>
          <w:color w:val="auto"/>
        </w:rPr>
      </w:pPr>
      <w:r>
        <w:rPr>
          <w:rFonts w:ascii="Courier New" w:cs="Courier New" w:eastAsia="Courier New" w:hAnsi="Courier New"/>
          <w:sz w:val="16"/>
          <w:szCs w:val="16"/>
          <w:color w:val="auto"/>
        </w:rPr>
        <w:t>amortization</w:t>
      </w:r>
      <w:r>
        <w:rPr>
          <w:sz w:val="20"/>
          <w:szCs w:val="20"/>
          <w:color w:val="auto"/>
        </w:rPr>
        <w:tab/>
      </w:r>
      <w:r>
        <w:rPr>
          <w:rFonts w:ascii="Courier New" w:cs="Courier New" w:eastAsia="Courier New" w:hAnsi="Courier New"/>
          <w:sz w:val="15"/>
          <w:szCs w:val="15"/>
          <w:color w:val="auto"/>
        </w:rPr>
        <w:t>298.1 28.1 62.0</w:t>
      </w:r>
    </w:p>
    <w:p>
      <w:pPr>
        <w:ind w:left="1084"/>
        <w:spacing w:after="0"/>
        <w:rPr>
          <w:sz w:val="20"/>
          <w:szCs w:val="20"/>
          <w:color w:val="auto"/>
        </w:rPr>
      </w:pPr>
      <w:r>
        <w:rPr>
          <w:rFonts w:ascii="Courier New" w:cs="Courier New" w:eastAsia="Courier New" w:hAnsi="Courier New"/>
          <w:sz w:val="16"/>
          <w:szCs w:val="16"/>
          <w:color w:val="auto"/>
        </w:rPr>
        <w:t>388.2 Operating income</w:t>
      </w:r>
    </w:p>
    <w:p>
      <w:pPr>
        <w:ind w:left="244"/>
        <w:spacing w:after="0"/>
        <w:tabs>
          <w:tab w:leader="dot" w:pos="2943" w:val="left"/>
        </w:tabs>
        <w:rPr>
          <w:sz w:val="20"/>
          <w:szCs w:val="20"/>
          <w:color w:val="auto"/>
        </w:rPr>
      </w:pP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5"/>
          <w:szCs w:val="15"/>
          <w:color w:val="auto"/>
        </w:rPr>
        <w:t>355.1 166.4</w:t>
      </w:r>
    </w:p>
    <w:p>
      <w:pPr>
        <w:ind w:left="1124"/>
        <w:spacing w:after="0"/>
        <w:rPr>
          <w:sz w:val="20"/>
          <w:szCs w:val="20"/>
          <w:color w:val="auto"/>
        </w:rPr>
      </w:pPr>
      <w:r>
        <w:rPr>
          <w:rFonts w:ascii="Courier New" w:cs="Courier New" w:eastAsia="Courier New" w:hAnsi="Courier New"/>
          <w:sz w:val="16"/>
          <w:szCs w:val="16"/>
          <w:color w:val="auto"/>
        </w:rPr>
        <w:t>(43.1) 478.4 Interest</w:t>
      </w:r>
    </w:p>
    <w:p>
      <w:pPr>
        <w:ind w:left="144"/>
        <w:spacing w:after="0" w:line="237" w:lineRule="auto"/>
        <w:tabs>
          <w:tab w:leader="dot" w:pos="3583" w:val="left"/>
        </w:tabs>
        <w:rPr>
          <w:sz w:val="20"/>
          <w:szCs w:val="20"/>
          <w:color w:val="auto"/>
        </w:rPr>
      </w:pPr>
      <w:r>
        <w:rPr>
          <w:rFonts w:ascii="Courier New" w:cs="Courier New" w:eastAsia="Courier New" w:hAnsi="Courier New"/>
          <w:sz w:val="16"/>
          <w:szCs w:val="16"/>
          <w:color w:val="auto"/>
        </w:rPr>
        <w:t>expense</w:t>
      </w:r>
      <w:r>
        <w:rPr>
          <w:sz w:val="20"/>
          <w:szCs w:val="20"/>
          <w:color w:val="auto"/>
        </w:rPr>
        <w:tab/>
      </w:r>
      <w:r>
        <w:rPr>
          <w:rFonts w:ascii="Courier New" w:cs="Courier New" w:eastAsia="Courier New" w:hAnsi="Courier New"/>
          <w:sz w:val="16"/>
          <w:szCs w:val="16"/>
          <w:color w:val="auto"/>
        </w:rPr>
        <w:t>141.8</w:t>
      </w:r>
    </w:p>
    <w:p>
      <w:pPr>
        <w:ind w:left="1084"/>
        <w:spacing w:after="0"/>
        <w:rPr>
          <w:sz w:val="20"/>
          <w:szCs w:val="20"/>
          <w:color w:val="auto"/>
        </w:rPr>
      </w:pPr>
      <w:r>
        <w:rPr>
          <w:rFonts w:ascii="Courier New" w:cs="Courier New" w:eastAsia="Courier New" w:hAnsi="Courier New"/>
          <w:sz w:val="16"/>
          <w:szCs w:val="16"/>
          <w:color w:val="auto"/>
        </w:rPr>
        <w:t>2.9 37.9 182.6 Capital</w:t>
      </w:r>
    </w:p>
    <w:p>
      <w:pPr>
        <w:ind w:left="84"/>
        <w:spacing w:after="0"/>
        <w:tabs>
          <w:tab w:leader="dot" w:pos="3643" w:val="left"/>
        </w:tabs>
        <w:rPr>
          <w:sz w:val="20"/>
          <w:szCs w:val="20"/>
          <w:color w:val="auto"/>
        </w:rPr>
      </w:pPr>
      <w:r>
        <w:rPr>
          <w:rFonts w:ascii="Courier New" w:cs="Courier New" w:eastAsia="Courier New" w:hAnsi="Courier New"/>
          <w:sz w:val="16"/>
          <w:szCs w:val="16"/>
          <w:color w:val="auto"/>
        </w:rPr>
        <w:t>expenditures</w:t>
      </w:r>
      <w:r>
        <w:rPr>
          <w:sz w:val="20"/>
          <w:szCs w:val="20"/>
          <w:color w:val="auto"/>
        </w:rPr>
        <w:tab/>
      </w:r>
      <w:r>
        <w:rPr>
          <w:rFonts w:ascii="Courier New" w:cs="Courier New" w:eastAsia="Courier New" w:hAnsi="Courier New"/>
          <w:sz w:val="15"/>
          <w:szCs w:val="15"/>
          <w:color w:val="auto"/>
        </w:rPr>
        <w:t>330.6</w:t>
      </w:r>
    </w:p>
    <w:p>
      <w:pPr>
        <w:ind w:left="144"/>
        <w:spacing w:after="0"/>
        <w:rPr>
          <w:sz w:val="20"/>
          <w:szCs w:val="20"/>
          <w:color w:val="auto"/>
        </w:rPr>
      </w:pPr>
      <w:r>
        <w:rPr>
          <w:rFonts w:ascii="Courier New" w:cs="Courier New" w:eastAsia="Courier New" w:hAnsi="Courier New"/>
          <w:sz w:val="16"/>
          <w:szCs w:val="16"/>
          <w:color w:val="auto"/>
        </w:rPr>
        <w:t>50.6 8.6 389.8 Three Months Ended June 30,</w:t>
      </w:r>
    </w:p>
    <w:p>
      <w:pPr>
        <w:ind w:left="1924"/>
        <w:spacing w:after="0" w:line="238" w:lineRule="auto"/>
        <w:rPr>
          <w:sz w:val="20"/>
          <w:szCs w:val="20"/>
          <w:color w:val="auto"/>
        </w:rPr>
      </w:pPr>
      <w:r>
        <w:rPr>
          <w:rFonts w:ascii="Courier New" w:cs="Courier New" w:eastAsia="Courier New" w:hAnsi="Courier New"/>
          <w:sz w:val="16"/>
          <w:szCs w:val="16"/>
          <w:color w:val="auto"/>
        </w:rPr>
        <w:t>2001</w:t>
      </w:r>
    </w:p>
    <w:p>
      <w:pPr>
        <w:ind w:left="4"/>
        <w:spacing w:after="0"/>
        <w:tabs>
          <w:tab w:leader="none" w:pos="1003" w:val="left"/>
        </w:tabs>
        <w:rPr>
          <w:sz w:val="20"/>
          <w:szCs w:val="20"/>
          <w:color w:val="auto"/>
        </w:rPr>
      </w:pPr>
      <w:r>
        <w:rPr>
          <w:rFonts w:ascii="Courier New" w:cs="Courier New" w:eastAsia="Courier New" w:hAnsi="Courier New"/>
          <w:sz w:val="16"/>
          <w:szCs w:val="16"/>
          <w:color w:val="auto"/>
        </w:rPr>
        <w:t>Revenues(2)</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84" w:right="6099" w:firstLine="385"/>
        <w:spacing w:after="0" w:line="254" w:lineRule="auto"/>
        <w:tabs>
          <w:tab w:leader="none" w:pos="647"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1,325.9 $ 876.0 $ 136.8 $ 2,338.7 Operating income (loss) before depreciation and amortization(3).......................</w:t>
      </w: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548.6 159.8 (15.5) 692.9 Depreciation and</w:t>
      </w:r>
    </w:p>
    <w:tbl>
      <w:tblPr>
        <w:tblLayout w:type="fixed"/>
        <w:tblInd w:w="44" w:type="dxa"/>
        <w:tblCellMar>
          <w:top w:w="0" w:type="dxa"/>
          <w:left w:w="0" w:type="dxa"/>
          <w:bottom w:w="0" w:type="dxa"/>
          <w:right w:w="0" w:type="dxa"/>
        </w:tblCellMar>
      </w:tblPr>
      <w:tr>
        <w:trPr>
          <w:trHeight w:val="179"/>
        </w:trPr>
        <w:tc>
          <w:tcPr>
            <w:tcW w:w="2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3"/>
              </w:rPr>
              <w:t>amortization................</w:t>
            </w:r>
          </w:p>
        </w:tc>
        <w:tc>
          <w:tcPr>
            <w:tcW w:w="1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740.8 36.8 48.6</w:t>
            </w:r>
          </w:p>
        </w:tc>
      </w:tr>
      <w:tr>
        <w:trPr>
          <w:trHeight w:val="180"/>
        </w:trPr>
        <w:tc>
          <w:tcPr>
            <w:tcW w:w="41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826.2 Operating income</w:t>
            </w:r>
          </w:p>
        </w:tc>
      </w:tr>
      <w:tr>
        <w:trPr>
          <w:trHeight w:val="180"/>
        </w:trPr>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3"/>
              </w:rPr>
              <w:t>(loss)......................</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(192.2) 123.0</w:t>
            </w:r>
          </w:p>
        </w:tc>
      </w:tr>
      <w:tr>
        <w:trPr>
          <w:trHeight w:val="180"/>
        </w:trPr>
        <w:tc>
          <w:tcPr>
            <w:tcW w:w="41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(64.1) (133.3) Interest</w:t>
            </w:r>
          </w:p>
        </w:tc>
      </w:tr>
      <w:tr>
        <w:trPr>
          <w:trHeight w:val="180"/>
        </w:trPr>
        <w:tc>
          <w:tcPr>
            <w:tcW w:w="2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9"/>
              </w:rPr>
              <w:t>expense.............................</w:t>
            </w:r>
          </w:p>
        </w:tc>
        <w:tc>
          <w:tcPr>
            <w:tcW w:w="1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128.9</w:t>
            </w:r>
          </w:p>
        </w:tc>
      </w:tr>
      <w:tr>
        <w:trPr>
          <w:trHeight w:val="180"/>
        </w:trPr>
        <w:tc>
          <w:tcPr>
            <w:tcW w:w="41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7.1 42.5 178.5 Capital</w:t>
            </w:r>
          </w:p>
        </w:tc>
      </w:tr>
      <w:tr>
        <w:trPr>
          <w:trHeight w:val="180"/>
        </w:trPr>
        <w:tc>
          <w:tcPr>
            <w:tcW w:w="2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expenditures.........................</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513.2</w:t>
            </w:r>
          </w:p>
        </w:tc>
      </w:tr>
      <w:tr>
        <w:trPr>
          <w:trHeight w:val="180"/>
        </w:trPr>
        <w:tc>
          <w:tcPr>
            <w:tcW w:w="1840" w:type="dxa"/>
            <w:vAlign w:val="bottom"/>
          </w:tcPr>
          <w:p>
            <w:pPr>
              <w:jc w:val="right"/>
              <w:ind w:right="25"/>
              <w:spacing w:after="0"/>
              <w:rPr>
                <w:sz w:val="20"/>
                <w:szCs w:val="20"/>
                <w:color w:val="auto"/>
              </w:rPr>
            </w:pPr>
            <w:r>
              <w:rPr>
                <w:rFonts w:ascii="Courier New" w:cs="Courier New" w:eastAsia="Courier New" w:hAnsi="Courier New"/>
                <w:sz w:val="16"/>
                <w:szCs w:val="16"/>
                <w:color w:val="auto"/>
              </w:rPr>
              <w:t>41.9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88"/>
              </w:rPr>
              <w:t>71.7</w:t>
            </w:r>
          </w:p>
        </w:tc>
        <w:tc>
          <w:tcPr>
            <w:tcW w:w="188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626.8</w:t>
            </w:r>
          </w:p>
        </w:tc>
      </w:tr>
      <w:tr>
        <w:trPr>
          <w:trHeight w:val="541"/>
        </w:trPr>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F-143</w:t>
            </w:r>
          </w:p>
        </w:tc>
      </w:tr>
    </w:tbl>
    <w:p>
      <w:pPr>
        <w:sectPr>
          <w:pgSz w:w="11900" w:h="16838" w:orient="portrait"/>
          <w:cols w:equalWidth="0" w:num="1">
            <w:col w:w="10223"/>
          </w:cols>
          <w:pgMar w:left="236" w:top="473" w:right="1440" w:bottom="1440" w:gutter="0" w:footer="0" w:header="0"/>
        </w:sectPr>
      </w:pPr>
    </w:p>
    <w:bookmarkStart w:id="334" w:name="page335"/>
    <w:bookmarkEnd w:id="334"/>
    <w:p>
      <w:pPr>
        <w:ind w:left="2064"/>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QUARTER ENDED JUNE 30, 2002</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15"/>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CORPORATE AND CABLE COMMERCE OTHER(1) TOTAL</w:t>
      </w:r>
    </w:p>
    <w:p>
      <w:pPr>
        <w:ind w:left="104"/>
        <w:spacing w:after="0"/>
        <w:rPr>
          <w:sz w:val="20"/>
          <w:szCs w:val="20"/>
          <w:color w:val="auto"/>
        </w:rPr>
      </w:pPr>
      <w:r>
        <w:rPr>
          <w:rFonts w:ascii="Courier New" w:cs="Courier New" w:eastAsia="Courier New" w:hAnsi="Courier New"/>
          <w:sz w:val="16"/>
          <w:szCs w:val="16"/>
          <w:color w:val="auto"/>
        </w:rPr>
        <w:t>--------- --------- ------------- ---------</w:t>
      </w:r>
    </w:p>
    <w:p>
      <w:pPr>
        <w:ind w:left="704"/>
        <w:spacing w:after="0" w:line="237" w:lineRule="auto"/>
        <w:rPr>
          <w:sz w:val="20"/>
          <w:szCs w:val="20"/>
          <w:color w:val="auto"/>
        </w:rPr>
      </w:pPr>
      <w:r>
        <w:rPr>
          <w:rFonts w:ascii="Courier New" w:cs="Courier New" w:eastAsia="Courier New" w:hAnsi="Courier New"/>
          <w:sz w:val="16"/>
          <w:szCs w:val="16"/>
          <w:color w:val="auto"/>
        </w:rPr>
        <w:t>Six Months Ended June 30, 2002</w:t>
      </w:r>
    </w:p>
    <w:p>
      <w:pPr>
        <w:ind w:left="4"/>
        <w:spacing w:after="0"/>
        <w:rPr>
          <w:sz w:val="20"/>
          <w:szCs w:val="20"/>
          <w:color w:val="auto"/>
        </w:rPr>
      </w:pPr>
      <w:r>
        <w:rPr>
          <w:rFonts w:ascii="Courier New" w:cs="Courier New" w:eastAsia="Courier New" w:hAnsi="Courier New"/>
          <w:sz w:val="16"/>
          <w:szCs w:val="16"/>
          <w:color w:val="auto"/>
        </w:rPr>
        <w:t>Revenues(2)..................................</w:t>
      </w:r>
    </w:p>
    <w:p>
      <w:pPr>
        <w:ind w:left="424"/>
        <w:spacing w:after="0" w:line="238" w:lineRule="auto"/>
        <w:rPr>
          <w:sz w:val="20"/>
          <w:szCs w:val="20"/>
          <w:color w:val="auto"/>
        </w:rPr>
      </w:pPr>
      <w:r>
        <w:rPr>
          <w:rFonts w:ascii="Courier New" w:cs="Courier New" w:eastAsia="Courier New" w:hAnsi="Courier New"/>
          <w:sz w:val="16"/>
          <w:szCs w:val="16"/>
          <w:color w:val="auto"/>
        </w:rPr>
        <w:t>$ 3,010.2 $1,988.0 $ 383.2 $ 5,381.4</w:t>
      </w:r>
    </w:p>
    <w:p>
      <w:pPr>
        <w:ind w:left="244"/>
        <w:spacing w:after="0"/>
        <w:rPr>
          <w:sz w:val="20"/>
          <w:szCs w:val="20"/>
          <w:color w:val="auto"/>
        </w:rPr>
      </w:pPr>
      <w:r>
        <w:rPr>
          <w:rFonts w:ascii="Courier New" w:cs="Courier New" w:eastAsia="Courier New" w:hAnsi="Courier New"/>
          <w:sz w:val="16"/>
          <w:szCs w:val="16"/>
          <w:color w:val="auto"/>
        </w:rPr>
        <w:t>Operating income before depreciation and</w:t>
      </w:r>
    </w:p>
    <w:p>
      <w:pPr>
        <w:ind w:left="144"/>
        <w:spacing w:after="0" w:line="238" w:lineRule="auto"/>
        <w:rPr>
          <w:sz w:val="20"/>
          <w:szCs w:val="20"/>
          <w:color w:val="auto"/>
        </w:rPr>
      </w:pPr>
      <w:r>
        <w:rPr>
          <w:rFonts w:ascii="Courier New" w:cs="Courier New" w:eastAsia="Courier New" w:hAnsi="Courier New"/>
          <w:sz w:val="16"/>
          <w:szCs w:val="16"/>
          <w:color w:val="auto"/>
        </w:rPr>
        <w:t>amortization(3)...........................</w:t>
      </w:r>
    </w:p>
    <w:p>
      <w:pPr>
        <w:ind w:left="84"/>
        <w:spacing w:after="0"/>
        <w:rPr>
          <w:sz w:val="20"/>
          <w:szCs w:val="20"/>
          <w:color w:val="auto"/>
        </w:rPr>
      </w:pPr>
      <w:r>
        <w:rPr>
          <w:rFonts w:ascii="Courier New" w:cs="Courier New" w:eastAsia="Courier New" w:hAnsi="Courier New"/>
          <w:sz w:val="16"/>
          <w:szCs w:val="16"/>
          <w:color w:val="auto"/>
        </w:rPr>
        <w:t>1,250.7 386.8 37.3 1,674.8 Depreciation and</w:t>
      </w:r>
    </w:p>
    <w:p>
      <w:pPr>
        <w:ind w:left="284"/>
        <w:spacing w:after="0" w:line="237" w:lineRule="auto"/>
        <w:rPr>
          <w:sz w:val="20"/>
          <w:szCs w:val="20"/>
          <w:color w:val="auto"/>
        </w:rPr>
      </w:pPr>
      <w:r>
        <w:rPr>
          <w:rFonts w:ascii="Courier New" w:cs="Courier New" w:eastAsia="Courier New" w:hAnsi="Courier New"/>
          <w:sz w:val="16"/>
          <w:szCs w:val="16"/>
          <w:color w:val="auto"/>
        </w:rPr>
        <w:t>amortization................ 590.7 55.5</w:t>
      </w:r>
    </w:p>
    <w:p>
      <w:pPr>
        <w:ind w:left="804"/>
        <w:spacing w:after="0"/>
        <w:rPr>
          <w:sz w:val="20"/>
          <w:szCs w:val="20"/>
          <w:color w:val="auto"/>
        </w:rPr>
      </w:pPr>
      <w:r>
        <w:rPr>
          <w:rFonts w:ascii="Courier New" w:cs="Courier New" w:eastAsia="Courier New" w:hAnsi="Courier New"/>
          <w:sz w:val="16"/>
          <w:szCs w:val="16"/>
          <w:color w:val="auto"/>
        </w:rPr>
        <w:t>129.1 775.3 Operating income</w:t>
      </w:r>
    </w:p>
    <w:p>
      <w:pPr>
        <w:ind w:left="244"/>
        <w:spacing w:after="0" w:line="238" w:lineRule="auto"/>
        <w:rPr>
          <w:sz w:val="20"/>
          <w:szCs w:val="20"/>
          <w:color w:val="auto"/>
        </w:rPr>
      </w:pPr>
      <w:r>
        <w:rPr>
          <w:rFonts w:ascii="Courier New" w:cs="Courier New" w:eastAsia="Courier New" w:hAnsi="Courier New"/>
          <w:sz w:val="16"/>
          <w:szCs w:val="16"/>
          <w:color w:val="auto"/>
        </w:rPr>
        <w:t>(loss)...................... 660.0 331.3</w:t>
      </w:r>
    </w:p>
    <w:p>
      <w:pPr>
        <w:ind w:left="1124"/>
        <w:spacing w:after="0"/>
        <w:rPr>
          <w:sz w:val="20"/>
          <w:szCs w:val="20"/>
          <w:color w:val="auto"/>
        </w:rPr>
      </w:pPr>
      <w:r>
        <w:rPr>
          <w:rFonts w:ascii="Courier New" w:cs="Courier New" w:eastAsia="Courier New" w:hAnsi="Courier New"/>
          <w:sz w:val="16"/>
          <w:szCs w:val="16"/>
          <w:color w:val="auto"/>
        </w:rPr>
        <w:t>(91.8) 899.5 Interest</w:t>
      </w:r>
    </w:p>
    <w:p>
      <w:pPr>
        <w:ind w:left="144"/>
        <w:spacing w:after="0" w:line="238" w:lineRule="auto"/>
        <w:rPr>
          <w:sz w:val="20"/>
          <w:szCs w:val="20"/>
          <w:color w:val="auto"/>
        </w:rPr>
      </w:pPr>
      <w:r>
        <w:rPr>
          <w:rFonts w:ascii="Courier New" w:cs="Courier New" w:eastAsia="Courier New" w:hAnsi="Courier New"/>
          <w:sz w:val="16"/>
          <w:szCs w:val="16"/>
          <w:color w:val="auto"/>
        </w:rPr>
        <w:t>expense............................. 287.3</w:t>
      </w:r>
    </w:p>
    <w:p>
      <w:pPr>
        <w:ind w:left="1084"/>
        <w:spacing w:after="0"/>
        <w:rPr>
          <w:sz w:val="20"/>
          <w:szCs w:val="20"/>
          <w:color w:val="auto"/>
        </w:rPr>
      </w:pPr>
      <w:r>
        <w:rPr>
          <w:rFonts w:ascii="Courier New" w:cs="Courier New" w:eastAsia="Courier New" w:hAnsi="Courier New"/>
          <w:sz w:val="16"/>
          <w:szCs w:val="16"/>
          <w:color w:val="auto"/>
        </w:rPr>
        <w:t>6.4 75.6 369.3 Capital</w:t>
      </w:r>
    </w:p>
    <w:p>
      <w:pPr>
        <w:ind w:left="84"/>
        <w:spacing w:after="0" w:line="237" w:lineRule="auto"/>
        <w:rPr>
          <w:sz w:val="20"/>
          <w:szCs w:val="20"/>
          <w:color w:val="auto"/>
        </w:rPr>
      </w:pPr>
      <w:r>
        <w:rPr>
          <w:rFonts w:ascii="Courier New" w:cs="Courier New" w:eastAsia="Courier New" w:hAnsi="Courier New"/>
          <w:sz w:val="16"/>
          <w:szCs w:val="16"/>
          <w:color w:val="auto"/>
        </w:rPr>
        <w:t>expenditures......................... 688.7</w:t>
      </w:r>
    </w:p>
    <w:p>
      <w:pPr>
        <w:ind w:left="184"/>
        <w:spacing w:after="0"/>
        <w:rPr>
          <w:sz w:val="20"/>
          <w:szCs w:val="20"/>
          <w:color w:val="auto"/>
        </w:rPr>
      </w:pPr>
      <w:r>
        <w:rPr>
          <w:rFonts w:ascii="Courier New" w:cs="Courier New" w:eastAsia="Courier New" w:hAnsi="Courier New"/>
          <w:sz w:val="16"/>
          <w:szCs w:val="16"/>
          <w:color w:val="auto"/>
        </w:rPr>
        <w:t>82.4 17.8 788.9 Six Months Ended June 30,</w:t>
      </w:r>
    </w:p>
    <w:p>
      <w:pPr>
        <w:ind w:left="1924"/>
        <w:spacing w:after="0" w:line="238" w:lineRule="auto"/>
        <w:rPr>
          <w:sz w:val="20"/>
          <w:szCs w:val="20"/>
          <w:color w:val="auto"/>
        </w:rPr>
      </w:pPr>
      <w:r>
        <w:rPr>
          <w:rFonts w:ascii="Courier New" w:cs="Courier New" w:eastAsia="Courier New" w:hAnsi="Courier New"/>
          <w:sz w:val="16"/>
          <w:szCs w:val="16"/>
          <w:color w:val="auto"/>
        </w:rPr>
        <w:t>2001</w:t>
      </w:r>
    </w:p>
    <w:p>
      <w:pPr>
        <w:ind w:left="4"/>
        <w:spacing w:after="0"/>
        <w:rPr>
          <w:sz w:val="20"/>
          <w:szCs w:val="20"/>
          <w:color w:val="auto"/>
        </w:rPr>
      </w:pPr>
      <w:r>
        <w:rPr>
          <w:rFonts w:ascii="Courier New" w:cs="Courier New" w:eastAsia="Courier New" w:hAnsi="Courier New"/>
          <w:sz w:val="16"/>
          <w:szCs w:val="16"/>
          <w:color w:val="auto"/>
        </w:rPr>
        <w:t>Revenues(2)..................................</w:t>
      </w:r>
    </w:p>
    <w:p>
      <w:pPr>
        <w:spacing w:after="0" w:line="4" w:lineRule="exact"/>
        <w:rPr>
          <w:sz w:val="20"/>
          <w:szCs w:val="20"/>
          <w:color w:val="auto"/>
        </w:rPr>
      </w:pPr>
    </w:p>
    <w:p>
      <w:pPr>
        <w:ind w:left="84" w:right="6099" w:firstLine="338"/>
        <w:spacing w:after="0" w:line="254" w:lineRule="auto"/>
        <w:tabs>
          <w:tab w:leader="none" w:pos="60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2,520.3 $1,760.0 $ 290.4 $ 4,570.7 Operating income (loss) before depreciation and amortization(3).......................</w:t>
      </w: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1,035.7 332.5 (41.1) 1,327.1 Depreciation</w:t>
      </w:r>
    </w:p>
    <w:p>
      <w:pPr>
        <w:ind w:left="244"/>
        <w:spacing w:after="0" w:line="237" w:lineRule="auto"/>
        <w:rPr>
          <w:sz w:val="20"/>
          <w:szCs w:val="20"/>
          <w:color w:val="auto"/>
        </w:rPr>
      </w:pPr>
      <w:r>
        <w:rPr>
          <w:rFonts w:ascii="Courier New" w:cs="Courier New" w:eastAsia="Courier New" w:hAnsi="Courier New"/>
          <w:sz w:val="16"/>
          <w:szCs w:val="16"/>
          <w:color w:val="auto"/>
        </w:rPr>
        <w:t>and amortization................ 1,424.8</w:t>
      </w:r>
    </w:p>
    <w:p>
      <w:pPr>
        <w:ind w:left="524"/>
        <w:spacing w:after="0"/>
        <w:rPr>
          <w:sz w:val="20"/>
          <w:szCs w:val="20"/>
          <w:color w:val="auto"/>
        </w:rPr>
      </w:pPr>
      <w:r>
        <w:rPr>
          <w:rFonts w:ascii="Courier New" w:cs="Courier New" w:eastAsia="Courier New" w:hAnsi="Courier New"/>
          <w:sz w:val="16"/>
          <w:szCs w:val="16"/>
          <w:color w:val="auto"/>
        </w:rPr>
        <w:t>71.4 64.7 1,560.9 Operating income</w:t>
      </w:r>
    </w:p>
    <w:p>
      <w:pPr>
        <w:ind w:left="144"/>
        <w:spacing w:after="0" w:line="238" w:lineRule="auto"/>
        <w:rPr>
          <w:sz w:val="20"/>
          <w:szCs w:val="20"/>
          <w:color w:val="auto"/>
        </w:rPr>
      </w:pPr>
      <w:r>
        <w:rPr>
          <w:rFonts w:ascii="Courier New" w:cs="Courier New" w:eastAsia="Courier New" w:hAnsi="Courier New"/>
          <w:sz w:val="16"/>
          <w:szCs w:val="16"/>
          <w:color w:val="auto"/>
        </w:rPr>
        <w:t>(loss)...................... (389.1) 261.1</w:t>
      </w:r>
    </w:p>
    <w:p>
      <w:pPr>
        <w:ind w:left="984"/>
        <w:spacing w:after="0"/>
        <w:rPr>
          <w:sz w:val="20"/>
          <w:szCs w:val="20"/>
          <w:color w:val="auto"/>
        </w:rPr>
      </w:pPr>
      <w:r>
        <w:rPr>
          <w:rFonts w:ascii="Courier New" w:cs="Courier New" w:eastAsia="Courier New" w:hAnsi="Courier New"/>
          <w:sz w:val="16"/>
          <w:szCs w:val="16"/>
          <w:color w:val="auto"/>
        </w:rPr>
        <w:t>(105.8) (233.8) Interest</w:t>
      </w:r>
    </w:p>
    <w:p>
      <w:pPr>
        <w:ind w:left="144"/>
        <w:spacing w:after="0" w:line="238" w:lineRule="auto"/>
        <w:rPr>
          <w:sz w:val="20"/>
          <w:szCs w:val="20"/>
          <w:color w:val="auto"/>
        </w:rPr>
      </w:pPr>
      <w:r>
        <w:rPr>
          <w:rFonts w:ascii="Courier New" w:cs="Courier New" w:eastAsia="Courier New" w:hAnsi="Courier New"/>
          <w:sz w:val="16"/>
          <w:szCs w:val="16"/>
          <w:color w:val="auto"/>
        </w:rPr>
        <w:t>expense............................. 261.7</w:t>
      </w:r>
    </w:p>
    <w:p>
      <w:pPr>
        <w:ind w:left="1024"/>
        <w:spacing w:after="0"/>
        <w:rPr>
          <w:sz w:val="20"/>
          <w:szCs w:val="20"/>
          <w:color w:val="auto"/>
        </w:rPr>
      </w:pPr>
      <w:r>
        <w:rPr>
          <w:rFonts w:ascii="Courier New" w:cs="Courier New" w:eastAsia="Courier New" w:hAnsi="Courier New"/>
          <w:sz w:val="16"/>
          <w:szCs w:val="16"/>
          <w:color w:val="auto"/>
        </w:rPr>
        <w:t>15.1 84.0 360.8 Capital</w:t>
      </w:r>
    </w:p>
    <w:p>
      <w:pPr>
        <w:ind w:left="84"/>
        <w:spacing w:after="0" w:line="237" w:lineRule="auto"/>
        <w:rPr>
          <w:sz w:val="20"/>
          <w:szCs w:val="20"/>
          <w:color w:val="auto"/>
        </w:rPr>
      </w:pPr>
      <w:r>
        <w:rPr>
          <w:rFonts w:ascii="Courier New" w:cs="Courier New" w:eastAsia="Courier New" w:hAnsi="Courier New"/>
          <w:sz w:val="16"/>
          <w:szCs w:val="16"/>
          <w:color w:val="auto"/>
        </w:rPr>
        <w:t>expenditures......................... 950.9</w:t>
      </w:r>
    </w:p>
    <w:p>
      <w:pPr>
        <w:ind w:left="324"/>
        <w:spacing w:after="0"/>
        <w:rPr>
          <w:sz w:val="20"/>
          <w:szCs w:val="20"/>
          <w:color w:val="auto"/>
        </w:rPr>
      </w:pPr>
      <w:r>
        <w:rPr>
          <w:rFonts w:ascii="Courier New" w:cs="Courier New" w:eastAsia="Courier New" w:hAnsi="Courier New"/>
          <w:sz w:val="16"/>
          <w:szCs w:val="16"/>
          <w:color w:val="auto"/>
        </w:rPr>
        <w:t>68.0 124.8 1,143.7 As of June 30, 2002</w:t>
      </w:r>
    </w:p>
    <w:p>
      <w:pPr>
        <w:ind w:left="4"/>
        <w:spacing w:after="0" w:line="238" w:lineRule="auto"/>
        <w:rPr>
          <w:sz w:val="20"/>
          <w:szCs w:val="20"/>
          <w:color w:val="auto"/>
        </w:rPr>
      </w:pPr>
      <w:r>
        <w:rPr>
          <w:rFonts w:ascii="Courier New" w:cs="Courier New" w:eastAsia="Courier New" w:hAnsi="Courier New"/>
          <w:sz w:val="16"/>
          <w:szCs w:val="16"/>
          <w:color w:val="auto"/>
        </w:rPr>
        <w:t>Assets.......................................</w:t>
      </w:r>
    </w:p>
    <w:p>
      <w:pPr>
        <w:ind w:left="104"/>
        <w:spacing w:after="0"/>
        <w:rPr>
          <w:sz w:val="20"/>
          <w:szCs w:val="20"/>
          <w:color w:val="auto"/>
        </w:rPr>
      </w:pPr>
      <w:r>
        <w:rPr>
          <w:rFonts w:ascii="Courier New" w:cs="Courier New" w:eastAsia="Courier New" w:hAnsi="Courier New"/>
          <w:sz w:val="16"/>
          <w:szCs w:val="16"/>
          <w:color w:val="auto"/>
        </w:rPr>
        <w:t>$28,840.3 $2,800.9 $4,477.6 $36,118.8 Long-</w:t>
      </w:r>
    </w:p>
    <w:p>
      <w:pPr>
        <w:ind w:left="244"/>
        <w:spacing w:after="0" w:line="238" w:lineRule="auto"/>
        <w:rPr>
          <w:sz w:val="20"/>
          <w:szCs w:val="20"/>
          <w:color w:val="auto"/>
        </w:rPr>
      </w:pPr>
      <w:r>
        <w:rPr>
          <w:rFonts w:ascii="Courier New" w:cs="Courier New" w:eastAsia="Courier New" w:hAnsi="Courier New"/>
          <w:sz w:val="16"/>
          <w:szCs w:val="16"/>
          <w:color w:val="auto"/>
        </w:rPr>
        <w:t>term debt, less current portion.........</w:t>
      </w:r>
    </w:p>
    <w:p>
      <w:pPr>
        <w:ind w:left="84"/>
        <w:spacing w:after="0"/>
        <w:rPr>
          <w:sz w:val="20"/>
          <w:szCs w:val="20"/>
          <w:color w:val="auto"/>
        </w:rPr>
      </w:pPr>
      <w:r>
        <w:rPr>
          <w:rFonts w:ascii="Courier New" w:cs="Courier New" w:eastAsia="Courier New" w:hAnsi="Courier New"/>
          <w:sz w:val="16"/>
          <w:szCs w:val="16"/>
          <w:color w:val="auto"/>
        </w:rPr>
        <w:t>8,147.7 1.4 2,394.4 10,543.5 As of December</w:t>
      </w:r>
    </w:p>
    <w:p>
      <w:pPr>
        <w:ind w:left="1744"/>
        <w:spacing w:after="0" w:line="237" w:lineRule="auto"/>
        <w:rPr>
          <w:sz w:val="20"/>
          <w:szCs w:val="20"/>
          <w:color w:val="auto"/>
        </w:rPr>
      </w:pPr>
      <w:r>
        <w:rPr>
          <w:rFonts w:ascii="Courier New" w:cs="Courier New" w:eastAsia="Courier New" w:hAnsi="Courier New"/>
          <w:sz w:val="16"/>
          <w:szCs w:val="16"/>
          <w:color w:val="auto"/>
        </w:rPr>
        <w:t>31, 2001</w:t>
      </w:r>
    </w:p>
    <w:p>
      <w:pPr>
        <w:ind w:left="4"/>
        <w:spacing w:after="0"/>
        <w:rPr>
          <w:sz w:val="20"/>
          <w:szCs w:val="20"/>
          <w:color w:val="auto"/>
        </w:rPr>
      </w:pPr>
      <w:r>
        <w:rPr>
          <w:rFonts w:ascii="Courier New" w:cs="Courier New" w:eastAsia="Courier New" w:hAnsi="Courier New"/>
          <w:sz w:val="16"/>
          <w:szCs w:val="16"/>
          <w:color w:val="auto"/>
        </w:rPr>
        <w:t>Assets.......................................</w:t>
      </w:r>
    </w:p>
    <w:p>
      <w:pPr>
        <w:ind w:left="104"/>
        <w:spacing w:after="0" w:line="238" w:lineRule="auto"/>
        <w:rPr>
          <w:sz w:val="20"/>
          <w:szCs w:val="20"/>
          <w:color w:val="auto"/>
        </w:rPr>
      </w:pPr>
      <w:r>
        <w:rPr>
          <w:rFonts w:ascii="Courier New" w:cs="Courier New" w:eastAsia="Courier New" w:hAnsi="Courier New"/>
          <w:sz w:val="16"/>
          <w:szCs w:val="16"/>
          <w:color w:val="auto"/>
        </w:rPr>
        <w:t>$29,084.6 $2,809.2 $6,366.7 $38,260.5 Long-</w:t>
      </w:r>
    </w:p>
    <w:p>
      <w:pPr>
        <w:ind w:left="244"/>
        <w:spacing w:after="0"/>
        <w:rPr>
          <w:sz w:val="20"/>
          <w:szCs w:val="20"/>
          <w:color w:val="auto"/>
        </w:rPr>
      </w:pPr>
      <w:r>
        <w:rPr>
          <w:rFonts w:ascii="Courier New" w:cs="Courier New" w:eastAsia="Courier New" w:hAnsi="Courier New"/>
          <w:sz w:val="16"/>
          <w:szCs w:val="16"/>
          <w:color w:val="auto"/>
        </w:rPr>
        <w:t>term debt, less current portion.........</w:t>
      </w:r>
    </w:p>
    <w:p>
      <w:pPr>
        <w:ind w:left="744"/>
        <w:spacing w:after="0" w:line="238" w:lineRule="auto"/>
        <w:rPr>
          <w:sz w:val="20"/>
          <w:szCs w:val="20"/>
          <w:color w:val="auto"/>
        </w:rPr>
      </w:pPr>
      <w:r>
        <w:rPr>
          <w:rFonts w:ascii="Courier New" w:cs="Courier New" w:eastAsia="Courier New" w:hAnsi="Courier New"/>
          <w:sz w:val="16"/>
          <w:szCs w:val="16"/>
          <w:color w:val="auto"/>
        </w:rPr>
        <w:t>8,363.2 62.7 3,315.7 11,741.6</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7" w:lineRule="auto"/>
        <w:tabs>
          <w:tab w:leader="none" w:pos="384"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and business communications operations as well as elimination entries related to the segments presented. Corporate and other assets consist primarily of the Company's investments (see Note 5).</w:t>
      </w:r>
    </w:p>
    <w:p>
      <w:pPr>
        <w:spacing w:after="0" w:line="187" w:lineRule="exact"/>
        <w:rPr>
          <w:rFonts w:ascii="Courier New" w:cs="Courier New" w:eastAsia="Courier New" w:hAnsi="Courier New"/>
          <w:sz w:val="16"/>
          <w:szCs w:val="16"/>
          <w:color w:val="auto"/>
        </w:rPr>
      </w:pPr>
    </w:p>
    <w:p>
      <w:pPr>
        <w:ind w:left="384" w:right="2719" w:hanging="384"/>
        <w:spacing w:after="0" w:line="256" w:lineRule="auto"/>
        <w:tabs>
          <w:tab w:leader="none" w:pos="384"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$151.4 million, $113.1 million, $296.6 million and $234.4 million during the three months ended June 30, 2002 and 2001 and during the six months ended June 30, 2002 and 2001, respectively, of non-U.S. revenues, principally related to the Company's commerce segment. No single customer accounted for a significant amount of the Company's revenues in any period.</w:t>
      </w:r>
    </w:p>
    <w:p>
      <w:pPr>
        <w:spacing w:after="0" w:line="176" w:lineRule="exact"/>
        <w:rPr>
          <w:rFonts w:ascii="Courier New" w:cs="Courier New" w:eastAsia="Courier New" w:hAnsi="Courier New"/>
          <w:sz w:val="15"/>
          <w:szCs w:val="15"/>
          <w:color w:val="auto"/>
        </w:rPr>
      </w:pPr>
    </w:p>
    <w:p>
      <w:pPr>
        <w:ind w:left="384" w:right="2719" w:hanging="384"/>
        <w:spacing w:after="0" w:line="255" w:lineRule="auto"/>
        <w:tabs>
          <w:tab w:leader="none" w:pos="384"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173"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F-144</w:t>
      </w:r>
    </w:p>
    <w:p>
      <w:pPr>
        <w:sectPr>
          <w:pgSz w:w="11900" w:h="16838" w:orient="portrait"/>
          <w:cols w:equalWidth="0" w:num="1">
            <w:col w:w="10223"/>
          </w:cols>
          <w:pgMar w:left="236" w:top="473" w:right="1440" w:bottom="1440" w:gutter="0" w:footer="0" w:header="0"/>
        </w:sectPr>
      </w:pPr>
    </w:p>
    <w:bookmarkStart w:id="335" w:name="page336"/>
    <w:bookmarkEnd w:id="335"/>
    <w:tbl>
      <w:tblPr>
        <w:tblLayout w:type="fixed"/>
        <w:tblInd w:w="64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3100" w:type="dxa"/>
            <w:vAlign w:val="bottom"/>
            <w:gridSpan w:val="3"/>
          </w:tcPr>
          <w:p>
            <w:pPr>
              <w:jc w:val="right"/>
              <w:ind w:right="1662"/>
              <w:spacing w:after="0"/>
              <w:rPr>
                <w:sz w:val="20"/>
                <w:szCs w:val="20"/>
                <w:color w:val="auto"/>
              </w:rPr>
            </w:pPr>
            <w:r>
              <w:rPr>
                <w:rFonts w:ascii="Courier New" w:cs="Courier New" w:eastAsia="Courier New" w:hAnsi="Courier New"/>
                <w:sz w:val="16"/>
                <w:szCs w:val="16"/>
                <w:color w:val="auto"/>
                <w:w w:val="99"/>
              </w:rPr>
              <w:t>EXCHANGE AGENT</w:t>
            </w:r>
          </w:p>
        </w:tc>
        <w:tc>
          <w:tcPr>
            <w:tcW w:w="426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LUXEMBOURG EXCHANGE AGENT</w:t>
            </w:r>
          </w:p>
        </w:tc>
      </w:tr>
      <w:tr>
        <w:trPr>
          <w:trHeight w:val="180"/>
        </w:trPr>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Bank</w:t>
            </w:r>
          </w:p>
        </w:tc>
        <w:tc>
          <w:tcPr>
            <w:tcW w:w="2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New York</w:t>
            </w:r>
          </w:p>
        </w:tc>
        <w:tc>
          <w:tcPr>
            <w:tcW w:w="4260" w:type="dxa"/>
            <w:vAlign w:val="bottom"/>
            <w:gridSpan w:val="3"/>
          </w:tcPr>
          <w:p>
            <w:pPr>
              <w:jc w:val="center"/>
              <w:ind w:left="622"/>
              <w:spacing w:after="0"/>
              <w:rPr>
                <w:sz w:val="20"/>
                <w:szCs w:val="20"/>
                <w:color w:val="auto"/>
              </w:rPr>
            </w:pPr>
            <w:r>
              <w:rPr>
                <w:rFonts w:ascii="Courier New" w:cs="Courier New" w:eastAsia="Courier New" w:hAnsi="Courier New"/>
                <w:sz w:val="16"/>
                <w:szCs w:val="16"/>
                <w:color w:val="auto"/>
                <w:w w:val="97"/>
              </w:rPr>
              <w:t>The Bank of New York (Luxembourg) S.A.</w:t>
            </w:r>
          </w:p>
        </w:tc>
      </w:tr>
      <w:tr>
        <w:trPr>
          <w:trHeight w:val="180"/>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Trust</w:t>
            </w:r>
          </w:p>
        </w:tc>
        <w:tc>
          <w:tcPr>
            <w:tcW w:w="2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Reorganization Unit</w:t>
            </w:r>
          </w:p>
        </w:tc>
        <w:tc>
          <w:tcPr>
            <w:tcW w:w="42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Aerogolf Center-1A, Hoehenhof</w:t>
            </w:r>
          </w:p>
        </w:tc>
      </w:tr>
      <w:tr>
        <w:trPr>
          <w:trHeight w:val="180"/>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c>
          <w:tcPr>
            <w:tcW w:w="3100" w:type="dxa"/>
            <w:vAlign w:val="bottom"/>
            <w:gridSpan w:val="3"/>
          </w:tcPr>
          <w:p>
            <w:pPr>
              <w:jc w:val="right"/>
              <w:ind w:right="1282"/>
              <w:spacing w:after="0"/>
              <w:rPr>
                <w:sz w:val="20"/>
                <w:szCs w:val="20"/>
                <w:color w:val="auto"/>
              </w:rPr>
            </w:pPr>
            <w:r>
              <w:rPr>
                <w:rFonts w:ascii="Courier New" w:cs="Courier New" w:eastAsia="Courier New" w:hAnsi="Courier New"/>
                <w:sz w:val="16"/>
                <w:szCs w:val="16"/>
                <w:color w:val="auto"/>
                <w:w w:val="99"/>
              </w:rPr>
              <w:t>Barclay Street, 7E</w:t>
            </w:r>
          </w:p>
        </w:tc>
        <w:tc>
          <w:tcPr>
            <w:tcW w:w="4260" w:type="dxa"/>
            <w:vAlign w:val="bottom"/>
            <w:gridSpan w:val="3"/>
          </w:tcPr>
          <w:p>
            <w:pPr>
              <w:jc w:val="center"/>
              <w:ind w:left="622"/>
              <w:spacing w:after="0"/>
              <w:rPr>
                <w:sz w:val="20"/>
                <w:szCs w:val="20"/>
                <w:color w:val="auto"/>
              </w:rPr>
            </w:pPr>
            <w:r>
              <w:rPr>
                <w:rFonts w:ascii="Courier New" w:cs="Courier New" w:eastAsia="Courier New" w:hAnsi="Courier New"/>
                <w:sz w:val="16"/>
                <w:szCs w:val="16"/>
                <w:color w:val="auto"/>
                <w:w w:val="97"/>
              </w:rPr>
              <w:t>L-1736 Senningerberg</w:t>
            </w:r>
          </w:p>
        </w:tc>
      </w:tr>
      <w:tr>
        <w:trPr>
          <w:trHeight w:val="180"/>
        </w:trPr>
        <w:tc>
          <w:tcPr>
            <w:tcW w:w="4000" w:type="dxa"/>
            <w:vAlign w:val="bottom"/>
            <w:gridSpan w:val="4"/>
          </w:tcPr>
          <w:p>
            <w:pPr>
              <w:jc w:val="right"/>
              <w:ind w:right="1202"/>
              <w:spacing w:after="0"/>
              <w:rPr>
                <w:sz w:val="20"/>
                <w:szCs w:val="20"/>
                <w:color w:val="auto"/>
              </w:rPr>
            </w:pPr>
            <w:r>
              <w:rPr>
                <w:rFonts w:ascii="Courier New" w:cs="Courier New" w:eastAsia="Courier New" w:hAnsi="Courier New"/>
                <w:sz w:val="16"/>
                <w:szCs w:val="16"/>
                <w:color w:val="auto"/>
              </w:rPr>
              <w:t>New York, New York 10286</w:t>
            </w:r>
          </w:p>
        </w:tc>
        <w:tc>
          <w:tcPr>
            <w:tcW w:w="2940" w:type="dxa"/>
            <w:vAlign w:val="bottom"/>
          </w:tcPr>
          <w:p>
            <w:pPr>
              <w:jc w:val="center"/>
              <w:ind w:left="1922"/>
              <w:spacing w:after="0"/>
              <w:rPr>
                <w:sz w:val="20"/>
                <w:szCs w:val="20"/>
                <w:color w:val="auto"/>
              </w:rPr>
            </w:pPr>
            <w:r>
              <w:rPr>
                <w:rFonts w:ascii="Courier New" w:cs="Courier New" w:eastAsia="Courier New" w:hAnsi="Courier New"/>
                <w:sz w:val="16"/>
                <w:szCs w:val="16"/>
                <w:color w:val="auto"/>
                <w:w w:val="97"/>
              </w:rPr>
              <w:t>Luxembourg</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900" w:type="dxa"/>
            <w:vAlign w:val="bottom"/>
          </w:tcPr>
          <w:p>
            <w:pPr>
              <w:spacing w:after="0"/>
              <w:rPr>
                <w:sz w:val="15"/>
                <w:szCs w:val="15"/>
                <w:color w:val="auto"/>
              </w:rPr>
            </w:pPr>
          </w:p>
        </w:tc>
        <w:tc>
          <w:tcPr>
            <w:tcW w:w="3100" w:type="dxa"/>
            <w:vAlign w:val="bottom"/>
            <w:gridSpan w:val="3"/>
          </w:tcPr>
          <w:p>
            <w:pPr>
              <w:jc w:val="right"/>
              <w:ind w:right="1662"/>
              <w:spacing w:after="0"/>
              <w:rPr>
                <w:sz w:val="20"/>
                <w:szCs w:val="20"/>
                <w:color w:val="auto"/>
              </w:rPr>
            </w:pPr>
            <w:r>
              <w:rPr>
                <w:rFonts w:ascii="Courier New" w:cs="Courier New" w:eastAsia="Courier New" w:hAnsi="Courier New"/>
                <w:sz w:val="16"/>
                <w:szCs w:val="16"/>
                <w:color w:val="auto"/>
              </w:rPr>
              <w:t>Attn: Kin Lau</w:t>
            </w:r>
          </w:p>
        </w:tc>
        <w:tc>
          <w:tcPr>
            <w:tcW w:w="42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Attn: Sunjeeve D. Patel</w:t>
            </w:r>
          </w:p>
        </w:tc>
      </w:tr>
      <w:tr>
        <w:trPr>
          <w:trHeight w:val="180"/>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Toll</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Free: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(800)</w:t>
            </w:r>
          </w:p>
        </w:tc>
        <w:tc>
          <w:tcPr>
            <w:tcW w:w="198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254-2826</w:t>
            </w:r>
          </w:p>
        </w:tc>
        <w:tc>
          <w:tcPr>
            <w:tcW w:w="2940" w:type="dxa"/>
            <w:vAlign w:val="bottom"/>
          </w:tcPr>
          <w:p>
            <w:pPr>
              <w:ind w:left="1260"/>
              <w:spacing w:after="0"/>
              <w:rPr>
                <w:sz w:val="20"/>
                <w:szCs w:val="20"/>
                <w:color w:val="auto"/>
              </w:rPr>
            </w:pPr>
            <w:r>
              <w:rPr>
                <w:rFonts w:ascii="Courier New" w:cs="Courier New" w:eastAsia="Courier New" w:hAnsi="Courier New"/>
                <w:sz w:val="16"/>
                <w:szCs w:val="16"/>
                <w:color w:val="auto"/>
              </w:rPr>
              <w:t>Telephone: 44 207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964</w:t>
            </w:r>
          </w:p>
        </w:tc>
        <w:tc>
          <w:tcPr>
            <w:tcW w:w="9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6337</w:t>
            </w:r>
          </w:p>
        </w:tc>
      </w:tr>
      <w:tr>
        <w:trPr>
          <w:trHeight w:val="180"/>
        </w:trPr>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Telephone: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98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815-3750</w:t>
            </w:r>
          </w:p>
        </w:tc>
        <w:tc>
          <w:tcPr>
            <w:tcW w:w="2940" w:type="dxa"/>
            <w:vAlign w:val="bottom"/>
          </w:tcPr>
          <w:p>
            <w:pPr>
              <w:ind w:left="1260"/>
              <w:spacing w:after="0"/>
              <w:rPr>
                <w:sz w:val="20"/>
                <w:szCs w:val="20"/>
                <w:color w:val="auto"/>
              </w:rPr>
            </w:pPr>
            <w:r>
              <w:rPr>
                <w:rFonts w:ascii="Courier New" w:cs="Courier New" w:eastAsia="Courier New" w:hAnsi="Courier New"/>
                <w:sz w:val="16"/>
                <w:szCs w:val="16"/>
                <w:color w:val="auto"/>
              </w:rPr>
              <w:t>Facsimile: 44 207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964</w:t>
            </w:r>
          </w:p>
        </w:tc>
        <w:tc>
          <w:tcPr>
            <w:tcW w:w="9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6399</w:t>
            </w:r>
          </w:p>
        </w:tc>
      </w:tr>
      <w:tr>
        <w:trPr>
          <w:trHeight w:val="180"/>
        </w:trPr>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Facsimile: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(212)</w:t>
            </w:r>
          </w:p>
        </w:tc>
        <w:tc>
          <w:tcPr>
            <w:tcW w:w="198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298-1915</w:t>
            </w:r>
          </w:p>
        </w:tc>
        <w:tc>
          <w:tcPr>
            <w:tcW w:w="2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INFORMATION AGENT</w:t>
      </w:r>
    </w:p>
    <w:p>
      <w:pPr>
        <w:sectPr>
          <w:pgSz w:w="11900" w:h="16838" w:orient="portrait"/>
          <w:cols w:equalWidth="0" w:num="1">
            <w:col w:w="10119"/>
          </w:cols>
          <w:pgMar w:left="340" w:top="1195" w:right="1440" w:bottom="1440" w:gutter="0" w:footer="0" w:header="0"/>
        </w:sectPr>
      </w:pPr>
    </w:p>
    <w:p>
      <w:pPr>
        <w:ind w:left="1300"/>
        <w:spacing w:after="0"/>
        <w:rPr>
          <w:sz w:val="20"/>
          <w:szCs w:val="20"/>
          <w:color w:val="auto"/>
        </w:rPr>
      </w:pPr>
      <w:r>
        <w:rPr>
          <w:rFonts w:ascii="Courier New" w:cs="Courier New" w:eastAsia="Courier New" w:hAnsi="Courier New"/>
          <w:sz w:val="16"/>
          <w:szCs w:val="16"/>
          <w:color w:val="auto"/>
        </w:rPr>
        <w:t>D.F. King &amp; Co., Inc.</w:t>
      </w:r>
    </w:p>
    <w:p>
      <w:pPr>
        <w:ind w:left="920"/>
        <w:spacing w:after="0" w:line="237" w:lineRule="auto"/>
        <w:rPr>
          <w:sz w:val="20"/>
          <w:szCs w:val="20"/>
          <w:color w:val="auto"/>
        </w:rPr>
      </w:pPr>
      <w:r>
        <w:rPr>
          <w:rFonts w:ascii="Courier New" w:cs="Courier New" w:eastAsia="Courier New" w:hAnsi="Courier New"/>
          <w:sz w:val="16"/>
          <w:szCs w:val="16"/>
          <w:color w:val="auto"/>
        </w:rPr>
        <w:t>77 Water Street, 20(th) Floor</w:t>
      </w:r>
    </w:p>
    <w:p>
      <w:pPr>
        <w:ind w:left="1120"/>
        <w:spacing w:after="0"/>
        <w:rPr>
          <w:sz w:val="20"/>
          <w:szCs w:val="20"/>
          <w:color w:val="auto"/>
        </w:rPr>
      </w:pPr>
      <w:r>
        <w:rPr>
          <w:rFonts w:ascii="Courier New" w:cs="Courier New" w:eastAsia="Courier New" w:hAnsi="Courier New"/>
          <w:sz w:val="16"/>
          <w:szCs w:val="16"/>
          <w:color w:val="auto"/>
        </w:rPr>
        <w:t>New York, New York 10005</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Banks and Brokers Call Collect:</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(212) 269-5550</w:t>
      </w:r>
    </w:p>
    <w:p>
      <w:pPr>
        <w:ind w:left="1020"/>
        <w:spacing w:after="0"/>
        <w:rPr>
          <w:sz w:val="20"/>
          <w:szCs w:val="20"/>
          <w:color w:val="auto"/>
        </w:rPr>
      </w:pPr>
      <w:r>
        <w:rPr>
          <w:rFonts w:ascii="Courier New" w:cs="Courier New" w:eastAsia="Courier New" w:hAnsi="Courier New"/>
          <w:sz w:val="16"/>
          <w:szCs w:val="16"/>
          <w:color w:val="auto"/>
        </w:rPr>
        <w:t>All Others Call Toll Free:</w:t>
      </w:r>
    </w:p>
    <w:p>
      <w:pPr>
        <w:ind w:left="1580"/>
        <w:spacing w:after="0" w:line="237" w:lineRule="auto"/>
        <w:rPr>
          <w:sz w:val="20"/>
          <w:szCs w:val="20"/>
          <w:color w:val="auto"/>
        </w:rPr>
      </w:pPr>
      <w:r>
        <w:rPr>
          <w:rFonts w:ascii="Courier New" w:cs="Courier New" w:eastAsia="Courier New" w:hAnsi="Courier New"/>
          <w:sz w:val="16"/>
          <w:szCs w:val="16"/>
          <w:color w:val="auto"/>
        </w:rPr>
        <w:t>(866) 868-2409</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D.F. King (Europe)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London Wall Buildings-2nd Floor</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London EC2 M5PP</w:t>
      </w:r>
    </w:p>
    <w:p>
      <w:pPr>
        <w:ind w:left="280"/>
        <w:spacing w:after="0"/>
        <w:rPr>
          <w:sz w:val="20"/>
          <w:szCs w:val="20"/>
          <w:color w:val="auto"/>
        </w:rPr>
      </w:pPr>
      <w:r>
        <w:rPr>
          <w:rFonts w:ascii="Courier New" w:cs="Courier New" w:eastAsia="Courier New" w:hAnsi="Courier New"/>
          <w:sz w:val="16"/>
          <w:szCs w:val="16"/>
          <w:color w:val="auto"/>
        </w:rPr>
        <w:t>Telephone: 44 207 920 9700</w:t>
      </w:r>
    </w:p>
    <w:p>
      <w:pPr>
        <w:spacing w:after="0" w:line="739" w:lineRule="exact"/>
        <w:rPr>
          <w:sz w:val="20"/>
          <w:szCs w:val="20"/>
          <w:color w:val="auto"/>
        </w:rPr>
      </w:pPr>
    </w:p>
    <w:p>
      <w:pPr>
        <w:sectPr>
          <w:pgSz w:w="11900" w:h="16838" w:orient="portrait"/>
          <w:cols w:equalWidth="0" w:num="2">
            <w:col w:w="4900" w:space="720"/>
            <w:col w:w="4499"/>
          </w:cols>
          <w:pgMar w:left="340" w:top="1195" w:right="1440" w:bottom="1440" w:gutter="0" w:footer="0" w:header="0"/>
          <w:type w:val="continuous"/>
        </w:sectPr>
      </w:pPr>
    </w:p>
    <w:p>
      <w:pPr>
        <w:spacing w:after="0" w:line="341"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DEALER MANAGERS</w:t>
      </w:r>
    </w:p>
    <w:p>
      <w:pPr>
        <w:spacing w:after="0" w:line="17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The Dealer Managers for the Exchange Offer are, in alphabetical order, as</w:t>
      </w:r>
    </w:p>
    <w:p>
      <w:pPr>
        <w:jc w:val="center"/>
        <w:ind w:right="2819"/>
        <w:spacing w:after="0"/>
        <w:rPr>
          <w:sz w:val="20"/>
          <w:szCs w:val="20"/>
          <w:color w:val="auto"/>
        </w:rPr>
      </w:pPr>
      <w:r>
        <w:rPr>
          <w:rFonts w:ascii="Courier New" w:cs="Courier New" w:eastAsia="Courier New" w:hAnsi="Courier New"/>
          <w:sz w:val="16"/>
          <w:szCs w:val="16"/>
          <w:color w:val="auto"/>
        </w:rPr>
        <w:t>follows: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CREDIT SUISSE FIRST BOSTON</w:t>
            </w:r>
          </w:p>
        </w:tc>
        <w:tc>
          <w:tcPr>
            <w:tcW w:w="32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DEUTSCHE BANK SECURITIES</w:t>
            </w:r>
          </w:p>
        </w:tc>
        <w:tc>
          <w:tcPr>
            <w:tcW w:w="31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GOLDMAN, SACHS &amp; CO.</w:t>
            </w:r>
          </w:p>
        </w:tc>
      </w:tr>
      <w:tr>
        <w:trPr>
          <w:trHeight w:val="180"/>
        </w:trPr>
        <w:tc>
          <w:tcPr>
            <w:tcW w:w="314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8"/>
              </w:rPr>
              <w:t>CORPORATION</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31 West</w:t>
            </w:r>
          </w:p>
        </w:tc>
        <w:tc>
          <w:tcPr>
            <w:tcW w:w="18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52nd Street</w:t>
            </w:r>
          </w:p>
        </w:tc>
        <w:tc>
          <w:tcPr>
            <w:tcW w:w="3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85 Broad Street</w:t>
            </w:r>
          </w:p>
        </w:tc>
      </w:tr>
      <w:tr>
        <w:trPr>
          <w:trHeight w:val="180"/>
        </w:trPr>
        <w:tc>
          <w:tcPr>
            <w:tcW w:w="314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8"/>
              </w:rPr>
              <w:t>11 Madison Avenue</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New York 10019</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New York 10004</w:t>
            </w:r>
          </w:p>
        </w:tc>
      </w:tr>
      <w:tr>
        <w:trPr>
          <w:trHeight w:val="180"/>
        </w:trPr>
        <w:tc>
          <w:tcPr>
            <w:tcW w:w="314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8"/>
              </w:rPr>
              <w:t>New York, New York 10010</w:t>
            </w:r>
          </w:p>
        </w:tc>
        <w:tc>
          <w:tcPr>
            <w:tcW w:w="3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Attn: Liability Management Group</w:t>
            </w:r>
          </w:p>
        </w:tc>
        <w:tc>
          <w:tcPr>
            <w:tcW w:w="31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Attn: Liability Management Group</w:t>
            </w:r>
          </w:p>
        </w:tc>
      </w:tr>
      <w:tr>
        <w:trPr>
          <w:trHeight w:val="180"/>
        </w:trPr>
        <w:tc>
          <w:tcPr>
            <w:tcW w:w="31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Attn: Liability Management Group</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Toll Free:</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(866) 627-0391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Toll Free:</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(877) 686-5059</w:t>
            </w:r>
          </w:p>
        </w:tc>
      </w:tr>
      <w:tr>
        <w:trPr>
          <w:trHeight w:val="180"/>
        </w:trPr>
        <w:tc>
          <w:tcPr>
            <w:tcW w:w="31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Telephone: (800) 820-1653</w:t>
            </w:r>
          </w:p>
        </w:tc>
        <w:tc>
          <w:tcPr>
            <w:tcW w:w="3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International: 44 207 545 8011</w:t>
            </w:r>
          </w:p>
        </w:tc>
        <w:tc>
          <w:tcPr>
            <w:tcW w:w="3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Collect: (212) 902-0041</w:t>
            </w:r>
          </w:p>
        </w:tc>
      </w:tr>
      <w:tr>
        <w:trPr>
          <w:trHeight w:val="180"/>
        </w:trPr>
        <w:tc>
          <w:tcPr>
            <w:tcW w:w="314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7"/>
              </w:rPr>
              <w:t>Collect: (212) 325-2537</w:t>
            </w:r>
          </w:p>
        </w:tc>
        <w:tc>
          <w:tcPr>
            <w:tcW w:w="1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314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6"/>
              </w:rPr>
              <w:t>JPMORGAN</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MERRILL</w:t>
            </w:r>
          </w:p>
        </w:tc>
        <w:tc>
          <w:tcPr>
            <w:tcW w:w="18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LYNCH &amp; CO.</w:t>
            </w:r>
          </w:p>
        </w:tc>
        <w:tc>
          <w:tcPr>
            <w:tcW w:w="31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8"/>
              </w:rPr>
              <w:t>MORGAN STANLEY</w:t>
            </w:r>
          </w:p>
        </w:tc>
      </w:tr>
      <w:tr>
        <w:trPr>
          <w:trHeight w:val="180"/>
        </w:trPr>
        <w:tc>
          <w:tcPr>
            <w:tcW w:w="314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7"/>
              </w:rPr>
              <w:t>270 Park Avenue</w:t>
            </w:r>
          </w:p>
        </w:tc>
        <w:tc>
          <w:tcPr>
            <w:tcW w:w="32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4 World Financial Center</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1585</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Broadway</w:t>
            </w:r>
          </w:p>
        </w:tc>
      </w:tr>
      <w:tr>
        <w:trPr>
          <w:trHeight w:val="180"/>
        </w:trPr>
        <w:tc>
          <w:tcPr>
            <w:tcW w:w="314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8"/>
              </w:rPr>
              <w:t>New York, New York 10017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New York 10080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New York 10036</w:t>
            </w:r>
          </w:p>
        </w:tc>
      </w:tr>
      <w:tr>
        <w:trPr>
          <w:trHeight w:val="180"/>
        </w:trPr>
        <w:tc>
          <w:tcPr>
            <w:tcW w:w="31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Attn: Liability Management Group</w:t>
            </w:r>
          </w:p>
        </w:tc>
        <w:tc>
          <w:tcPr>
            <w:tcW w:w="3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Attn: Liability Management Group</w:t>
            </w:r>
          </w:p>
        </w:tc>
        <w:tc>
          <w:tcPr>
            <w:tcW w:w="31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Attn: Liability Management Group</w:t>
            </w:r>
          </w:p>
        </w:tc>
      </w:tr>
      <w:tr>
        <w:trPr>
          <w:trHeight w:val="180"/>
        </w:trPr>
        <w:tc>
          <w:tcPr>
            <w:tcW w:w="314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Telephone: (866) 834-4666</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Toll Free:</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(888) 654-8637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Telephone:</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(800) 624-1808</w:t>
            </w:r>
          </w:p>
        </w:tc>
      </w:tr>
      <w:tr>
        <w:trPr>
          <w:trHeight w:val="180"/>
        </w:trPr>
        <w:tc>
          <w:tcPr>
            <w:tcW w:w="314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7"/>
              </w:rPr>
              <w:t>Collect: (212) 834-4851</w:t>
            </w:r>
          </w:p>
        </w:tc>
        <w:tc>
          <w:tcPr>
            <w:tcW w:w="328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Collect: (212) 449-4914</w:t>
            </w:r>
          </w:p>
        </w:tc>
        <w:tc>
          <w:tcPr>
            <w:tcW w:w="3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Collect: (212) 761-2219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LUXEMBOURG LISTING AGENT</w:t>
      </w:r>
    </w:p>
    <w:p>
      <w:pPr>
        <w:ind w:left="3920"/>
        <w:spacing w:after="0"/>
        <w:rPr>
          <w:sz w:val="20"/>
          <w:szCs w:val="20"/>
          <w:color w:val="auto"/>
        </w:rPr>
      </w:pPr>
      <w:r>
        <w:rPr>
          <w:rFonts w:ascii="Courier New" w:cs="Courier New" w:eastAsia="Courier New" w:hAnsi="Courier New"/>
          <w:sz w:val="16"/>
          <w:szCs w:val="16"/>
          <w:color w:val="auto"/>
        </w:rPr>
        <w:t>AND PAYING AGENT</w:t>
      </w:r>
    </w:p>
    <w:p>
      <w:pPr>
        <w:ind w:left="2900"/>
        <w:spacing w:after="0" w:line="237" w:lineRule="auto"/>
        <w:rPr>
          <w:sz w:val="20"/>
          <w:szCs w:val="20"/>
          <w:color w:val="auto"/>
        </w:rPr>
      </w:pPr>
      <w:r>
        <w:rPr>
          <w:rFonts w:ascii="Courier New" w:cs="Courier New" w:eastAsia="Courier New" w:hAnsi="Courier New"/>
          <w:sz w:val="16"/>
          <w:szCs w:val="16"/>
          <w:color w:val="auto"/>
        </w:rPr>
        <w:t>The Bank of New York (Luxembourg) S.A.</w:t>
      </w:r>
    </w:p>
    <w:p>
      <w:pPr>
        <w:ind w:left="3360"/>
        <w:spacing w:after="0"/>
        <w:rPr>
          <w:sz w:val="20"/>
          <w:szCs w:val="20"/>
          <w:color w:val="auto"/>
        </w:rPr>
      </w:pPr>
      <w:r>
        <w:rPr>
          <w:rFonts w:ascii="Courier New" w:cs="Courier New" w:eastAsia="Courier New" w:hAnsi="Courier New"/>
          <w:sz w:val="16"/>
          <w:szCs w:val="16"/>
          <w:color w:val="auto"/>
        </w:rPr>
        <w:t>Aerogolf Center-1A, Hoehenhof</w:t>
      </w:r>
    </w:p>
    <w:p>
      <w:pPr>
        <w:ind w:left="3740"/>
        <w:spacing w:after="0" w:line="238" w:lineRule="auto"/>
        <w:rPr>
          <w:sz w:val="20"/>
          <w:szCs w:val="20"/>
          <w:color w:val="auto"/>
        </w:rPr>
      </w:pPr>
      <w:r>
        <w:rPr>
          <w:rFonts w:ascii="Courier New" w:cs="Courier New" w:eastAsia="Courier New" w:hAnsi="Courier New"/>
          <w:sz w:val="16"/>
          <w:szCs w:val="16"/>
          <w:color w:val="auto"/>
        </w:rPr>
        <w:t>L-1736 Senningerberg</w:t>
      </w:r>
    </w:p>
    <w:p>
      <w:pPr>
        <w:ind w:left="4220"/>
        <w:spacing w:after="0"/>
        <w:rPr>
          <w:sz w:val="20"/>
          <w:szCs w:val="20"/>
          <w:color w:val="auto"/>
        </w:rPr>
      </w:pPr>
      <w:r>
        <w:rPr>
          <w:rFonts w:ascii="Courier New" w:cs="Courier New" w:eastAsia="Courier New" w:hAnsi="Courier New"/>
          <w:sz w:val="16"/>
          <w:szCs w:val="16"/>
          <w:color w:val="auto"/>
        </w:rPr>
        <w:t>Luxembourg</w:t>
      </w:r>
    </w:p>
    <w:p>
      <w:pPr>
        <w:ind w:left="3640"/>
        <w:spacing w:after="0" w:line="238" w:lineRule="auto"/>
        <w:rPr>
          <w:sz w:val="20"/>
          <w:szCs w:val="20"/>
          <w:color w:val="auto"/>
        </w:rPr>
      </w:pPr>
      <w:r>
        <w:rPr>
          <w:rFonts w:ascii="Courier New" w:cs="Courier New" w:eastAsia="Courier New" w:hAnsi="Courier New"/>
          <w:sz w:val="16"/>
          <w:szCs w:val="16"/>
          <w:color w:val="auto"/>
        </w:rPr>
        <w:t>Attn: Jacqueline Geisen</w:t>
      </w:r>
    </w:p>
    <w:p>
      <w:pPr>
        <w:ind w:left="3460"/>
        <w:spacing w:after="0"/>
        <w:rPr>
          <w:sz w:val="20"/>
          <w:szCs w:val="20"/>
          <w:color w:val="auto"/>
        </w:rPr>
      </w:pPr>
      <w:r>
        <w:rPr>
          <w:rFonts w:ascii="Courier New" w:cs="Courier New" w:eastAsia="Courier New" w:hAnsi="Courier New"/>
          <w:sz w:val="16"/>
          <w:szCs w:val="16"/>
          <w:color w:val="auto"/>
        </w:rPr>
        <w:t>Telephone: 44 207 964 7306</w:t>
      </w:r>
    </w:p>
    <w:p>
      <w:pPr>
        <w:ind w:left="3460"/>
        <w:spacing w:after="0" w:line="237" w:lineRule="auto"/>
        <w:rPr>
          <w:sz w:val="20"/>
          <w:szCs w:val="20"/>
          <w:color w:val="auto"/>
        </w:rPr>
      </w:pPr>
      <w:r>
        <w:rPr>
          <w:rFonts w:ascii="Courier New" w:cs="Courier New" w:eastAsia="Courier New" w:hAnsi="Courier New"/>
          <w:sz w:val="16"/>
          <w:szCs w:val="16"/>
          <w:color w:val="auto"/>
        </w:rPr>
        <w:t>Facsimile: 44 207 964 6399</w:t>
      </w:r>
    </w:p>
    <w:p>
      <w:pPr>
        <w:sectPr>
          <w:pgSz w:w="11900" w:h="16838" w:orient="portrait"/>
          <w:cols w:equalWidth="0" w:num="1">
            <w:col w:w="10119"/>
          </w:cols>
          <w:pgMar w:left="340" w:top="1195" w:right="1440" w:bottom="1440" w:gutter="0" w:footer="0" w:header="0"/>
          <w:type w:val="continuous"/>
        </w:sectPr>
      </w:pPr>
    </w:p>
    <w:bookmarkStart w:id="336" w:name="page337"/>
    <w:bookmarkEnd w:id="336"/>
    <w:p>
      <w:pPr>
        <w:jc w:val="center"/>
        <w:ind w:right="2819"/>
        <w:spacing w:after="0"/>
        <w:rPr>
          <w:sz w:val="20"/>
          <w:szCs w:val="20"/>
          <w:color w:val="auto"/>
        </w:rPr>
      </w:pPr>
      <w:r>
        <w:rPr>
          <w:rFonts w:ascii="Courier New" w:cs="Courier New" w:eastAsia="Courier New" w:hAnsi="Courier New"/>
          <w:sz w:val="16"/>
          <w:szCs w:val="16"/>
          <w:color w:val="auto"/>
        </w:rPr>
        <w:t>PART II</w:t>
      </w:r>
    </w:p>
    <w:p>
      <w:pPr>
        <w:jc w:val="center"/>
        <w:ind w:right="271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AT&amp;T Corp. is a corporation organized under New York law. Pursuant to the statutes of the State of New York, a director or officer of a corporation is entitled, under specified circumstances, to indemnification by the corporation against reasonable expenses, including attorney's fees, incurred by him/her in connection with the defense of a civil or criminal proceeding to which he/she has been made, or threatened to be made, a party by reason of the fact that he/she was such director or officer. In certain circumstances, indemnity is provided against judgments, fines and amounts paid in settlement.</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general, indemnification is available where the director or officer acted in good faith, for a purpose he/she reasonably believed to be in the best interests of the corporation. Specific court approval is required in some cases. The foregoing statement is subject to the detailed provisions of Sections 715, 717 and 721-725 of the New York Business Corporation Law.</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AT&amp;T By-laws provide that AT&amp;T is authorized, by a resolution of shareholders, a resolution of directors or an agreement providing for such indemnification, to the fullest extent permitted by applicable law, to provide indemnification and to advance expenses to its directors and officers in respect of claims, actions, suits or proceedings based upon, arising from, relating to or by reason of the fact that any such director or officer serves or served in such capacity with AT&amp;T or at the request of AT&amp;T in any capacity with any other enterprise.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has entered into contracts with its officers and directors, pursuant to the provisions of New York Business Corporation Law Section 721, by which it will be obligated to indemnify such persons, to the fullest extent permitted by the New York Business Corporation Law, against expenses, fees, judgments, fines and amounts paid in settlement in connection with any present or future threatened, pending or completed action, suit or proceeding based in any way upon or related to the fact that such person was an officer or director of AT&amp;T or, at the request of AT&amp;T, an officer, director or other partner, agent, employee or trustee of another enterprise. The contractual indemnification so provided will not extend to any situation where a judgment or other final adjudication adverse to such person establishes that his/her acts were committed in bad faith or were the result of active and deliberate dishonesty or that there inured to such person a financial profit or other advantage.</w:t>
      </w:r>
    </w:p>
    <w:p>
      <w:pPr>
        <w:spacing w:after="0" w:line="178"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directors and officers of AT&amp;T are covered by insurance policies indemnifying against certain liabilities, including certain liabilities arising under the Securities Act, that might be incurred by them in such capacities.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CORP.</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AT&amp;T Broadband Corp.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54" w:right="1440" w:bottom="1440" w:gutter="0" w:footer="0" w:header="0"/>
        </w:sectPr>
      </w:pPr>
    </w:p>
    <w:bookmarkStart w:id="337" w:name="page338"/>
    <w:bookmarkEnd w:id="337"/>
    <w:p>
      <w:pPr>
        <w:ind w:right="2719" w:firstLine="469"/>
        <w:spacing w:after="0" w:line="238" w:lineRule="auto"/>
        <w:rPr>
          <w:sz w:val="20"/>
          <w:szCs w:val="20"/>
          <w:color w:val="auto"/>
        </w:rPr>
      </w:pPr>
      <w:r>
        <w:rPr>
          <w:rFonts w:ascii="Courier New" w:cs="Courier New" w:eastAsia="Courier New" w:hAnsi="Courier New"/>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such person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indemnify for such expenses which the court shall deem proper.</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145 further provides that to the extent a director, officer, employee or agent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Article VIII, Section 1 of Broadband's Certificate of Incorporation provides that a director of Broadband will not be personally liable to Broadband or its shareholder for monetary damages for breach of fiduciary duty as director, except if this exemption is not permitted by the General Corporation Law of the State of Delaware. Any repeal or modification of this provision will not affect the rights of a director of Broadband prior to such repeal or modification.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Article VIII, Section 2 of Broadband's Certificate of Incorporation provides that each person who was or is made a party or is otherwise in any way involved in any action, suit or proceeding, whether civil, criminal, administrative or investigative (hereinafter a "proceeding"), by reason of the fact that he, or the person from whom he is legal representative, is or was a director or officer of Broadband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Broadband to the fullest extent authorized by the General Corporation Law of the State of Delaware against all expense, liability and loss (including attorneys' fees, judgments, fines, Employee Retirement Income Security Act of 1974 excise taxes or penalties and amounts paid in settlement) reasonably incurred or suffered by the indemnitee in connection with the proceeding. In the event that the General Corporation Law of the State of Delaware is amended, the indemnification provided will change only to the extent that the amendment permits Broadband to provide broader indemnification rights than previously permitted. However, except in the case of proceedings to enforce rights to indemnification, Broadband will indemnify an indemnitee in connection with a proceeding (or part thereof) initiated by the indemnitee only if the proceeding was authorized by the Board of Directors of Broadband. The right to indemnification includes the right to be paid by Broadband the advancement of expenses incurred in defending any proceeding in advance of its final disposition; provided, however, that, if the General Corporation Law of the State of Delaware requires, an advancement of expenses incurred by an indemnitee in his capacity as a director or officer only will be made only upon delivery to Broadband of an undertaking, by or on behalf of the indemnitee, to repay all amounts so advanced if it is ultimately determined that the indemnitee is not entitled to be indemnified for the expenses. Also, the Board of Directors of Broadband may grant rights to indemnification as described above to any of Broadband's employees and agents.</w:t>
      </w:r>
    </w:p>
    <w:p>
      <w:pPr>
        <w:spacing w:after="0" w:line="19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59" w:right="1440" w:bottom="1440" w:gutter="0" w:footer="0" w:header="0"/>
        </w:sectPr>
      </w:pPr>
    </w:p>
    <w:bookmarkStart w:id="338" w:name="page339"/>
    <w:bookmarkEnd w:id="338"/>
    <w:p>
      <w:pPr>
        <w:ind w:right="2719" w:firstLine="469"/>
        <w:spacing w:after="0" w:line="238" w:lineRule="auto"/>
        <w:rPr>
          <w:sz w:val="20"/>
          <w:szCs w:val="20"/>
          <w:color w:val="auto"/>
        </w:rPr>
      </w:pPr>
      <w:r>
        <w:rPr>
          <w:rFonts w:ascii="Courier New" w:cs="Courier New" w:eastAsia="Courier New" w:hAnsi="Courier New"/>
          <w:sz w:val="16"/>
          <w:szCs w:val="16"/>
          <w:color w:val="auto"/>
        </w:rPr>
        <w:t>If a claim for indemnification is not paid in full within 30 days after a written claim is received by Broadband, the indemnitee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Broadband to indemnify the claimant for the amount claimed, but Broadband would bear the burden of proving this defense.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Broadband may maintain insurance, at its expense, to protect itself and any director, officer, employee or agent of Broadband or another corporation, partnership, joint venture, trust or other enterprise against any expense, liability or loss, whether or not Broadband would have the power to indemnify such person under the General Corporation Law of the State of Delaware.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Indemnification under Pennsylvania Law and AT&amp;T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90"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7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59" w:right="1440" w:bottom="1440" w:gutter="0" w:footer="0" w:header="0"/>
        </w:sectPr>
      </w:pPr>
    </w:p>
    <w:bookmarkStart w:id="339" w:name="page340"/>
    <w:bookmarkEnd w:id="339"/>
    <w:p>
      <w:pPr>
        <w:ind w:right="2819"/>
        <w:spacing w:after="0" w:line="237" w:lineRule="auto"/>
        <w:rPr>
          <w:sz w:val="20"/>
          <w:szCs w:val="20"/>
          <w:color w:val="auto"/>
        </w:rPr>
      </w:pPr>
      <w:r>
        <w:rPr>
          <w:rFonts w:ascii="Courier New" w:cs="Courier New" w:eastAsia="Courier New" w:hAnsi="Courier New"/>
          <w:sz w:val="16"/>
          <w:szCs w:val="16"/>
          <w:color w:val="auto"/>
        </w:rPr>
        <w:t>shall ultimately be determined that he is not entitled to be indemnified by the corporation. Except as otherwise provided in the corporation's bylaws, advancement of expenses must be authorized by the board of directors.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7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Upon completion of the AT&amp;T Comcast transaction, Article Eleventh of the AT&amp;T Comcast charter and Article VII of the AT&amp;T Comcast bylaws will provide that no director of AT&amp;T Comcast will be personally liable, as such, for monetary damages (other than under criminal statutes and under laws imposing such liability on directors or officers for the payment of taxes) unless such person's conduct constitutes self-dealing, wilful misconduct or recklessness. Article Eleventh of the AT&amp;T Comcast charter will also extend such protection to officers.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upon completion of the AT&amp;T Comcast transaction, Article VII of the AT&amp;T Comcast bylaws will provide that each officer and director of AT&amp;T Comcast will be indemnified and held harmless by AT&amp;T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AT&amp;T Comcast), whether civil, criminal, administrative or investigative.</w:t>
      </w:r>
    </w:p>
    <w:p>
      <w:pPr>
        <w:spacing w:after="0" w:line="18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foregoing statements are subject to the detailed provisions of the PBCL and to the applicable provisions of the AT&amp;T Comcast charter and bylaws that will be in effect upon completion of the transactions described in the joint proxy statement/prospectus included in this registration statement.</w:t>
      </w:r>
    </w:p>
    <w:p>
      <w:pPr>
        <w:spacing w:after="0" w:line="186"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Merger Agreement Provision Relating To AT&amp;T and Comcast Directors and Officers. AT&amp;T Comcast has agreed in the merger agreement for the AT&amp;T Comcast transaction to indemnify the present and former officers and directors of AT&amp;T, the AT&amp;T subsidiaries, AT&amp;T Broadband, the AT&amp;T Broadband subsidiaries, Comcast and the Comcast subsidiaries, and each individual who prior to the completion of the AT&amp;T Comcast transaction becomes such an officer or director, from their acts or omissions in those capacities occurring at or prior to the completion of such transactions to the maximum extent permitted by law; provided, however, no such indemnification will be required for officers or directors acting in a capacity for AT&amp;T and its subsidiaries other than in connection with either AT&amp;T's broadband business or the merger agreement for the AT&amp;T Comcast transaction and the transactions contemplated by the merger agreement.</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59" w:right="1440" w:bottom="1440" w:gutter="0" w:footer="0" w:header="0"/>
        </w:sectPr>
      </w:pPr>
    </w:p>
    <w:bookmarkStart w:id="340" w:name="page341"/>
    <w:bookmarkEnd w:id="340"/>
    <w:p>
      <w:pPr>
        <w:ind w:right="2719" w:firstLine="469"/>
        <w:spacing w:after="0" w:line="237" w:lineRule="auto"/>
        <w:rPr>
          <w:sz w:val="20"/>
          <w:szCs w:val="20"/>
          <w:color w:val="auto"/>
        </w:rPr>
      </w:pPr>
      <w:r>
        <w:rPr>
          <w:rFonts w:ascii="Courier New" w:cs="Courier New" w:eastAsia="Courier New" w:hAnsi="Courier New"/>
          <w:sz w:val="16"/>
          <w:szCs w:val="16"/>
          <w:color w:val="auto"/>
        </w:rPr>
        <w:t>AT&amp;T (and not AT&amp;T Broadband) will indemnify and hold harmless AT&amp;T Comcast for 50% of any losses described in the preceding paragraph arising out of acts or omissions of the AT&amp;T officers and directors in connection with the merger agreement for the AT&amp;T Comcast transaction and the transactions contemplated by the merger agreement.</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For six years after completion of the AT&amp;T Comcast transaction, AT&amp;T Comcast will provide officers' and directors' liability insurance in respect of acts or omissions occurring prior to completion of the such transactions covering each officer and director identified in the second preceding paragraph (for officers and directors of AT&amp;T and its subsidiaries, only for acts or omissions of such person acting in connection with either AT&amp;T's broadband business or the merger agreement for the AT&amp;T Comcast transaction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CABLE COMMUNICATIONS, INC.</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Comcast Cable Communications, Inc. is a corporation organized under the laws of the State of Delaware. The applicable provisions relating to the indemnification of officers and directors under the General Corporation Law of the State of Delaware are described above under "-- AT&amp;T Broadband Corp."</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addition, Section 7-1 of Comcast Cable's By-laws provides that Comcast Cable will indemnify any of its directors or officers or any director or officer who is or was serving as a director, officer, employee or agent of another company, partnership, joint venture, trust or other enterprise (any such person is hereinafter referred to as a "director or officer") against expenses (including, but not limited to, attorneys' fees), judgments, fines and amounts paid in settlement, actually and reasonably incurred by such director or officer, to the fullest extent now or hereafter permitted by law in connection with any threatened, pending or completed action, suit or proceeding, whether civil, criminal, administrative or investigative (a "Proceeding"), brought or threatened to be brought against such director or officer by reason of the fact that he or she is or was serving in any such capacity or in any other capacity on behalf of the company, its parent or any of its subsidiaries.</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7-2 of Comcast Cable's By-laws provides that expenses incurred by any director or officer in defending a Proceeding will be paid by Comcast Cable in advance of the final disposition of such Proceeding as authorized by the Board of Directors in the specific case upon receipt of an undertaking, by or on behalf of such director or officer, to repay such amount without interest if it is ultimately determined that he or she is not entitled to be indemnified by Comcast Cable as authorized by law.</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Section 7-4 of Comcast Cable's By-laws provides that Comcast Cable may purchase and maintain insurance on behalf of any person who is or was a director or officer of Comcast Cable against any liability asserted against him or her and incurred by him or her in any such capacity, or arising out of his or her status as such, whether or not Comcast Cable would have the power to indemnify him or her against such liability under law.</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GROUP, INC.</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MediaOne Group, Inc. is a corporation organized under the laws of the State of Delaware. The indemnification of officers and directors provided for by MediaOne's organizational documents and the General Corporation Law of the State of Delaware is identical to the indemnification provisions described above under "-- AT&amp;T Broadband Corp."</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59" w:right="1440" w:bottom="1440" w:gutter="0" w:footer="0" w:header="0"/>
        </w:sectPr>
      </w:pPr>
    </w:p>
    <w:bookmarkStart w:id="341" w:name="page342"/>
    <w:bookmarkEnd w:id="341"/>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LLC</w:t>
      </w:r>
    </w:p>
    <w:p>
      <w:pPr>
        <w:spacing w:after="0" w:line="185" w:lineRule="exact"/>
        <w:rPr>
          <w:sz w:val="20"/>
          <w:szCs w:val="20"/>
          <w:color w:val="auto"/>
        </w:rPr>
      </w:pPr>
    </w:p>
    <w:p>
      <w:pPr>
        <w:ind w:right="2999" w:firstLine="469"/>
        <w:spacing w:after="0" w:line="254" w:lineRule="auto"/>
        <w:rPr>
          <w:sz w:val="20"/>
          <w:szCs w:val="20"/>
          <w:color w:val="auto"/>
        </w:rPr>
      </w:pPr>
      <w:r>
        <w:rPr>
          <w:rFonts w:ascii="Courier New" w:cs="Courier New" w:eastAsia="Courier New" w:hAnsi="Courier New"/>
          <w:sz w:val="15"/>
          <w:szCs w:val="15"/>
          <w:color w:val="auto"/>
        </w:rPr>
        <w:t>AT&amp;T Broadband, LLC, referred to as TCI in this prospectus, is a limited liability company organized under the laws of the State of Delaware. Section</w:t>
      </w:r>
    </w:p>
    <w:p>
      <w:pPr>
        <w:spacing w:after="0" w:line="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12(a) of TCI's LLC Agreement provides that TCI will indemnify the manager and the member, which in each case is AT&amp;T, and any current or former director or officer of AT&amp;T (each, an "indemnitee") from and against all loss, damage, expense (including reasonable attorney's and other advisor's fees, court costs and other liabilities incurred in any proceeding to which AT&amp;T is made a party) incurred because of AT&amp;T's role as manager or member. Also, each indemnitee will be indemnified for losses resulting from the indemnitee's acts or failures to act with respect to the business or affairs of TCI, if the indemnitee (a) acts in good faith, (b) if acting in an official capacity, reasonably believed the action was in the best interests of TCI, and if not acting in an official capacity, believed that the conduct was not opposed to TCI's best interests, and (c) if in a criminal proceeding, had no reasonable cause to believe its conduct was unlawful. Section 12(c) of TCI's LLC Agreement provides that TCI may advance funds to AT&amp;T in respect of expenses incurred by AT&amp;T in a proceeding prior to the final disposition of the proceeding if AT&amp;T gives written affirmation of its good-faith belief that it has complied with the standards of conduct described in the preceding sentence, agrees to repay the advancement with interest if it is determined that the standards of conduct were not met, and TCI determines that indemnification is permissible under these standards. Also, Section 12(e) provides that TCI will indemnify specified officers, and it may in its discretion indemnify employees, on the same basis as it indemnifies AT&amp;T as described above.</w:t>
      </w:r>
    </w:p>
    <w:p>
      <w:pPr>
        <w:spacing w:after="0" w:line="35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Section 12(b) of TCI's LLC Agreement provides that, notwithstanding the above paragraph, TCI will not indemnify an indemnitee in connection with any proceeding in which AT&amp;T is adjudged liable to TCI or any proceeding charging improper personal benefit to AT&amp;T wherein the indemnitee was adjudged liable on the basis of improperly receiving a personal benefit.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12(f) of TCI's LLC Agreement provides that neither AT&amp;T nor specified officers will be liable to TCI for any loss, damage or expense if AT&amp;T or such officers, as the case may be (a) acts in good faith, (b) if acting in an official capacity, reasonably believed the action was in the best interests of TCI, and if not in an official capacity, believed that the conduct was not opposed to TCI's best interests, and (c) if in a criminal proceeding, had no reasonable cause to believe its conduct was unlawful. However, AT&amp;T or the specified officers will be liable for any loss, expense or damage incurred in connection with a proceeding in which AT&amp;T or such officers is adjudged liable to TCI as a result of not meeting the standards of conduct described in the preceding sentence or a proceeding charging improper personal benefit to AT&amp;T wherein the indemnitee was adjudged liable on the basis of improperly receiving a personal benefit.</w:t>
      </w:r>
    </w:p>
    <w:p>
      <w:pPr>
        <w:spacing w:after="0" w:line="18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36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ind w:left="80"/>
        <w:spacing w:after="0"/>
        <w:rPr>
          <w:sz w:val="20"/>
          <w:szCs w:val="20"/>
          <w:color w:val="auto"/>
        </w:rPr>
      </w:pPr>
      <w:r>
        <w:rPr>
          <w:rFonts w:ascii="Courier New" w:cs="Courier New" w:eastAsia="Courier New" w:hAnsi="Courier New"/>
          <w:sz w:val="16"/>
          <w:szCs w:val="16"/>
          <w:color w:val="auto"/>
        </w:rPr>
        <w:t>DOCUMENT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700" w:hanging="567"/>
        <w:spacing w:after="0"/>
        <w:tabs>
          <w:tab w:leader="none" w:pos="700"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Form of</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Dealer</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2.1</w:t>
      </w:r>
    </w:p>
    <w:p>
      <w:pPr>
        <w:jc w:val="center"/>
        <w:ind w:right="9099"/>
        <w:spacing w:after="0" w:line="238" w:lineRule="auto"/>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and Plan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Merger</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December</w:t>
      </w:r>
    </w:p>
    <w:p>
      <w:pPr>
        <w:jc w:val="center"/>
        <w:ind w:right="9099"/>
        <w:spacing w:after="0"/>
        <w:rPr>
          <w:sz w:val="20"/>
          <w:szCs w:val="20"/>
          <w:color w:val="auto"/>
        </w:rPr>
      </w:pPr>
      <w:r>
        <w:rPr>
          <w:rFonts w:ascii="Courier New" w:cs="Courier New" w:eastAsia="Courier New" w:hAnsi="Courier New"/>
          <w:sz w:val="16"/>
          <w:szCs w:val="16"/>
          <w:color w:val="auto"/>
        </w:rPr>
        <w:t>19, 2001,</w:t>
      </w:r>
    </w:p>
    <w:p>
      <w:pPr>
        <w:jc w:val="center"/>
        <w:ind w:right="9099"/>
        <w:spacing w:after="0" w:line="238" w:lineRule="auto"/>
        <w:rPr>
          <w:sz w:val="20"/>
          <w:szCs w:val="20"/>
          <w:color w:val="auto"/>
        </w:rPr>
      </w:pPr>
      <w:r>
        <w:rPr>
          <w:rFonts w:ascii="Courier New" w:cs="Courier New" w:eastAsia="Courier New" w:hAnsi="Courier New"/>
          <w:sz w:val="16"/>
          <w:szCs w:val="16"/>
          <w:color w:val="auto"/>
        </w:rPr>
        <w:t>as amended,</w:t>
      </w:r>
    </w:p>
    <w:p>
      <w:pPr>
        <w:jc w:val="center"/>
        <w:ind w:right="9099"/>
        <w:spacing w:after="0"/>
        <w:rPr>
          <w:sz w:val="20"/>
          <w:szCs w:val="20"/>
          <w:color w:val="auto"/>
        </w:rPr>
      </w:pPr>
      <w:r>
        <w:rPr>
          <w:rFonts w:ascii="Courier New" w:cs="Courier New" w:eastAsia="Courier New" w:hAnsi="Courier New"/>
          <w:sz w:val="16"/>
          <w:szCs w:val="16"/>
          <w:color w:val="auto"/>
        </w:rPr>
        <w:t>among AT&amp;T</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Corp., AT&amp;T</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Corp.,</w:t>
      </w:r>
    </w:p>
    <w:p>
      <w:pPr>
        <w:jc w:val="center"/>
        <w:ind w:right="9099"/>
        <w:spacing w:after="0"/>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Acquisition</w:t>
      </w:r>
    </w:p>
    <w:p>
      <w:pPr>
        <w:jc w:val="center"/>
        <w:ind w:right="9099"/>
        <w:spacing w:after="0"/>
        <w:rPr>
          <w:sz w:val="20"/>
          <w:szCs w:val="20"/>
          <w:color w:val="auto"/>
        </w:rPr>
      </w:pPr>
      <w:r>
        <w:rPr>
          <w:rFonts w:ascii="Courier New" w:cs="Courier New" w:eastAsia="Courier New" w:hAnsi="Courier New"/>
          <w:sz w:val="16"/>
          <w:szCs w:val="16"/>
          <w:color w:val="auto"/>
        </w:rPr>
        <w:t>Corp.,</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Comcast</w:t>
      </w:r>
    </w:p>
    <w:p>
      <w:pPr>
        <w:jc w:val="center"/>
        <w:ind w:right="9099"/>
        <w:spacing w:after="0"/>
        <w:rPr>
          <w:sz w:val="20"/>
          <w:szCs w:val="20"/>
          <w:color w:val="auto"/>
        </w:rPr>
      </w:pPr>
      <w:r>
        <w:rPr>
          <w:rFonts w:ascii="Courier New" w:cs="Courier New" w:eastAsia="Courier New" w:hAnsi="Courier New"/>
          <w:sz w:val="16"/>
          <w:szCs w:val="16"/>
          <w:color w:val="auto"/>
        </w:rPr>
        <w:t>Acquisition</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Corp. and</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ind w:left="600" w:hanging="373"/>
        <w:spacing w:after="0"/>
        <w:tabs>
          <w:tab w:leader="none" w:pos="600"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Separation</w:t>
      </w:r>
    </w:p>
    <w:p>
      <w:pPr>
        <w:sectPr>
          <w:pgSz w:w="11900" w:h="16909" w:orient="portrait"/>
          <w:cols w:equalWidth="0" w:num="1">
            <w:col w:w="10219"/>
          </w:cols>
          <w:pgMar w:left="240" w:top="654" w:right="1440" w:bottom="0" w:gutter="0" w:footer="0" w:header="0"/>
        </w:sectPr>
      </w:pPr>
    </w:p>
    <w:bookmarkStart w:id="342" w:name="page343"/>
    <w:bookmarkEnd w:id="342"/>
    <w:p>
      <w:pPr>
        <w:jc w:val="center"/>
        <w:ind w:right="9099"/>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Distribution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December</w:t>
      </w:r>
    </w:p>
    <w:p>
      <w:pPr>
        <w:jc w:val="center"/>
        <w:ind w:right="9099"/>
        <w:spacing w:after="0"/>
        <w:rPr>
          <w:sz w:val="20"/>
          <w:szCs w:val="20"/>
          <w:color w:val="auto"/>
        </w:rPr>
      </w:pPr>
      <w:r>
        <w:rPr>
          <w:rFonts w:ascii="Courier New" w:cs="Courier New" w:eastAsia="Courier New" w:hAnsi="Courier New"/>
          <w:sz w:val="16"/>
          <w:szCs w:val="16"/>
          <w:color w:val="auto"/>
        </w:rPr>
        <w:t>19, 2001,</w:t>
      </w:r>
    </w:p>
    <w:p>
      <w:pPr>
        <w:jc w:val="center"/>
        <w:ind w:right="9099"/>
        <w:spacing w:after="0" w:line="238" w:lineRule="auto"/>
        <w:rPr>
          <w:sz w:val="20"/>
          <w:szCs w:val="20"/>
          <w:color w:val="auto"/>
        </w:rPr>
      </w:pPr>
      <w:r>
        <w:rPr>
          <w:rFonts w:ascii="Courier New" w:cs="Courier New" w:eastAsia="Courier New" w:hAnsi="Courier New"/>
          <w:sz w:val="16"/>
          <w:szCs w:val="16"/>
          <w:color w:val="auto"/>
        </w:rPr>
        <w:t>as amended,</w:t>
      </w:r>
    </w:p>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Corp.(1)</w:t>
      </w:r>
    </w:p>
    <w:p>
      <w:pPr>
        <w:jc w:val="center"/>
        <w:ind w:right="9099"/>
        <w:spacing w:after="0" w:line="238" w:lineRule="auto"/>
        <w:rPr>
          <w:sz w:val="20"/>
          <w:szCs w:val="20"/>
          <w:color w:val="auto"/>
        </w:rPr>
      </w:pPr>
      <w:r>
        <w:rPr>
          <w:rFonts w:ascii="Courier New" w:cs="Courier New" w:eastAsia="Courier New" w:hAnsi="Courier New"/>
          <w:sz w:val="16"/>
          <w:szCs w:val="16"/>
          <w:color w:val="auto"/>
        </w:rPr>
        <w:t>2.3 Support</w:t>
      </w:r>
    </w:p>
    <w:p>
      <w:pPr>
        <w:jc w:val="center"/>
        <w:ind w:right="9099"/>
        <w:spacing w:after="0"/>
        <w:rPr>
          <w:sz w:val="20"/>
          <w:szCs w:val="20"/>
          <w:color w:val="auto"/>
        </w:rPr>
      </w:pPr>
      <w:r>
        <w:rPr>
          <w:rFonts w:ascii="Courier New" w:cs="Courier New" w:eastAsia="Courier New" w:hAnsi="Courier New"/>
          <w:sz w:val="16"/>
          <w:szCs w:val="16"/>
          <w:color w:val="auto"/>
        </w:rPr>
        <w:t>Agreement</w:t>
      </w:r>
    </w:p>
    <w:p>
      <w:pPr>
        <w:jc w:val="center"/>
        <w:ind w:right="9099"/>
        <w:spacing w:after="0" w:line="238" w:lineRule="auto"/>
        <w:rPr>
          <w:sz w:val="20"/>
          <w:szCs w:val="20"/>
          <w:color w:val="auto"/>
        </w:rPr>
      </w:pPr>
      <w:r>
        <w:rPr>
          <w:rFonts w:ascii="Courier New" w:cs="Courier New" w:eastAsia="Courier New" w:hAnsi="Courier New"/>
          <w:sz w:val="16"/>
          <w:szCs w:val="16"/>
          <w:color w:val="auto"/>
        </w:rPr>
        <w:t>dated as of</w:t>
      </w:r>
    </w:p>
    <w:p>
      <w:pPr>
        <w:jc w:val="center"/>
        <w:ind w:right="9099"/>
        <w:spacing w:after="0"/>
        <w:rPr>
          <w:sz w:val="20"/>
          <w:szCs w:val="20"/>
          <w:color w:val="auto"/>
        </w:rPr>
      </w:pPr>
      <w:r>
        <w:rPr>
          <w:rFonts w:ascii="Courier New" w:cs="Courier New" w:eastAsia="Courier New" w:hAnsi="Courier New"/>
          <w:sz w:val="16"/>
          <w:szCs w:val="16"/>
          <w:color w:val="auto"/>
        </w:rPr>
        <w:t>December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19, 2001,</w:t>
      </w:r>
    </w:p>
    <w:p>
      <w:pPr>
        <w:jc w:val="center"/>
        <w:ind w:right="9099"/>
        <w:spacing w:after="0"/>
        <w:rPr>
          <w:sz w:val="20"/>
          <w:szCs w:val="20"/>
          <w:color w:val="auto"/>
        </w:rPr>
      </w:pPr>
      <w:r>
        <w:rPr>
          <w:rFonts w:ascii="Courier New" w:cs="Courier New" w:eastAsia="Courier New" w:hAnsi="Courier New"/>
          <w:sz w:val="16"/>
          <w:szCs w:val="16"/>
          <w:color w:val="auto"/>
        </w:rPr>
        <w:t>as amended,</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Comcast</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Sural LLC</w:t>
      </w:r>
    </w:p>
    <w:p>
      <w:pPr>
        <w:jc w:val="center"/>
        <w:ind w:right="9099"/>
        <w:spacing w:after="0"/>
        <w:rPr>
          <w:sz w:val="20"/>
          <w:szCs w:val="20"/>
          <w:color w:val="auto"/>
        </w:rPr>
      </w:pPr>
      <w:r>
        <w:rPr>
          <w:rFonts w:ascii="Courier New" w:cs="Courier New" w:eastAsia="Courier New" w:hAnsi="Courier New"/>
          <w:sz w:val="16"/>
          <w:szCs w:val="16"/>
          <w:color w:val="auto"/>
        </w:rPr>
        <w:t>and Brian</w:t>
      </w:r>
    </w:p>
    <w:p>
      <w:pPr>
        <w:ind w:left="320" w:hanging="281"/>
        <w:spacing w:after="0" w:line="237" w:lineRule="auto"/>
        <w:tabs>
          <w:tab w:leader="none" w:pos="32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39"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136" w:right="1440" w:bottom="1440" w:gutter="0" w:footer="0" w:header="0"/>
        </w:sectPr>
      </w:pPr>
    </w:p>
    <w:bookmarkStart w:id="343" w:name="page344"/>
    <w:bookmarkEnd w:id="343"/>
    <w:p>
      <w:pPr>
        <w:spacing w:after="0" w:line="4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EXHIBIT NO.</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DOCUMENT - --</w:t>
      </w:r>
    </w:p>
    <w:p>
      <w:pPr>
        <w:spacing w:after="0" w:line="10" w:lineRule="exact"/>
        <w:rPr>
          <w:sz w:val="20"/>
          <w:szCs w:val="20"/>
          <w:color w:val="auto"/>
        </w:rPr>
      </w:pPr>
    </w:p>
    <w:p>
      <w:pPr>
        <w:ind w:left="560" w:hanging="558"/>
        <w:spacing w:after="0"/>
        <w:tabs>
          <w:tab w:leader="none" w:pos="56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- 2.4 Tax</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Sharing</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Agreement</w:t>
      </w:r>
    </w:p>
    <w:p>
      <w:pPr>
        <w:jc w:val="center"/>
        <w:ind w:right="895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8959"/>
        <w:spacing w:after="0"/>
        <w:rPr>
          <w:sz w:val="20"/>
          <w:szCs w:val="20"/>
          <w:color w:val="auto"/>
        </w:rPr>
      </w:pPr>
      <w:r>
        <w:rPr>
          <w:rFonts w:ascii="Courier New" w:cs="Courier New" w:eastAsia="Courier New" w:hAnsi="Courier New"/>
          <w:sz w:val="16"/>
          <w:szCs w:val="16"/>
          <w:color w:val="auto"/>
        </w:rPr>
        <w:t>December 19,</w:t>
      </w:r>
    </w:p>
    <w:p>
      <w:pPr>
        <w:jc w:val="center"/>
        <w:ind w:right="8959"/>
        <w:spacing w:after="0" w:line="238" w:lineRule="auto"/>
        <w:rPr>
          <w:sz w:val="20"/>
          <w:szCs w:val="20"/>
          <w:color w:val="auto"/>
        </w:rPr>
      </w:pPr>
      <w:r>
        <w:rPr>
          <w:rFonts w:ascii="Courier New" w:cs="Courier New" w:eastAsia="Courier New" w:hAnsi="Courier New"/>
          <w:sz w:val="16"/>
          <w:szCs w:val="16"/>
          <w:color w:val="auto"/>
        </w:rPr>
        <w:t>2001 between</w:t>
      </w:r>
    </w:p>
    <w:p>
      <w:pPr>
        <w:jc w:val="center"/>
        <w:ind w:right="8959"/>
        <w:spacing w:after="0"/>
        <w:rPr>
          <w:sz w:val="20"/>
          <w:szCs w:val="20"/>
          <w:color w:val="auto"/>
        </w:rPr>
      </w:pPr>
      <w:r>
        <w:rPr>
          <w:rFonts w:ascii="Courier New" w:cs="Courier New" w:eastAsia="Courier New" w:hAnsi="Courier New"/>
          <w:sz w:val="16"/>
          <w:szCs w:val="16"/>
          <w:color w:val="auto"/>
        </w:rPr>
        <w:t>AT&amp;T Corp.</w:t>
      </w:r>
    </w:p>
    <w:p>
      <w:pPr>
        <w:jc w:val="center"/>
        <w:ind w:right="8959"/>
        <w:spacing w:after="0" w:line="238" w:lineRule="auto"/>
        <w:rPr>
          <w:sz w:val="20"/>
          <w:szCs w:val="20"/>
          <w:color w:val="auto"/>
        </w:rPr>
      </w:pPr>
      <w:r>
        <w:rPr>
          <w:rFonts w:ascii="Courier New" w:cs="Courier New" w:eastAsia="Courier New" w:hAnsi="Courier New"/>
          <w:sz w:val="16"/>
          <w:szCs w:val="16"/>
          <w:color w:val="auto"/>
        </w:rPr>
        <w:t>and AT&amp;T</w:t>
      </w:r>
    </w:p>
    <w:p>
      <w:pPr>
        <w:jc w:val="center"/>
        <w:ind w:right="8959"/>
        <w:spacing w:after="0"/>
        <w:rPr>
          <w:sz w:val="20"/>
          <w:szCs w:val="20"/>
          <w:color w:val="auto"/>
        </w:rPr>
      </w:pPr>
      <w:r>
        <w:rPr>
          <w:rFonts w:ascii="Courier New" w:cs="Courier New" w:eastAsia="Courier New" w:hAnsi="Courier New"/>
          <w:sz w:val="16"/>
          <w:szCs w:val="16"/>
          <w:color w:val="auto"/>
        </w:rPr>
        <w:t>Broadband</w:t>
      </w:r>
    </w:p>
    <w:p>
      <w:pPr>
        <w:jc w:val="center"/>
        <w:ind w:right="8959"/>
        <w:spacing w:after="0" w:line="237" w:lineRule="auto"/>
        <w:rPr>
          <w:sz w:val="20"/>
          <w:szCs w:val="20"/>
          <w:color w:val="auto"/>
        </w:rPr>
      </w:pPr>
      <w:r>
        <w:rPr>
          <w:rFonts w:ascii="Courier New" w:cs="Courier New" w:eastAsia="Courier New" w:hAnsi="Courier New"/>
          <w:sz w:val="16"/>
          <w:szCs w:val="16"/>
          <w:color w:val="auto"/>
        </w:rPr>
        <w:t>Corp.(1) 2.5</w:t>
      </w:r>
    </w:p>
    <w:p>
      <w:pPr>
        <w:jc w:val="center"/>
        <w:ind w:right="8959"/>
        <w:spacing w:after="0"/>
        <w:rPr>
          <w:sz w:val="20"/>
          <w:szCs w:val="20"/>
          <w:color w:val="auto"/>
        </w:rPr>
      </w:pPr>
      <w:r>
        <w:rPr>
          <w:rFonts w:ascii="Courier New" w:cs="Courier New" w:eastAsia="Courier New" w:hAnsi="Courier New"/>
          <w:sz w:val="16"/>
          <w:szCs w:val="16"/>
          <w:color w:val="auto"/>
        </w:rPr>
        <w:t>Employee</w:t>
      </w:r>
    </w:p>
    <w:p>
      <w:pPr>
        <w:jc w:val="center"/>
        <w:ind w:right="8959"/>
        <w:spacing w:after="0" w:line="238" w:lineRule="auto"/>
        <w:rPr>
          <w:sz w:val="20"/>
          <w:szCs w:val="20"/>
          <w:color w:val="auto"/>
        </w:rPr>
      </w:pPr>
      <w:r>
        <w:rPr>
          <w:rFonts w:ascii="Courier New" w:cs="Courier New" w:eastAsia="Courier New" w:hAnsi="Courier New"/>
          <w:sz w:val="16"/>
          <w:szCs w:val="16"/>
          <w:color w:val="auto"/>
        </w:rPr>
        <w:t>Benefits</w:t>
      </w:r>
    </w:p>
    <w:p>
      <w:pPr>
        <w:jc w:val="center"/>
        <w:ind w:right="8959"/>
        <w:spacing w:after="0"/>
        <w:rPr>
          <w:sz w:val="20"/>
          <w:szCs w:val="20"/>
          <w:color w:val="auto"/>
        </w:rPr>
      </w:pPr>
      <w:r>
        <w:rPr>
          <w:rFonts w:ascii="Courier New" w:cs="Courier New" w:eastAsia="Courier New" w:hAnsi="Courier New"/>
          <w:sz w:val="16"/>
          <w:szCs w:val="16"/>
          <w:color w:val="auto"/>
        </w:rPr>
        <w:t>Agreement</w:t>
      </w:r>
    </w:p>
    <w:p>
      <w:pPr>
        <w:jc w:val="center"/>
        <w:ind w:right="8959"/>
        <w:spacing w:after="0" w:line="238" w:lineRule="auto"/>
        <w:rPr>
          <w:sz w:val="20"/>
          <w:szCs w:val="20"/>
          <w:color w:val="auto"/>
        </w:rPr>
      </w:pPr>
      <w:r>
        <w:rPr>
          <w:rFonts w:ascii="Courier New" w:cs="Courier New" w:eastAsia="Courier New" w:hAnsi="Courier New"/>
          <w:sz w:val="16"/>
          <w:szCs w:val="16"/>
          <w:color w:val="auto"/>
        </w:rPr>
        <w:t>dated as of</w:t>
      </w:r>
    </w:p>
    <w:p>
      <w:pPr>
        <w:jc w:val="center"/>
        <w:ind w:right="8959"/>
        <w:spacing w:after="0"/>
        <w:rPr>
          <w:sz w:val="20"/>
          <w:szCs w:val="20"/>
          <w:color w:val="auto"/>
        </w:rPr>
      </w:pPr>
      <w:r>
        <w:rPr>
          <w:rFonts w:ascii="Courier New" w:cs="Courier New" w:eastAsia="Courier New" w:hAnsi="Courier New"/>
          <w:sz w:val="16"/>
          <w:szCs w:val="16"/>
          <w:color w:val="auto"/>
        </w:rPr>
        <w:t>December 19,</w:t>
      </w:r>
    </w:p>
    <w:p>
      <w:pPr>
        <w:jc w:val="center"/>
        <w:ind w:right="8959"/>
        <w:spacing w:after="0" w:line="237" w:lineRule="auto"/>
        <w:rPr>
          <w:sz w:val="20"/>
          <w:szCs w:val="20"/>
          <w:color w:val="auto"/>
        </w:rPr>
      </w:pPr>
      <w:r>
        <w:rPr>
          <w:rFonts w:ascii="Courier New" w:cs="Courier New" w:eastAsia="Courier New" w:hAnsi="Courier New"/>
          <w:sz w:val="16"/>
          <w:szCs w:val="16"/>
          <w:color w:val="auto"/>
        </w:rPr>
        <w:t>2001 between</w:t>
      </w:r>
    </w:p>
    <w:p>
      <w:pPr>
        <w:jc w:val="center"/>
        <w:ind w:right="8959"/>
        <w:spacing w:after="0"/>
        <w:rPr>
          <w:sz w:val="20"/>
          <w:szCs w:val="20"/>
          <w:color w:val="auto"/>
        </w:rPr>
      </w:pPr>
      <w:r>
        <w:rPr>
          <w:rFonts w:ascii="Courier New" w:cs="Courier New" w:eastAsia="Courier New" w:hAnsi="Courier New"/>
          <w:sz w:val="16"/>
          <w:szCs w:val="16"/>
          <w:color w:val="auto"/>
        </w:rPr>
        <w:t>AT&amp;T Corp.</w:t>
      </w:r>
    </w:p>
    <w:p>
      <w:pPr>
        <w:jc w:val="center"/>
        <w:ind w:right="8959"/>
        <w:spacing w:after="0" w:line="238" w:lineRule="auto"/>
        <w:rPr>
          <w:sz w:val="20"/>
          <w:szCs w:val="20"/>
          <w:color w:val="auto"/>
        </w:rPr>
      </w:pPr>
      <w:r>
        <w:rPr>
          <w:rFonts w:ascii="Courier New" w:cs="Courier New" w:eastAsia="Courier New" w:hAnsi="Courier New"/>
          <w:sz w:val="16"/>
          <w:szCs w:val="16"/>
          <w:color w:val="auto"/>
        </w:rPr>
        <w:t>and AT&amp;T</w:t>
      </w:r>
    </w:p>
    <w:p>
      <w:pPr>
        <w:jc w:val="center"/>
        <w:ind w:right="8959"/>
        <w:spacing w:after="0"/>
        <w:rPr>
          <w:sz w:val="20"/>
          <w:szCs w:val="20"/>
          <w:color w:val="auto"/>
        </w:rPr>
      </w:pPr>
      <w:r>
        <w:rPr>
          <w:rFonts w:ascii="Courier New" w:cs="Courier New" w:eastAsia="Courier New" w:hAnsi="Courier New"/>
          <w:sz w:val="16"/>
          <w:szCs w:val="16"/>
          <w:color w:val="auto"/>
        </w:rPr>
        <w:t>Broadband</w:t>
      </w:r>
    </w:p>
    <w:p>
      <w:pPr>
        <w:jc w:val="center"/>
        <w:ind w:right="8959"/>
        <w:spacing w:after="0" w:line="238" w:lineRule="auto"/>
        <w:rPr>
          <w:sz w:val="20"/>
          <w:szCs w:val="20"/>
          <w:color w:val="auto"/>
        </w:rPr>
      </w:pPr>
      <w:r>
        <w:rPr>
          <w:rFonts w:ascii="Courier New" w:cs="Courier New" w:eastAsia="Courier New" w:hAnsi="Courier New"/>
          <w:sz w:val="16"/>
          <w:szCs w:val="16"/>
          <w:color w:val="auto"/>
        </w:rPr>
        <w:t>Corp.(2) 2.6</w:t>
      </w:r>
    </w:p>
    <w:p>
      <w:pPr>
        <w:jc w:val="center"/>
        <w:ind w:right="8959"/>
        <w:spacing w:after="0"/>
        <w:rPr>
          <w:sz w:val="20"/>
          <w:szCs w:val="20"/>
          <w:color w:val="auto"/>
        </w:rPr>
      </w:pPr>
      <w:r>
        <w:rPr>
          <w:rFonts w:ascii="Courier New" w:cs="Courier New" w:eastAsia="Courier New" w:hAnsi="Courier New"/>
          <w:sz w:val="16"/>
          <w:szCs w:val="16"/>
          <w:color w:val="auto"/>
        </w:rPr>
        <w:t>Exchange</w:t>
      </w:r>
    </w:p>
    <w:p>
      <w:pPr>
        <w:jc w:val="center"/>
        <w:ind w:right="895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8959"/>
        <w:spacing w:after="0"/>
        <w:rPr>
          <w:sz w:val="20"/>
          <w:szCs w:val="20"/>
          <w:color w:val="auto"/>
        </w:rPr>
      </w:pPr>
      <w:r>
        <w:rPr>
          <w:rFonts w:ascii="Courier New" w:cs="Courier New" w:eastAsia="Courier New" w:hAnsi="Courier New"/>
          <w:sz w:val="16"/>
          <w:szCs w:val="16"/>
          <w:color w:val="auto"/>
        </w:rPr>
        <w:t>dated as of</w:t>
      </w:r>
    </w:p>
    <w:p>
      <w:pPr>
        <w:jc w:val="center"/>
        <w:ind w:right="8959"/>
        <w:spacing w:after="0" w:line="238" w:lineRule="auto"/>
        <w:rPr>
          <w:sz w:val="20"/>
          <w:szCs w:val="20"/>
          <w:color w:val="auto"/>
        </w:rPr>
      </w:pPr>
      <w:r>
        <w:rPr>
          <w:rFonts w:ascii="Courier New" w:cs="Courier New" w:eastAsia="Courier New" w:hAnsi="Courier New"/>
          <w:sz w:val="16"/>
          <w:szCs w:val="16"/>
          <w:color w:val="auto"/>
        </w:rPr>
        <w:t>December 7,</w:t>
      </w:r>
    </w:p>
    <w:p>
      <w:pPr>
        <w:jc w:val="center"/>
        <w:ind w:right="8959"/>
        <w:spacing w:after="0"/>
        <w:rPr>
          <w:sz w:val="20"/>
          <w:szCs w:val="20"/>
          <w:color w:val="auto"/>
        </w:rPr>
      </w:pPr>
      <w:r>
        <w:rPr>
          <w:rFonts w:ascii="Courier New" w:cs="Courier New" w:eastAsia="Courier New" w:hAnsi="Courier New"/>
          <w:sz w:val="16"/>
          <w:szCs w:val="16"/>
          <w:color w:val="auto"/>
        </w:rPr>
        <w:t>2001, as</w:t>
      </w:r>
    </w:p>
    <w:p>
      <w:pPr>
        <w:jc w:val="center"/>
        <w:ind w:right="8959"/>
        <w:spacing w:after="0" w:line="238" w:lineRule="auto"/>
        <w:rPr>
          <w:sz w:val="20"/>
          <w:szCs w:val="20"/>
          <w:color w:val="auto"/>
        </w:rPr>
      </w:pPr>
      <w:r>
        <w:rPr>
          <w:rFonts w:ascii="Courier New" w:cs="Courier New" w:eastAsia="Courier New" w:hAnsi="Courier New"/>
          <w:sz w:val="16"/>
          <w:szCs w:val="16"/>
          <w:color w:val="auto"/>
        </w:rPr>
        <w:t>amended,</w:t>
      </w:r>
    </w:p>
    <w:p>
      <w:pPr>
        <w:jc w:val="center"/>
        <w:ind w:right="8959"/>
        <w:spacing w:after="0"/>
        <w:rPr>
          <w:sz w:val="20"/>
          <w:szCs w:val="20"/>
          <w:color w:val="auto"/>
        </w:rPr>
      </w:pPr>
      <w:r>
        <w:rPr>
          <w:rFonts w:ascii="Courier New" w:cs="Courier New" w:eastAsia="Courier New" w:hAnsi="Courier New"/>
          <w:sz w:val="16"/>
          <w:szCs w:val="16"/>
          <w:color w:val="auto"/>
        </w:rPr>
        <w:t>between</w:t>
      </w:r>
    </w:p>
    <w:p>
      <w:pPr>
        <w:jc w:val="center"/>
        <w:ind w:right="8959"/>
        <w:spacing w:after="0" w:line="237" w:lineRule="auto"/>
        <w:rPr>
          <w:sz w:val="20"/>
          <w:szCs w:val="20"/>
          <w:color w:val="auto"/>
        </w:rPr>
      </w:pPr>
      <w:r>
        <w:rPr>
          <w:rFonts w:ascii="Courier New" w:cs="Courier New" w:eastAsia="Courier New" w:hAnsi="Courier New"/>
          <w:sz w:val="16"/>
          <w:szCs w:val="16"/>
          <w:color w:val="auto"/>
        </w:rPr>
        <w:t>Microsoft</w:t>
      </w:r>
    </w:p>
    <w:p>
      <w:pPr>
        <w:jc w:val="center"/>
        <w:ind w:right="8959"/>
        <w:spacing w:after="0"/>
        <w:rPr>
          <w:sz w:val="20"/>
          <w:szCs w:val="20"/>
          <w:color w:val="auto"/>
        </w:rPr>
      </w:pPr>
      <w:r>
        <w:rPr>
          <w:rFonts w:ascii="Courier New" w:cs="Courier New" w:eastAsia="Courier New" w:hAnsi="Courier New"/>
          <w:sz w:val="16"/>
          <w:szCs w:val="16"/>
          <w:color w:val="auto"/>
        </w:rPr>
        <w:t>Corporation</w:t>
      </w:r>
    </w:p>
    <w:p>
      <w:pPr>
        <w:jc w:val="center"/>
        <w:ind w:right="8959"/>
        <w:spacing w:after="0" w:line="238" w:lineRule="auto"/>
        <w:rPr>
          <w:sz w:val="20"/>
          <w:szCs w:val="20"/>
          <w:color w:val="auto"/>
        </w:rPr>
      </w:pPr>
      <w:r>
        <w:rPr>
          <w:rFonts w:ascii="Courier New" w:cs="Courier New" w:eastAsia="Courier New" w:hAnsi="Courier New"/>
          <w:sz w:val="16"/>
          <w:szCs w:val="16"/>
          <w:color w:val="auto"/>
        </w:rPr>
        <w:t>and Comcast</w:t>
      </w:r>
    </w:p>
    <w:p>
      <w:pPr>
        <w:jc w:val="center"/>
        <w:ind w:right="8959"/>
        <w:spacing w:after="0"/>
        <w:rPr>
          <w:sz w:val="20"/>
          <w:szCs w:val="20"/>
          <w:color w:val="auto"/>
        </w:rPr>
      </w:pPr>
      <w:r>
        <w:rPr>
          <w:rFonts w:ascii="Courier New" w:cs="Courier New" w:eastAsia="Courier New" w:hAnsi="Courier New"/>
          <w:sz w:val="16"/>
          <w:szCs w:val="16"/>
          <w:color w:val="auto"/>
        </w:rPr>
        <w:t>Corporation.</w:t>
      </w:r>
    </w:p>
    <w:p>
      <w:pPr>
        <w:ind w:left="660" w:hanging="377"/>
        <w:spacing w:after="0" w:line="238" w:lineRule="auto"/>
        <w:tabs>
          <w:tab w:leader="none" w:pos="660"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Instrument of</w:t>
      </w:r>
    </w:p>
    <w:p>
      <w:pPr>
        <w:spacing w:after="0" w:line="6"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Admission</w:t>
      </w:r>
    </w:p>
    <w:p>
      <w:pPr>
        <w:spacing w:after="0" w:line="3" w:lineRule="exact"/>
        <w:rPr>
          <w:rFonts w:ascii="Courier New" w:cs="Courier New" w:eastAsia="Courier New" w:hAnsi="Courier New"/>
          <w:sz w:val="16"/>
          <w:szCs w:val="16"/>
          <w:color w:val="auto"/>
        </w:rPr>
      </w:pPr>
    </w:p>
    <w:p>
      <w:pPr>
        <w:jc w:val="center"/>
        <w:ind w:right="895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dated as of December 19, 2001, as amended, between AT&amp;T Comcast Corporation and AT&amp;T Corp.(1) 4.1 Indenture, dated as of September 7, 1990 between AT&amp;T Corp. and The Bank of New York, as trustee, relating to the Broadband Eligible Notes and the AT&amp;T Eligible Notes.(3) 4.2 First Supplemental Indenture, dated as of October 30, 1992 between AT&amp;T Corp. and The Bank of New York, as trustee, relating to the Broadband Eligible Notes and AT&amp;T Eligible Notes.(4) 4.3 Form of Permanent Global Registered Fixed Rate Note.(3) 4.4 Form of Definitive Registered Fixed Rate Note.(3) 4.5 Form of</w:t>
      </w:r>
    </w:p>
    <w:p>
      <w:pPr>
        <w:sectPr>
          <w:pgSz w:w="11900" w:h="16884" w:orient="portrait"/>
          <w:cols w:equalWidth="0" w:num="1">
            <w:col w:w="10179"/>
          </w:cols>
          <w:pgMar w:left="280" w:top="834" w:right="1440" w:bottom="0" w:gutter="0" w:footer="0" w:header="0"/>
        </w:sectPr>
      </w:pPr>
    </w:p>
    <w:bookmarkStart w:id="344" w:name="page345"/>
    <w:bookmarkEnd w:id="344"/>
    <w:p>
      <w:pPr>
        <w:jc w:val="center"/>
        <w:ind w:right="8959"/>
        <w:spacing w:after="0"/>
        <w:rPr>
          <w:sz w:val="20"/>
          <w:szCs w:val="20"/>
          <w:color w:val="auto"/>
        </w:rPr>
      </w:pPr>
      <w:r>
        <w:rPr>
          <w:rFonts w:ascii="Courier New" w:cs="Courier New" w:eastAsia="Courier New" w:hAnsi="Courier New"/>
          <w:sz w:val="16"/>
          <w:szCs w:val="16"/>
          <w:color w:val="auto"/>
        </w:rPr>
        <w:t>Temporary</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Global Bearer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Fixed Rate</w:t>
      </w:r>
    </w:p>
    <w:p>
      <w:pPr>
        <w:jc w:val="center"/>
        <w:ind w:right="8959"/>
        <w:spacing w:after="0"/>
        <w:rPr>
          <w:sz w:val="20"/>
          <w:szCs w:val="20"/>
          <w:color w:val="auto"/>
        </w:rPr>
      </w:pPr>
      <w:r>
        <w:rPr>
          <w:rFonts w:ascii="Courier New" w:cs="Courier New" w:eastAsia="Courier New" w:hAnsi="Courier New"/>
          <w:sz w:val="16"/>
          <w:szCs w:val="16"/>
          <w:color w:val="auto"/>
        </w:rPr>
        <w:t>Note.(3) 4.6</w:t>
      </w:r>
    </w:p>
    <w:p>
      <w:pPr>
        <w:jc w:val="center"/>
        <w:ind w:right="8959"/>
        <w:spacing w:after="0" w:line="237" w:lineRule="auto"/>
        <w:rPr>
          <w:sz w:val="20"/>
          <w:szCs w:val="20"/>
          <w:color w:val="auto"/>
        </w:rPr>
      </w:pPr>
      <w:r>
        <w:rPr>
          <w:rFonts w:ascii="Courier New" w:cs="Courier New" w:eastAsia="Courier New" w:hAnsi="Courier New"/>
          <w:sz w:val="16"/>
          <w:szCs w:val="16"/>
          <w:color w:val="auto"/>
        </w:rPr>
        <w:t>Form of</w:t>
      </w:r>
    </w:p>
    <w:p>
      <w:pPr>
        <w:jc w:val="center"/>
        <w:ind w:right="8959"/>
        <w:spacing w:after="0"/>
        <w:rPr>
          <w:sz w:val="20"/>
          <w:szCs w:val="20"/>
          <w:color w:val="auto"/>
        </w:rPr>
      </w:pPr>
      <w:r>
        <w:rPr>
          <w:rFonts w:ascii="Courier New" w:cs="Courier New" w:eastAsia="Courier New" w:hAnsi="Courier New"/>
          <w:sz w:val="16"/>
          <w:szCs w:val="16"/>
          <w:color w:val="auto"/>
        </w:rPr>
        <w:t>Permanent</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Global Bearer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Fixed Rate</w:t>
      </w:r>
    </w:p>
    <w:p>
      <w:pPr>
        <w:jc w:val="center"/>
        <w:ind w:right="8959"/>
        <w:spacing w:after="0"/>
        <w:rPr>
          <w:sz w:val="20"/>
          <w:szCs w:val="20"/>
          <w:color w:val="auto"/>
        </w:rPr>
      </w:pPr>
      <w:r>
        <w:rPr>
          <w:rFonts w:ascii="Courier New" w:cs="Courier New" w:eastAsia="Courier New" w:hAnsi="Courier New"/>
          <w:sz w:val="16"/>
          <w:szCs w:val="16"/>
          <w:color w:val="auto"/>
        </w:rPr>
        <w:t>Note.(3) 4.7</w:t>
      </w:r>
    </w:p>
    <w:p>
      <w:pPr>
        <w:jc w:val="center"/>
        <w:ind w:right="8959"/>
        <w:spacing w:after="0" w:line="237" w:lineRule="auto"/>
        <w:rPr>
          <w:sz w:val="20"/>
          <w:szCs w:val="20"/>
          <w:color w:val="auto"/>
        </w:rPr>
      </w:pPr>
      <w:r>
        <w:rPr>
          <w:rFonts w:ascii="Courier New" w:cs="Courier New" w:eastAsia="Courier New" w:hAnsi="Courier New"/>
          <w:sz w:val="16"/>
          <w:szCs w:val="16"/>
          <w:color w:val="auto"/>
        </w:rPr>
        <w:t>Form of</w:t>
      </w:r>
    </w:p>
    <w:p>
      <w:pPr>
        <w:jc w:val="center"/>
        <w:ind w:right="8959"/>
        <w:spacing w:after="0"/>
        <w:rPr>
          <w:sz w:val="20"/>
          <w:szCs w:val="20"/>
          <w:color w:val="auto"/>
        </w:rPr>
      </w:pPr>
      <w:r>
        <w:rPr>
          <w:rFonts w:ascii="Courier New" w:cs="Courier New" w:eastAsia="Courier New" w:hAnsi="Courier New"/>
          <w:sz w:val="16"/>
          <w:szCs w:val="16"/>
          <w:color w:val="auto"/>
        </w:rPr>
        <w:t>Definitive</w:t>
      </w:r>
    </w:p>
    <w:p>
      <w:pPr>
        <w:ind w:left="40"/>
        <w:spacing w:after="0" w:line="238" w:lineRule="auto"/>
        <w:rPr>
          <w:sz w:val="20"/>
          <w:szCs w:val="20"/>
          <w:color w:val="auto"/>
        </w:rPr>
      </w:pPr>
      <w:r>
        <w:rPr>
          <w:rFonts w:ascii="Courier New" w:cs="Courier New" w:eastAsia="Courier New" w:hAnsi="Courier New"/>
          <w:sz w:val="16"/>
          <w:szCs w:val="16"/>
          <w:color w:val="auto"/>
        </w:rPr>
        <w:t>Bearer Fixed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Note.(3)</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4.8 Form of</w:t>
      </w:r>
    </w:p>
    <w:p>
      <w:pPr>
        <w:jc w:val="center"/>
        <w:ind w:right="8959"/>
        <w:spacing w:after="0"/>
        <w:rPr>
          <w:sz w:val="20"/>
          <w:szCs w:val="20"/>
          <w:color w:val="auto"/>
        </w:rPr>
      </w:pPr>
      <w:r>
        <w:rPr>
          <w:rFonts w:ascii="Courier New" w:cs="Courier New" w:eastAsia="Courier New" w:hAnsi="Courier New"/>
          <w:sz w:val="16"/>
          <w:szCs w:val="16"/>
          <w:color w:val="auto"/>
        </w:rPr>
        <w:t>Medium-Term</w:t>
      </w:r>
    </w:p>
    <w:p>
      <w:pPr>
        <w:jc w:val="center"/>
        <w:ind w:right="8959"/>
        <w:spacing w:after="0" w:line="237" w:lineRule="auto"/>
        <w:rPr>
          <w:sz w:val="20"/>
          <w:szCs w:val="20"/>
          <w:color w:val="auto"/>
        </w:rPr>
      </w:pPr>
      <w:r>
        <w:rPr>
          <w:rFonts w:ascii="Courier New" w:cs="Courier New" w:eastAsia="Courier New" w:hAnsi="Courier New"/>
          <w:sz w:val="16"/>
          <w:szCs w:val="16"/>
          <w:color w:val="auto"/>
        </w:rPr>
        <w:t>Global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Floating Rate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w:t>
      </w:r>
    </w:p>
    <w:p>
      <w:pPr>
        <w:jc w:val="center"/>
        <w:ind w:right="8959"/>
        <w:spacing w:after="0"/>
        <w:rPr>
          <w:sz w:val="20"/>
          <w:szCs w:val="20"/>
          <w:color w:val="auto"/>
        </w:rPr>
      </w:pPr>
      <w:r>
        <w:rPr>
          <w:rFonts w:ascii="Courier New" w:cs="Courier New" w:eastAsia="Courier New" w:hAnsi="Courier New"/>
          <w:sz w:val="16"/>
          <w:szCs w:val="16"/>
          <w:color w:val="auto"/>
        </w:rPr>
        <w:t>Registered</w:t>
      </w:r>
    </w:p>
    <w:p>
      <w:pPr>
        <w:jc w:val="center"/>
        <w:ind w:right="8959"/>
        <w:spacing w:after="0" w:line="237" w:lineRule="auto"/>
        <w:rPr>
          <w:sz w:val="20"/>
          <w:szCs w:val="20"/>
          <w:color w:val="auto"/>
        </w:rPr>
      </w:pPr>
      <w:r>
        <w:rPr>
          <w:rFonts w:ascii="Courier New" w:cs="Courier New" w:eastAsia="Courier New" w:hAnsi="Courier New"/>
          <w:sz w:val="16"/>
          <w:szCs w:val="16"/>
          <w:color w:val="auto"/>
        </w:rPr>
        <w:t>Security.(4)</w:t>
      </w:r>
    </w:p>
    <w:p>
      <w:pPr>
        <w:jc w:val="center"/>
        <w:ind w:right="8959"/>
        <w:spacing w:after="0"/>
        <w:rPr>
          <w:sz w:val="20"/>
          <w:szCs w:val="20"/>
          <w:color w:val="auto"/>
        </w:rPr>
      </w:pPr>
      <w:r>
        <w:rPr>
          <w:rFonts w:ascii="Courier New" w:cs="Courier New" w:eastAsia="Courier New" w:hAnsi="Courier New"/>
          <w:sz w:val="16"/>
          <w:szCs w:val="16"/>
          <w:color w:val="auto"/>
        </w:rPr>
        <w:t>4.9 Form of</w:t>
      </w:r>
    </w:p>
    <w:p>
      <w:pPr>
        <w:jc w:val="center"/>
        <w:ind w:right="8959"/>
        <w:spacing w:after="0" w:line="238" w:lineRule="auto"/>
        <w:rPr>
          <w:sz w:val="20"/>
          <w:szCs w:val="20"/>
          <w:color w:val="auto"/>
        </w:rPr>
      </w:pPr>
      <w:r>
        <w:rPr>
          <w:rFonts w:ascii="Courier New" w:cs="Courier New" w:eastAsia="Courier New" w:hAnsi="Courier New"/>
          <w:sz w:val="16"/>
          <w:szCs w:val="16"/>
          <w:color w:val="auto"/>
        </w:rPr>
        <w:t>Medium-Term</w:t>
      </w:r>
    </w:p>
    <w:p>
      <w:pPr>
        <w:jc w:val="center"/>
        <w:ind w:right="8959"/>
        <w:spacing w:after="0"/>
        <w:rPr>
          <w:sz w:val="20"/>
          <w:szCs w:val="20"/>
          <w:color w:val="auto"/>
        </w:rPr>
      </w:pPr>
      <w:r>
        <w:rPr>
          <w:rFonts w:ascii="Courier New" w:cs="Courier New" w:eastAsia="Courier New" w:hAnsi="Courier New"/>
          <w:sz w:val="16"/>
          <w:szCs w:val="16"/>
          <w:color w:val="auto"/>
        </w:rPr>
        <w:t>Definitive</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Floating Rate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w:t>
      </w:r>
    </w:p>
    <w:p>
      <w:pPr>
        <w:jc w:val="center"/>
        <w:ind w:right="8959"/>
        <w:spacing w:after="0"/>
        <w:rPr>
          <w:sz w:val="20"/>
          <w:szCs w:val="20"/>
          <w:color w:val="auto"/>
        </w:rPr>
      </w:pPr>
      <w:r>
        <w:rPr>
          <w:rFonts w:ascii="Courier New" w:cs="Courier New" w:eastAsia="Courier New" w:hAnsi="Courier New"/>
          <w:sz w:val="16"/>
          <w:szCs w:val="16"/>
          <w:color w:val="auto"/>
        </w:rPr>
        <w:t>Registered</w:t>
      </w:r>
    </w:p>
    <w:p>
      <w:pPr>
        <w:jc w:val="center"/>
        <w:ind w:right="8959"/>
        <w:spacing w:after="0" w:line="237" w:lineRule="auto"/>
        <w:rPr>
          <w:sz w:val="20"/>
          <w:szCs w:val="20"/>
          <w:color w:val="auto"/>
        </w:rPr>
      </w:pPr>
      <w:r>
        <w:rPr>
          <w:rFonts w:ascii="Courier New" w:cs="Courier New" w:eastAsia="Courier New" w:hAnsi="Courier New"/>
          <w:sz w:val="16"/>
          <w:szCs w:val="16"/>
          <w:color w:val="auto"/>
        </w:rPr>
        <w:t>Security.(4)</w:t>
      </w:r>
    </w:p>
    <w:p>
      <w:pPr>
        <w:jc w:val="center"/>
        <w:ind w:right="8959"/>
        <w:spacing w:after="0"/>
        <w:rPr>
          <w:sz w:val="20"/>
          <w:szCs w:val="20"/>
          <w:color w:val="auto"/>
        </w:rPr>
      </w:pPr>
      <w:r>
        <w:rPr>
          <w:rFonts w:ascii="Courier New" w:cs="Courier New" w:eastAsia="Courier New" w:hAnsi="Courier New"/>
          <w:sz w:val="16"/>
          <w:szCs w:val="16"/>
          <w:color w:val="auto"/>
        </w:rPr>
        <w:t>4.10 Form of</w:t>
      </w:r>
    </w:p>
    <w:p>
      <w:pPr>
        <w:jc w:val="center"/>
        <w:ind w:right="8959"/>
        <w:spacing w:after="0" w:line="238" w:lineRule="auto"/>
        <w:rPr>
          <w:sz w:val="20"/>
          <w:szCs w:val="20"/>
          <w:color w:val="auto"/>
        </w:rPr>
      </w:pPr>
      <w:r>
        <w:rPr>
          <w:rFonts w:ascii="Courier New" w:cs="Courier New" w:eastAsia="Courier New" w:hAnsi="Courier New"/>
          <w:sz w:val="16"/>
          <w:szCs w:val="16"/>
          <w:color w:val="auto"/>
        </w:rPr>
        <w:t>Second</w:t>
      </w:r>
    </w:p>
    <w:p>
      <w:pPr>
        <w:jc w:val="center"/>
        <w:ind w:right="8959"/>
        <w:spacing w:after="0"/>
        <w:rPr>
          <w:sz w:val="20"/>
          <w:szCs w:val="20"/>
          <w:color w:val="auto"/>
        </w:rPr>
      </w:pPr>
      <w:r>
        <w:rPr>
          <w:rFonts w:ascii="Courier New" w:cs="Courier New" w:eastAsia="Courier New" w:hAnsi="Courier New"/>
          <w:sz w:val="16"/>
          <w:szCs w:val="16"/>
          <w:color w:val="auto"/>
        </w:rPr>
        <w:t>Supplemental</w:t>
      </w:r>
    </w:p>
    <w:p>
      <w:pPr>
        <w:jc w:val="center"/>
        <w:ind w:right="8959"/>
        <w:spacing w:after="0" w:line="238" w:lineRule="auto"/>
        <w:rPr>
          <w:sz w:val="20"/>
          <w:szCs w:val="20"/>
          <w:color w:val="auto"/>
        </w:rPr>
      </w:pPr>
      <w:r>
        <w:rPr>
          <w:rFonts w:ascii="Courier New" w:cs="Courier New" w:eastAsia="Courier New" w:hAnsi="Courier New"/>
          <w:sz w:val="16"/>
          <w:szCs w:val="16"/>
          <w:color w:val="auto"/>
        </w:rPr>
        <w:t>Indenture</w:t>
      </w:r>
    </w:p>
    <w:p>
      <w:pPr>
        <w:jc w:val="center"/>
        <w:ind w:right="8959"/>
        <w:spacing w:after="0"/>
        <w:rPr>
          <w:sz w:val="20"/>
          <w:szCs w:val="20"/>
          <w:color w:val="auto"/>
        </w:rPr>
      </w:pPr>
      <w:r>
        <w:rPr>
          <w:rFonts w:ascii="Courier New" w:cs="Courier New" w:eastAsia="Courier New" w:hAnsi="Courier New"/>
          <w:sz w:val="16"/>
          <w:szCs w:val="16"/>
          <w:color w:val="auto"/>
        </w:rPr>
        <w:t>between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 and The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Bank of New</w:t>
      </w:r>
    </w:p>
    <w:p>
      <w:pPr>
        <w:jc w:val="center"/>
        <w:ind w:right="8959"/>
        <w:spacing w:after="0"/>
        <w:rPr>
          <w:sz w:val="20"/>
          <w:szCs w:val="20"/>
          <w:color w:val="auto"/>
        </w:rPr>
      </w:pPr>
      <w:r>
        <w:rPr>
          <w:rFonts w:ascii="Courier New" w:cs="Courier New" w:eastAsia="Courier New" w:hAnsi="Courier New"/>
          <w:sz w:val="16"/>
          <w:szCs w:val="16"/>
          <w:color w:val="auto"/>
        </w:rPr>
        <w:t>York, as</w:t>
      </w:r>
    </w:p>
    <w:p>
      <w:pPr>
        <w:jc w:val="center"/>
        <w:ind w:right="8959"/>
        <w:spacing w:after="0" w:line="237" w:lineRule="auto"/>
        <w:rPr>
          <w:sz w:val="20"/>
          <w:szCs w:val="20"/>
          <w:color w:val="auto"/>
        </w:rPr>
      </w:pPr>
      <w:r>
        <w:rPr>
          <w:rFonts w:ascii="Courier New" w:cs="Courier New" w:eastAsia="Courier New" w:hAnsi="Courier New"/>
          <w:sz w:val="16"/>
          <w:szCs w:val="16"/>
          <w:color w:val="auto"/>
        </w:rPr>
        <w:t>trustee,</w:t>
      </w:r>
    </w:p>
    <w:p>
      <w:pPr>
        <w:jc w:val="center"/>
        <w:ind w:right="8959"/>
        <w:spacing w:after="0"/>
        <w:rPr>
          <w:sz w:val="20"/>
          <w:szCs w:val="20"/>
          <w:color w:val="auto"/>
        </w:rPr>
      </w:pPr>
      <w:r>
        <w:rPr>
          <w:rFonts w:ascii="Courier New" w:cs="Courier New" w:eastAsia="Courier New" w:hAnsi="Courier New"/>
          <w:sz w:val="16"/>
          <w:szCs w:val="16"/>
          <w:color w:val="auto"/>
        </w:rPr>
        <w:t>relating to</w:t>
      </w:r>
    </w:p>
    <w:p>
      <w:pPr>
        <w:jc w:val="center"/>
        <w:ind w:right="8959"/>
        <w:spacing w:after="0" w:line="238" w:lineRule="auto"/>
        <w:rPr>
          <w:sz w:val="20"/>
          <w:szCs w:val="20"/>
          <w:color w:val="auto"/>
        </w:rPr>
      </w:pPr>
      <w:r>
        <w:rPr>
          <w:rFonts w:ascii="Courier New" w:cs="Courier New" w:eastAsia="Courier New" w:hAnsi="Courier New"/>
          <w:sz w:val="16"/>
          <w:szCs w:val="16"/>
          <w:color w:val="auto"/>
        </w:rPr>
        <w:t>the Note</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Amendment.(6)</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4.11 5.625%</w:t>
      </w:r>
    </w:p>
    <w:p>
      <w:pPr>
        <w:jc w:val="center"/>
        <w:ind w:right="8959"/>
        <w:spacing w:after="0"/>
        <w:rPr>
          <w:sz w:val="20"/>
          <w:szCs w:val="20"/>
          <w:color w:val="auto"/>
        </w:rPr>
      </w:pPr>
      <w:r>
        <w:rPr>
          <w:rFonts w:ascii="Courier New" w:cs="Courier New" w:eastAsia="Courier New" w:hAnsi="Courier New"/>
          <w:sz w:val="16"/>
          <w:szCs w:val="16"/>
          <w:color w:val="auto"/>
        </w:rPr>
        <w:t>Notes Due</w:t>
      </w:r>
    </w:p>
    <w:p>
      <w:pPr>
        <w:jc w:val="center"/>
        <w:ind w:right="8959"/>
        <w:spacing w:after="0" w:line="237" w:lineRule="auto"/>
        <w:rPr>
          <w:sz w:val="20"/>
          <w:szCs w:val="20"/>
          <w:color w:val="auto"/>
        </w:rPr>
      </w:pPr>
      <w:r>
        <w:rPr>
          <w:rFonts w:ascii="Courier New" w:cs="Courier New" w:eastAsia="Courier New" w:hAnsi="Courier New"/>
          <w:sz w:val="16"/>
          <w:szCs w:val="16"/>
          <w:color w:val="auto"/>
        </w:rPr>
        <w:t>2004 (New</w:t>
      </w:r>
    </w:p>
    <w:p>
      <w:pPr>
        <w:jc w:val="center"/>
        <w:ind w:right="8959"/>
        <w:spacing w:after="0"/>
        <w:rPr>
          <w:sz w:val="20"/>
          <w:szCs w:val="20"/>
          <w:color w:val="auto"/>
        </w:rPr>
      </w:pPr>
      <w:r>
        <w:rPr>
          <w:rFonts w:ascii="Courier New" w:cs="Courier New" w:eastAsia="Courier New" w:hAnsi="Courier New"/>
          <w:sz w:val="16"/>
          <w:szCs w:val="16"/>
          <w:color w:val="auto"/>
        </w:rPr>
        <w:t>AT&amp;T Notes).</w:t>
      </w:r>
    </w:p>
    <w:p>
      <w:pPr>
        <w:ind w:left="620" w:hanging="384"/>
        <w:spacing w:after="0" w:line="238" w:lineRule="auto"/>
        <w:tabs>
          <w:tab w:leader="none" w:pos="620"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4.12</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6.75%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2004 (New</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Notes).</w:t>
      </w:r>
    </w:p>
    <w:p>
      <w:pPr>
        <w:ind w:left="620" w:hanging="384"/>
        <w:spacing w:after="0"/>
        <w:tabs>
          <w:tab w:leader="none" w:pos="620" w:val="left"/>
        </w:tabs>
        <w:numPr>
          <w:ilvl w:val="1"/>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4.13</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7.75% Medium-</w:t>
      </w:r>
    </w:p>
    <w:p>
      <w:pPr>
        <w:spacing w:after="0" w:line="10" w:lineRule="exact"/>
        <w:rPr>
          <w:rFonts w:ascii="Courier New" w:cs="Courier New" w:eastAsia="Courier New" w:hAnsi="Courier New"/>
          <w:sz w:val="16"/>
          <w:szCs w:val="16"/>
          <w:color w:val="auto"/>
        </w:rPr>
      </w:pPr>
    </w:p>
    <w:p>
      <w:pPr>
        <w:jc w:val="center"/>
        <w:ind w:right="895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Term Notes, Series A Due May 15, 2025 (New AT&amp;T Notes).(6) 4.14 8.00% Medium-Term Notes, Series A Due May 15, 2025 (New AT&amp;T Notes).</w:t>
      </w:r>
    </w:p>
    <w:p>
      <w:pPr>
        <w:spacing w:after="0" w:line="1" w:lineRule="exact"/>
        <w:rPr>
          <w:rFonts w:ascii="Courier New" w:cs="Courier New" w:eastAsia="Courier New" w:hAnsi="Courier New"/>
          <w:sz w:val="16"/>
          <w:szCs w:val="16"/>
          <w:color w:val="auto"/>
        </w:rPr>
      </w:pPr>
    </w:p>
    <w:p>
      <w:pPr>
        <w:ind w:left="620" w:hanging="384"/>
        <w:spacing w:after="0"/>
        <w:tabs>
          <w:tab w:leader="none" w:pos="620" w:val="left"/>
        </w:tabs>
        <w:numPr>
          <w:ilvl w:val="1"/>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4.15</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6.50% Notes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Due March 15,</w:t>
      </w:r>
    </w:p>
    <w:p>
      <w:pPr>
        <w:spacing w:after="0" w:line="6"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2013 (New</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 Notes).</w:t>
      </w:r>
    </w:p>
    <w:p>
      <w:pPr>
        <w:spacing w:after="0" w:line="3" w:lineRule="exact"/>
        <w:rPr>
          <w:rFonts w:ascii="Courier New" w:cs="Courier New" w:eastAsia="Courier New" w:hAnsi="Courier New"/>
          <w:sz w:val="16"/>
          <w:szCs w:val="16"/>
          <w:color w:val="auto"/>
        </w:rPr>
      </w:pPr>
    </w:p>
    <w:p>
      <w:pPr>
        <w:jc w:val="both"/>
        <w:ind w:left="100" w:right="8999" w:hanging="51"/>
        <w:spacing w:after="0" w:line="254" w:lineRule="auto"/>
        <w:tabs>
          <w:tab w:leader="none" w:pos="428"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4.16 FRN Medium-Term</w:t>
      </w:r>
    </w:p>
    <w:p>
      <w:pPr>
        <w:spacing w:after="0" w:line="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Notes, Series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 Due 2054</w:t>
      </w:r>
    </w:p>
    <w:p>
      <w:pPr>
        <w:jc w:val="center"/>
        <w:ind w:right="8959"/>
        <w:spacing w:after="0"/>
        <w:rPr>
          <w:sz w:val="20"/>
          <w:szCs w:val="20"/>
          <w:color w:val="auto"/>
        </w:rPr>
      </w:pPr>
      <w:r>
        <w:rPr>
          <w:rFonts w:ascii="Courier New" w:cs="Courier New" w:eastAsia="Courier New" w:hAnsi="Courier New"/>
          <w:sz w:val="16"/>
          <w:szCs w:val="16"/>
          <w:color w:val="auto"/>
        </w:rPr>
        <w:t>(New AT&amp;T</w:t>
      </w:r>
    </w:p>
    <w:p>
      <w:pPr>
        <w:jc w:val="center"/>
        <w:ind w:right="8959"/>
        <w:spacing w:after="0" w:line="237" w:lineRule="auto"/>
        <w:rPr>
          <w:sz w:val="20"/>
          <w:szCs w:val="20"/>
          <w:color w:val="auto"/>
        </w:rPr>
      </w:pPr>
      <w:r>
        <w:rPr>
          <w:rFonts w:ascii="Courier New" w:cs="Courier New" w:eastAsia="Courier New" w:hAnsi="Courier New"/>
          <w:sz w:val="16"/>
          <w:szCs w:val="16"/>
          <w:color w:val="auto"/>
        </w:rPr>
        <w:t>Notes).(6)</w:t>
      </w:r>
    </w:p>
    <w:p>
      <w:pPr>
        <w:jc w:val="center"/>
        <w:ind w:right="8959"/>
        <w:spacing w:after="0"/>
        <w:rPr>
          <w:sz w:val="20"/>
          <w:szCs w:val="20"/>
          <w:color w:val="auto"/>
        </w:rPr>
      </w:pPr>
      <w:r>
        <w:rPr>
          <w:rFonts w:ascii="Courier New" w:cs="Courier New" w:eastAsia="Courier New" w:hAnsi="Courier New"/>
          <w:sz w:val="16"/>
          <w:szCs w:val="16"/>
          <w:color w:val="auto"/>
        </w:rPr>
        <w:t>4.17 Form of</w:t>
      </w:r>
    </w:p>
    <w:p>
      <w:pPr>
        <w:jc w:val="center"/>
        <w:ind w:right="8959"/>
        <w:spacing w:after="0" w:line="238" w:lineRule="auto"/>
        <w:rPr>
          <w:sz w:val="20"/>
          <w:szCs w:val="20"/>
          <w:color w:val="auto"/>
        </w:rPr>
      </w:pPr>
      <w:r>
        <w:rPr>
          <w:rFonts w:ascii="Courier New" w:cs="Courier New" w:eastAsia="Courier New" w:hAnsi="Courier New"/>
          <w:sz w:val="16"/>
          <w:szCs w:val="16"/>
          <w:color w:val="auto"/>
        </w:rPr>
        <w:t>Third</w:t>
      </w:r>
    </w:p>
    <w:p>
      <w:pPr>
        <w:jc w:val="center"/>
        <w:ind w:right="8959"/>
        <w:spacing w:after="0"/>
        <w:rPr>
          <w:sz w:val="20"/>
          <w:szCs w:val="20"/>
          <w:color w:val="auto"/>
        </w:rPr>
      </w:pPr>
      <w:r>
        <w:rPr>
          <w:rFonts w:ascii="Courier New" w:cs="Courier New" w:eastAsia="Courier New" w:hAnsi="Courier New"/>
          <w:sz w:val="16"/>
          <w:szCs w:val="16"/>
          <w:color w:val="auto"/>
        </w:rPr>
        <w:t>Supplemental</w:t>
      </w:r>
    </w:p>
    <w:p>
      <w:pPr>
        <w:jc w:val="center"/>
        <w:ind w:right="8959"/>
        <w:spacing w:after="0" w:line="238" w:lineRule="auto"/>
        <w:rPr>
          <w:sz w:val="20"/>
          <w:szCs w:val="20"/>
          <w:color w:val="auto"/>
        </w:rPr>
      </w:pPr>
      <w:r>
        <w:rPr>
          <w:rFonts w:ascii="Courier New" w:cs="Courier New" w:eastAsia="Courier New" w:hAnsi="Courier New"/>
          <w:sz w:val="16"/>
          <w:szCs w:val="16"/>
          <w:color w:val="auto"/>
        </w:rPr>
        <w:t>Indenture</w:t>
      </w:r>
    </w:p>
    <w:p>
      <w:pPr>
        <w:jc w:val="center"/>
        <w:ind w:right="8959"/>
        <w:spacing w:after="0"/>
        <w:rPr>
          <w:sz w:val="20"/>
          <w:szCs w:val="20"/>
          <w:color w:val="auto"/>
        </w:rPr>
      </w:pPr>
      <w:r>
        <w:rPr>
          <w:rFonts w:ascii="Courier New" w:cs="Courier New" w:eastAsia="Courier New" w:hAnsi="Courier New"/>
          <w:sz w:val="16"/>
          <w:szCs w:val="16"/>
          <w:color w:val="auto"/>
        </w:rPr>
        <w:t>among AT&amp;T</w:t>
      </w:r>
    </w:p>
    <w:p>
      <w:pPr>
        <w:jc w:val="center"/>
        <w:ind w:right="8959"/>
        <w:spacing w:after="0" w:line="237" w:lineRule="auto"/>
        <w:rPr>
          <w:sz w:val="20"/>
          <w:szCs w:val="20"/>
          <w:color w:val="auto"/>
        </w:rPr>
      </w:pPr>
      <w:r>
        <w:rPr>
          <w:rFonts w:ascii="Courier New" w:cs="Courier New" w:eastAsia="Courier New" w:hAnsi="Courier New"/>
          <w:sz w:val="16"/>
          <w:szCs w:val="16"/>
          <w:color w:val="auto"/>
        </w:rPr>
        <w:t>Corp., AT&amp;T</w:t>
      </w:r>
    </w:p>
    <w:p>
      <w:pPr>
        <w:jc w:val="center"/>
        <w:ind w:right="8959"/>
        <w:spacing w:after="0"/>
        <w:rPr>
          <w:sz w:val="20"/>
          <w:szCs w:val="20"/>
          <w:color w:val="auto"/>
        </w:rPr>
      </w:pPr>
      <w:r>
        <w:rPr>
          <w:rFonts w:ascii="Courier New" w:cs="Courier New" w:eastAsia="Courier New" w:hAnsi="Courier New"/>
          <w:sz w:val="16"/>
          <w:szCs w:val="16"/>
          <w:color w:val="auto"/>
        </w:rPr>
        <w:t>Broadband</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 and The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Bank of New</w:t>
      </w:r>
    </w:p>
    <w:p>
      <w:pPr>
        <w:jc w:val="center"/>
        <w:ind w:right="8959"/>
        <w:spacing w:after="0"/>
        <w:rPr>
          <w:sz w:val="20"/>
          <w:szCs w:val="20"/>
          <w:color w:val="auto"/>
        </w:rPr>
      </w:pPr>
      <w:r>
        <w:rPr>
          <w:rFonts w:ascii="Courier New" w:cs="Courier New" w:eastAsia="Courier New" w:hAnsi="Courier New"/>
          <w:sz w:val="16"/>
          <w:szCs w:val="16"/>
          <w:color w:val="auto"/>
        </w:rPr>
        <w:t>York, as</w:t>
      </w:r>
    </w:p>
    <w:p>
      <w:pPr>
        <w:jc w:val="center"/>
        <w:ind w:right="8959"/>
        <w:spacing w:after="0" w:line="237" w:lineRule="auto"/>
        <w:rPr>
          <w:sz w:val="20"/>
          <w:szCs w:val="20"/>
          <w:color w:val="auto"/>
        </w:rPr>
      </w:pPr>
      <w:r>
        <w:rPr>
          <w:rFonts w:ascii="Courier New" w:cs="Courier New" w:eastAsia="Courier New" w:hAnsi="Courier New"/>
          <w:sz w:val="16"/>
          <w:szCs w:val="16"/>
          <w:color w:val="auto"/>
        </w:rPr>
        <w:t>trustee,</w:t>
      </w:r>
    </w:p>
    <w:p>
      <w:pPr>
        <w:jc w:val="center"/>
        <w:ind w:right="8959"/>
        <w:spacing w:after="0"/>
        <w:rPr>
          <w:sz w:val="20"/>
          <w:szCs w:val="20"/>
          <w:color w:val="auto"/>
        </w:rPr>
      </w:pPr>
      <w:r>
        <w:rPr>
          <w:rFonts w:ascii="Courier New" w:cs="Courier New" w:eastAsia="Courier New" w:hAnsi="Courier New"/>
          <w:sz w:val="16"/>
          <w:szCs w:val="16"/>
          <w:color w:val="auto"/>
        </w:rPr>
        <w:t>relating to</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 Broadband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Exchange</w:t>
      </w:r>
    </w:p>
    <w:p>
      <w:pPr>
        <w:jc w:val="center"/>
        <w:ind w:right="8959"/>
        <w:spacing w:after="0"/>
        <w:rPr>
          <w:sz w:val="20"/>
          <w:szCs w:val="20"/>
          <w:color w:val="auto"/>
        </w:rPr>
      </w:pPr>
      <w:r>
        <w:rPr>
          <w:rFonts w:ascii="Courier New" w:cs="Courier New" w:eastAsia="Courier New" w:hAnsi="Courier New"/>
          <w:sz w:val="16"/>
          <w:szCs w:val="16"/>
          <w:color w:val="auto"/>
        </w:rPr>
        <w:t>Notes,</w:t>
      </w:r>
    </w:p>
    <w:p>
      <w:pPr>
        <w:jc w:val="center"/>
        <w:ind w:right="8959"/>
        <w:spacing w:after="0" w:line="237" w:lineRule="auto"/>
        <w:rPr>
          <w:sz w:val="20"/>
          <w:szCs w:val="20"/>
          <w:color w:val="auto"/>
        </w:rPr>
      </w:pPr>
      <w:r>
        <w:rPr>
          <w:rFonts w:ascii="Courier New" w:cs="Courier New" w:eastAsia="Courier New" w:hAnsi="Courier New"/>
          <w:sz w:val="16"/>
          <w:szCs w:val="16"/>
          <w:color w:val="auto"/>
        </w:rPr>
        <w:t>including</w:t>
      </w:r>
    </w:p>
    <w:p>
      <w:pPr>
        <w:jc w:val="center"/>
        <w:ind w:right="8959"/>
        <w:spacing w:after="0"/>
        <w:rPr>
          <w:sz w:val="20"/>
          <w:szCs w:val="20"/>
          <w:color w:val="auto"/>
        </w:rPr>
      </w:pPr>
      <w:r>
        <w:rPr>
          <w:rFonts w:ascii="Courier New" w:cs="Courier New" w:eastAsia="Courier New" w:hAnsi="Courier New"/>
          <w:sz w:val="16"/>
          <w:szCs w:val="16"/>
          <w:color w:val="auto"/>
        </w:rPr>
        <w:t>forms of the</w:t>
      </w:r>
    </w:p>
    <w:p>
      <w:pPr>
        <w:jc w:val="center"/>
        <w:ind w:right="895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8959"/>
        <w:spacing w:after="0"/>
        <w:rPr>
          <w:sz w:val="20"/>
          <w:szCs w:val="20"/>
          <w:color w:val="auto"/>
        </w:rPr>
      </w:pPr>
      <w:r>
        <w:rPr>
          <w:rFonts w:ascii="Courier New" w:cs="Courier New" w:eastAsia="Courier New" w:hAnsi="Courier New"/>
          <w:sz w:val="16"/>
          <w:szCs w:val="16"/>
          <w:color w:val="auto"/>
        </w:rPr>
        <w:t>Exchange</w:t>
      </w:r>
    </w:p>
    <w:p>
      <w:pPr>
        <w:jc w:val="center"/>
        <w:ind w:right="8959"/>
        <w:spacing w:after="0" w:line="238" w:lineRule="auto"/>
        <w:rPr>
          <w:sz w:val="20"/>
          <w:szCs w:val="20"/>
          <w:color w:val="auto"/>
        </w:rPr>
      </w:pPr>
      <w:r>
        <w:rPr>
          <w:rFonts w:ascii="Courier New" w:cs="Courier New" w:eastAsia="Courier New" w:hAnsi="Courier New"/>
          <w:sz w:val="16"/>
          <w:szCs w:val="16"/>
          <w:color w:val="auto"/>
        </w:rPr>
        <w:t>Notes.(6)</w:t>
      </w:r>
    </w:p>
    <w:p>
      <w:pPr>
        <w:sectPr>
          <w:pgSz w:w="11900" w:h="16838" w:orient="portrait"/>
          <w:cols w:equalWidth="0" w:num="1">
            <w:col w:w="10179"/>
          </w:cols>
          <w:pgMar w:left="280" w:top="136" w:right="1440" w:bottom="0" w:gutter="0" w:footer="0" w:header="0"/>
        </w:sectPr>
      </w:pPr>
    </w:p>
    <w:bookmarkStart w:id="345" w:name="page346"/>
    <w:bookmarkEnd w:id="345"/>
    <w:p>
      <w:pPr>
        <w:jc w:val="center"/>
        <w:ind w:right="8919"/>
        <w:spacing w:after="0"/>
        <w:rPr>
          <w:sz w:val="20"/>
          <w:szCs w:val="20"/>
          <w:color w:val="auto"/>
        </w:rPr>
      </w:pPr>
      <w:r>
        <w:rPr>
          <w:rFonts w:ascii="Courier New" w:cs="Courier New" w:eastAsia="Courier New" w:hAnsi="Courier New"/>
          <w:sz w:val="16"/>
          <w:szCs w:val="16"/>
          <w:color w:val="auto"/>
        </w:rPr>
        <w:t>4.18 Form of</w:t>
      </w:r>
    </w:p>
    <w:p>
      <w:pPr>
        <w:jc w:val="center"/>
        <w:ind w:right="8919"/>
        <w:spacing w:after="0"/>
        <w:rPr>
          <w:sz w:val="20"/>
          <w:szCs w:val="20"/>
          <w:color w:val="auto"/>
        </w:rPr>
      </w:pPr>
      <w:r>
        <w:rPr>
          <w:rFonts w:ascii="Courier New" w:cs="Courier New" w:eastAsia="Courier New" w:hAnsi="Courier New"/>
          <w:sz w:val="16"/>
          <w:szCs w:val="16"/>
          <w:color w:val="auto"/>
        </w:rPr>
        <w:t>Indenture</w:t>
      </w:r>
    </w:p>
    <w:p>
      <w:pPr>
        <w:jc w:val="center"/>
        <w:ind w:right="8919"/>
        <w:spacing w:after="0" w:line="237" w:lineRule="auto"/>
        <w:rPr>
          <w:sz w:val="20"/>
          <w:szCs w:val="20"/>
          <w:color w:val="auto"/>
        </w:rPr>
      </w:pPr>
      <w:r>
        <w:rPr>
          <w:rFonts w:ascii="Courier New" w:cs="Courier New" w:eastAsia="Courier New" w:hAnsi="Courier New"/>
          <w:sz w:val="16"/>
          <w:szCs w:val="16"/>
          <w:color w:val="auto"/>
        </w:rPr>
        <w:t>among AT&amp;T</w:t>
      </w:r>
    </w:p>
    <w:p>
      <w:pPr>
        <w:jc w:val="center"/>
        <w:ind w:right="8919"/>
        <w:spacing w:after="0"/>
        <w:rPr>
          <w:sz w:val="20"/>
          <w:szCs w:val="20"/>
          <w:color w:val="auto"/>
        </w:rPr>
      </w:pPr>
      <w:r>
        <w:rPr>
          <w:rFonts w:ascii="Courier New" w:cs="Courier New" w:eastAsia="Courier New" w:hAnsi="Courier New"/>
          <w:sz w:val="16"/>
          <w:szCs w:val="16"/>
          <w:color w:val="auto"/>
        </w:rPr>
        <w:t>Broadband</w:t>
      </w:r>
    </w:p>
    <w:p>
      <w:pPr>
        <w:jc w:val="center"/>
        <w:ind w:right="8919"/>
        <w:spacing w:after="0" w:line="238" w:lineRule="auto"/>
        <w:rPr>
          <w:sz w:val="20"/>
          <w:szCs w:val="20"/>
          <w:color w:val="auto"/>
        </w:rPr>
      </w:pPr>
      <w:r>
        <w:rPr>
          <w:rFonts w:ascii="Courier New" w:cs="Courier New" w:eastAsia="Courier New" w:hAnsi="Courier New"/>
          <w:sz w:val="16"/>
          <w:szCs w:val="16"/>
          <w:color w:val="auto"/>
        </w:rPr>
        <w:t>Corp., the</w:t>
      </w:r>
    </w:p>
    <w:p>
      <w:pPr>
        <w:jc w:val="center"/>
        <w:ind w:right="8919"/>
        <w:spacing w:after="0"/>
        <w:rPr>
          <w:sz w:val="20"/>
          <w:szCs w:val="20"/>
          <w:color w:val="auto"/>
        </w:rPr>
      </w:pPr>
      <w:r>
        <w:rPr>
          <w:rFonts w:ascii="Courier New" w:cs="Courier New" w:eastAsia="Courier New" w:hAnsi="Courier New"/>
          <w:sz w:val="16"/>
          <w:szCs w:val="16"/>
          <w:color w:val="auto"/>
        </w:rPr>
        <w:t>Cable</w:t>
      </w:r>
    </w:p>
    <w:p>
      <w:pPr>
        <w:jc w:val="center"/>
        <w:ind w:right="8919"/>
        <w:spacing w:after="0" w:line="238" w:lineRule="auto"/>
        <w:rPr>
          <w:sz w:val="20"/>
          <w:szCs w:val="20"/>
          <w:color w:val="auto"/>
        </w:rPr>
      </w:pPr>
      <w:r>
        <w:rPr>
          <w:rFonts w:ascii="Courier New" w:cs="Courier New" w:eastAsia="Courier New" w:hAnsi="Courier New"/>
          <w:sz w:val="16"/>
          <w:szCs w:val="16"/>
          <w:color w:val="auto"/>
        </w:rPr>
        <w:t>Guarantors</w:t>
      </w:r>
    </w:p>
    <w:p>
      <w:pPr>
        <w:jc w:val="center"/>
        <w:ind w:right="8919"/>
        <w:spacing w:after="0"/>
        <w:rPr>
          <w:sz w:val="20"/>
          <w:szCs w:val="20"/>
          <w:color w:val="auto"/>
        </w:rPr>
      </w:pPr>
      <w:r>
        <w:rPr>
          <w:rFonts w:ascii="Courier New" w:cs="Courier New" w:eastAsia="Courier New" w:hAnsi="Courier New"/>
          <w:sz w:val="16"/>
          <w:szCs w:val="16"/>
          <w:color w:val="auto"/>
        </w:rPr>
        <w:t>party thereto</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the Bank</w:t>
      </w:r>
    </w:p>
    <w:p>
      <w:pPr>
        <w:jc w:val="center"/>
        <w:ind w:right="8919"/>
        <w:spacing w:after="0"/>
        <w:rPr>
          <w:sz w:val="20"/>
          <w:szCs w:val="20"/>
          <w:color w:val="auto"/>
        </w:rPr>
      </w:pPr>
      <w:r>
        <w:rPr>
          <w:rFonts w:ascii="Courier New" w:cs="Courier New" w:eastAsia="Courier New" w:hAnsi="Courier New"/>
          <w:sz w:val="16"/>
          <w:szCs w:val="16"/>
          <w:color w:val="auto"/>
        </w:rPr>
        <w:t>of New York,</w:t>
      </w:r>
    </w:p>
    <w:p>
      <w:pPr>
        <w:jc w:val="center"/>
        <w:ind w:right="8919"/>
        <w:spacing w:after="0" w:line="238" w:lineRule="auto"/>
        <w:rPr>
          <w:sz w:val="20"/>
          <w:szCs w:val="20"/>
          <w:color w:val="auto"/>
        </w:rPr>
      </w:pPr>
      <w:r>
        <w:rPr>
          <w:rFonts w:ascii="Courier New" w:cs="Courier New" w:eastAsia="Courier New" w:hAnsi="Courier New"/>
          <w:sz w:val="16"/>
          <w:szCs w:val="16"/>
          <w:color w:val="auto"/>
        </w:rPr>
        <w:t>as trustee,</w:t>
      </w:r>
    </w:p>
    <w:p>
      <w:pPr>
        <w:jc w:val="center"/>
        <w:ind w:right="8919"/>
        <w:spacing w:after="0"/>
        <w:rPr>
          <w:sz w:val="20"/>
          <w:szCs w:val="20"/>
          <w:color w:val="auto"/>
        </w:rPr>
      </w:pPr>
      <w:r>
        <w:rPr>
          <w:rFonts w:ascii="Courier New" w:cs="Courier New" w:eastAsia="Courier New" w:hAnsi="Courier New"/>
          <w:sz w:val="16"/>
          <w:szCs w:val="16"/>
          <w:color w:val="auto"/>
        </w:rPr>
        <w:t>relating to</w:t>
      </w:r>
    </w:p>
    <w:p>
      <w:pPr>
        <w:jc w:val="center"/>
        <w:ind w:right="8919"/>
        <w:spacing w:after="0" w:line="238" w:lineRule="auto"/>
        <w:rPr>
          <w:sz w:val="20"/>
          <w:szCs w:val="20"/>
          <w:color w:val="auto"/>
        </w:rPr>
      </w:pPr>
      <w:r>
        <w:rPr>
          <w:rFonts w:ascii="Courier New" w:cs="Courier New" w:eastAsia="Courier New" w:hAnsi="Courier New"/>
          <w:sz w:val="16"/>
          <w:szCs w:val="16"/>
          <w:color w:val="auto"/>
        </w:rPr>
        <w:t>the New</w:t>
      </w:r>
    </w:p>
    <w:p>
      <w:pPr>
        <w:jc w:val="center"/>
        <w:ind w:right="8919"/>
        <w:spacing w:after="0"/>
        <w:rPr>
          <w:sz w:val="20"/>
          <w:szCs w:val="20"/>
          <w:color w:val="auto"/>
        </w:rPr>
      </w:pPr>
      <w:r>
        <w:rPr>
          <w:rFonts w:ascii="Courier New" w:cs="Courier New" w:eastAsia="Courier New" w:hAnsi="Courier New"/>
          <w:sz w:val="16"/>
          <w:szCs w:val="16"/>
          <w:color w:val="auto"/>
        </w:rPr>
        <w:t>Broadband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Notes.(6)</w:t>
      </w:r>
    </w:p>
    <w:p>
      <w:pPr>
        <w:jc w:val="center"/>
        <w:ind w:right="8919"/>
        <w:spacing w:after="0"/>
        <w:rPr>
          <w:sz w:val="20"/>
          <w:szCs w:val="20"/>
          <w:color w:val="auto"/>
        </w:rPr>
      </w:pPr>
      <w:r>
        <w:rPr>
          <w:rFonts w:ascii="Courier New" w:cs="Courier New" w:eastAsia="Courier New" w:hAnsi="Courier New"/>
          <w:sz w:val="16"/>
          <w:szCs w:val="16"/>
          <w:color w:val="auto"/>
        </w:rPr>
        <w:t>4.19 Form of</w:t>
      </w:r>
    </w:p>
    <w:p>
      <w:pPr>
        <w:jc w:val="center"/>
        <w:ind w:right="8919"/>
        <w:spacing w:after="0" w:line="238" w:lineRule="auto"/>
        <w:rPr>
          <w:sz w:val="20"/>
          <w:szCs w:val="20"/>
          <w:color w:val="auto"/>
        </w:rPr>
      </w:pPr>
      <w:r>
        <w:rPr>
          <w:rFonts w:ascii="Courier New" w:cs="Courier New" w:eastAsia="Courier New" w:hAnsi="Courier New"/>
          <w:sz w:val="16"/>
          <w:szCs w:val="16"/>
          <w:color w:val="auto"/>
        </w:rPr>
        <w:t>New Broadband</w:t>
      </w:r>
    </w:p>
    <w:p>
      <w:pPr>
        <w:jc w:val="center"/>
        <w:ind w:right="8919"/>
        <w:spacing w:after="0"/>
        <w:rPr>
          <w:sz w:val="20"/>
          <w:szCs w:val="20"/>
          <w:color w:val="auto"/>
        </w:rPr>
      </w:pPr>
      <w:r>
        <w:rPr>
          <w:rFonts w:ascii="Courier New" w:cs="Courier New" w:eastAsia="Courier New" w:hAnsi="Courier New"/>
          <w:sz w:val="16"/>
          <w:szCs w:val="16"/>
          <w:color w:val="auto"/>
        </w:rPr>
        <w:t>Notes.(6)</w:t>
      </w:r>
    </w:p>
    <w:p>
      <w:pPr>
        <w:jc w:val="center"/>
        <w:ind w:right="8919"/>
        <w:spacing w:after="0" w:line="238" w:lineRule="auto"/>
        <w:rPr>
          <w:sz w:val="20"/>
          <w:szCs w:val="20"/>
          <w:color w:val="auto"/>
        </w:rPr>
      </w:pPr>
      <w:r>
        <w:rPr>
          <w:rFonts w:ascii="Courier New" w:cs="Courier New" w:eastAsia="Courier New" w:hAnsi="Courier New"/>
          <w:sz w:val="16"/>
          <w:szCs w:val="16"/>
          <w:color w:val="auto"/>
        </w:rPr>
        <w:t>4.20 Credit</w:t>
      </w:r>
    </w:p>
    <w:p>
      <w:pPr>
        <w:jc w:val="center"/>
        <w:ind w:right="8919"/>
        <w:spacing w:after="0"/>
        <w:rPr>
          <w:sz w:val="20"/>
          <w:szCs w:val="20"/>
          <w:color w:val="auto"/>
        </w:rPr>
      </w:pPr>
      <w:r>
        <w:rPr>
          <w:rFonts w:ascii="Courier New" w:cs="Courier New" w:eastAsia="Courier New" w:hAnsi="Courier New"/>
          <w:sz w:val="16"/>
          <w:szCs w:val="16"/>
          <w:color w:val="auto"/>
        </w:rPr>
        <w:t>Agreement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8919"/>
        <w:spacing w:after="0"/>
        <w:rPr>
          <w:sz w:val="20"/>
          <w:szCs w:val="20"/>
          <w:color w:val="auto"/>
        </w:rPr>
      </w:pPr>
      <w:r>
        <w:rPr>
          <w:rFonts w:ascii="Courier New" w:cs="Courier New" w:eastAsia="Courier New" w:hAnsi="Courier New"/>
          <w:sz w:val="16"/>
          <w:szCs w:val="16"/>
          <w:color w:val="auto"/>
        </w:rPr>
        <w:t>April 26,</w:t>
      </w:r>
    </w:p>
    <w:p>
      <w:pPr>
        <w:jc w:val="center"/>
        <w:ind w:right="8919"/>
        <w:spacing w:after="0" w:line="238" w:lineRule="auto"/>
        <w:rPr>
          <w:sz w:val="20"/>
          <w:szCs w:val="20"/>
          <w:color w:val="auto"/>
        </w:rPr>
      </w:pPr>
      <w:r>
        <w:rPr>
          <w:rFonts w:ascii="Courier New" w:cs="Courier New" w:eastAsia="Courier New" w:hAnsi="Courier New"/>
          <w:sz w:val="16"/>
          <w:szCs w:val="16"/>
          <w:color w:val="auto"/>
        </w:rPr>
        <w:t>2002 among</w:t>
      </w:r>
    </w:p>
    <w:p>
      <w:pPr>
        <w:jc w:val="center"/>
        <w:ind w:right="8919"/>
        <w:spacing w:after="0"/>
        <w:rPr>
          <w:sz w:val="20"/>
          <w:szCs w:val="20"/>
          <w:color w:val="auto"/>
        </w:rPr>
      </w:pPr>
      <w:r>
        <w:rPr>
          <w:rFonts w:ascii="Courier New" w:cs="Courier New" w:eastAsia="Courier New" w:hAnsi="Courier New"/>
          <w:sz w:val="16"/>
          <w:szCs w:val="16"/>
          <w:color w:val="auto"/>
        </w:rPr>
        <w:t>AT&amp;T Comcast</w:t>
      </w:r>
    </w:p>
    <w:p>
      <w:pPr>
        <w:jc w:val="center"/>
        <w:ind w:right="8919"/>
        <w:spacing w:after="0" w:line="238" w:lineRule="auto"/>
        <w:rPr>
          <w:sz w:val="20"/>
          <w:szCs w:val="20"/>
          <w:color w:val="auto"/>
        </w:rPr>
      </w:pPr>
      <w:r>
        <w:rPr>
          <w:rFonts w:ascii="Courier New" w:cs="Courier New" w:eastAsia="Courier New" w:hAnsi="Courier New"/>
          <w:sz w:val="16"/>
          <w:szCs w:val="16"/>
          <w:color w:val="auto"/>
        </w:rPr>
        <w:t>Corporation,</w:t>
      </w:r>
    </w:p>
    <w:p>
      <w:pPr>
        <w:jc w:val="center"/>
        <w:ind w:right="8919"/>
        <w:spacing w:after="0"/>
        <w:rPr>
          <w:sz w:val="20"/>
          <w:szCs w:val="20"/>
          <w:color w:val="auto"/>
        </w:rPr>
      </w:pPr>
      <w:r>
        <w:rPr>
          <w:rFonts w:ascii="Courier New" w:cs="Courier New" w:eastAsia="Courier New" w:hAnsi="Courier New"/>
          <w:sz w:val="16"/>
          <w:szCs w:val="16"/>
          <w:color w:val="auto"/>
        </w:rPr>
        <w:t>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8919"/>
        <w:spacing w:after="0"/>
        <w:rPr>
          <w:sz w:val="20"/>
          <w:szCs w:val="20"/>
          <w:color w:val="auto"/>
        </w:rPr>
      </w:pPr>
      <w:r>
        <w:rPr>
          <w:rFonts w:ascii="Courier New" w:cs="Courier New" w:eastAsia="Courier New" w:hAnsi="Courier New"/>
          <w:sz w:val="16"/>
          <w:szCs w:val="16"/>
          <w:color w:val="auto"/>
        </w:rPr>
        <w:t>Corp., the</w:t>
      </w:r>
    </w:p>
    <w:p>
      <w:pPr>
        <w:jc w:val="center"/>
        <w:ind w:right="8919"/>
        <w:spacing w:after="0" w:line="238" w:lineRule="auto"/>
        <w:rPr>
          <w:sz w:val="20"/>
          <w:szCs w:val="20"/>
          <w:color w:val="auto"/>
        </w:rPr>
      </w:pPr>
      <w:r>
        <w:rPr>
          <w:rFonts w:ascii="Courier New" w:cs="Courier New" w:eastAsia="Courier New" w:hAnsi="Courier New"/>
          <w:sz w:val="16"/>
          <w:szCs w:val="16"/>
          <w:color w:val="auto"/>
        </w:rPr>
        <w:t>Financial</w:t>
      </w:r>
    </w:p>
    <w:p>
      <w:pPr>
        <w:jc w:val="center"/>
        <w:ind w:right="8919"/>
        <w:spacing w:after="0"/>
        <w:rPr>
          <w:sz w:val="20"/>
          <w:szCs w:val="20"/>
          <w:color w:val="auto"/>
        </w:rPr>
      </w:pPr>
      <w:r>
        <w:rPr>
          <w:rFonts w:ascii="Courier New" w:cs="Courier New" w:eastAsia="Courier New" w:hAnsi="Courier New"/>
          <w:sz w:val="16"/>
          <w:szCs w:val="16"/>
          <w:color w:val="auto"/>
        </w:rPr>
        <w:t>Institutions</w:t>
      </w:r>
    </w:p>
    <w:p>
      <w:pPr>
        <w:jc w:val="center"/>
        <w:ind w:right="8919"/>
        <w:spacing w:after="0" w:line="238" w:lineRule="auto"/>
        <w:rPr>
          <w:sz w:val="20"/>
          <w:szCs w:val="20"/>
          <w:color w:val="auto"/>
        </w:rPr>
      </w:pPr>
      <w:r>
        <w:rPr>
          <w:rFonts w:ascii="Courier New" w:cs="Courier New" w:eastAsia="Courier New" w:hAnsi="Courier New"/>
          <w:sz w:val="16"/>
          <w:szCs w:val="16"/>
          <w:color w:val="auto"/>
        </w:rPr>
        <w:t>party</w:t>
      </w:r>
    </w:p>
    <w:p>
      <w:pPr>
        <w:jc w:val="center"/>
        <w:ind w:right="8919"/>
        <w:spacing w:after="0"/>
        <w:rPr>
          <w:sz w:val="20"/>
          <w:szCs w:val="20"/>
          <w:color w:val="auto"/>
        </w:rPr>
      </w:pPr>
      <w:r>
        <w:rPr>
          <w:rFonts w:ascii="Courier New" w:cs="Courier New" w:eastAsia="Courier New" w:hAnsi="Courier New"/>
          <w:sz w:val="16"/>
          <w:szCs w:val="16"/>
          <w:color w:val="auto"/>
        </w:rPr>
        <w:t>thereto,</w:t>
      </w:r>
    </w:p>
    <w:p>
      <w:pPr>
        <w:jc w:val="center"/>
        <w:ind w:right="8919"/>
        <w:spacing w:after="0" w:line="237" w:lineRule="auto"/>
        <w:rPr>
          <w:sz w:val="20"/>
          <w:szCs w:val="20"/>
          <w:color w:val="auto"/>
        </w:rPr>
      </w:pPr>
      <w:r>
        <w:rPr>
          <w:rFonts w:ascii="Courier New" w:cs="Courier New" w:eastAsia="Courier New" w:hAnsi="Courier New"/>
          <w:sz w:val="16"/>
          <w:szCs w:val="16"/>
          <w:color w:val="auto"/>
        </w:rPr>
        <w:t>JPMorgan</w:t>
      </w:r>
    </w:p>
    <w:p>
      <w:pPr>
        <w:jc w:val="center"/>
        <w:ind w:right="8919"/>
        <w:spacing w:after="0"/>
        <w:rPr>
          <w:sz w:val="20"/>
          <w:szCs w:val="20"/>
          <w:color w:val="auto"/>
        </w:rPr>
      </w:pPr>
      <w:r>
        <w:rPr>
          <w:rFonts w:ascii="Courier New" w:cs="Courier New" w:eastAsia="Courier New" w:hAnsi="Courier New"/>
          <w:sz w:val="16"/>
          <w:szCs w:val="16"/>
          <w:color w:val="auto"/>
        </w:rPr>
        <w:t>Chase Bank,</w:t>
      </w:r>
    </w:p>
    <w:p>
      <w:pPr>
        <w:jc w:val="center"/>
        <w:ind w:right="8919"/>
        <w:spacing w:after="0" w:line="238" w:lineRule="auto"/>
        <w:rPr>
          <w:sz w:val="20"/>
          <w:szCs w:val="20"/>
          <w:color w:val="auto"/>
        </w:rPr>
      </w:pPr>
      <w:r>
        <w:rPr>
          <w:rFonts w:ascii="Courier New" w:cs="Courier New" w:eastAsia="Courier New" w:hAnsi="Courier New"/>
          <w:sz w:val="16"/>
          <w:szCs w:val="16"/>
          <w:color w:val="auto"/>
        </w:rPr>
        <w:t>as</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Administrative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Agent, Swing</w:t>
      </w:r>
    </w:p>
    <w:p>
      <w:pPr>
        <w:jc w:val="center"/>
        <w:ind w:right="8919"/>
        <w:spacing w:after="0"/>
        <w:rPr>
          <w:sz w:val="20"/>
          <w:szCs w:val="20"/>
          <w:color w:val="auto"/>
        </w:rPr>
      </w:pPr>
      <w:r>
        <w:rPr>
          <w:rFonts w:ascii="Courier New" w:cs="Courier New" w:eastAsia="Courier New" w:hAnsi="Courier New"/>
          <w:sz w:val="16"/>
          <w:szCs w:val="16"/>
          <w:color w:val="auto"/>
        </w:rPr>
        <w:t>Line Lender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Issuing</w:t>
      </w:r>
    </w:p>
    <w:p>
      <w:pPr>
        <w:jc w:val="center"/>
        <w:ind w:right="8919"/>
        <w:spacing w:after="0"/>
        <w:rPr>
          <w:sz w:val="20"/>
          <w:szCs w:val="20"/>
          <w:color w:val="auto"/>
        </w:rPr>
      </w:pPr>
      <w:r>
        <w:rPr>
          <w:rFonts w:ascii="Courier New" w:cs="Courier New" w:eastAsia="Courier New" w:hAnsi="Courier New"/>
          <w:sz w:val="16"/>
          <w:szCs w:val="16"/>
          <w:color w:val="auto"/>
        </w:rPr>
        <w:t>Lender,</w:t>
      </w:r>
    </w:p>
    <w:p>
      <w:pPr>
        <w:jc w:val="center"/>
        <w:ind w:right="8919"/>
        <w:spacing w:after="0" w:line="238" w:lineRule="auto"/>
        <w:rPr>
          <w:sz w:val="20"/>
          <w:szCs w:val="20"/>
          <w:color w:val="auto"/>
        </w:rPr>
      </w:pPr>
      <w:r>
        <w:rPr>
          <w:rFonts w:ascii="Courier New" w:cs="Courier New" w:eastAsia="Courier New" w:hAnsi="Courier New"/>
          <w:sz w:val="16"/>
          <w:szCs w:val="16"/>
          <w:color w:val="auto"/>
        </w:rPr>
        <w:t>Citibank,</w:t>
      </w:r>
    </w:p>
    <w:p>
      <w:pPr>
        <w:jc w:val="center"/>
        <w:ind w:right="8919"/>
        <w:spacing w:after="0"/>
        <w:rPr>
          <w:sz w:val="20"/>
          <w:szCs w:val="20"/>
          <w:color w:val="auto"/>
        </w:rPr>
      </w:pPr>
      <w:r>
        <w:rPr>
          <w:rFonts w:ascii="Courier New" w:cs="Courier New" w:eastAsia="Courier New" w:hAnsi="Courier New"/>
          <w:sz w:val="16"/>
          <w:szCs w:val="16"/>
          <w:color w:val="auto"/>
        </w:rPr>
        <w:t>N.A., as</w:t>
      </w:r>
    </w:p>
    <w:p>
      <w:pPr>
        <w:jc w:val="center"/>
        <w:ind w:right="8919"/>
        <w:spacing w:after="0" w:line="238" w:lineRule="auto"/>
        <w:rPr>
          <w:sz w:val="20"/>
          <w:szCs w:val="20"/>
          <w:color w:val="auto"/>
        </w:rPr>
      </w:pPr>
      <w:r>
        <w:rPr>
          <w:rFonts w:ascii="Courier New" w:cs="Courier New" w:eastAsia="Courier New" w:hAnsi="Courier New"/>
          <w:sz w:val="16"/>
          <w:szCs w:val="16"/>
          <w:color w:val="auto"/>
        </w:rPr>
        <w:t>Syndication</w:t>
      </w:r>
    </w:p>
    <w:p>
      <w:pPr>
        <w:jc w:val="center"/>
        <w:ind w:right="8919"/>
        <w:spacing w:after="0"/>
        <w:rPr>
          <w:sz w:val="20"/>
          <w:szCs w:val="20"/>
          <w:color w:val="auto"/>
        </w:rPr>
      </w:pPr>
      <w:r>
        <w:rPr>
          <w:rFonts w:ascii="Courier New" w:cs="Courier New" w:eastAsia="Courier New" w:hAnsi="Courier New"/>
          <w:sz w:val="16"/>
          <w:szCs w:val="16"/>
          <w:color w:val="auto"/>
        </w:rPr>
        <w:t>Agent,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 of</w:t>
      </w:r>
    </w:p>
    <w:p>
      <w:pPr>
        <w:jc w:val="center"/>
        <w:ind w:right="8919"/>
        <w:spacing w:after="0"/>
        <w:rPr>
          <w:sz w:val="20"/>
          <w:szCs w:val="20"/>
          <w:color w:val="auto"/>
        </w:rPr>
      </w:pPr>
      <w:r>
        <w:rPr>
          <w:rFonts w:ascii="Courier New" w:cs="Courier New" w:eastAsia="Courier New" w:hAnsi="Courier New"/>
          <w:sz w:val="16"/>
          <w:szCs w:val="16"/>
          <w:color w:val="auto"/>
        </w:rPr>
        <w:t>America,</w:t>
      </w:r>
    </w:p>
    <w:p>
      <w:pPr>
        <w:jc w:val="center"/>
        <w:ind w:right="8919"/>
        <w:spacing w:after="0" w:line="238" w:lineRule="auto"/>
        <w:rPr>
          <w:sz w:val="20"/>
          <w:szCs w:val="20"/>
          <w:color w:val="auto"/>
        </w:rPr>
      </w:pPr>
      <w:r>
        <w:rPr>
          <w:rFonts w:ascii="Courier New" w:cs="Courier New" w:eastAsia="Courier New" w:hAnsi="Courier New"/>
          <w:sz w:val="16"/>
          <w:szCs w:val="16"/>
          <w:color w:val="auto"/>
        </w:rPr>
        <w:t>N.A., Merrill</w:t>
      </w:r>
    </w:p>
    <w:p>
      <w:pPr>
        <w:jc w:val="center"/>
        <w:ind w:right="8919"/>
        <w:spacing w:after="0"/>
        <w:rPr>
          <w:sz w:val="20"/>
          <w:szCs w:val="20"/>
          <w:color w:val="auto"/>
        </w:rPr>
      </w:pPr>
      <w:r>
        <w:rPr>
          <w:rFonts w:ascii="Courier New" w:cs="Courier New" w:eastAsia="Courier New" w:hAnsi="Courier New"/>
          <w:sz w:val="16"/>
          <w:szCs w:val="16"/>
          <w:color w:val="auto"/>
        </w:rPr>
        <w:t>Lynch &amp; Co.,</w:t>
      </w:r>
    </w:p>
    <w:p>
      <w:pPr>
        <w:jc w:val="center"/>
        <w:ind w:right="8919"/>
        <w:spacing w:after="0" w:line="238" w:lineRule="auto"/>
        <w:rPr>
          <w:sz w:val="20"/>
          <w:szCs w:val="20"/>
          <w:color w:val="auto"/>
        </w:rPr>
      </w:pPr>
      <w:r>
        <w:rPr>
          <w:rFonts w:ascii="Courier New" w:cs="Courier New" w:eastAsia="Courier New" w:hAnsi="Courier New"/>
          <w:sz w:val="16"/>
          <w:szCs w:val="16"/>
          <w:color w:val="auto"/>
        </w:rPr>
        <w:t>Merrill</w:t>
      </w:r>
    </w:p>
    <w:p>
      <w:pPr>
        <w:jc w:val="center"/>
        <w:ind w:right="8919"/>
        <w:spacing w:after="0"/>
        <w:rPr>
          <w:sz w:val="20"/>
          <w:szCs w:val="20"/>
          <w:color w:val="auto"/>
        </w:rPr>
      </w:pPr>
      <w:r>
        <w:rPr>
          <w:rFonts w:ascii="Courier New" w:cs="Courier New" w:eastAsia="Courier New" w:hAnsi="Courier New"/>
          <w:sz w:val="16"/>
          <w:szCs w:val="16"/>
          <w:color w:val="auto"/>
        </w:rPr>
        <w:t>Lynch,</w:t>
      </w:r>
    </w:p>
    <w:p>
      <w:pPr>
        <w:jc w:val="center"/>
        <w:ind w:right="8919"/>
        <w:spacing w:after="0" w:line="237" w:lineRule="auto"/>
        <w:rPr>
          <w:sz w:val="20"/>
          <w:szCs w:val="20"/>
          <w:color w:val="auto"/>
        </w:rPr>
      </w:pPr>
      <w:r>
        <w:rPr>
          <w:rFonts w:ascii="Courier New" w:cs="Courier New" w:eastAsia="Courier New" w:hAnsi="Courier New"/>
          <w:sz w:val="16"/>
          <w:szCs w:val="16"/>
          <w:color w:val="auto"/>
        </w:rPr>
        <w:t>Pierce,</w:t>
      </w:r>
    </w:p>
    <w:p>
      <w:pPr>
        <w:jc w:val="center"/>
        <w:ind w:right="8919"/>
        <w:spacing w:after="0"/>
        <w:rPr>
          <w:sz w:val="20"/>
          <w:szCs w:val="20"/>
          <w:color w:val="auto"/>
        </w:rPr>
      </w:pPr>
      <w:r>
        <w:rPr>
          <w:rFonts w:ascii="Courier New" w:cs="Courier New" w:eastAsia="Courier New" w:hAnsi="Courier New"/>
          <w:sz w:val="16"/>
          <w:szCs w:val="16"/>
          <w:color w:val="auto"/>
        </w:rPr>
        <w:t>Fenner &amp;</w:t>
      </w:r>
    </w:p>
    <w:p>
      <w:pPr>
        <w:jc w:val="center"/>
        <w:ind w:right="8919"/>
        <w:spacing w:after="0" w:line="238" w:lineRule="auto"/>
        <w:rPr>
          <w:sz w:val="20"/>
          <w:szCs w:val="20"/>
          <w:color w:val="auto"/>
        </w:rPr>
      </w:pPr>
      <w:r>
        <w:rPr>
          <w:rFonts w:ascii="Courier New" w:cs="Courier New" w:eastAsia="Courier New" w:hAnsi="Courier New"/>
          <w:sz w:val="16"/>
          <w:szCs w:val="16"/>
          <w:color w:val="auto"/>
        </w:rPr>
        <w:t>Smith</w:t>
      </w: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jc w:val="center"/>
        <w:ind w:right="8919"/>
        <w:spacing w:after="0" w:line="238" w:lineRule="auto"/>
        <w:rPr>
          <w:sz w:val="20"/>
          <w:szCs w:val="20"/>
          <w:color w:val="auto"/>
        </w:rPr>
      </w:pPr>
      <w:r>
        <w:rPr>
          <w:rFonts w:ascii="Courier New" w:cs="Courier New" w:eastAsia="Courier New" w:hAnsi="Courier New"/>
          <w:sz w:val="16"/>
          <w:szCs w:val="16"/>
          <w:color w:val="auto"/>
        </w:rPr>
        <w:t>and Morgan</w:t>
      </w:r>
    </w:p>
    <w:p>
      <w:pPr>
        <w:jc w:val="center"/>
        <w:ind w:right="8919"/>
        <w:spacing w:after="0"/>
        <w:rPr>
          <w:sz w:val="20"/>
          <w:szCs w:val="20"/>
          <w:color w:val="auto"/>
        </w:rPr>
      </w:pPr>
      <w:r>
        <w:rPr>
          <w:rFonts w:ascii="Courier New" w:cs="Courier New" w:eastAsia="Courier New" w:hAnsi="Courier New"/>
          <w:sz w:val="16"/>
          <w:szCs w:val="16"/>
          <w:color w:val="auto"/>
        </w:rPr>
        <w:t>Stanley</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Senior</w:t>
      </w:r>
    </w:p>
    <w:p>
      <w:pPr>
        <w:jc w:val="center"/>
        <w:ind w:right="8919"/>
        <w:spacing w:after="0"/>
        <w:rPr>
          <w:sz w:val="20"/>
          <w:szCs w:val="20"/>
          <w:color w:val="auto"/>
        </w:rPr>
      </w:pPr>
      <w:r>
        <w:rPr>
          <w:rFonts w:ascii="Courier New" w:cs="Courier New" w:eastAsia="Courier New" w:hAnsi="Courier New"/>
          <w:sz w:val="16"/>
          <w:szCs w:val="16"/>
          <w:color w:val="auto"/>
        </w:rPr>
        <w:t>Funding,</w:t>
      </w:r>
    </w:p>
    <w:p>
      <w:pPr>
        <w:jc w:val="center"/>
        <w:ind w:right="8919"/>
        <w:spacing w:after="0" w:line="238" w:lineRule="auto"/>
        <w:rPr>
          <w:sz w:val="20"/>
          <w:szCs w:val="20"/>
          <w:color w:val="auto"/>
        </w:rPr>
      </w:pPr>
      <w:r>
        <w:rPr>
          <w:rFonts w:ascii="Courier New" w:cs="Courier New" w:eastAsia="Courier New" w:hAnsi="Courier New"/>
          <w:sz w:val="16"/>
          <w:szCs w:val="16"/>
          <w:color w:val="auto"/>
        </w:rPr>
        <w:t>Inc., as Co-</w:t>
      </w:r>
    </w:p>
    <w:p>
      <w:pPr>
        <w:jc w:val="center"/>
        <w:ind w:right="8919"/>
        <w:spacing w:after="0"/>
        <w:rPr>
          <w:sz w:val="20"/>
          <w:szCs w:val="20"/>
          <w:color w:val="auto"/>
        </w:rPr>
      </w:pPr>
      <w:r>
        <w:rPr>
          <w:rFonts w:ascii="Courier New" w:cs="Courier New" w:eastAsia="Courier New" w:hAnsi="Courier New"/>
          <w:sz w:val="16"/>
          <w:szCs w:val="16"/>
          <w:color w:val="auto"/>
        </w:rPr>
        <w:t>Documentation</w:t>
      </w:r>
    </w:p>
    <w:p>
      <w:pPr>
        <w:jc w:val="center"/>
        <w:ind w:right="8919"/>
        <w:spacing w:after="0" w:line="238" w:lineRule="auto"/>
        <w:rPr>
          <w:sz w:val="20"/>
          <w:szCs w:val="20"/>
          <w:color w:val="auto"/>
        </w:rPr>
      </w:pPr>
      <w:r>
        <w:rPr>
          <w:rFonts w:ascii="Courier New" w:cs="Courier New" w:eastAsia="Courier New" w:hAnsi="Courier New"/>
          <w:sz w:val="16"/>
          <w:szCs w:val="16"/>
          <w:color w:val="auto"/>
        </w:rPr>
        <w:t>Agents.(5)</w:t>
      </w:r>
    </w:p>
    <w:p>
      <w:pPr>
        <w:jc w:val="center"/>
        <w:ind w:right="8919"/>
        <w:spacing w:after="0"/>
        <w:rPr>
          <w:sz w:val="20"/>
          <w:szCs w:val="20"/>
          <w:color w:val="auto"/>
        </w:rPr>
      </w:pPr>
      <w:r>
        <w:rPr>
          <w:rFonts w:ascii="Courier New" w:cs="Courier New" w:eastAsia="Courier New" w:hAnsi="Courier New"/>
          <w:sz w:val="16"/>
          <w:szCs w:val="16"/>
          <w:color w:val="auto"/>
        </w:rPr>
        <w:t>4.21 Bridge</w:t>
      </w:r>
    </w:p>
    <w:p>
      <w:pPr>
        <w:jc w:val="center"/>
        <w:ind w:right="8919"/>
        <w:spacing w:after="0" w:line="237" w:lineRule="auto"/>
        <w:rPr>
          <w:sz w:val="20"/>
          <w:szCs w:val="20"/>
          <w:color w:val="auto"/>
        </w:rPr>
      </w:pPr>
      <w:r>
        <w:rPr>
          <w:rFonts w:ascii="Courier New" w:cs="Courier New" w:eastAsia="Courier New" w:hAnsi="Courier New"/>
          <w:sz w:val="16"/>
          <w:szCs w:val="16"/>
          <w:color w:val="auto"/>
        </w:rPr>
        <w:t>Credit</w:t>
      </w:r>
    </w:p>
    <w:p>
      <w:pPr>
        <w:jc w:val="center"/>
        <w:ind w:right="8919"/>
        <w:spacing w:after="0"/>
        <w:rPr>
          <w:sz w:val="20"/>
          <w:szCs w:val="20"/>
          <w:color w:val="auto"/>
        </w:rPr>
      </w:pPr>
      <w:r>
        <w:rPr>
          <w:rFonts w:ascii="Courier New" w:cs="Courier New" w:eastAsia="Courier New" w:hAnsi="Courier New"/>
          <w:sz w:val="16"/>
          <w:szCs w:val="16"/>
          <w:color w:val="auto"/>
        </w:rPr>
        <w:t>Agreement</w:t>
      </w:r>
    </w:p>
    <w:p>
      <w:pPr>
        <w:jc w:val="center"/>
        <w:ind w:right="8919"/>
        <w:spacing w:after="0" w:line="238" w:lineRule="auto"/>
        <w:rPr>
          <w:sz w:val="20"/>
          <w:szCs w:val="20"/>
          <w:color w:val="auto"/>
        </w:rPr>
      </w:pPr>
      <w:r>
        <w:rPr>
          <w:rFonts w:ascii="Courier New" w:cs="Courier New" w:eastAsia="Courier New" w:hAnsi="Courier New"/>
          <w:sz w:val="16"/>
          <w:szCs w:val="16"/>
          <w:color w:val="auto"/>
        </w:rPr>
        <w:t>dated as of</w:t>
      </w:r>
    </w:p>
    <w:p>
      <w:pPr>
        <w:jc w:val="center"/>
        <w:ind w:right="8919"/>
        <w:spacing w:after="0"/>
        <w:rPr>
          <w:sz w:val="20"/>
          <w:szCs w:val="20"/>
          <w:color w:val="auto"/>
        </w:rPr>
      </w:pPr>
      <w:r>
        <w:rPr>
          <w:rFonts w:ascii="Courier New" w:cs="Courier New" w:eastAsia="Courier New" w:hAnsi="Courier New"/>
          <w:sz w:val="16"/>
          <w:szCs w:val="16"/>
          <w:color w:val="auto"/>
        </w:rPr>
        <w:t>April 26,</w:t>
      </w:r>
    </w:p>
    <w:p>
      <w:pPr>
        <w:jc w:val="center"/>
        <w:ind w:right="8919"/>
        <w:spacing w:after="0" w:line="238" w:lineRule="auto"/>
        <w:rPr>
          <w:sz w:val="20"/>
          <w:szCs w:val="20"/>
          <w:color w:val="auto"/>
        </w:rPr>
      </w:pPr>
      <w:r>
        <w:rPr>
          <w:rFonts w:ascii="Courier New" w:cs="Courier New" w:eastAsia="Courier New" w:hAnsi="Courier New"/>
          <w:sz w:val="16"/>
          <w:szCs w:val="16"/>
          <w:color w:val="auto"/>
        </w:rPr>
        <w:t>2002 among</w:t>
      </w:r>
    </w:p>
    <w:p>
      <w:pPr>
        <w:jc w:val="center"/>
        <w:ind w:right="8919"/>
        <w:spacing w:after="0"/>
        <w:rPr>
          <w:sz w:val="20"/>
          <w:szCs w:val="20"/>
          <w:color w:val="auto"/>
        </w:rPr>
      </w:pPr>
      <w:r>
        <w:rPr>
          <w:rFonts w:ascii="Courier New" w:cs="Courier New" w:eastAsia="Courier New" w:hAnsi="Courier New"/>
          <w:sz w:val="16"/>
          <w:szCs w:val="16"/>
          <w:color w:val="auto"/>
        </w:rPr>
        <w:t>AT&amp;T 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8919"/>
        <w:spacing w:after="0"/>
        <w:rPr>
          <w:sz w:val="20"/>
          <w:szCs w:val="20"/>
          <w:color w:val="auto"/>
        </w:rPr>
      </w:pPr>
      <w:r>
        <w:rPr>
          <w:rFonts w:ascii="Courier New" w:cs="Courier New" w:eastAsia="Courier New" w:hAnsi="Courier New"/>
          <w:sz w:val="16"/>
          <w:szCs w:val="16"/>
          <w:color w:val="auto"/>
        </w:rPr>
        <w:t>AT&amp;T</w:t>
      </w:r>
    </w:p>
    <w:p>
      <w:pPr>
        <w:jc w:val="center"/>
        <w:ind w:right="891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8919"/>
        <w:spacing w:after="0"/>
        <w:rPr>
          <w:sz w:val="20"/>
          <w:szCs w:val="20"/>
          <w:color w:val="auto"/>
        </w:rPr>
      </w:pPr>
      <w:r>
        <w:rPr>
          <w:rFonts w:ascii="Courier New" w:cs="Courier New" w:eastAsia="Courier New" w:hAnsi="Courier New"/>
          <w:sz w:val="16"/>
          <w:szCs w:val="16"/>
          <w:color w:val="auto"/>
        </w:rPr>
        <w:t>Corp., the</w:t>
      </w:r>
    </w:p>
    <w:p>
      <w:pPr>
        <w:jc w:val="center"/>
        <w:ind w:right="8919"/>
        <w:spacing w:after="0" w:line="238" w:lineRule="auto"/>
        <w:rPr>
          <w:sz w:val="20"/>
          <w:szCs w:val="20"/>
          <w:color w:val="auto"/>
        </w:rPr>
      </w:pPr>
      <w:r>
        <w:rPr>
          <w:rFonts w:ascii="Courier New" w:cs="Courier New" w:eastAsia="Courier New" w:hAnsi="Courier New"/>
          <w:sz w:val="16"/>
          <w:szCs w:val="16"/>
          <w:color w:val="auto"/>
        </w:rPr>
        <w:t>Financial</w:t>
      </w:r>
    </w:p>
    <w:p>
      <w:pPr>
        <w:jc w:val="center"/>
        <w:ind w:right="8919"/>
        <w:spacing w:after="0"/>
        <w:rPr>
          <w:sz w:val="20"/>
          <w:szCs w:val="20"/>
          <w:color w:val="auto"/>
        </w:rPr>
      </w:pPr>
      <w:r>
        <w:rPr>
          <w:rFonts w:ascii="Courier New" w:cs="Courier New" w:eastAsia="Courier New" w:hAnsi="Courier New"/>
          <w:sz w:val="16"/>
          <w:szCs w:val="16"/>
          <w:color w:val="auto"/>
        </w:rPr>
        <w:t>Institutions</w:t>
      </w:r>
    </w:p>
    <w:p>
      <w:pPr>
        <w:jc w:val="center"/>
        <w:ind w:right="8919"/>
        <w:spacing w:after="0" w:line="237" w:lineRule="auto"/>
        <w:rPr>
          <w:sz w:val="20"/>
          <w:szCs w:val="20"/>
          <w:color w:val="auto"/>
        </w:rPr>
      </w:pPr>
      <w:r>
        <w:rPr>
          <w:rFonts w:ascii="Courier New" w:cs="Courier New" w:eastAsia="Courier New" w:hAnsi="Courier New"/>
          <w:sz w:val="16"/>
          <w:szCs w:val="16"/>
          <w:color w:val="auto"/>
        </w:rPr>
        <w:t>party</w:t>
      </w:r>
    </w:p>
    <w:p>
      <w:pPr>
        <w:jc w:val="center"/>
        <w:ind w:right="8919"/>
        <w:spacing w:after="0"/>
        <w:rPr>
          <w:sz w:val="20"/>
          <w:szCs w:val="20"/>
          <w:color w:val="auto"/>
        </w:rPr>
      </w:pPr>
      <w:r>
        <w:rPr>
          <w:rFonts w:ascii="Courier New" w:cs="Courier New" w:eastAsia="Courier New" w:hAnsi="Courier New"/>
          <w:sz w:val="16"/>
          <w:szCs w:val="16"/>
          <w:color w:val="auto"/>
        </w:rPr>
        <w:t>thereto,</w:t>
      </w:r>
    </w:p>
    <w:p>
      <w:pPr>
        <w:jc w:val="center"/>
        <w:ind w:right="8919"/>
        <w:spacing w:after="0" w:line="238" w:lineRule="auto"/>
        <w:rPr>
          <w:sz w:val="20"/>
          <w:szCs w:val="20"/>
          <w:color w:val="auto"/>
        </w:rPr>
      </w:pPr>
      <w:r>
        <w:rPr>
          <w:rFonts w:ascii="Courier New" w:cs="Courier New" w:eastAsia="Courier New" w:hAnsi="Courier New"/>
          <w:sz w:val="16"/>
          <w:szCs w:val="16"/>
          <w:color w:val="auto"/>
        </w:rPr>
        <w:t>JPMorgan</w:t>
      </w:r>
    </w:p>
    <w:p>
      <w:pPr>
        <w:jc w:val="center"/>
        <w:ind w:right="8919"/>
        <w:spacing w:after="0"/>
        <w:rPr>
          <w:sz w:val="20"/>
          <w:szCs w:val="20"/>
          <w:color w:val="auto"/>
        </w:rPr>
      </w:pPr>
      <w:r>
        <w:rPr>
          <w:rFonts w:ascii="Courier New" w:cs="Courier New" w:eastAsia="Courier New" w:hAnsi="Courier New"/>
          <w:sz w:val="16"/>
          <w:szCs w:val="16"/>
          <w:color w:val="auto"/>
        </w:rPr>
        <w:t>Chase Bank,</w:t>
      </w:r>
    </w:p>
    <w:p>
      <w:pPr>
        <w:jc w:val="center"/>
        <w:ind w:right="8919"/>
        <w:spacing w:after="0" w:line="238" w:lineRule="auto"/>
        <w:rPr>
          <w:sz w:val="20"/>
          <w:szCs w:val="20"/>
          <w:color w:val="auto"/>
        </w:rPr>
      </w:pPr>
      <w:r>
        <w:rPr>
          <w:rFonts w:ascii="Courier New" w:cs="Courier New" w:eastAsia="Courier New" w:hAnsi="Courier New"/>
          <w:sz w:val="16"/>
          <w:szCs w:val="16"/>
          <w:color w:val="auto"/>
        </w:rPr>
        <w:t>as</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Administrative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Agent, Swing</w:t>
      </w:r>
    </w:p>
    <w:p>
      <w:pPr>
        <w:jc w:val="center"/>
        <w:ind w:right="8919"/>
        <w:spacing w:after="0"/>
        <w:rPr>
          <w:sz w:val="20"/>
          <w:szCs w:val="20"/>
          <w:color w:val="auto"/>
        </w:rPr>
      </w:pPr>
      <w:r>
        <w:rPr>
          <w:rFonts w:ascii="Courier New" w:cs="Courier New" w:eastAsia="Courier New" w:hAnsi="Courier New"/>
          <w:sz w:val="16"/>
          <w:szCs w:val="16"/>
          <w:color w:val="auto"/>
        </w:rPr>
        <w:t>Line Lender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Issuing</w:t>
      </w:r>
    </w:p>
    <w:p>
      <w:pPr>
        <w:jc w:val="center"/>
        <w:ind w:right="8919"/>
        <w:spacing w:after="0"/>
        <w:rPr>
          <w:sz w:val="20"/>
          <w:szCs w:val="20"/>
          <w:color w:val="auto"/>
        </w:rPr>
      </w:pPr>
      <w:r>
        <w:rPr>
          <w:rFonts w:ascii="Courier New" w:cs="Courier New" w:eastAsia="Courier New" w:hAnsi="Courier New"/>
          <w:sz w:val="16"/>
          <w:szCs w:val="16"/>
          <w:color w:val="auto"/>
        </w:rPr>
        <w:t>Lender,</w:t>
      </w:r>
    </w:p>
    <w:p>
      <w:pPr>
        <w:jc w:val="center"/>
        <w:ind w:right="8919"/>
        <w:spacing w:after="0" w:line="238" w:lineRule="auto"/>
        <w:rPr>
          <w:sz w:val="20"/>
          <w:szCs w:val="20"/>
          <w:color w:val="auto"/>
        </w:rPr>
      </w:pPr>
      <w:r>
        <w:rPr>
          <w:rFonts w:ascii="Courier New" w:cs="Courier New" w:eastAsia="Courier New" w:hAnsi="Courier New"/>
          <w:sz w:val="16"/>
          <w:szCs w:val="16"/>
          <w:color w:val="auto"/>
        </w:rPr>
        <w:t>Citibank,</w:t>
      </w:r>
    </w:p>
    <w:p>
      <w:pPr>
        <w:jc w:val="center"/>
        <w:ind w:right="8919"/>
        <w:spacing w:after="0"/>
        <w:rPr>
          <w:sz w:val="20"/>
          <w:szCs w:val="20"/>
          <w:color w:val="auto"/>
        </w:rPr>
      </w:pPr>
      <w:r>
        <w:rPr>
          <w:rFonts w:ascii="Courier New" w:cs="Courier New" w:eastAsia="Courier New" w:hAnsi="Courier New"/>
          <w:sz w:val="16"/>
          <w:szCs w:val="16"/>
          <w:color w:val="auto"/>
        </w:rPr>
        <w:t>N.A., as</w:t>
      </w:r>
    </w:p>
    <w:p>
      <w:pPr>
        <w:jc w:val="center"/>
        <w:ind w:right="8919"/>
        <w:spacing w:after="0" w:line="238" w:lineRule="auto"/>
        <w:rPr>
          <w:sz w:val="20"/>
          <w:szCs w:val="20"/>
          <w:color w:val="auto"/>
        </w:rPr>
      </w:pPr>
      <w:r>
        <w:rPr>
          <w:rFonts w:ascii="Courier New" w:cs="Courier New" w:eastAsia="Courier New" w:hAnsi="Courier New"/>
          <w:sz w:val="16"/>
          <w:szCs w:val="16"/>
          <w:color w:val="auto"/>
        </w:rPr>
        <w:t>Syndication</w:t>
      </w:r>
    </w:p>
    <w:p>
      <w:pPr>
        <w:jc w:val="center"/>
        <w:ind w:right="8919"/>
        <w:spacing w:after="0"/>
        <w:rPr>
          <w:sz w:val="20"/>
          <w:szCs w:val="20"/>
          <w:color w:val="auto"/>
        </w:rPr>
      </w:pPr>
      <w:r>
        <w:rPr>
          <w:rFonts w:ascii="Courier New" w:cs="Courier New" w:eastAsia="Courier New" w:hAnsi="Courier New"/>
          <w:sz w:val="16"/>
          <w:szCs w:val="16"/>
          <w:color w:val="auto"/>
        </w:rPr>
        <w:t>Agent,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 of</w:t>
      </w:r>
    </w:p>
    <w:p>
      <w:pPr>
        <w:jc w:val="center"/>
        <w:ind w:right="8919"/>
        <w:spacing w:after="0"/>
        <w:rPr>
          <w:sz w:val="20"/>
          <w:szCs w:val="20"/>
          <w:color w:val="auto"/>
        </w:rPr>
      </w:pPr>
      <w:r>
        <w:rPr>
          <w:rFonts w:ascii="Courier New" w:cs="Courier New" w:eastAsia="Courier New" w:hAnsi="Courier New"/>
          <w:sz w:val="16"/>
          <w:szCs w:val="16"/>
          <w:color w:val="auto"/>
        </w:rPr>
        <w:t>America,</w:t>
      </w:r>
    </w:p>
    <w:p>
      <w:pPr>
        <w:jc w:val="center"/>
        <w:ind w:right="8919"/>
        <w:spacing w:after="0" w:line="238" w:lineRule="auto"/>
        <w:rPr>
          <w:sz w:val="20"/>
          <w:szCs w:val="20"/>
          <w:color w:val="auto"/>
        </w:rPr>
      </w:pPr>
      <w:r>
        <w:rPr>
          <w:rFonts w:ascii="Courier New" w:cs="Courier New" w:eastAsia="Courier New" w:hAnsi="Courier New"/>
          <w:sz w:val="16"/>
          <w:szCs w:val="16"/>
          <w:color w:val="auto"/>
        </w:rPr>
        <w:t>N.A., Merrill</w:t>
      </w:r>
    </w:p>
    <w:p>
      <w:pPr>
        <w:sectPr>
          <w:pgSz w:w="11900" w:h="16838" w:orient="portrait"/>
          <w:cols w:equalWidth="0" w:num="1">
            <w:col w:w="10219"/>
          </w:cols>
          <w:pgMar w:left="240" w:top="136" w:right="1440" w:bottom="0" w:gutter="0" w:footer="0" w:header="0"/>
        </w:sectPr>
      </w:pPr>
    </w:p>
    <w:bookmarkStart w:id="346" w:name="page347"/>
    <w:bookmarkEnd w:id="346"/>
    <w:p>
      <w:pPr>
        <w:jc w:val="center"/>
        <w:ind w:right="8959"/>
        <w:spacing w:after="0"/>
        <w:rPr>
          <w:sz w:val="20"/>
          <w:szCs w:val="20"/>
          <w:color w:val="auto"/>
        </w:rPr>
      </w:pPr>
      <w:r>
        <w:rPr>
          <w:rFonts w:ascii="Courier New" w:cs="Courier New" w:eastAsia="Courier New" w:hAnsi="Courier New"/>
          <w:sz w:val="16"/>
          <w:szCs w:val="16"/>
          <w:color w:val="auto"/>
        </w:rPr>
        <w:t>Lynch &amp; Co.,</w:t>
      </w:r>
    </w:p>
    <w:p>
      <w:pPr>
        <w:jc w:val="center"/>
        <w:ind w:right="8959"/>
        <w:spacing w:after="0"/>
        <w:rPr>
          <w:sz w:val="20"/>
          <w:szCs w:val="20"/>
          <w:color w:val="auto"/>
        </w:rPr>
      </w:pPr>
      <w:r>
        <w:rPr>
          <w:rFonts w:ascii="Courier New" w:cs="Courier New" w:eastAsia="Courier New" w:hAnsi="Courier New"/>
          <w:sz w:val="16"/>
          <w:szCs w:val="16"/>
          <w:color w:val="auto"/>
        </w:rPr>
        <w:t>Merrill</w:t>
      </w:r>
    </w:p>
    <w:p>
      <w:pPr>
        <w:jc w:val="center"/>
        <w:ind w:right="8959"/>
        <w:spacing w:after="0" w:line="237" w:lineRule="auto"/>
        <w:rPr>
          <w:sz w:val="20"/>
          <w:szCs w:val="20"/>
          <w:color w:val="auto"/>
        </w:rPr>
      </w:pPr>
      <w:r>
        <w:rPr>
          <w:rFonts w:ascii="Courier New" w:cs="Courier New" w:eastAsia="Courier New" w:hAnsi="Courier New"/>
          <w:sz w:val="16"/>
          <w:szCs w:val="16"/>
          <w:color w:val="auto"/>
        </w:rPr>
        <w:t>Lynch,</w:t>
      </w:r>
    </w:p>
    <w:p>
      <w:pPr>
        <w:jc w:val="center"/>
        <w:ind w:right="8959"/>
        <w:spacing w:after="0"/>
        <w:rPr>
          <w:sz w:val="20"/>
          <w:szCs w:val="20"/>
          <w:color w:val="auto"/>
        </w:rPr>
      </w:pPr>
      <w:r>
        <w:rPr>
          <w:rFonts w:ascii="Courier New" w:cs="Courier New" w:eastAsia="Courier New" w:hAnsi="Courier New"/>
          <w:sz w:val="16"/>
          <w:szCs w:val="16"/>
          <w:color w:val="auto"/>
        </w:rPr>
        <w:t>Pierce,</w:t>
      </w:r>
    </w:p>
    <w:p>
      <w:pPr>
        <w:jc w:val="center"/>
        <w:ind w:right="8959"/>
        <w:spacing w:after="0" w:line="238" w:lineRule="auto"/>
        <w:rPr>
          <w:sz w:val="20"/>
          <w:szCs w:val="20"/>
          <w:color w:val="auto"/>
        </w:rPr>
      </w:pPr>
      <w:r>
        <w:rPr>
          <w:rFonts w:ascii="Courier New" w:cs="Courier New" w:eastAsia="Courier New" w:hAnsi="Courier New"/>
          <w:sz w:val="16"/>
          <w:szCs w:val="16"/>
          <w:color w:val="auto"/>
        </w:rPr>
        <w:t>Fenner &amp;</w:t>
      </w:r>
    </w:p>
    <w:p>
      <w:pPr>
        <w:jc w:val="center"/>
        <w:ind w:right="8959"/>
        <w:spacing w:after="0"/>
        <w:rPr>
          <w:sz w:val="20"/>
          <w:szCs w:val="20"/>
          <w:color w:val="auto"/>
        </w:rPr>
      </w:pPr>
      <w:r>
        <w:rPr>
          <w:rFonts w:ascii="Courier New" w:cs="Courier New" w:eastAsia="Courier New" w:hAnsi="Courier New"/>
          <w:sz w:val="16"/>
          <w:szCs w:val="16"/>
          <w:color w:val="auto"/>
        </w:rPr>
        <w:t>Smith</w:t>
      </w:r>
    </w:p>
    <w:p>
      <w:pPr>
        <w:jc w:val="center"/>
        <w:ind w:right="8959"/>
        <w:spacing w:after="0" w:line="238" w:lineRule="auto"/>
        <w:rPr>
          <w:sz w:val="20"/>
          <w:szCs w:val="20"/>
          <w:color w:val="auto"/>
        </w:rPr>
      </w:pPr>
      <w:r>
        <w:rPr>
          <w:rFonts w:ascii="Courier New" w:cs="Courier New" w:eastAsia="Courier New" w:hAnsi="Courier New"/>
          <w:sz w:val="16"/>
          <w:szCs w:val="16"/>
          <w:color w:val="auto"/>
        </w:rPr>
        <w:t>Incorporated</w:t>
      </w:r>
    </w:p>
    <w:p>
      <w:pPr>
        <w:jc w:val="center"/>
        <w:ind w:right="8959"/>
        <w:spacing w:after="0"/>
        <w:rPr>
          <w:sz w:val="20"/>
          <w:szCs w:val="20"/>
          <w:color w:val="auto"/>
        </w:rPr>
      </w:pPr>
      <w:r>
        <w:rPr>
          <w:rFonts w:ascii="Courier New" w:cs="Courier New" w:eastAsia="Courier New" w:hAnsi="Courier New"/>
          <w:sz w:val="16"/>
          <w:szCs w:val="16"/>
          <w:color w:val="auto"/>
        </w:rPr>
        <w:t>and Morgan</w:t>
      </w:r>
    </w:p>
    <w:p>
      <w:pPr>
        <w:jc w:val="center"/>
        <w:ind w:right="8959"/>
        <w:spacing w:after="0" w:line="237" w:lineRule="auto"/>
        <w:rPr>
          <w:sz w:val="20"/>
          <w:szCs w:val="20"/>
          <w:color w:val="auto"/>
        </w:rPr>
      </w:pPr>
      <w:r>
        <w:rPr>
          <w:rFonts w:ascii="Courier New" w:cs="Courier New" w:eastAsia="Courier New" w:hAnsi="Courier New"/>
          <w:sz w:val="16"/>
          <w:szCs w:val="16"/>
          <w:color w:val="auto"/>
        </w:rPr>
        <w:t>Stanley</w:t>
      </w:r>
    </w:p>
    <w:p>
      <w:pPr>
        <w:jc w:val="center"/>
        <w:ind w:right="8959"/>
        <w:spacing w:after="0"/>
        <w:rPr>
          <w:sz w:val="20"/>
          <w:szCs w:val="20"/>
          <w:color w:val="auto"/>
        </w:rPr>
      </w:pPr>
      <w:r>
        <w:rPr>
          <w:rFonts w:ascii="Courier New" w:cs="Courier New" w:eastAsia="Courier New" w:hAnsi="Courier New"/>
          <w:sz w:val="16"/>
          <w:szCs w:val="16"/>
          <w:color w:val="auto"/>
        </w:rPr>
        <w:t>Senior</w:t>
      </w:r>
    </w:p>
    <w:p>
      <w:pPr>
        <w:jc w:val="center"/>
        <w:ind w:right="8959"/>
        <w:spacing w:after="0" w:line="238" w:lineRule="auto"/>
        <w:rPr>
          <w:sz w:val="20"/>
          <w:szCs w:val="20"/>
          <w:color w:val="auto"/>
        </w:rPr>
      </w:pPr>
      <w:r>
        <w:rPr>
          <w:rFonts w:ascii="Courier New" w:cs="Courier New" w:eastAsia="Courier New" w:hAnsi="Courier New"/>
          <w:sz w:val="16"/>
          <w:szCs w:val="16"/>
          <w:color w:val="auto"/>
        </w:rPr>
        <w:t>Funding,</w:t>
      </w:r>
    </w:p>
    <w:p>
      <w:pPr>
        <w:jc w:val="center"/>
        <w:ind w:right="8959"/>
        <w:spacing w:after="0"/>
        <w:rPr>
          <w:sz w:val="20"/>
          <w:szCs w:val="20"/>
          <w:color w:val="auto"/>
        </w:rPr>
      </w:pPr>
      <w:r>
        <w:rPr>
          <w:rFonts w:ascii="Courier New" w:cs="Courier New" w:eastAsia="Courier New" w:hAnsi="Courier New"/>
          <w:sz w:val="16"/>
          <w:szCs w:val="16"/>
          <w:color w:val="auto"/>
        </w:rPr>
        <w:t>Inc., as Co-</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Documentation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Agents.(5)</w:t>
      </w:r>
    </w:p>
    <w:p>
      <w:pPr>
        <w:spacing w:after="0" w:line="200" w:lineRule="exact"/>
        <w:rPr>
          <w:sz w:val="20"/>
          <w:szCs w:val="20"/>
          <w:color w:val="auto"/>
        </w:rPr>
      </w:pPr>
    </w:p>
    <w:p>
      <w:pPr>
        <w:spacing w:after="0" w:line="34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179"/>
          </w:cols>
          <w:pgMar w:left="280" w:top="136" w:right="1440" w:bottom="1440" w:gutter="0" w:footer="0" w:header="0"/>
        </w:sectPr>
      </w:pPr>
    </w:p>
    <w:bookmarkStart w:id="347" w:name="page348"/>
    <w:bookmarkEnd w:id="347"/>
    <w:p>
      <w:pPr>
        <w:spacing w:after="0" w:line="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EXHIBIT NO. DOCUMENT</w:t>
      </w:r>
    </w:p>
    <w:p>
      <w:pPr>
        <w:ind w:left="360" w:hanging="180"/>
        <w:spacing w:after="0"/>
        <w:tabs>
          <w:tab w:leader="none" w:pos="360"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4.22 Credit Agreement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dated as of May 3,</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among AT&amp;T</w:t>
      </w:r>
    </w:p>
    <w:p>
      <w:pPr>
        <w:spacing w:after="0" w:line="3" w:lineRule="exact"/>
        <w:rPr>
          <w:rFonts w:ascii="Courier New" w:cs="Courier New" w:eastAsia="Courier New" w:hAnsi="Courier New"/>
          <w:sz w:val="16"/>
          <w:szCs w:val="16"/>
          <w:color w:val="auto"/>
        </w:rPr>
      </w:pPr>
    </w:p>
    <w:p>
      <w:pPr>
        <w:jc w:val="center"/>
        <w:ind w:left="40" w:right="82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Broadband Corp., AT&amp;T Comcast Corporation, the Financial Institutions party thereto, JPMorgan Chase Bank, as Administrative Agent, Citibank, N.A., Bank of America, N.A., Merrill Lynch Capital Corporation and Morgan Stanley Senior Funding, Inc.(5) 5.1 Opinion of Robert S. Feit with respect to the New AT&amp;T Notes and the Broadband Exchange Notes. 5.2 Opinion of James N. Zerefos with respect to the Broadband Exchange Notes. 5.3 Opinion of Davis Polk</w:t>
      </w:r>
    </w:p>
    <w:p>
      <w:pPr>
        <w:spacing w:after="0" w:line="12" w:lineRule="exact"/>
        <w:rPr>
          <w:rFonts w:ascii="Courier New" w:cs="Courier New" w:eastAsia="Courier New" w:hAnsi="Courier New"/>
          <w:sz w:val="16"/>
          <w:szCs w:val="16"/>
          <w:color w:val="auto"/>
        </w:rPr>
      </w:pPr>
    </w:p>
    <w:p>
      <w:pPr>
        <w:ind w:left="180" w:right="8359" w:firstLine="141"/>
        <w:spacing w:after="0" w:line="254" w:lineRule="auto"/>
        <w:tabs>
          <w:tab w:leader="none" w:pos="508"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Wardwell with respect to the New</w:t>
      </w:r>
    </w:p>
    <w:p>
      <w:pPr>
        <w:jc w:val="center"/>
        <w:ind w:right="8159"/>
        <w:spacing w:after="0" w:line="234" w:lineRule="auto"/>
        <w:rPr>
          <w:sz w:val="20"/>
          <w:szCs w:val="20"/>
          <w:color w:val="auto"/>
        </w:rPr>
      </w:pPr>
      <w:r>
        <w:rPr>
          <w:rFonts w:ascii="Courier New" w:cs="Courier New" w:eastAsia="Courier New" w:hAnsi="Courier New"/>
          <w:sz w:val="16"/>
          <w:szCs w:val="16"/>
          <w:color w:val="auto"/>
        </w:rPr>
        <w:t>Broadband Notes. 12.1</w:t>
      </w:r>
    </w:p>
    <w:p>
      <w:pPr>
        <w:jc w:val="center"/>
        <w:ind w:right="8159"/>
        <w:spacing w:after="0"/>
        <w:rPr>
          <w:sz w:val="20"/>
          <w:szCs w:val="20"/>
          <w:color w:val="auto"/>
        </w:rPr>
      </w:pPr>
      <w:r>
        <w:rPr>
          <w:rFonts w:ascii="Courier New" w:cs="Courier New" w:eastAsia="Courier New" w:hAnsi="Courier New"/>
          <w:sz w:val="16"/>
          <w:szCs w:val="16"/>
          <w:color w:val="auto"/>
        </w:rPr>
        <w:t>Statement Regarding</w:t>
      </w:r>
    </w:p>
    <w:p>
      <w:pPr>
        <w:jc w:val="center"/>
        <w:ind w:right="8159"/>
        <w:spacing w:after="0" w:line="238" w:lineRule="auto"/>
        <w:rPr>
          <w:sz w:val="20"/>
          <w:szCs w:val="20"/>
          <w:color w:val="auto"/>
        </w:rPr>
      </w:pPr>
      <w:r>
        <w:rPr>
          <w:rFonts w:ascii="Courier New" w:cs="Courier New" w:eastAsia="Courier New" w:hAnsi="Courier New"/>
          <w:sz w:val="16"/>
          <w:szCs w:val="16"/>
          <w:color w:val="auto"/>
        </w:rPr>
        <w:t>Computation of Ratio</w:t>
      </w:r>
    </w:p>
    <w:p>
      <w:pPr>
        <w:jc w:val="center"/>
        <w:ind w:right="8159"/>
        <w:spacing w:after="0"/>
        <w:rPr>
          <w:sz w:val="20"/>
          <w:szCs w:val="20"/>
          <w:color w:val="auto"/>
        </w:rPr>
      </w:pPr>
      <w:r>
        <w:rPr>
          <w:rFonts w:ascii="Courier New" w:cs="Courier New" w:eastAsia="Courier New" w:hAnsi="Courier New"/>
          <w:sz w:val="16"/>
          <w:szCs w:val="16"/>
          <w:color w:val="auto"/>
        </w:rPr>
        <w:t>of Earnings to Fixed</w:t>
      </w:r>
    </w:p>
    <w:p>
      <w:pPr>
        <w:jc w:val="center"/>
        <w:ind w:right="8159"/>
        <w:spacing w:after="0" w:line="238" w:lineRule="auto"/>
        <w:rPr>
          <w:sz w:val="20"/>
          <w:szCs w:val="20"/>
          <w:color w:val="auto"/>
        </w:rPr>
      </w:pPr>
      <w:r>
        <w:rPr>
          <w:rFonts w:ascii="Courier New" w:cs="Courier New" w:eastAsia="Courier New" w:hAnsi="Courier New"/>
          <w:sz w:val="16"/>
          <w:szCs w:val="16"/>
          <w:color w:val="auto"/>
        </w:rPr>
        <w:t>Charges for AT&amp;T</w:t>
      </w:r>
    </w:p>
    <w:p>
      <w:pPr>
        <w:jc w:val="center"/>
        <w:ind w:right="8159"/>
        <w:spacing w:after="0"/>
        <w:rPr>
          <w:sz w:val="20"/>
          <w:szCs w:val="20"/>
          <w:color w:val="auto"/>
        </w:rPr>
      </w:pPr>
      <w:r>
        <w:rPr>
          <w:rFonts w:ascii="Courier New" w:cs="Courier New" w:eastAsia="Courier New" w:hAnsi="Courier New"/>
          <w:sz w:val="16"/>
          <w:szCs w:val="16"/>
          <w:color w:val="auto"/>
        </w:rPr>
        <w:t>Corp.(6) 12.2</w:t>
      </w:r>
    </w:p>
    <w:p>
      <w:pPr>
        <w:jc w:val="center"/>
        <w:ind w:right="8159"/>
        <w:spacing w:after="0" w:line="237" w:lineRule="auto"/>
        <w:rPr>
          <w:sz w:val="20"/>
          <w:szCs w:val="20"/>
          <w:color w:val="auto"/>
        </w:rPr>
      </w:pPr>
      <w:r>
        <w:rPr>
          <w:rFonts w:ascii="Courier New" w:cs="Courier New" w:eastAsia="Courier New" w:hAnsi="Courier New"/>
          <w:sz w:val="16"/>
          <w:szCs w:val="16"/>
          <w:color w:val="auto"/>
        </w:rPr>
        <w:t>Statement Regarding</w:t>
      </w:r>
    </w:p>
    <w:p>
      <w:pPr>
        <w:jc w:val="center"/>
        <w:ind w:right="8159"/>
        <w:spacing w:after="0"/>
        <w:rPr>
          <w:sz w:val="20"/>
          <w:szCs w:val="20"/>
          <w:color w:val="auto"/>
        </w:rPr>
      </w:pPr>
      <w:r>
        <w:rPr>
          <w:rFonts w:ascii="Courier New" w:cs="Courier New" w:eastAsia="Courier New" w:hAnsi="Courier New"/>
          <w:sz w:val="16"/>
          <w:szCs w:val="16"/>
          <w:color w:val="auto"/>
        </w:rPr>
        <w:t>Computation of Ratio</w:t>
      </w:r>
    </w:p>
    <w:p>
      <w:pPr>
        <w:jc w:val="center"/>
        <w:ind w:right="8159"/>
        <w:spacing w:after="0" w:line="238" w:lineRule="auto"/>
        <w:rPr>
          <w:sz w:val="20"/>
          <w:szCs w:val="20"/>
          <w:color w:val="auto"/>
        </w:rPr>
      </w:pPr>
      <w:r>
        <w:rPr>
          <w:rFonts w:ascii="Courier New" w:cs="Courier New" w:eastAsia="Courier New" w:hAnsi="Courier New"/>
          <w:sz w:val="16"/>
          <w:szCs w:val="16"/>
          <w:color w:val="auto"/>
        </w:rPr>
        <w:t>of Earnings to Fixed</w:t>
      </w:r>
    </w:p>
    <w:p>
      <w:pPr>
        <w:jc w:val="center"/>
        <w:ind w:right="8159"/>
        <w:spacing w:after="0"/>
        <w:rPr>
          <w:sz w:val="20"/>
          <w:szCs w:val="20"/>
          <w:color w:val="auto"/>
        </w:rPr>
      </w:pPr>
      <w:r>
        <w:rPr>
          <w:rFonts w:ascii="Courier New" w:cs="Courier New" w:eastAsia="Courier New" w:hAnsi="Courier New"/>
          <w:sz w:val="16"/>
          <w:szCs w:val="16"/>
          <w:color w:val="auto"/>
        </w:rPr>
        <w:t>Charges for AT&amp;T</w:t>
      </w:r>
    </w:p>
    <w:p>
      <w:pPr>
        <w:jc w:val="center"/>
        <w:ind w:right="8159"/>
        <w:spacing w:after="0" w:line="238" w:lineRule="auto"/>
        <w:rPr>
          <w:sz w:val="20"/>
          <w:szCs w:val="20"/>
          <w:color w:val="auto"/>
        </w:rPr>
      </w:pPr>
      <w:r>
        <w:rPr>
          <w:rFonts w:ascii="Courier New" w:cs="Courier New" w:eastAsia="Courier New" w:hAnsi="Courier New"/>
          <w:sz w:val="16"/>
          <w:szCs w:val="16"/>
          <w:color w:val="auto"/>
        </w:rPr>
        <w:t>Broadband Corp.(6)</w:t>
      </w:r>
    </w:p>
    <w:p>
      <w:pPr>
        <w:jc w:val="center"/>
        <w:ind w:right="8159"/>
        <w:spacing w:after="0"/>
        <w:rPr>
          <w:sz w:val="20"/>
          <w:szCs w:val="20"/>
          <w:color w:val="auto"/>
        </w:rPr>
      </w:pPr>
      <w:r>
        <w:rPr>
          <w:rFonts w:ascii="Courier New" w:cs="Courier New" w:eastAsia="Courier New" w:hAnsi="Courier New"/>
          <w:sz w:val="16"/>
          <w:szCs w:val="16"/>
          <w:color w:val="auto"/>
        </w:rPr>
        <w:t>12.3 Statement</w:t>
      </w:r>
    </w:p>
    <w:p>
      <w:pPr>
        <w:jc w:val="center"/>
        <w:ind w:right="815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59"/>
        <w:spacing w:after="0"/>
        <w:rPr>
          <w:sz w:val="20"/>
          <w:szCs w:val="20"/>
          <w:color w:val="auto"/>
        </w:rPr>
      </w:pPr>
      <w:r>
        <w:rPr>
          <w:rFonts w:ascii="Courier New" w:cs="Courier New" w:eastAsia="Courier New" w:hAnsi="Courier New"/>
          <w:sz w:val="16"/>
          <w:szCs w:val="16"/>
          <w:color w:val="auto"/>
        </w:rPr>
        <w:t>of Ratio of Earnings</w:t>
      </w:r>
    </w:p>
    <w:p>
      <w:pPr>
        <w:jc w:val="center"/>
        <w:ind w:right="8159"/>
        <w:spacing w:after="0" w:line="238" w:lineRule="auto"/>
        <w:rPr>
          <w:sz w:val="20"/>
          <w:szCs w:val="20"/>
          <w:color w:val="auto"/>
        </w:rPr>
      </w:pPr>
      <w:r>
        <w:rPr>
          <w:rFonts w:ascii="Courier New" w:cs="Courier New" w:eastAsia="Courier New" w:hAnsi="Courier New"/>
          <w:sz w:val="16"/>
          <w:szCs w:val="16"/>
          <w:color w:val="auto"/>
        </w:rPr>
        <w:t>to Fixed Charges for</w:t>
      </w:r>
    </w:p>
    <w:p>
      <w:pPr>
        <w:jc w:val="center"/>
        <w:ind w:right="8159"/>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40" w:right="8219" w:firstLine="140"/>
        <w:spacing w:after="0" w:line="254" w:lineRule="auto"/>
        <w:tabs>
          <w:tab w:leader="none" w:pos="556"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12.4 Statement Regarding Computation of Ratio of Earnings to Fixed Charges for</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Comcast Cable</w:t>
      </w: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Communications, Inc.</w:t>
      </w:r>
    </w:p>
    <w:p>
      <w:pPr>
        <w:spacing w:after="0" w:line="3" w:lineRule="exact"/>
        <w:rPr>
          <w:rFonts w:ascii="Courier New" w:cs="Courier New" w:eastAsia="Courier New" w:hAnsi="Courier New"/>
          <w:sz w:val="15"/>
          <w:szCs w:val="15"/>
          <w:color w:val="auto"/>
        </w:rPr>
      </w:pPr>
    </w:p>
    <w:p>
      <w:pPr>
        <w:ind w:left="40" w:right="8219" w:firstLine="140"/>
        <w:spacing w:after="0" w:line="254" w:lineRule="auto"/>
        <w:tabs>
          <w:tab w:leader="none" w:pos="556"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Statement Regarding Computation of Ratio of Earnings to Fixed Charges with</w:t>
      </w:r>
    </w:p>
    <w:p>
      <w:pPr>
        <w:spacing w:after="0" w:line="2" w:lineRule="exact"/>
        <w:rPr>
          <w:rFonts w:ascii="Courier New" w:cs="Courier New" w:eastAsia="Courier New" w:hAnsi="Courier New"/>
          <w:sz w:val="15"/>
          <w:szCs w:val="15"/>
          <w:color w:val="auto"/>
        </w:rPr>
      </w:pPr>
    </w:p>
    <w:p>
      <w:pPr>
        <w:jc w:val="both"/>
        <w:ind w:left="80" w:right="8259" w:firstLine="4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respect to MediaOne Group, Inc.(6) 12.6 Statement Regarding Computation of Ratio of Earnings to Fixed Charges with respect</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AT&amp;T Broadband,</w:t>
      </w:r>
    </w:p>
    <w:p>
      <w:pPr>
        <w:ind w:left="4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LLC.(6) 12.7</w:t>
      </w:r>
    </w:p>
    <w:p>
      <w:pPr>
        <w:spacing w:after="0" w:line="3" w:lineRule="exact"/>
        <w:rPr>
          <w:rFonts w:ascii="Courier New" w:cs="Courier New" w:eastAsia="Courier New" w:hAnsi="Courier New"/>
          <w:sz w:val="15"/>
          <w:szCs w:val="15"/>
          <w:color w:val="auto"/>
        </w:rPr>
      </w:pPr>
    </w:p>
    <w:p>
      <w:pPr>
        <w:jc w:val="center"/>
        <w:ind w:right="8159" w:firstLine="137"/>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Regarding Computation of Ratio of Earnings to Fixed Charges with respect to AT&amp;T Comcast Corporation.(6) 23.1 Consent of Deloitte &amp; Touche LLP with respect to AT&amp;T Comcast Corporation. 23.2 Consent of Deloitte &amp; Touche LLP with respect to Comcast Cable Communications, Inc. 23.3 Consent of Deloitte &amp; Touche LLP with respect to Comcast Corporation. 23.4 Consent of PricewaterhouseCoopers LLP with respect to AT&amp;T Corp. 23.5 Consent of</w:t>
      </w:r>
    </w:p>
    <w:p>
      <w:pPr>
        <w:sectPr>
          <w:pgSz w:w="11900" w:h="16916" w:orient="portrait"/>
          <w:cols w:equalWidth="0" w:num="1">
            <w:col w:w="10219"/>
          </w:cols>
          <w:pgMar w:left="240" w:top="834" w:right="1440" w:bottom="0" w:gutter="0" w:footer="0" w:header="0"/>
        </w:sectPr>
      </w:pPr>
    </w:p>
    <w:bookmarkStart w:id="348" w:name="page349"/>
    <w:bookmarkEnd w:id="348"/>
    <w:p>
      <w:pPr>
        <w:jc w:val="center"/>
        <w:ind w:right="8159"/>
        <w:spacing w:after="0"/>
        <w:rPr>
          <w:sz w:val="20"/>
          <w:szCs w:val="20"/>
          <w:color w:val="auto"/>
        </w:rPr>
      </w:pPr>
      <w:r>
        <w:rPr>
          <w:rFonts w:ascii="Courier New" w:cs="Courier New" w:eastAsia="Courier New" w:hAnsi="Courier New"/>
          <w:sz w:val="15"/>
          <w:szCs w:val="15"/>
          <w:color w:val="auto"/>
        </w:rPr>
        <w:t>PricewaterhouseCoopers</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LLP with respect to</w:t>
      </w:r>
    </w:p>
    <w:p>
      <w:pPr>
        <w:jc w:val="center"/>
        <w:ind w:right="8159"/>
        <w:spacing w:after="0"/>
        <w:rPr>
          <w:sz w:val="20"/>
          <w:szCs w:val="20"/>
          <w:color w:val="auto"/>
        </w:rPr>
      </w:pPr>
      <w:r>
        <w:rPr>
          <w:rFonts w:ascii="Courier New" w:cs="Courier New" w:eastAsia="Courier New" w:hAnsi="Courier New"/>
          <w:sz w:val="16"/>
          <w:szCs w:val="16"/>
          <w:color w:val="auto"/>
        </w:rPr>
        <w:t>AT&amp;T Broadband Corp.</w:t>
      </w:r>
    </w:p>
    <w:p>
      <w:pPr>
        <w:jc w:val="center"/>
        <w:ind w:right="8159"/>
        <w:spacing w:after="0" w:line="237" w:lineRule="auto"/>
        <w:rPr>
          <w:sz w:val="20"/>
          <w:szCs w:val="20"/>
          <w:color w:val="auto"/>
        </w:rPr>
      </w:pPr>
      <w:r>
        <w:rPr>
          <w:rFonts w:ascii="Courier New" w:cs="Courier New" w:eastAsia="Courier New" w:hAnsi="Courier New"/>
          <w:sz w:val="16"/>
          <w:szCs w:val="16"/>
          <w:color w:val="auto"/>
        </w:rPr>
        <w:t>23.6 Consent of</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5"/>
          <w:szCs w:val="15"/>
          <w:color w:val="auto"/>
        </w:rPr>
        <w:t>PricewaterhouseCoopers</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LLP with respect to</w:t>
      </w:r>
    </w:p>
    <w:p>
      <w:pPr>
        <w:jc w:val="center"/>
        <w:ind w:right="8159"/>
        <w:spacing w:after="0"/>
        <w:rPr>
          <w:sz w:val="20"/>
          <w:szCs w:val="20"/>
          <w:color w:val="auto"/>
        </w:rPr>
      </w:pPr>
      <w:r>
        <w:rPr>
          <w:rFonts w:ascii="Courier New" w:cs="Courier New" w:eastAsia="Courier New" w:hAnsi="Courier New"/>
          <w:sz w:val="16"/>
          <w:szCs w:val="16"/>
          <w:color w:val="auto"/>
        </w:rPr>
        <w:t>AT&amp;T Broadband Group.</w:t>
      </w:r>
    </w:p>
    <w:p>
      <w:pPr>
        <w:jc w:val="center"/>
        <w:ind w:right="8159"/>
        <w:spacing w:after="0" w:line="237" w:lineRule="auto"/>
        <w:rPr>
          <w:sz w:val="20"/>
          <w:szCs w:val="20"/>
          <w:color w:val="auto"/>
        </w:rPr>
      </w:pPr>
      <w:r>
        <w:rPr>
          <w:rFonts w:ascii="Courier New" w:cs="Courier New" w:eastAsia="Courier New" w:hAnsi="Courier New"/>
          <w:sz w:val="16"/>
          <w:szCs w:val="16"/>
          <w:color w:val="auto"/>
        </w:rPr>
        <w:t>23.7 Consent of</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5"/>
          <w:szCs w:val="15"/>
          <w:color w:val="auto"/>
        </w:rPr>
        <w:t>PricewaterhouseCoopers</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LLP with respect to</w:t>
      </w:r>
    </w:p>
    <w:p>
      <w:pPr>
        <w:jc w:val="center"/>
        <w:ind w:right="8159"/>
        <w:spacing w:after="0"/>
        <w:rPr>
          <w:sz w:val="20"/>
          <w:szCs w:val="20"/>
          <w:color w:val="auto"/>
        </w:rPr>
      </w:pPr>
      <w:r>
        <w:rPr>
          <w:rFonts w:ascii="Courier New" w:cs="Courier New" w:eastAsia="Courier New" w:hAnsi="Courier New"/>
          <w:sz w:val="16"/>
          <w:szCs w:val="16"/>
          <w:color w:val="auto"/>
        </w:rPr>
        <w:t>Concert, B.V. 23.8</w:t>
      </w:r>
    </w:p>
    <w:p>
      <w:pPr>
        <w:jc w:val="center"/>
        <w:ind w:right="8159"/>
        <w:spacing w:after="0" w:line="237" w:lineRule="auto"/>
        <w:rPr>
          <w:sz w:val="20"/>
          <w:szCs w:val="20"/>
          <w:color w:val="auto"/>
        </w:rPr>
      </w:pPr>
      <w:r>
        <w:rPr>
          <w:rFonts w:ascii="Courier New" w:cs="Courier New" w:eastAsia="Courier New" w:hAnsi="Courier New"/>
          <w:sz w:val="16"/>
          <w:szCs w:val="16"/>
          <w:color w:val="auto"/>
        </w:rPr>
        <w:t>Consent of KPMG LLP</w:t>
      </w:r>
    </w:p>
    <w:p>
      <w:pPr>
        <w:jc w:val="center"/>
        <w:ind w:right="8159"/>
        <w:spacing w:after="0"/>
        <w:rPr>
          <w:sz w:val="20"/>
          <w:szCs w:val="20"/>
          <w:color w:val="auto"/>
        </w:rPr>
      </w:pPr>
      <w:r>
        <w:rPr>
          <w:rFonts w:ascii="Courier New" w:cs="Courier New" w:eastAsia="Courier New" w:hAnsi="Courier New"/>
          <w:sz w:val="16"/>
          <w:szCs w:val="16"/>
          <w:color w:val="auto"/>
        </w:rPr>
        <w:t>with respect to AT&amp;T</w:t>
      </w:r>
    </w:p>
    <w:p>
      <w:pPr>
        <w:jc w:val="center"/>
        <w:ind w:right="8159"/>
        <w:spacing w:after="0" w:line="238" w:lineRule="auto"/>
        <w:rPr>
          <w:sz w:val="20"/>
          <w:szCs w:val="20"/>
          <w:color w:val="auto"/>
        </w:rPr>
      </w:pPr>
      <w:r>
        <w:rPr>
          <w:rFonts w:ascii="Courier New" w:cs="Courier New" w:eastAsia="Courier New" w:hAnsi="Courier New"/>
          <w:sz w:val="16"/>
          <w:szCs w:val="16"/>
          <w:color w:val="auto"/>
        </w:rPr>
        <w:t>Canada Inc. 23.9</w:t>
      </w:r>
    </w:p>
    <w:p>
      <w:pPr>
        <w:jc w:val="center"/>
        <w:ind w:right="8159"/>
        <w:spacing w:after="0"/>
        <w:rPr>
          <w:sz w:val="20"/>
          <w:szCs w:val="20"/>
          <w:color w:val="auto"/>
        </w:rPr>
      </w:pPr>
      <w:r>
        <w:rPr>
          <w:rFonts w:ascii="Courier New" w:cs="Courier New" w:eastAsia="Courier New" w:hAnsi="Courier New"/>
          <w:sz w:val="16"/>
          <w:szCs w:val="16"/>
          <w:color w:val="auto"/>
        </w:rPr>
        <w:t>Consent of KPMG LLP</w:t>
      </w:r>
    </w:p>
    <w:p>
      <w:pPr>
        <w:jc w:val="center"/>
        <w:ind w:right="8159"/>
        <w:spacing w:after="0" w:line="238" w:lineRule="auto"/>
        <w:rPr>
          <w:sz w:val="20"/>
          <w:szCs w:val="20"/>
          <w:color w:val="auto"/>
        </w:rPr>
      </w:pPr>
      <w:r>
        <w:rPr>
          <w:rFonts w:ascii="Courier New" w:cs="Courier New" w:eastAsia="Courier New" w:hAnsi="Courier New"/>
          <w:sz w:val="16"/>
          <w:szCs w:val="16"/>
          <w:color w:val="auto"/>
        </w:rPr>
        <w:t>with respect to</w:t>
      </w:r>
    </w:p>
    <w:p>
      <w:pPr>
        <w:jc w:val="center"/>
        <w:ind w:right="8159"/>
        <w:spacing w:after="0"/>
        <w:rPr>
          <w:sz w:val="20"/>
          <w:szCs w:val="20"/>
          <w:color w:val="auto"/>
        </w:rPr>
      </w:pPr>
      <w:r>
        <w:rPr>
          <w:rFonts w:ascii="Courier New" w:cs="Courier New" w:eastAsia="Courier New" w:hAnsi="Courier New"/>
          <w:sz w:val="16"/>
          <w:szCs w:val="16"/>
          <w:color w:val="auto"/>
        </w:rPr>
        <w:t>Liberty Media</w:t>
      </w:r>
    </w:p>
    <w:p>
      <w:pPr>
        <w:jc w:val="center"/>
        <w:ind w:right="8159"/>
        <w:spacing w:after="0" w:line="237" w:lineRule="auto"/>
        <w:rPr>
          <w:sz w:val="20"/>
          <w:szCs w:val="20"/>
          <w:color w:val="auto"/>
        </w:rPr>
      </w:pPr>
      <w:r>
        <w:rPr>
          <w:rFonts w:ascii="Courier New" w:cs="Courier New" w:eastAsia="Courier New" w:hAnsi="Courier New"/>
          <w:sz w:val="16"/>
          <w:szCs w:val="16"/>
          <w:color w:val="auto"/>
        </w:rPr>
        <w:t>Corporation. 23.10</w:t>
      </w:r>
    </w:p>
    <w:p>
      <w:pPr>
        <w:jc w:val="center"/>
        <w:ind w:right="8159"/>
        <w:spacing w:after="0"/>
        <w:rPr>
          <w:sz w:val="20"/>
          <w:szCs w:val="20"/>
          <w:color w:val="auto"/>
        </w:rPr>
      </w:pPr>
      <w:r>
        <w:rPr>
          <w:rFonts w:ascii="Courier New" w:cs="Courier New" w:eastAsia="Courier New" w:hAnsi="Courier New"/>
          <w:sz w:val="16"/>
          <w:szCs w:val="16"/>
          <w:color w:val="auto"/>
        </w:rPr>
        <w:t>Consent of Robert S.</w:t>
      </w:r>
    </w:p>
    <w:p>
      <w:pPr>
        <w:jc w:val="center"/>
        <w:ind w:right="8159"/>
        <w:spacing w:after="0" w:line="238" w:lineRule="auto"/>
        <w:rPr>
          <w:sz w:val="20"/>
          <w:szCs w:val="20"/>
          <w:color w:val="auto"/>
        </w:rPr>
      </w:pPr>
      <w:r>
        <w:rPr>
          <w:rFonts w:ascii="Courier New" w:cs="Courier New" w:eastAsia="Courier New" w:hAnsi="Courier New"/>
          <w:sz w:val="16"/>
          <w:szCs w:val="16"/>
          <w:color w:val="auto"/>
        </w:rPr>
        <w:t>Feit (included in</w:t>
      </w:r>
    </w:p>
    <w:p>
      <w:pPr>
        <w:jc w:val="center"/>
        <w:ind w:right="8159"/>
        <w:spacing w:after="0"/>
        <w:rPr>
          <w:sz w:val="20"/>
          <w:szCs w:val="20"/>
          <w:color w:val="auto"/>
        </w:rPr>
      </w:pPr>
      <w:r>
        <w:rPr>
          <w:rFonts w:ascii="Courier New" w:cs="Courier New" w:eastAsia="Courier New" w:hAnsi="Courier New"/>
          <w:sz w:val="16"/>
          <w:szCs w:val="16"/>
          <w:color w:val="auto"/>
        </w:rPr>
        <w:t>Exhibit 5.1). 23.11</w:t>
      </w:r>
    </w:p>
    <w:p>
      <w:pPr>
        <w:jc w:val="center"/>
        <w:ind w:right="8159"/>
        <w:spacing w:after="0" w:line="238" w:lineRule="auto"/>
        <w:rPr>
          <w:sz w:val="20"/>
          <w:szCs w:val="20"/>
          <w:color w:val="auto"/>
        </w:rPr>
      </w:pPr>
      <w:r>
        <w:rPr>
          <w:rFonts w:ascii="Courier New" w:cs="Courier New" w:eastAsia="Courier New" w:hAnsi="Courier New"/>
          <w:sz w:val="16"/>
          <w:szCs w:val="16"/>
          <w:color w:val="auto"/>
        </w:rPr>
        <w:t>Consent of James N.</w:t>
      </w:r>
    </w:p>
    <w:p>
      <w:pPr>
        <w:jc w:val="center"/>
        <w:ind w:right="8159"/>
        <w:spacing w:after="0"/>
        <w:rPr>
          <w:sz w:val="20"/>
          <w:szCs w:val="20"/>
          <w:color w:val="auto"/>
        </w:rPr>
      </w:pPr>
      <w:r>
        <w:rPr>
          <w:rFonts w:ascii="Courier New" w:cs="Courier New" w:eastAsia="Courier New" w:hAnsi="Courier New"/>
          <w:sz w:val="16"/>
          <w:szCs w:val="16"/>
          <w:color w:val="auto"/>
        </w:rPr>
        <w:t>Zerefos (included in</w:t>
      </w:r>
    </w:p>
    <w:p>
      <w:pPr>
        <w:jc w:val="center"/>
        <w:ind w:right="8159"/>
        <w:spacing w:after="0" w:line="237" w:lineRule="auto"/>
        <w:rPr>
          <w:sz w:val="20"/>
          <w:szCs w:val="20"/>
          <w:color w:val="auto"/>
        </w:rPr>
      </w:pPr>
      <w:r>
        <w:rPr>
          <w:rFonts w:ascii="Courier New" w:cs="Courier New" w:eastAsia="Courier New" w:hAnsi="Courier New"/>
          <w:sz w:val="16"/>
          <w:szCs w:val="16"/>
          <w:color w:val="auto"/>
        </w:rPr>
        <w:t>Exhibit 5.2). 23.12</w:t>
      </w:r>
    </w:p>
    <w:p>
      <w:pPr>
        <w:jc w:val="center"/>
        <w:ind w:right="8159"/>
        <w:spacing w:after="0"/>
        <w:rPr>
          <w:sz w:val="20"/>
          <w:szCs w:val="20"/>
          <w:color w:val="auto"/>
        </w:rPr>
      </w:pPr>
      <w:r>
        <w:rPr>
          <w:rFonts w:ascii="Courier New" w:cs="Courier New" w:eastAsia="Courier New" w:hAnsi="Courier New"/>
          <w:sz w:val="16"/>
          <w:szCs w:val="16"/>
          <w:color w:val="auto"/>
        </w:rPr>
        <w:t>Consent of Davis Polk</w:t>
      </w:r>
    </w:p>
    <w:p>
      <w:pPr>
        <w:spacing w:after="0" w:line="4" w:lineRule="exact"/>
        <w:rPr>
          <w:sz w:val="20"/>
          <w:szCs w:val="20"/>
          <w:color w:val="auto"/>
        </w:rPr>
      </w:pPr>
    </w:p>
    <w:p>
      <w:pPr>
        <w:jc w:val="both"/>
        <w:ind w:left="140" w:right="8259" w:hanging="54"/>
        <w:spacing w:after="0" w:line="254" w:lineRule="auto"/>
        <w:tabs>
          <w:tab w:leader="none" w:pos="281"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Wardwell (included in Exhibit 5.3). 24 Powers of Attorney.</w:t>
      </w:r>
    </w:p>
    <w:p>
      <w:pPr>
        <w:spacing w:after="0" w:line="2" w:lineRule="exact"/>
        <w:rPr>
          <w:sz w:val="20"/>
          <w:szCs w:val="20"/>
          <w:color w:val="auto"/>
        </w:rPr>
      </w:pPr>
    </w:p>
    <w:p>
      <w:pPr>
        <w:ind w:left="140" w:right="8219" w:hanging="101"/>
        <w:spacing w:after="0" w:line="254" w:lineRule="auto"/>
        <w:tabs>
          <w:tab w:leader="none" w:pos="421"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25.1 Statement of Eligibility on Form T-1 of The Bank of</w:t>
      </w:r>
    </w:p>
    <w:p>
      <w:pPr>
        <w:jc w:val="center"/>
        <w:ind w:right="8159"/>
        <w:spacing w:after="0" w:line="235" w:lineRule="auto"/>
        <w:rPr>
          <w:sz w:val="20"/>
          <w:szCs w:val="20"/>
          <w:color w:val="auto"/>
        </w:rPr>
      </w:pPr>
      <w:r>
        <w:rPr>
          <w:rFonts w:ascii="Courier New" w:cs="Courier New" w:eastAsia="Courier New" w:hAnsi="Courier New"/>
          <w:sz w:val="16"/>
          <w:szCs w:val="16"/>
          <w:color w:val="auto"/>
        </w:rPr>
        <w:t>New York, as trustee,</w:t>
      </w:r>
    </w:p>
    <w:p>
      <w:pPr>
        <w:jc w:val="center"/>
        <w:ind w:right="8159"/>
        <w:spacing w:after="0"/>
        <w:rPr>
          <w:sz w:val="20"/>
          <w:szCs w:val="20"/>
          <w:color w:val="auto"/>
        </w:rPr>
      </w:pPr>
      <w:r>
        <w:rPr>
          <w:rFonts w:ascii="Courier New" w:cs="Courier New" w:eastAsia="Courier New" w:hAnsi="Courier New"/>
          <w:sz w:val="16"/>
          <w:szCs w:val="16"/>
          <w:color w:val="auto"/>
        </w:rPr>
        <w:t>with respect to the</w:t>
      </w:r>
    </w:p>
    <w:p>
      <w:pPr>
        <w:jc w:val="center"/>
        <w:ind w:right="8159"/>
        <w:spacing w:after="0" w:line="238" w:lineRule="auto"/>
        <w:rPr>
          <w:sz w:val="20"/>
          <w:szCs w:val="20"/>
          <w:color w:val="auto"/>
        </w:rPr>
      </w:pPr>
      <w:r>
        <w:rPr>
          <w:rFonts w:ascii="Courier New" w:cs="Courier New" w:eastAsia="Courier New" w:hAnsi="Courier New"/>
          <w:sz w:val="16"/>
          <w:szCs w:val="16"/>
          <w:color w:val="auto"/>
        </w:rPr>
        <w:t>Second Supplemental</w:t>
      </w:r>
    </w:p>
    <w:p>
      <w:pPr>
        <w:jc w:val="center"/>
        <w:ind w:right="8159"/>
        <w:spacing w:after="0"/>
        <w:rPr>
          <w:sz w:val="20"/>
          <w:szCs w:val="20"/>
          <w:color w:val="auto"/>
        </w:rPr>
      </w:pPr>
      <w:r>
        <w:rPr>
          <w:rFonts w:ascii="Courier New" w:cs="Courier New" w:eastAsia="Courier New" w:hAnsi="Courier New"/>
          <w:sz w:val="16"/>
          <w:szCs w:val="16"/>
          <w:color w:val="auto"/>
        </w:rPr>
        <w:t>Indenture between</w:t>
      </w:r>
    </w:p>
    <w:p>
      <w:pPr>
        <w:jc w:val="center"/>
        <w:ind w:right="8159"/>
        <w:spacing w:after="0" w:line="237" w:lineRule="auto"/>
        <w:rPr>
          <w:sz w:val="20"/>
          <w:szCs w:val="20"/>
          <w:color w:val="auto"/>
        </w:rPr>
      </w:pPr>
      <w:r>
        <w:rPr>
          <w:rFonts w:ascii="Courier New" w:cs="Courier New" w:eastAsia="Courier New" w:hAnsi="Courier New"/>
          <w:sz w:val="16"/>
          <w:szCs w:val="16"/>
          <w:color w:val="auto"/>
        </w:rPr>
        <w:t>AT&amp;T Corp. and The</w:t>
      </w:r>
    </w:p>
    <w:p>
      <w:pPr>
        <w:jc w:val="center"/>
        <w:ind w:right="8159"/>
        <w:spacing w:after="0"/>
        <w:rPr>
          <w:sz w:val="20"/>
          <w:szCs w:val="20"/>
          <w:color w:val="auto"/>
        </w:rPr>
      </w:pPr>
      <w:r>
        <w:rPr>
          <w:rFonts w:ascii="Courier New" w:cs="Courier New" w:eastAsia="Courier New" w:hAnsi="Courier New"/>
          <w:sz w:val="16"/>
          <w:szCs w:val="16"/>
          <w:color w:val="auto"/>
        </w:rPr>
        <w:t>Bank of New York, as</w:t>
      </w:r>
    </w:p>
    <w:p>
      <w:pPr>
        <w:jc w:val="center"/>
        <w:ind w:right="8159"/>
        <w:spacing w:after="0" w:line="238" w:lineRule="auto"/>
        <w:rPr>
          <w:sz w:val="20"/>
          <w:szCs w:val="20"/>
          <w:color w:val="auto"/>
        </w:rPr>
      </w:pPr>
      <w:r>
        <w:rPr>
          <w:rFonts w:ascii="Courier New" w:cs="Courier New" w:eastAsia="Courier New" w:hAnsi="Courier New"/>
          <w:sz w:val="16"/>
          <w:szCs w:val="16"/>
          <w:color w:val="auto"/>
        </w:rPr>
        <w:t>trustee, relating to</w:t>
      </w:r>
    </w:p>
    <w:p>
      <w:pPr>
        <w:jc w:val="center"/>
        <w:ind w:right="8159"/>
        <w:spacing w:after="0"/>
        <w:rPr>
          <w:sz w:val="20"/>
          <w:szCs w:val="20"/>
          <w:color w:val="auto"/>
        </w:rPr>
      </w:pPr>
      <w:r>
        <w:rPr>
          <w:rFonts w:ascii="Courier New" w:cs="Courier New" w:eastAsia="Courier New" w:hAnsi="Courier New"/>
          <w:sz w:val="16"/>
          <w:szCs w:val="16"/>
          <w:color w:val="auto"/>
        </w:rPr>
        <w:t>the Note Amendment.</w:t>
      </w:r>
    </w:p>
    <w:p>
      <w:pPr>
        <w:spacing w:after="0" w:line="4" w:lineRule="exact"/>
        <w:rPr>
          <w:sz w:val="20"/>
          <w:szCs w:val="20"/>
          <w:color w:val="auto"/>
        </w:rPr>
      </w:pPr>
    </w:p>
    <w:p>
      <w:pPr>
        <w:ind w:left="140" w:right="8219" w:hanging="101"/>
        <w:spacing w:after="0" w:line="254" w:lineRule="auto"/>
        <w:tabs>
          <w:tab w:leader="none" w:pos="421"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25.2 Statement of Eligibility on Form T-1 of The Bank of</w:t>
      </w:r>
    </w:p>
    <w:p>
      <w:pPr>
        <w:jc w:val="center"/>
        <w:ind w:right="8159"/>
        <w:spacing w:after="0" w:line="235" w:lineRule="auto"/>
        <w:rPr>
          <w:sz w:val="20"/>
          <w:szCs w:val="20"/>
          <w:color w:val="auto"/>
        </w:rPr>
      </w:pPr>
      <w:r>
        <w:rPr>
          <w:rFonts w:ascii="Courier New" w:cs="Courier New" w:eastAsia="Courier New" w:hAnsi="Courier New"/>
          <w:sz w:val="16"/>
          <w:szCs w:val="16"/>
          <w:color w:val="auto"/>
        </w:rPr>
        <w:t>New York, as trustee,</w:t>
      </w:r>
    </w:p>
    <w:p>
      <w:pPr>
        <w:jc w:val="center"/>
        <w:ind w:right="8159"/>
        <w:spacing w:after="0"/>
        <w:rPr>
          <w:sz w:val="20"/>
          <w:szCs w:val="20"/>
          <w:color w:val="auto"/>
        </w:rPr>
      </w:pPr>
      <w:r>
        <w:rPr>
          <w:rFonts w:ascii="Courier New" w:cs="Courier New" w:eastAsia="Courier New" w:hAnsi="Courier New"/>
          <w:sz w:val="16"/>
          <w:szCs w:val="16"/>
          <w:color w:val="auto"/>
        </w:rPr>
        <w:t>with respect to the</w:t>
      </w:r>
    </w:p>
    <w:p>
      <w:pPr>
        <w:jc w:val="center"/>
        <w:ind w:right="8159"/>
        <w:spacing w:after="0" w:line="238" w:lineRule="auto"/>
        <w:rPr>
          <w:sz w:val="20"/>
          <w:szCs w:val="20"/>
          <w:color w:val="auto"/>
        </w:rPr>
      </w:pPr>
      <w:r>
        <w:rPr>
          <w:rFonts w:ascii="Courier New" w:cs="Courier New" w:eastAsia="Courier New" w:hAnsi="Courier New"/>
          <w:sz w:val="16"/>
          <w:szCs w:val="16"/>
          <w:color w:val="auto"/>
        </w:rPr>
        <w:t>Third Supplemental</w:t>
      </w:r>
    </w:p>
    <w:p>
      <w:pPr>
        <w:jc w:val="center"/>
        <w:ind w:right="8159"/>
        <w:spacing w:after="0"/>
        <w:rPr>
          <w:sz w:val="20"/>
          <w:szCs w:val="20"/>
          <w:color w:val="auto"/>
        </w:rPr>
      </w:pPr>
      <w:r>
        <w:rPr>
          <w:rFonts w:ascii="Courier New" w:cs="Courier New" w:eastAsia="Courier New" w:hAnsi="Courier New"/>
          <w:sz w:val="16"/>
          <w:szCs w:val="16"/>
          <w:color w:val="auto"/>
        </w:rPr>
        <w:t>Indenture between</w:t>
      </w:r>
    </w:p>
    <w:p>
      <w:pPr>
        <w:jc w:val="center"/>
        <w:ind w:right="8159"/>
        <w:spacing w:after="0" w:line="237" w:lineRule="auto"/>
        <w:rPr>
          <w:sz w:val="20"/>
          <w:szCs w:val="20"/>
          <w:color w:val="auto"/>
        </w:rPr>
      </w:pPr>
      <w:r>
        <w:rPr>
          <w:rFonts w:ascii="Courier New" w:cs="Courier New" w:eastAsia="Courier New" w:hAnsi="Courier New"/>
          <w:sz w:val="16"/>
          <w:szCs w:val="16"/>
          <w:color w:val="auto"/>
        </w:rPr>
        <w:t>AT&amp;T Corp. and The</w:t>
      </w:r>
    </w:p>
    <w:p>
      <w:pPr>
        <w:jc w:val="center"/>
        <w:ind w:right="8159"/>
        <w:spacing w:after="0"/>
        <w:rPr>
          <w:sz w:val="20"/>
          <w:szCs w:val="20"/>
          <w:color w:val="auto"/>
        </w:rPr>
      </w:pPr>
      <w:r>
        <w:rPr>
          <w:rFonts w:ascii="Courier New" w:cs="Courier New" w:eastAsia="Courier New" w:hAnsi="Courier New"/>
          <w:sz w:val="16"/>
          <w:szCs w:val="16"/>
          <w:color w:val="auto"/>
        </w:rPr>
        <w:t>Bank of New York, as</w:t>
      </w:r>
    </w:p>
    <w:p>
      <w:pPr>
        <w:jc w:val="center"/>
        <w:ind w:right="8159"/>
        <w:spacing w:after="0" w:line="238" w:lineRule="auto"/>
        <w:rPr>
          <w:sz w:val="20"/>
          <w:szCs w:val="20"/>
          <w:color w:val="auto"/>
        </w:rPr>
      </w:pPr>
      <w:r>
        <w:rPr>
          <w:rFonts w:ascii="Courier New" w:cs="Courier New" w:eastAsia="Courier New" w:hAnsi="Courier New"/>
          <w:sz w:val="16"/>
          <w:szCs w:val="16"/>
          <w:color w:val="auto"/>
        </w:rPr>
        <w:t>trustee, relating to</w:t>
      </w:r>
    </w:p>
    <w:p>
      <w:pPr>
        <w:jc w:val="center"/>
        <w:ind w:right="8159"/>
        <w:spacing w:after="0"/>
        <w:rPr>
          <w:sz w:val="20"/>
          <w:szCs w:val="20"/>
          <w:color w:val="auto"/>
        </w:rPr>
      </w:pPr>
      <w:r>
        <w:rPr>
          <w:rFonts w:ascii="Courier New" w:cs="Courier New" w:eastAsia="Courier New" w:hAnsi="Courier New"/>
          <w:sz w:val="16"/>
          <w:szCs w:val="16"/>
          <w:color w:val="auto"/>
        </w:rPr>
        <w:t>the Broadband</w:t>
      </w:r>
    </w:p>
    <w:p>
      <w:pPr>
        <w:jc w:val="center"/>
        <w:ind w:right="8159"/>
        <w:spacing w:after="0" w:line="238" w:lineRule="auto"/>
        <w:rPr>
          <w:sz w:val="20"/>
          <w:szCs w:val="20"/>
          <w:color w:val="auto"/>
        </w:rPr>
      </w:pPr>
      <w:r>
        <w:rPr>
          <w:rFonts w:ascii="Courier New" w:cs="Courier New" w:eastAsia="Courier New" w:hAnsi="Courier New"/>
          <w:sz w:val="16"/>
          <w:szCs w:val="16"/>
          <w:color w:val="auto"/>
        </w:rPr>
        <w:t>Exchange Notes.(6)</w:t>
      </w:r>
    </w:p>
    <w:p>
      <w:pPr>
        <w:jc w:val="center"/>
        <w:ind w:right="8159"/>
        <w:spacing w:after="0"/>
        <w:rPr>
          <w:sz w:val="20"/>
          <w:szCs w:val="20"/>
          <w:color w:val="auto"/>
        </w:rPr>
      </w:pPr>
      <w:r>
        <w:rPr>
          <w:rFonts w:ascii="Courier New" w:cs="Courier New" w:eastAsia="Courier New" w:hAnsi="Courier New"/>
          <w:sz w:val="16"/>
          <w:szCs w:val="16"/>
          <w:color w:val="auto"/>
        </w:rPr>
        <w:t>25.3 Statement of</w:t>
      </w:r>
    </w:p>
    <w:p>
      <w:pPr>
        <w:jc w:val="center"/>
        <w:ind w:right="8159"/>
        <w:spacing w:after="0" w:line="237" w:lineRule="auto"/>
        <w:rPr>
          <w:sz w:val="20"/>
          <w:szCs w:val="20"/>
          <w:color w:val="auto"/>
        </w:rPr>
      </w:pPr>
      <w:r>
        <w:rPr>
          <w:rFonts w:ascii="Courier New" w:cs="Courier New" w:eastAsia="Courier New" w:hAnsi="Courier New"/>
          <w:sz w:val="16"/>
          <w:szCs w:val="16"/>
          <w:color w:val="auto"/>
        </w:rPr>
        <w:t>Eligibility on Form</w:t>
      </w:r>
    </w:p>
    <w:p>
      <w:pPr>
        <w:jc w:val="center"/>
        <w:ind w:right="8159"/>
        <w:spacing w:after="0"/>
        <w:rPr>
          <w:sz w:val="20"/>
          <w:szCs w:val="20"/>
          <w:color w:val="auto"/>
        </w:rPr>
      </w:pPr>
      <w:r>
        <w:rPr>
          <w:rFonts w:ascii="Courier New" w:cs="Courier New" w:eastAsia="Courier New" w:hAnsi="Courier New"/>
          <w:sz w:val="16"/>
          <w:szCs w:val="16"/>
          <w:color w:val="auto"/>
        </w:rPr>
        <w:t>T-1 of The Bank of</w:t>
      </w:r>
    </w:p>
    <w:p>
      <w:pPr>
        <w:jc w:val="center"/>
        <w:ind w:right="8159"/>
        <w:spacing w:after="0" w:line="238" w:lineRule="auto"/>
        <w:rPr>
          <w:sz w:val="20"/>
          <w:szCs w:val="20"/>
          <w:color w:val="auto"/>
        </w:rPr>
      </w:pPr>
      <w:r>
        <w:rPr>
          <w:rFonts w:ascii="Courier New" w:cs="Courier New" w:eastAsia="Courier New" w:hAnsi="Courier New"/>
          <w:sz w:val="16"/>
          <w:szCs w:val="16"/>
          <w:color w:val="auto"/>
        </w:rPr>
        <w:t>New York, as trustee,</w:t>
      </w:r>
    </w:p>
    <w:p>
      <w:pPr>
        <w:jc w:val="center"/>
        <w:ind w:right="8159"/>
        <w:spacing w:after="0"/>
        <w:rPr>
          <w:sz w:val="20"/>
          <w:szCs w:val="20"/>
          <w:color w:val="auto"/>
        </w:rPr>
      </w:pPr>
      <w:r>
        <w:rPr>
          <w:rFonts w:ascii="Courier New" w:cs="Courier New" w:eastAsia="Courier New" w:hAnsi="Courier New"/>
          <w:sz w:val="16"/>
          <w:szCs w:val="16"/>
          <w:color w:val="auto"/>
        </w:rPr>
        <w:t>with respect to the</w:t>
      </w:r>
    </w:p>
    <w:p>
      <w:pPr>
        <w:jc w:val="center"/>
        <w:ind w:right="8159"/>
        <w:spacing w:after="0" w:line="238" w:lineRule="auto"/>
        <w:rPr>
          <w:sz w:val="20"/>
          <w:szCs w:val="20"/>
          <w:color w:val="auto"/>
        </w:rPr>
      </w:pPr>
      <w:r>
        <w:rPr>
          <w:rFonts w:ascii="Courier New" w:cs="Courier New" w:eastAsia="Courier New" w:hAnsi="Courier New"/>
          <w:sz w:val="16"/>
          <w:szCs w:val="16"/>
          <w:color w:val="auto"/>
        </w:rPr>
        <w:t>Indenture among AT&amp;T</w:t>
      </w:r>
    </w:p>
    <w:p>
      <w:pPr>
        <w:jc w:val="center"/>
        <w:ind w:right="8159"/>
        <w:spacing w:after="0"/>
        <w:rPr>
          <w:sz w:val="20"/>
          <w:szCs w:val="20"/>
          <w:color w:val="auto"/>
        </w:rPr>
      </w:pPr>
      <w:r>
        <w:rPr>
          <w:rFonts w:ascii="Courier New" w:cs="Courier New" w:eastAsia="Courier New" w:hAnsi="Courier New"/>
          <w:sz w:val="16"/>
          <w:szCs w:val="16"/>
          <w:color w:val="auto"/>
        </w:rPr>
        <w:t>Broadband Corp., the</w:t>
      </w:r>
    </w:p>
    <w:p>
      <w:pPr>
        <w:jc w:val="center"/>
        <w:ind w:right="8159"/>
        <w:spacing w:after="0" w:line="237" w:lineRule="auto"/>
        <w:rPr>
          <w:sz w:val="20"/>
          <w:szCs w:val="20"/>
          <w:color w:val="auto"/>
        </w:rPr>
      </w:pPr>
      <w:r>
        <w:rPr>
          <w:rFonts w:ascii="Courier New" w:cs="Courier New" w:eastAsia="Courier New" w:hAnsi="Courier New"/>
          <w:sz w:val="16"/>
          <w:szCs w:val="16"/>
          <w:color w:val="auto"/>
        </w:rPr>
        <w:t>Cable Guarantors</w:t>
      </w:r>
    </w:p>
    <w:p>
      <w:pPr>
        <w:jc w:val="center"/>
        <w:ind w:right="8159"/>
        <w:spacing w:after="0"/>
        <w:rPr>
          <w:sz w:val="20"/>
          <w:szCs w:val="20"/>
          <w:color w:val="auto"/>
        </w:rPr>
      </w:pPr>
      <w:r>
        <w:rPr>
          <w:rFonts w:ascii="Courier New" w:cs="Courier New" w:eastAsia="Courier New" w:hAnsi="Courier New"/>
          <w:sz w:val="16"/>
          <w:szCs w:val="16"/>
          <w:color w:val="auto"/>
        </w:rPr>
        <w:t>party thereto and The</w:t>
      </w:r>
    </w:p>
    <w:p>
      <w:pPr>
        <w:jc w:val="center"/>
        <w:ind w:right="8159"/>
        <w:spacing w:after="0" w:line="238" w:lineRule="auto"/>
        <w:rPr>
          <w:sz w:val="20"/>
          <w:szCs w:val="20"/>
          <w:color w:val="auto"/>
        </w:rPr>
      </w:pPr>
      <w:r>
        <w:rPr>
          <w:rFonts w:ascii="Courier New" w:cs="Courier New" w:eastAsia="Courier New" w:hAnsi="Courier New"/>
          <w:sz w:val="16"/>
          <w:szCs w:val="16"/>
          <w:color w:val="auto"/>
        </w:rPr>
        <w:t>Bank of New York, as</w:t>
      </w:r>
    </w:p>
    <w:p>
      <w:pPr>
        <w:jc w:val="center"/>
        <w:ind w:right="8159"/>
        <w:spacing w:after="0"/>
        <w:rPr>
          <w:sz w:val="20"/>
          <w:szCs w:val="20"/>
          <w:color w:val="auto"/>
        </w:rPr>
      </w:pPr>
      <w:r>
        <w:rPr>
          <w:rFonts w:ascii="Courier New" w:cs="Courier New" w:eastAsia="Courier New" w:hAnsi="Courier New"/>
          <w:sz w:val="16"/>
          <w:szCs w:val="16"/>
          <w:color w:val="auto"/>
        </w:rPr>
        <w:t>trustee, relating to</w:t>
      </w:r>
    </w:p>
    <w:p>
      <w:pPr>
        <w:jc w:val="center"/>
        <w:ind w:right="8159"/>
        <w:spacing w:after="0" w:line="238" w:lineRule="auto"/>
        <w:rPr>
          <w:sz w:val="20"/>
          <w:szCs w:val="20"/>
          <w:color w:val="auto"/>
        </w:rPr>
      </w:pPr>
      <w:r>
        <w:rPr>
          <w:rFonts w:ascii="Courier New" w:cs="Courier New" w:eastAsia="Courier New" w:hAnsi="Courier New"/>
          <w:sz w:val="16"/>
          <w:szCs w:val="16"/>
          <w:color w:val="auto"/>
        </w:rPr>
        <w:t>the New Broadband</w:t>
      </w:r>
    </w:p>
    <w:p>
      <w:pPr>
        <w:jc w:val="center"/>
        <w:ind w:right="8159"/>
        <w:spacing w:after="0"/>
        <w:rPr>
          <w:sz w:val="20"/>
          <w:szCs w:val="20"/>
          <w:color w:val="auto"/>
        </w:rPr>
      </w:pPr>
      <w:r>
        <w:rPr>
          <w:rFonts w:ascii="Courier New" w:cs="Courier New" w:eastAsia="Courier New" w:hAnsi="Courier New"/>
          <w:sz w:val="16"/>
          <w:szCs w:val="16"/>
          <w:color w:val="auto"/>
        </w:rPr>
        <w:t>Notes.(6) 99.1.1 Form</w:t>
      </w:r>
    </w:p>
    <w:p>
      <w:pPr>
        <w:jc w:val="center"/>
        <w:ind w:right="8159"/>
        <w:spacing w:after="0" w:line="237" w:lineRule="auto"/>
        <w:rPr>
          <w:sz w:val="20"/>
          <w:szCs w:val="20"/>
          <w:color w:val="auto"/>
        </w:rPr>
      </w:pPr>
      <w:r>
        <w:rPr>
          <w:rFonts w:ascii="Courier New" w:cs="Courier New" w:eastAsia="Courier New" w:hAnsi="Courier New"/>
          <w:sz w:val="16"/>
          <w:szCs w:val="16"/>
          <w:color w:val="auto"/>
        </w:rPr>
        <w:t>of Letter of</w:t>
      </w:r>
    </w:p>
    <w:p>
      <w:pPr>
        <w:jc w:val="center"/>
        <w:ind w:right="8159"/>
        <w:spacing w:after="0"/>
        <w:rPr>
          <w:sz w:val="20"/>
          <w:szCs w:val="20"/>
          <w:color w:val="auto"/>
        </w:rPr>
      </w:pPr>
      <w:r>
        <w:rPr>
          <w:rFonts w:ascii="Courier New" w:cs="Courier New" w:eastAsia="Courier New" w:hAnsi="Courier New"/>
          <w:sz w:val="16"/>
          <w:szCs w:val="16"/>
          <w:color w:val="auto"/>
        </w:rPr>
        <w:t>Transmittal for</w:t>
      </w:r>
    </w:p>
    <w:p>
      <w:pPr>
        <w:jc w:val="center"/>
        <w:ind w:right="8159"/>
        <w:spacing w:after="0" w:line="238" w:lineRule="auto"/>
        <w:rPr>
          <w:sz w:val="20"/>
          <w:szCs w:val="20"/>
          <w:color w:val="auto"/>
        </w:rPr>
      </w:pPr>
      <w:r>
        <w:rPr>
          <w:rFonts w:ascii="Courier New" w:cs="Courier New" w:eastAsia="Courier New" w:hAnsi="Courier New"/>
          <w:sz w:val="16"/>
          <w:szCs w:val="16"/>
          <w:color w:val="auto"/>
        </w:rPr>
        <w:t>Broadband Eligible</w:t>
      </w:r>
    </w:p>
    <w:p>
      <w:pPr>
        <w:jc w:val="center"/>
        <w:ind w:right="8159"/>
        <w:spacing w:after="0"/>
        <w:rPr>
          <w:sz w:val="20"/>
          <w:szCs w:val="20"/>
          <w:color w:val="auto"/>
        </w:rPr>
      </w:pPr>
      <w:r>
        <w:rPr>
          <w:rFonts w:ascii="Courier New" w:cs="Courier New" w:eastAsia="Courier New" w:hAnsi="Courier New"/>
          <w:sz w:val="16"/>
          <w:szCs w:val="16"/>
          <w:color w:val="auto"/>
        </w:rPr>
        <w:t>Notes.(6)</w:t>
      </w:r>
    </w:p>
    <w:p>
      <w:pPr>
        <w:spacing w:after="0" w:line="200" w:lineRule="exact"/>
        <w:rPr>
          <w:sz w:val="20"/>
          <w:szCs w:val="20"/>
          <w:color w:val="auto"/>
        </w:rPr>
      </w:pPr>
    </w:p>
    <w:p>
      <w:pPr>
        <w:spacing w:after="0" w:line="34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141" w:right="1440" w:bottom="1440" w:gutter="0" w:footer="0" w:header="0"/>
        </w:sectPr>
      </w:pPr>
    </w:p>
    <w:bookmarkStart w:id="349" w:name="page350"/>
    <w:bookmarkEnd w:id="349"/>
    <w:p>
      <w:pPr>
        <w:spacing w:after="0" w:line="7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ind w:left="80"/>
        <w:spacing w:after="0"/>
        <w:rPr>
          <w:sz w:val="20"/>
          <w:szCs w:val="20"/>
          <w:color w:val="auto"/>
        </w:rPr>
      </w:pPr>
      <w:r>
        <w:rPr>
          <w:rFonts w:ascii="Courier New" w:cs="Courier New" w:eastAsia="Courier New" w:hAnsi="Courier New"/>
          <w:sz w:val="16"/>
          <w:szCs w:val="16"/>
          <w:color w:val="auto"/>
        </w:rPr>
        <w:t>DOCUMENT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320"/>
        <w:spacing w:after="0"/>
        <w:rPr>
          <w:sz w:val="20"/>
          <w:szCs w:val="20"/>
          <w:color w:val="auto"/>
        </w:rPr>
      </w:pPr>
      <w:r>
        <w:rPr>
          <w:rFonts w:ascii="Courier New" w:cs="Courier New" w:eastAsia="Courier New" w:hAnsi="Courier New"/>
          <w:sz w:val="16"/>
          <w:szCs w:val="16"/>
          <w:color w:val="auto"/>
        </w:rPr>
        <w:t>-----</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99.1.2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w:t>
      </w:r>
    </w:p>
    <w:p>
      <w:pPr>
        <w:jc w:val="center"/>
        <w:ind w:right="9099"/>
        <w:spacing w:after="0"/>
        <w:rPr>
          <w:sz w:val="20"/>
          <w:szCs w:val="20"/>
          <w:color w:val="auto"/>
        </w:rPr>
      </w:pPr>
      <w:r>
        <w:rPr>
          <w:rFonts w:ascii="Courier New" w:cs="Courier New" w:eastAsia="Courier New" w:hAnsi="Courier New"/>
          <w:sz w:val="16"/>
          <w:szCs w:val="16"/>
          <w:color w:val="auto"/>
        </w:rPr>
        <w:t>Transmittal</w:t>
      </w:r>
    </w:p>
    <w:p>
      <w:pPr>
        <w:ind w:left="180"/>
        <w:spacing w:after="0" w:line="237" w:lineRule="auto"/>
        <w:rPr>
          <w:sz w:val="20"/>
          <w:szCs w:val="20"/>
          <w:color w:val="auto"/>
        </w:rPr>
      </w:pPr>
      <w:r>
        <w:rPr>
          <w:rFonts w:ascii="Courier New" w:cs="Courier New" w:eastAsia="Courier New" w:hAnsi="Courier New"/>
          <w:sz w:val="16"/>
          <w:szCs w:val="16"/>
          <w:color w:val="auto"/>
        </w:rPr>
        <w:t>for AT&amp;T</w:t>
      </w:r>
    </w:p>
    <w:p>
      <w:pPr>
        <w:ind w:left="180"/>
        <w:spacing w:after="0"/>
        <w:rPr>
          <w:sz w:val="20"/>
          <w:szCs w:val="20"/>
          <w:color w:val="auto"/>
        </w:rPr>
      </w:pPr>
      <w:r>
        <w:rPr>
          <w:rFonts w:ascii="Courier New" w:cs="Courier New" w:eastAsia="Courier New" w:hAnsi="Courier New"/>
          <w:sz w:val="16"/>
          <w:szCs w:val="16"/>
          <w:color w:val="auto"/>
        </w:rPr>
        <w:t>Eligible</w:t>
      </w:r>
    </w:p>
    <w:p>
      <w:pPr>
        <w:ind w:left="140"/>
        <w:spacing w:after="0" w:line="238"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99.2.1 Form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Notice</w:t>
      </w:r>
    </w:p>
    <w:p>
      <w:pPr>
        <w:jc w:val="center"/>
        <w:ind w:right="9099"/>
        <w:spacing w:after="0"/>
        <w:rPr>
          <w:sz w:val="20"/>
          <w:szCs w:val="20"/>
          <w:color w:val="auto"/>
        </w:rPr>
      </w:pPr>
      <w:r>
        <w:rPr>
          <w:rFonts w:ascii="Courier New" w:cs="Courier New" w:eastAsia="Courier New" w:hAnsi="Courier New"/>
          <w:sz w:val="16"/>
          <w:szCs w:val="16"/>
          <w:color w:val="auto"/>
        </w:rPr>
        <w:t>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Guaranteed</w:t>
      </w:r>
    </w:p>
    <w:p>
      <w:pPr>
        <w:jc w:val="center"/>
        <w:ind w:right="9099"/>
        <w:spacing w:after="0"/>
        <w:rPr>
          <w:sz w:val="20"/>
          <w:szCs w:val="20"/>
          <w:color w:val="auto"/>
        </w:rPr>
      </w:pPr>
      <w:r>
        <w:rPr>
          <w:rFonts w:ascii="Courier New" w:cs="Courier New" w:eastAsia="Courier New" w:hAnsi="Courier New"/>
          <w:sz w:val="16"/>
          <w:szCs w:val="16"/>
          <w:color w:val="auto"/>
        </w:rPr>
        <w:t>Delivery</w:t>
      </w:r>
    </w:p>
    <w:p>
      <w:pPr>
        <w:jc w:val="center"/>
        <w:ind w:right="9099"/>
        <w:spacing w:after="0" w:line="238"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7" w:lineRule="auto"/>
        <w:rPr>
          <w:sz w:val="20"/>
          <w:szCs w:val="20"/>
          <w:color w:val="auto"/>
        </w:rPr>
      </w:pPr>
      <w:r>
        <w:rPr>
          <w:rFonts w:ascii="Courier New" w:cs="Courier New" w:eastAsia="Courier New" w:hAnsi="Courier New"/>
          <w:sz w:val="16"/>
          <w:szCs w:val="16"/>
          <w:color w:val="auto"/>
        </w:rPr>
        <w:t>99.2.2 Form</w:t>
      </w:r>
    </w:p>
    <w:p>
      <w:pPr>
        <w:jc w:val="center"/>
        <w:ind w:right="9099"/>
        <w:spacing w:after="0"/>
        <w:rPr>
          <w:sz w:val="20"/>
          <w:szCs w:val="20"/>
          <w:color w:val="auto"/>
        </w:rPr>
      </w:pPr>
      <w:r>
        <w:rPr>
          <w:rFonts w:ascii="Courier New" w:cs="Courier New" w:eastAsia="Courier New" w:hAnsi="Courier New"/>
          <w:sz w:val="16"/>
          <w:szCs w:val="16"/>
          <w:color w:val="auto"/>
        </w:rPr>
        <w:t>of Notice</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w:t>
      </w:r>
    </w:p>
    <w:p>
      <w:pPr>
        <w:jc w:val="center"/>
        <w:ind w:right="9099"/>
        <w:spacing w:after="0"/>
        <w:rPr>
          <w:sz w:val="20"/>
          <w:szCs w:val="20"/>
          <w:color w:val="auto"/>
        </w:rPr>
      </w:pPr>
      <w:r>
        <w:rPr>
          <w:rFonts w:ascii="Courier New" w:cs="Courier New" w:eastAsia="Courier New" w:hAnsi="Courier New"/>
          <w:sz w:val="16"/>
          <w:szCs w:val="16"/>
          <w:color w:val="auto"/>
        </w:rPr>
        <w:t>Guaranteed</w:t>
      </w:r>
    </w:p>
    <w:p>
      <w:pPr>
        <w:ind w:left="180"/>
        <w:spacing w:after="0" w:line="238" w:lineRule="auto"/>
        <w:rPr>
          <w:sz w:val="20"/>
          <w:szCs w:val="20"/>
          <w:color w:val="auto"/>
        </w:rPr>
      </w:pPr>
      <w:r>
        <w:rPr>
          <w:rFonts w:ascii="Courier New" w:cs="Courier New" w:eastAsia="Courier New" w:hAnsi="Courier New"/>
          <w:sz w:val="16"/>
          <w:szCs w:val="16"/>
          <w:color w:val="auto"/>
        </w:rPr>
        <w:t>Delivery</w:t>
      </w:r>
    </w:p>
    <w:p>
      <w:pPr>
        <w:ind w:left="180"/>
        <w:spacing w:after="0"/>
        <w:rPr>
          <w:sz w:val="20"/>
          <w:szCs w:val="20"/>
          <w:color w:val="auto"/>
        </w:rPr>
      </w:pPr>
      <w:r>
        <w:rPr>
          <w:rFonts w:ascii="Courier New" w:cs="Courier New" w:eastAsia="Courier New" w:hAnsi="Courier New"/>
          <w:sz w:val="16"/>
          <w:szCs w:val="16"/>
          <w:color w:val="auto"/>
        </w:rPr>
        <w:t>for AT&amp;T</w:t>
      </w:r>
    </w:p>
    <w:p>
      <w:pPr>
        <w:ind w:left="180"/>
        <w:spacing w:after="0" w:line="237" w:lineRule="auto"/>
        <w:rPr>
          <w:sz w:val="20"/>
          <w:szCs w:val="20"/>
          <w:color w:val="auto"/>
        </w:rPr>
      </w:pPr>
      <w:r>
        <w:rPr>
          <w:rFonts w:ascii="Courier New" w:cs="Courier New" w:eastAsia="Courier New" w:hAnsi="Courier New"/>
          <w:sz w:val="16"/>
          <w:szCs w:val="16"/>
          <w:color w:val="auto"/>
        </w:rPr>
        <w:t>Eligible</w:t>
      </w:r>
    </w:p>
    <w:p>
      <w:pPr>
        <w:ind w:left="140"/>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99.3.1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Holders and</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Depository</w:t>
      </w:r>
    </w:p>
    <w:p>
      <w:pPr>
        <w:jc w:val="center"/>
        <w:ind w:right="9099"/>
        <w:spacing w:after="0"/>
        <w:rPr>
          <w:sz w:val="20"/>
          <w:szCs w:val="20"/>
          <w:color w:val="auto"/>
        </w:rPr>
      </w:pPr>
      <w:r>
        <w:rPr>
          <w:rFonts w:ascii="Courier New" w:cs="Courier New" w:eastAsia="Courier New" w:hAnsi="Courier New"/>
          <w:sz w:val="16"/>
          <w:szCs w:val="16"/>
          <w:color w:val="auto"/>
        </w:rPr>
        <w:t>Trust</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Participants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99.3.2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Holders and</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Depository</w:t>
      </w:r>
    </w:p>
    <w:p>
      <w:pPr>
        <w:jc w:val="center"/>
        <w:ind w:right="9099"/>
        <w:spacing w:after="0"/>
        <w:rPr>
          <w:sz w:val="20"/>
          <w:szCs w:val="20"/>
          <w:color w:val="auto"/>
        </w:rPr>
      </w:pPr>
      <w:r>
        <w:rPr>
          <w:rFonts w:ascii="Courier New" w:cs="Courier New" w:eastAsia="Courier New" w:hAnsi="Courier New"/>
          <w:sz w:val="16"/>
          <w:szCs w:val="16"/>
          <w:color w:val="auto"/>
        </w:rPr>
        <w:t>Trust</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Participants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AT&amp;T</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99.4.1 Form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Letter</w:t>
      </w:r>
    </w:p>
    <w:p>
      <w:pPr>
        <w:jc w:val="center"/>
        <w:ind w:right="9099"/>
        <w:spacing w:after="0"/>
        <w:rPr>
          <w:sz w:val="20"/>
          <w:szCs w:val="20"/>
          <w:color w:val="auto"/>
        </w:rPr>
      </w:pPr>
      <w:r>
        <w:rPr>
          <w:rFonts w:ascii="Courier New" w:cs="Courier New" w:eastAsia="Courier New" w:hAnsi="Courier New"/>
          <w:sz w:val="16"/>
          <w:szCs w:val="16"/>
          <w:color w:val="auto"/>
        </w:rPr>
        <w:t>to Clients</w:t>
      </w:r>
    </w:p>
    <w:p>
      <w:pPr>
        <w:jc w:val="center"/>
        <w:ind w:right="9099"/>
        <w:spacing w:after="0" w:line="238"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99.4.2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to Clients</w:t>
      </w:r>
    </w:p>
    <w:p>
      <w:pPr>
        <w:jc w:val="center"/>
        <w:ind w:right="9099"/>
        <w:spacing w:after="0"/>
        <w:rPr>
          <w:sz w:val="20"/>
          <w:szCs w:val="20"/>
          <w:color w:val="auto"/>
        </w:rPr>
      </w:pPr>
      <w:r>
        <w:rPr>
          <w:rFonts w:ascii="Courier New" w:cs="Courier New" w:eastAsia="Courier New" w:hAnsi="Courier New"/>
          <w:sz w:val="16"/>
          <w:szCs w:val="16"/>
          <w:color w:val="auto"/>
        </w:rPr>
        <w:t>for 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99.5.1 Form</w:t>
      </w:r>
    </w:p>
    <w:p>
      <w:pPr>
        <w:jc w:val="center"/>
        <w:ind w:right="9099"/>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Instructions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w:t>
      </w:r>
    </w:p>
    <w:p>
      <w:pPr>
        <w:jc w:val="center"/>
        <w:ind w:right="9099"/>
        <w:spacing w:after="0"/>
        <w:rPr>
          <w:sz w:val="20"/>
          <w:szCs w:val="20"/>
          <w:color w:val="auto"/>
        </w:rPr>
      </w:pPr>
      <w:r>
        <w:rPr>
          <w:rFonts w:ascii="Courier New" w:cs="Courier New" w:eastAsia="Courier New" w:hAnsi="Courier New"/>
          <w:sz w:val="16"/>
          <w:szCs w:val="16"/>
          <w:color w:val="auto"/>
        </w:rPr>
        <w:t>and/or</w:t>
      </w:r>
    </w:p>
    <w:p>
      <w:pPr>
        <w:jc w:val="center"/>
        <w:ind w:right="9099"/>
        <w:spacing w:after="0" w:line="238" w:lineRule="auto"/>
        <w:rPr>
          <w:sz w:val="20"/>
          <w:szCs w:val="20"/>
          <w:color w:val="auto"/>
        </w:rPr>
      </w:pPr>
      <w:r>
        <w:rPr>
          <w:rFonts w:ascii="Courier New" w:cs="Courier New" w:eastAsia="Courier New" w:hAnsi="Courier New"/>
          <w:sz w:val="16"/>
          <w:szCs w:val="16"/>
          <w:color w:val="auto"/>
        </w:rPr>
        <w:t>Book-Entry</w:t>
      </w:r>
    </w:p>
    <w:p>
      <w:pPr>
        <w:jc w:val="center"/>
        <w:ind w:right="9099"/>
        <w:spacing w:after="0"/>
        <w:rPr>
          <w:sz w:val="20"/>
          <w:szCs w:val="20"/>
          <w:color w:val="auto"/>
        </w:rPr>
      </w:pPr>
      <w:r>
        <w:rPr>
          <w:rFonts w:ascii="Courier New" w:cs="Courier New" w:eastAsia="Courier New" w:hAnsi="Courier New"/>
          <w:sz w:val="16"/>
          <w:szCs w:val="16"/>
          <w:color w:val="auto"/>
        </w:rPr>
        <w:t>Transfer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Participant</w:t>
      </w:r>
    </w:p>
    <w:p>
      <w:pPr>
        <w:jc w:val="center"/>
        <w:ind w:right="9099"/>
        <w:spacing w:after="0"/>
        <w:rPr>
          <w:sz w:val="20"/>
          <w:szCs w:val="20"/>
          <w:color w:val="auto"/>
        </w:rPr>
      </w:pPr>
      <w:r>
        <w:rPr>
          <w:rFonts w:ascii="Courier New" w:cs="Courier New" w:eastAsia="Courier New" w:hAnsi="Courier New"/>
          <w:sz w:val="16"/>
          <w:szCs w:val="16"/>
          <w:color w:val="auto"/>
        </w:rPr>
        <w:t>from Owner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99.5.2 Form</w:t>
      </w:r>
    </w:p>
    <w:p>
      <w:pPr>
        <w:jc w:val="center"/>
        <w:ind w:right="9099"/>
        <w:spacing w:after="0"/>
        <w:rPr>
          <w:sz w:val="20"/>
          <w:szCs w:val="20"/>
          <w:color w:val="auto"/>
        </w:rPr>
      </w:pPr>
      <w:r>
        <w:rPr>
          <w:rFonts w:ascii="Courier New" w:cs="Courier New" w:eastAsia="Courier New" w:hAnsi="Courier New"/>
          <w:sz w:val="16"/>
          <w:szCs w:val="16"/>
          <w:color w:val="auto"/>
        </w:rPr>
        <w:t>of</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Instructions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sectPr>
          <w:pgSz w:w="11900" w:h="16909" w:orient="portrait"/>
          <w:cols w:equalWidth="0" w:num="1">
            <w:col w:w="10219"/>
          </w:cols>
          <w:pgMar w:left="240" w:top="834" w:right="1440" w:bottom="0" w:gutter="0" w:footer="0" w:header="0"/>
        </w:sectPr>
      </w:pPr>
    </w:p>
    <w:bookmarkStart w:id="350" w:name="page351"/>
    <w:bookmarkEnd w:id="350"/>
    <w:p>
      <w:pPr>
        <w:jc w:val="center"/>
        <w:ind w:right="9095"/>
        <w:spacing w:after="0"/>
        <w:rPr>
          <w:sz w:val="20"/>
          <w:szCs w:val="20"/>
          <w:color w:val="auto"/>
        </w:rPr>
      </w:pPr>
      <w:r>
        <w:rPr>
          <w:rFonts w:ascii="Courier New" w:cs="Courier New" w:eastAsia="Courier New" w:hAnsi="Courier New"/>
          <w:sz w:val="16"/>
          <w:szCs w:val="16"/>
          <w:color w:val="auto"/>
        </w:rPr>
        <w:t>Holder</w:t>
      </w:r>
    </w:p>
    <w:p>
      <w:pPr>
        <w:jc w:val="center"/>
        <w:ind w:right="9095"/>
        <w:spacing w:after="0"/>
        <w:rPr>
          <w:sz w:val="20"/>
          <w:szCs w:val="20"/>
          <w:color w:val="auto"/>
        </w:rPr>
      </w:pPr>
      <w:r>
        <w:rPr>
          <w:rFonts w:ascii="Courier New" w:cs="Courier New" w:eastAsia="Courier New" w:hAnsi="Courier New"/>
          <w:sz w:val="16"/>
          <w:szCs w:val="16"/>
          <w:color w:val="auto"/>
        </w:rPr>
        <w:t>and/or</w:t>
      </w:r>
    </w:p>
    <w:p>
      <w:pPr>
        <w:jc w:val="center"/>
        <w:ind w:right="9095"/>
        <w:spacing w:after="0" w:line="237" w:lineRule="auto"/>
        <w:rPr>
          <w:sz w:val="20"/>
          <w:szCs w:val="20"/>
          <w:color w:val="auto"/>
        </w:rPr>
      </w:pPr>
      <w:r>
        <w:rPr>
          <w:rFonts w:ascii="Courier New" w:cs="Courier New" w:eastAsia="Courier New" w:hAnsi="Courier New"/>
          <w:sz w:val="16"/>
          <w:szCs w:val="16"/>
          <w:color w:val="auto"/>
        </w:rPr>
        <w:t>Book-Entry</w:t>
      </w:r>
    </w:p>
    <w:p>
      <w:pPr>
        <w:jc w:val="center"/>
        <w:ind w:right="9095"/>
        <w:spacing w:after="0"/>
        <w:rPr>
          <w:sz w:val="20"/>
          <w:szCs w:val="20"/>
          <w:color w:val="auto"/>
        </w:rPr>
      </w:pPr>
      <w:r>
        <w:rPr>
          <w:rFonts w:ascii="Courier New" w:cs="Courier New" w:eastAsia="Courier New" w:hAnsi="Courier New"/>
          <w:sz w:val="16"/>
          <w:szCs w:val="16"/>
          <w:color w:val="auto"/>
        </w:rPr>
        <w:t>Transfer</w:t>
      </w:r>
    </w:p>
    <w:p>
      <w:pPr>
        <w:jc w:val="center"/>
        <w:ind w:right="9095"/>
        <w:spacing w:after="0" w:line="238" w:lineRule="auto"/>
        <w:rPr>
          <w:sz w:val="20"/>
          <w:szCs w:val="20"/>
          <w:color w:val="auto"/>
        </w:rPr>
      </w:pPr>
      <w:r>
        <w:rPr>
          <w:rFonts w:ascii="Courier New" w:cs="Courier New" w:eastAsia="Courier New" w:hAnsi="Courier New"/>
          <w:sz w:val="16"/>
          <w:szCs w:val="16"/>
          <w:color w:val="auto"/>
        </w:rPr>
        <w:t>Participant</w:t>
      </w:r>
    </w:p>
    <w:p>
      <w:pPr>
        <w:jc w:val="center"/>
        <w:ind w:right="9095"/>
        <w:spacing w:after="0"/>
        <w:rPr>
          <w:sz w:val="20"/>
          <w:szCs w:val="20"/>
          <w:color w:val="auto"/>
        </w:rPr>
      </w:pPr>
      <w:r>
        <w:rPr>
          <w:rFonts w:ascii="Courier New" w:cs="Courier New" w:eastAsia="Courier New" w:hAnsi="Courier New"/>
          <w:sz w:val="16"/>
          <w:szCs w:val="16"/>
          <w:color w:val="auto"/>
        </w:rPr>
        <w:t>from Owner</w:t>
      </w:r>
    </w:p>
    <w:p>
      <w:pPr>
        <w:jc w:val="center"/>
        <w:ind w:right="9095"/>
        <w:spacing w:after="0" w:line="238" w:lineRule="auto"/>
        <w:rPr>
          <w:sz w:val="20"/>
          <w:szCs w:val="20"/>
          <w:color w:val="auto"/>
        </w:rPr>
      </w:pPr>
      <w:r>
        <w:rPr>
          <w:rFonts w:ascii="Courier New" w:cs="Courier New" w:eastAsia="Courier New" w:hAnsi="Courier New"/>
          <w:sz w:val="16"/>
          <w:szCs w:val="16"/>
          <w:color w:val="auto"/>
        </w:rPr>
        <w:t>for AT&amp;T</w:t>
      </w:r>
    </w:p>
    <w:p>
      <w:pPr>
        <w:jc w:val="center"/>
        <w:ind w:right="9095"/>
        <w:spacing w:after="0"/>
        <w:rPr>
          <w:sz w:val="20"/>
          <w:szCs w:val="20"/>
          <w:color w:val="auto"/>
        </w:rPr>
      </w:pPr>
      <w:r>
        <w:rPr>
          <w:rFonts w:ascii="Courier New" w:cs="Courier New" w:eastAsia="Courier New" w:hAnsi="Courier New"/>
          <w:sz w:val="16"/>
          <w:szCs w:val="16"/>
          <w:color w:val="auto"/>
        </w:rPr>
        <w:t>Eligible</w:t>
      </w:r>
    </w:p>
    <w:p>
      <w:pPr>
        <w:jc w:val="center"/>
        <w:ind w:right="9095"/>
        <w:spacing w:after="0" w:line="237" w:lineRule="auto"/>
        <w:rPr>
          <w:sz w:val="20"/>
          <w:szCs w:val="20"/>
          <w:color w:val="auto"/>
        </w:rPr>
      </w:pPr>
      <w:r>
        <w:rPr>
          <w:rFonts w:ascii="Courier New" w:cs="Courier New" w:eastAsia="Courier New" w:hAnsi="Courier New"/>
          <w:sz w:val="16"/>
          <w:szCs w:val="16"/>
          <w:color w:val="auto"/>
        </w:rPr>
        <w:t>Notes.(6)</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3279" w:hanging="384"/>
        <w:spacing w:after="0" w:line="236" w:lineRule="auto"/>
        <w:tabs>
          <w:tab w:leader="none" w:pos="384"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AT&amp;T Comcast Corporation Registration Statement on Form S-4, filed on February 11, 2002.</w:t>
      </w:r>
    </w:p>
    <w:p>
      <w:pPr>
        <w:spacing w:after="0" w:line="184" w:lineRule="exact"/>
        <w:rPr>
          <w:rFonts w:ascii="Courier New" w:cs="Courier New" w:eastAsia="Courier New" w:hAnsi="Courier New"/>
          <w:sz w:val="16"/>
          <w:szCs w:val="16"/>
          <w:color w:val="auto"/>
        </w:rPr>
      </w:pPr>
    </w:p>
    <w:p>
      <w:pPr>
        <w:ind w:left="384" w:right="2819" w:hanging="384"/>
        <w:spacing w:after="0" w:line="236" w:lineRule="auto"/>
        <w:tabs>
          <w:tab w:leader="none" w:pos="384"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Annual Report on Form 10-K for the year ended December 31, 2001, filed on April 1, 2002.</w:t>
      </w:r>
    </w:p>
    <w:p>
      <w:pPr>
        <w:spacing w:after="0" w:line="184"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Registration Statement on Form SE, dated September 10, 1990.</w:t>
      </w:r>
    </w:p>
    <w:p>
      <w:pPr>
        <w:spacing w:after="0" w:line="184" w:lineRule="exact"/>
        <w:rPr>
          <w:rFonts w:ascii="Courier New" w:cs="Courier New" w:eastAsia="Courier New" w:hAnsi="Courier New"/>
          <w:sz w:val="16"/>
          <w:szCs w:val="16"/>
          <w:color w:val="auto"/>
        </w:rPr>
      </w:pPr>
    </w:p>
    <w:p>
      <w:pPr>
        <w:ind w:left="384" w:right="3379" w:hanging="384"/>
        <w:spacing w:after="0" w:line="236" w:lineRule="auto"/>
        <w:tabs>
          <w:tab w:leader="none" w:pos="384"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Current Report on Form 8-K, dated December 1, 1992.</w:t>
      </w:r>
    </w:p>
    <w:p>
      <w:pPr>
        <w:spacing w:after="0" w:line="184" w:lineRule="exact"/>
        <w:rPr>
          <w:rFonts w:ascii="Courier New" w:cs="Courier New" w:eastAsia="Courier New" w:hAnsi="Courier New"/>
          <w:sz w:val="16"/>
          <w:szCs w:val="16"/>
          <w:color w:val="auto"/>
        </w:rPr>
      </w:pPr>
    </w:p>
    <w:p>
      <w:pPr>
        <w:ind w:left="384" w:right="3759" w:hanging="384"/>
        <w:spacing w:after="0" w:line="263" w:lineRule="auto"/>
        <w:tabs>
          <w:tab w:leader="none" w:pos="384"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AT&amp;T Comcast Corporation Amended Registration Statement on Form S-4/A, filed on May 14, 2002.</w:t>
      </w:r>
    </w:p>
    <w:p>
      <w:pPr>
        <w:spacing w:after="0" w:line="344"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this Registration Statement.</w:t>
      </w:r>
    </w:p>
    <w:p>
      <w:pPr>
        <w:spacing w:after="0" w:line="360" w:lineRule="exact"/>
        <w:rPr>
          <w:sz w:val="20"/>
          <w:szCs w:val="20"/>
          <w:color w:val="auto"/>
        </w:rPr>
      </w:pPr>
    </w:p>
    <w:p>
      <w:pPr>
        <w:ind w:left="4"/>
        <w:spacing w:after="0"/>
        <w:tabs>
          <w:tab w:leader="none" w:pos="923"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185" w:lineRule="exact"/>
        <w:rPr>
          <w:sz w:val="20"/>
          <w:szCs w:val="20"/>
          <w:color w:val="auto"/>
        </w:rPr>
      </w:pPr>
    </w:p>
    <w:p>
      <w:pPr>
        <w:ind w:left="4" w:right="2819" w:firstLine="465"/>
        <w:spacing w:after="0" w:line="255" w:lineRule="auto"/>
        <w:tabs>
          <w:tab w:leader="none" w:pos="848"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 w:right="2819" w:firstLine="465"/>
        <w:spacing w:after="0" w:line="238" w:lineRule="auto"/>
        <w:tabs>
          <w:tab w:leader="none" w:pos="848"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registrants hereby undertake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6" w:lineRule="exact"/>
        <w:rPr>
          <w:rFonts w:ascii="Courier New" w:cs="Courier New" w:eastAsia="Courier New" w:hAnsi="Courier New"/>
          <w:sz w:val="16"/>
          <w:szCs w:val="16"/>
          <w:color w:val="auto"/>
        </w:rPr>
      </w:pPr>
    </w:p>
    <w:p>
      <w:pPr>
        <w:ind w:left="4" w:right="2719" w:firstLine="465"/>
        <w:spacing w:after="0" w:line="256" w:lineRule="auto"/>
        <w:tabs>
          <w:tab w:leader="none" w:pos="848"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our directors, officers and controlling persons pursuant to the foregoing provisions, or otherwise, we have been advised that in the opinion of the Securities and Exchange Commission such indemnification is against public policy as expressed in the Act and is, therefore, unenforceable. If a claim for indemnification against such liabilities (other than the payment by us of expenses incurred or paid by one of our directors, officers or controlling persons in the successful defense of any action, suit or</w:t>
      </w:r>
    </w:p>
    <w:p>
      <w:pPr>
        <w:spacing w:after="0" w:line="168"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23"/>
          </w:cols>
          <w:pgMar w:left="236" w:top="136" w:right="1440" w:bottom="1440" w:gutter="0" w:footer="0" w:header="0"/>
        </w:sectPr>
      </w:pPr>
    </w:p>
    <w:bookmarkStart w:id="351" w:name="page352"/>
    <w:bookmarkEnd w:id="351"/>
    <w:p>
      <w:pPr>
        <w:ind w:right="2819"/>
        <w:spacing w:after="0" w:line="237" w:lineRule="auto"/>
        <w:rPr>
          <w:sz w:val="20"/>
          <w:szCs w:val="20"/>
          <w:color w:val="auto"/>
        </w:rPr>
      </w:pPr>
      <w:r>
        <w:rPr>
          <w:rFonts w:ascii="Courier New" w:cs="Courier New" w:eastAsia="Courier New" w:hAnsi="Courier New"/>
          <w:sz w:val="16"/>
          <w:szCs w:val="16"/>
          <w:color w:val="auto"/>
        </w:rPr>
        <w:t>proceeding) is asserted by such director, officer or controlling person in connection with the notes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9" w:lineRule="exact"/>
        <w:rPr>
          <w:sz w:val="20"/>
          <w:szCs w:val="20"/>
          <w:color w:val="auto"/>
        </w:rPr>
      </w:pPr>
    </w:p>
    <w:p>
      <w:pPr>
        <w:ind w:right="2719" w:firstLine="465"/>
        <w:spacing w:after="0" w:line="238" w:lineRule="auto"/>
        <w:tabs>
          <w:tab w:leader="none" w:pos="844"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9" w:lineRule="exact"/>
        <w:rPr>
          <w:rFonts w:ascii="Courier New" w:cs="Courier New" w:eastAsia="Courier New" w:hAnsi="Courier New"/>
          <w:sz w:val="16"/>
          <w:szCs w:val="16"/>
          <w:color w:val="auto"/>
        </w:rPr>
      </w:pPr>
    </w:p>
    <w:p>
      <w:pPr>
        <w:ind w:left="840" w:hanging="375"/>
        <w:spacing w:after="0"/>
        <w:tabs>
          <w:tab w:leader="none" w:pos="840"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undertakes to supply by means of a</w:t>
      </w:r>
    </w:p>
    <w:p>
      <w:pPr>
        <w:spacing w:after="0" w:line="4"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6"/>
          <w:szCs w:val="16"/>
          <w:color w:val="auto"/>
        </w:rPr>
        <w:t>post-effective amendment all information concerning a transaction, and the company being acquired involved therein, that was not the subject of and included in the registration statement when it became effective.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659" w:right="1440" w:bottom="1440" w:gutter="0" w:footer="0" w:header="0"/>
        </w:sectPr>
      </w:pPr>
    </w:p>
    <w:bookmarkStart w:id="352" w:name="page353"/>
    <w:bookmarkEnd w:id="352"/>
    <w:p>
      <w:pPr>
        <w:spacing w:after="0" w:line="85"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SIGNATURES FOR AT&amp;T CORP.</w:t>
      </w:r>
    </w:p>
    <w:p>
      <w:pPr>
        <w:spacing w:after="0" w:line="36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AT&amp;T CORP. has duly caused this amendment to be signed on its behalf by the undersigned, thereunto duly authorized, in the City of New York, State of New York, on October 4, 2002.</w:t>
      </w:r>
    </w:p>
    <w:p>
      <w:pPr>
        <w:spacing w:after="0" w:line="36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AT&amp;T CORP.</w:t>
      </w:r>
    </w:p>
    <w:p>
      <w:pPr>
        <w:spacing w:after="0" w:line="179"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By: /s/ ROBERT S. FEIT</w:t>
      </w:r>
    </w:p>
    <w:p>
      <w:pPr>
        <w:spacing w:after="0" w:line="4" w:lineRule="exact"/>
        <w:rPr>
          <w:sz w:val="20"/>
          <w:szCs w:val="20"/>
          <w:color w:val="auto"/>
        </w:r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4"/>
        <w:spacing w:after="0"/>
        <w:tabs>
          <w:tab w:leader="none" w:pos="4583" w:val="left"/>
        </w:tabs>
        <w:rPr>
          <w:sz w:val="20"/>
          <w:szCs w:val="20"/>
          <w:color w:val="auto"/>
        </w:rPr>
      </w:pPr>
      <w:r>
        <w:rPr>
          <w:rFonts w:ascii="Courier New" w:cs="Courier New" w:eastAsia="Courier New" w:hAnsi="Courier New"/>
          <w:sz w:val="16"/>
          <w:szCs w:val="16"/>
          <w:color w:val="auto"/>
        </w:rPr>
        <w:t>Name:</w:t>
        <w:tab/>
        <w:t>Robert S. Feit</w:t>
      </w:r>
    </w:p>
    <w:p>
      <w:pPr>
        <w:ind w:left="3944"/>
        <w:spacing w:after="0"/>
        <w:rPr>
          <w:sz w:val="20"/>
          <w:szCs w:val="20"/>
          <w:color w:val="auto"/>
        </w:rPr>
      </w:pPr>
      <w:r>
        <w:rPr>
          <w:rFonts w:ascii="Courier New" w:cs="Courier New" w:eastAsia="Courier New" w:hAnsi="Courier New"/>
          <w:sz w:val="16"/>
          <w:szCs w:val="16"/>
          <w:color w:val="auto"/>
        </w:rPr>
        <w:t>Title: Vice President--Law and</w:t>
      </w:r>
    </w:p>
    <w:p>
      <w:pPr>
        <w:ind w:left="4604"/>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85"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Chairman</w:t>
      </w:r>
    </w:p>
    <w:p>
      <w:pPr>
        <w:spacing w:after="0" w:line="3" w:lineRule="exact"/>
        <w:rPr>
          <w:rFonts w:ascii="Courier New" w:cs="Courier New" w:eastAsia="Courier New" w:hAnsi="Courier New"/>
          <w:sz w:val="16"/>
          <w:szCs w:val="16"/>
          <w:color w:val="auto"/>
        </w:rPr>
      </w:pPr>
    </w:p>
    <w:p>
      <w:pPr>
        <w:jc w:val="both"/>
        <w:ind w:left="4"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Chief Executive October 4,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center"/>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Executive C. Michael Armstrong Officer) and Director * Senior Executive Vice President October 4, 2002 -----</w:t>
      </w:r>
    </w:p>
    <w:p>
      <w:pPr>
        <w:spacing w:after="0" w:line="2"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24" w:hanging="383"/>
        <w:spacing w:after="0"/>
        <w:tabs>
          <w:tab w:leader="none" w:pos="524" w:val="left"/>
        </w:tabs>
        <w:numPr>
          <w:ilvl w:val="1"/>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ind w:left="2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Chief</w:t>
      </w:r>
    </w:p>
    <w:p>
      <w:pPr>
        <w:jc w:val="center"/>
        <w:ind w:right="9275"/>
        <w:spacing w:after="0" w:line="237" w:lineRule="auto"/>
        <w:rPr>
          <w:sz w:val="20"/>
          <w:szCs w:val="20"/>
          <w:color w:val="auto"/>
        </w:rPr>
      </w:pPr>
      <w:r>
        <w:rPr>
          <w:rFonts w:ascii="Courier New" w:cs="Courier New" w:eastAsia="Courier New" w:hAnsi="Courier New"/>
          <w:sz w:val="16"/>
          <w:szCs w:val="16"/>
          <w:color w:val="auto"/>
        </w:rPr>
        <w:t>Financial</w:t>
      </w:r>
    </w:p>
    <w:p>
      <w:pPr>
        <w:jc w:val="center"/>
        <w:ind w:right="9275"/>
        <w:spacing w:after="0"/>
        <w:rPr>
          <w:sz w:val="20"/>
          <w:szCs w:val="20"/>
          <w:color w:val="auto"/>
        </w:rPr>
      </w:pPr>
      <w:r>
        <w:rPr>
          <w:rFonts w:ascii="Courier New" w:cs="Courier New" w:eastAsia="Courier New" w:hAnsi="Courier New"/>
          <w:sz w:val="16"/>
          <w:szCs w:val="16"/>
          <w:color w:val="auto"/>
        </w:rPr>
        <w:t>Officer</w:t>
      </w:r>
    </w:p>
    <w:p>
      <w:pPr>
        <w:jc w:val="center"/>
        <w:ind w:right="9275"/>
        <w:spacing w:after="0" w:line="238" w:lineRule="auto"/>
        <w:rPr>
          <w:sz w:val="20"/>
          <w:szCs w:val="20"/>
          <w:color w:val="auto"/>
        </w:rPr>
      </w:pPr>
      <w:r>
        <w:rPr>
          <w:rFonts w:ascii="Courier New" w:cs="Courier New" w:eastAsia="Courier New" w:hAnsi="Courier New"/>
          <w:sz w:val="16"/>
          <w:szCs w:val="16"/>
          <w:color w:val="auto"/>
        </w:rPr>
        <w:t>Thomas W.</w:t>
      </w:r>
    </w:p>
    <w:p>
      <w:pPr>
        <w:jc w:val="center"/>
        <w:ind w:right="9275"/>
        <w:spacing w:after="0"/>
        <w:rPr>
          <w:sz w:val="20"/>
          <w:szCs w:val="20"/>
          <w:color w:val="auto"/>
        </w:rPr>
      </w:pPr>
      <w:r>
        <w:rPr>
          <w:rFonts w:ascii="Courier New" w:cs="Courier New" w:eastAsia="Courier New" w:hAnsi="Courier New"/>
          <w:sz w:val="16"/>
          <w:szCs w:val="16"/>
          <w:color w:val="auto"/>
        </w:rPr>
        <w:t>Horton</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Financial</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Officer)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Vice</w:t>
      </w:r>
    </w:p>
    <w:p>
      <w:pPr>
        <w:jc w:val="center"/>
        <w:ind w:right="9275"/>
        <w:spacing w:after="0"/>
        <w:rPr>
          <w:sz w:val="20"/>
          <w:szCs w:val="20"/>
          <w:color w:val="auto"/>
        </w:rPr>
      </w:pPr>
      <w:r>
        <w:rPr>
          <w:rFonts w:ascii="Courier New" w:cs="Courier New" w:eastAsia="Courier New" w:hAnsi="Courier New"/>
          <w:sz w:val="16"/>
          <w:szCs w:val="16"/>
          <w:color w:val="auto"/>
        </w:rPr>
        <w:t>President</w:t>
      </w:r>
    </w:p>
    <w:p>
      <w:pPr>
        <w:jc w:val="center"/>
        <w:ind w:right="9275"/>
        <w:spacing w:after="0" w:line="237" w:lineRule="auto"/>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Controller</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2002 -----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jc w:val="center"/>
        <w:ind w:right="9275"/>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(Principal</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Officer)</w:t>
      </w:r>
    </w:p>
    <w:p>
      <w:pPr>
        <w:jc w:val="center"/>
        <w:ind w:right="9275"/>
        <w:spacing w:after="0"/>
        <w:rPr>
          <w:sz w:val="20"/>
          <w:szCs w:val="20"/>
          <w:color w:val="auto"/>
        </w:rPr>
      </w:pPr>
      <w:r>
        <w:rPr>
          <w:rFonts w:ascii="Courier New" w:cs="Courier New" w:eastAsia="Courier New" w:hAnsi="Courier New"/>
          <w:sz w:val="16"/>
          <w:szCs w:val="16"/>
          <w:color w:val="auto"/>
        </w:rPr>
        <w:t>Nicholas</w:t>
      </w:r>
    </w:p>
    <w:p>
      <w:pPr>
        <w:spacing w:after="0" w:line="3" w:lineRule="exact"/>
        <w:rPr>
          <w:sz w:val="20"/>
          <w:szCs w:val="20"/>
          <w:color w:val="auto"/>
        </w:rPr>
      </w:pPr>
    </w:p>
    <w:p>
      <w:pPr>
        <w:jc w:val="both"/>
        <w:ind w:left="4" w:right="9279" w:firstLine="43"/>
        <w:spacing w:after="0" w:line="254" w:lineRule="auto"/>
        <w:tabs>
          <w:tab w:leader="none" w:pos="332"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Cyprus * Director October 4,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jc w:val="right"/>
        <w:ind w:left="144" w:right="9419" w:firstLine="44"/>
        <w:spacing w:after="0" w:line="263" w:lineRule="auto"/>
        <w:tabs>
          <w:tab w:leader="none" w:pos="566" w:val="left"/>
        </w:tabs>
        <w:numPr>
          <w:ilvl w:val="2"/>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 Michael</w:t>
      </w:r>
    </w:p>
    <w:p>
      <w:pPr>
        <w:sectPr>
          <w:pgSz w:w="11900" w:h="16924" w:orient="portrait"/>
          <w:cols w:equalWidth="0" w:num="1">
            <w:col w:w="10223"/>
          </w:cols>
          <w:pgMar w:left="236" w:top="654" w:right="1440" w:bottom="0" w:gutter="0" w:footer="0" w:header="0"/>
        </w:sectPr>
      </w:pPr>
    </w:p>
    <w:bookmarkStart w:id="353" w:name="page354"/>
    <w:bookmarkEnd w:id="353"/>
    <w:p>
      <w:pPr>
        <w:jc w:val="center"/>
        <w:ind w:right="9275"/>
        <w:spacing w:after="0"/>
        <w:rPr>
          <w:sz w:val="20"/>
          <w:szCs w:val="20"/>
          <w:color w:val="auto"/>
        </w:rPr>
      </w:pPr>
      <w:r>
        <w:rPr>
          <w:rFonts w:ascii="Courier New" w:cs="Courier New" w:eastAsia="Courier New" w:hAnsi="Courier New"/>
          <w:sz w:val="16"/>
          <w:szCs w:val="16"/>
          <w:color w:val="auto"/>
        </w:rPr>
        <w:t>Cook *</w:t>
      </w:r>
    </w:p>
    <w:p>
      <w:pPr>
        <w:jc w:val="center"/>
        <w:ind w:right="9275"/>
        <w:spacing w:after="0"/>
        <w:rPr>
          <w:sz w:val="20"/>
          <w:szCs w:val="20"/>
          <w:color w:val="auto"/>
        </w:rPr>
      </w:pPr>
      <w:r>
        <w:rPr>
          <w:rFonts w:ascii="Courier New" w:cs="Courier New" w:eastAsia="Courier New" w:hAnsi="Courier New"/>
          <w:sz w:val="16"/>
          <w:szCs w:val="16"/>
          <w:color w:val="auto"/>
        </w:rPr>
        <w:t>Director</w:t>
      </w:r>
    </w:p>
    <w:p>
      <w:pPr>
        <w:ind w:left="4"/>
        <w:spacing w:after="0" w:line="237" w:lineRule="auto"/>
        <w:rPr>
          <w:sz w:val="20"/>
          <w:szCs w:val="20"/>
          <w:color w:val="auto"/>
        </w:rPr>
      </w:pPr>
      <w:r>
        <w:rPr>
          <w:rFonts w:ascii="Courier New" w:cs="Courier New" w:eastAsia="Courier New" w:hAnsi="Courier New"/>
          <w:sz w:val="16"/>
          <w:szCs w:val="16"/>
          <w:color w:val="auto"/>
        </w:rPr>
        <w:t>October 4,</w:t>
      </w:r>
    </w:p>
    <w:p>
      <w:pPr>
        <w:ind w:left="4"/>
        <w:spacing w:after="0"/>
        <w:rPr>
          <w:sz w:val="20"/>
          <w:szCs w:val="20"/>
          <w:color w:val="auto"/>
        </w:rPr>
      </w:pPr>
      <w:r>
        <w:rPr>
          <w:rFonts w:ascii="Courier New" w:cs="Courier New" w:eastAsia="Courier New" w:hAnsi="Courier New"/>
          <w:sz w:val="16"/>
          <w:szCs w:val="16"/>
          <w:color w:val="auto"/>
        </w:rPr>
        <w:t>2002 -----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both"/>
        <w:ind w:left="4" w:right="9279" w:firstLine="43"/>
        <w:spacing w:after="0" w:line="254" w:lineRule="auto"/>
        <w:tabs>
          <w:tab w:leader="none" w:pos="426"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W. Dorman * Director October 4,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jc w:val="right"/>
        <w:ind w:left="144" w:right="9419" w:firstLine="44"/>
        <w:spacing w:after="0" w:line="254" w:lineRule="auto"/>
        <w:tabs>
          <w:tab w:leader="none" w:pos="566" w:val="left"/>
        </w:tabs>
        <w:numPr>
          <w:ilvl w:val="2"/>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 Kathryn</w:t>
      </w:r>
    </w:p>
    <w:p>
      <w:pPr>
        <w:spacing w:after="0" w:line="1"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Eickhoff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Director</w:t>
      </w:r>
    </w:p>
    <w:p>
      <w:pPr>
        <w:ind w:left="4"/>
        <w:spacing w:after="0"/>
        <w:rPr>
          <w:sz w:val="20"/>
          <w:szCs w:val="20"/>
          <w:color w:val="auto"/>
        </w:rPr>
      </w:pPr>
      <w:r>
        <w:rPr>
          <w:rFonts w:ascii="Courier New" w:cs="Courier New" w:eastAsia="Courier New" w:hAnsi="Courier New"/>
          <w:sz w:val="16"/>
          <w:szCs w:val="16"/>
          <w:color w:val="auto"/>
        </w:rPr>
        <w:t>October 4,</w:t>
      </w:r>
    </w:p>
    <w:p>
      <w:pPr>
        <w:ind w:left="4"/>
        <w:spacing w:after="0" w:line="237" w:lineRule="auto"/>
        <w:rPr>
          <w:sz w:val="20"/>
          <w:szCs w:val="20"/>
          <w:color w:val="auto"/>
        </w:rPr>
      </w:pPr>
      <w:r>
        <w:rPr>
          <w:rFonts w:ascii="Courier New" w:cs="Courier New" w:eastAsia="Courier New" w:hAnsi="Courier New"/>
          <w:sz w:val="16"/>
          <w:szCs w:val="16"/>
          <w:color w:val="auto"/>
        </w:rPr>
        <w:t>2002 -----</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4" w:right="9279" w:hanging="284"/>
        <w:spacing w:after="0" w:line="254" w:lineRule="auto"/>
        <w:tabs>
          <w:tab w:leader="none" w:pos="378"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M.C.</w:t>
      </w:r>
    </w:p>
    <w:p>
      <w:pPr>
        <w:jc w:val="center"/>
        <w:ind w:right="9275"/>
        <w:spacing w:after="0" w:line="234" w:lineRule="auto"/>
        <w:rPr>
          <w:sz w:val="20"/>
          <w:szCs w:val="20"/>
          <w:color w:val="auto"/>
        </w:rPr>
      </w:pPr>
      <w:r>
        <w:rPr>
          <w:rFonts w:ascii="Courier New" w:cs="Courier New" w:eastAsia="Courier New" w:hAnsi="Courier New"/>
          <w:sz w:val="16"/>
          <w:szCs w:val="16"/>
          <w:color w:val="auto"/>
        </w:rPr>
        <w:t>Fisher *</w:t>
      </w:r>
    </w:p>
    <w:p>
      <w:pPr>
        <w:jc w:val="center"/>
        <w:ind w:right="9275"/>
        <w:spacing w:after="0"/>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2002 -----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 w:right="9339" w:hanging="337"/>
        <w:spacing w:after="0" w:line="263" w:lineRule="auto"/>
        <w:tabs>
          <w:tab w:leader="none" w:pos="431"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Frank C.</w:t>
      </w:r>
    </w:p>
    <w:p>
      <w:pPr>
        <w:spacing w:after="0" w:line="169" w:lineRule="exact"/>
        <w:rPr>
          <w:sz w:val="20"/>
          <w:szCs w:val="20"/>
          <w:color w:val="auto"/>
        </w:rPr>
      </w:pPr>
    </w:p>
    <w:p>
      <w:pPr>
        <w:jc w:val="both"/>
        <w:ind w:left="4" w:right="9279" w:hanging="4"/>
        <w:spacing w:after="0" w:line="254" w:lineRule="auto"/>
        <w:tabs>
          <w:tab w:leader="none" w:pos="191"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October 4,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384" w:right="9379" w:hanging="290"/>
        <w:spacing w:after="0" w:line="254" w:lineRule="auto"/>
        <w:tabs>
          <w:tab w:leader="none" w:pos="478" w:val="left"/>
        </w:tabs>
        <w:numPr>
          <w:ilvl w:val="1"/>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Amos B.</w:t>
      </w:r>
    </w:p>
    <w:p>
      <w:pPr>
        <w:spacing w:after="0" w:line="1"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Hostetter,</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Jr. *</w:t>
      </w:r>
    </w:p>
    <w:p>
      <w:pPr>
        <w:jc w:val="center"/>
        <w:ind w:right="9275"/>
        <w:spacing w:after="0"/>
        <w:rPr>
          <w:sz w:val="20"/>
          <w:szCs w:val="20"/>
          <w:color w:val="auto"/>
        </w:rPr>
      </w:pPr>
      <w:r>
        <w:rPr>
          <w:rFonts w:ascii="Courier New" w:cs="Courier New" w:eastAsia="Courier New" w:hAnsi="Courier New"/>
          <w:sz w:val="16"/>
          <w:szCs w:val="16"/>
          <w:color w:val="auto"/>
        </w:rPr>
        <w:t>Director</w:t>
      </w:r>
    </w:p>
    <w:p>
      <w:pPr>
        <w:ind w:left="4"/>
        <w:spacing w:after="0" w:line="237" w:lineRule="auto"/>
        <w:rPr>
          <w:sz w:val="20"/>
          <w:szCs w:val="20"/>
          <w:color w:val="auto"/>
        </w:rPr>
      </w:pPr>
      <w:r>
        <w:rPr>
          <w:rFonts w:ascii="Courier New" w:cs="Courier New" w:eastAsia="Courier New" w:hAnsi="Courier New"/>
          <w:sz w:val="16"/>
          <w:szCs w:val="16"/>
          <w:color w:val="auto"/>
        </w:rPr>
        <w:t>October 4,</w:t>
      </w:r>
    </w:p>
    <w:p>
      <w:pPr>
        <w:ind w:left="4"/>
        <w:spacing w:after="0"/>
        <w:rPr>
          <w:sz w:val="20"/>
          <w:szCs w:val="20"/>
          <w:color w:val="auto"/>
        </w:rPr>
      </w:pPr>
      <w:r>
        <w:rPr>
          <w:rFonts w:ascii="Courier New" w:cs="Courier New" w:eastAsia="Courier New" w:hAnsi="Courier New"/>
          <w:sz w:val="16"/>
          <w:szCs w:val="16"/>
          <w:color w:val="auto"/>
        </w:rPr>
        <w:t>2002 -----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jc w:val="center"/>
        <w:ind w:right="9275"/>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Shirley A.</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Jackson</w:t>
      </w:r>
    </w:p>
    <w:p>
      <w:pPr>
        <w:spacing w:after="0" w:line="200" w:lineRule="exact"/>
        <w:rPr>
          <w:sz w:val="20"/>
          <w:szCs w:val="20"/>
          <w:color w:val="auto"/>
        </w:rPr>
      </w:pPr>
    </w:p>
    <w:p>
      <w:pPr>
        <w:spacing w:after="0" w:line="34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II-11</w:t>
      </w:r>
    </w:p>
    <w:p>
      <w:pPr>
        <w:sectPr>
          <w:pgSz w:w="11900" w:h="16838" w:orient="portrait"/>
          <w:cols w:equalWidth="0" w:num="1">
            <w:col w:w="10223"/>
          </w:cols>
          <w:pgMar w:left="236" w:top="136" w:right="1440" w:bottom="1440" w:gutter="0" w:footer="0" w:header="0"/>
        </w:sectPr>
      </w:pPr>
    </w:p>
    <w:bookmarkStart w:id="354" w:name="page355"/>
    <w:bookmarkEnd w:id="354"/>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jc w:val="center"/>
        <w:ind w:right="9275"/>
        <w:spacing w:after="0" w:line="237" w:lineRule="auto"/>
        <w:rPr>
          <w:sz w:val="20"/>
          <w:szCs w:val="20"/>
          <w:color w:val="auto"/>
        </w:rPr>
      </w:pPr>
      <w:r>
        <w:rPr>
          <w:rFonts w:ascii="Courier New" w:cs="Courier New" w:eastAsia="Courier New" w:hAnsi="Courier New"/>
          <w:sz w:val="16"/>
          <w:szCs w:val="16"/>
          <w:color w:val="auto"/>
        </w:rPr>
        <w:t>Director</w:t>
      </w:r>
    </w:p>
    <w:p>
      <w:pPr>
        <w:ind w:left="4"/>
        <w:spacing w:after="0"/>
        <w:rPr>
          <w:sz w:val="20"/>
          <w:szCs w:val="20"/>
          <w:color w:val="auto"/>
        </w:rPr>
      </w:pPr>
      <w:r>
        <w:rPr>
          <w:rFonts w:ascii="Courier New" w:cs="Courier New" w:eastAsia="Courier New" w:hAnsi="Courier New"/>
          <w:sz w:val="16"/>
          <w:szCs w:val="16"/>
          <w:color w:val="auto"/>
        </w:rPr>
        <w:t>October 4,</w:t>
      </w:r>
    </w:p>
    <w:p>
      <w:pPr>
        <w:ind w:left="4"/>
        <w:spacing w:after="0" w:line="238" w:lineRule="auto"/>
        <w:rPr>
          <w:sz w:val="20"/>
          <w:szCs w:val="20"/>
          <w:color w:val="auto"/>
        </w:rPr>
      </w:pPr>
      <w:r>
        <w:rPr>
          <w:rFonts w:ascii="Courier New" w:cs="Courier New" w:eastAsia="Courier New" w:hAnsi="Courier New"/>
          <w:sz w:val="16"/>
          <w:szCs w:val="16"/>
          <w:color w:val="auto"/>
        </w:rPr>
        <w:t>2002 -----</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4" w:right="9279" w:hanging="4"/>
        <w:spacing w:after="0" w:line="254" w:lineRule="auto"/>
        <w:tabs>
          <w:tab w:leader="none" w:pos="379"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Donald F. McHenry * Director October 4,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Charles H.</w:t>
      </w:r>
    </w:p>
    <w:p>
      <w:pPr>
        <w:ind w:left="1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Noski *</w:t>
      </w:r>
    </w:p>
    <w:p>
      <w:pPr>
        <w:ind w:left="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Director</w:t>
      </w:r>
    </w:p>
    <w:p>
      <w:pPr>
        <w:spacing w:after="0" w:line="3" w:lineRule="exact"/>
        <w:rPr>
          <w:rFonts w:ascii="Courier New" w:cs="Courier New" w:eastAsia="Courier New" w:hAnsi="Courier New"/>
          <w:sz w:val="15"/>
          <w:szCs w:val="15"/>
          <w:color w:val="auto"/>
        </w:rPr>
      </w:pPr>
    </w:p>
    <w:p>
      <w:pPr>
        <w:jc w:val="both"/>
        <w:ind w:left="4" w:right="92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October 4,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jc w:val="both"/>
        <w:ind w:left="4" w:right="9279" w:firstLine="43"/>
        <w:spacing w:after="0" w:line="254" w:lineRule="auto"/>
        <w:tabs>
          <w:tab w:leader="none" w:pos="426"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Louis A. Simpson * Director October 4,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Michael I.</w:t>
      </w:r>
    </w:p>
    <w:p>
      <w:pPr>
        <w:spacing w:after="0" w:line="3" w:lineRule="exact"/>
        <w:rPr>
          <w:rFonts w:ascii="Courier New" w:cs="Courier New" w:eastAsia="Courier New" w:hAnsi="Courier New"/>
          <w:sz w:val="15"/>
          <w:szCs w:val="15"/>
          <w:color w:val="auto"/>
        </w:rPr>
      </w:pPr>
    </w:p>
    <w:p>
      <w:pPr>
        <w:jc w:val="center"/>
        <w:ind w:left="4" w:right="9279" w:firstLine="9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Sovern * Director October 4,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Sanford I.</w:t>
      </w:r>
    </w:p>
    <w:p>
      <w:pPr>
        <w:ind w:left="1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Weill *</w:t>
      </w:r>
    </w:p>
    <w:p>
      <w:pPr>
        <w:ind w:left="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Director</w:t>
      </w:r>
    </w:p>
    <w:p>
      <w:pPr>
        <w:spacing w:after="0" w:line="3" w:lineRule="exact"/>
        <w:rPr>
          <w:rFonts w:ascii="Courier New" w:cs="Courier New" w:eastAsia="Courier New" w:hAnsi="Courier New"/>
          <w:sz w:val="15"/>
          <w:szCs w:val="15"/>
          <w:color w:val="auto"/>
        </w:rPr>
      </w:pPr>
    </w:p>
    <w:p>
      <w:pPr>
        <w:jc w:val="both"/>
        <w:ind w:left="4" w:right="92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October 4,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jc w:val="both"/>
        <w:ind w:left="104" w:right="9379" w:hanging="10"/>
        <w:spacing w:after="0" w:line="254" w:lineRule="auto"/>
        <w:tabs>
          <w:tab w:leader="none" w:pos="479" w:val="left"/>
        </w:tabs>
        <w:numPr>
          <w:ilvl w:val="2"/>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Tony L. White *By: /s/</w:t>
      </w:r>
    </w:p>
    <w:p>
      <w:pPr>
        <w:ind w:left="44"/>
        <w:spacing w:after="0" w:line="235" w:lineRule="auto"/>
        <w:rPr>
          <w:sz w:val="20"/>
          <w:szCs w:val="20"/>
          <w:color w:val="auto"/>
        </w:rPr>
      </w:pPr>
      <w:r>
        <w:rPr>
          <w:rFonts w:ascii="Courier New" w:cs="Courier New" w:eastAsia="Courier New" w:hAnsi="Courier New"/>
          <w:sz w:val="16"/>
          <w:szCs w:val="16"/>
          <w:color w:val="auto"/>
        </w:rPr>
        <w:t>ROBERT S.</w:t>
      </w:r>
    </w:p>
    <w:p>
      <w:pPr>
        <w:ind w:left="4"/>
        <w:spacing w:after="0"/>
        <w:rPr>
          <w:sz w:val="20"/>
          <w:szCs w:val="20"/>
          <w:color w:val="auto"/>
        </w:rPr>
      </w:pPr>
      <w:r>
        <w:rPr>
          <w:rFonts w:ascii="Courier New" w:cs="Courier New" w:eastAsia="Courier New" w:hAnsi="Courier New"/>
          <w:sz w:val="16"/>
          <w:szCs w:val="16"/>
          <w:color w:val="auto"/>
        </w:rPr>
        <w:t>FEIT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144"/>
        <w:spacing w:after="0"/>
        <w:rPr>
          <w:sz w:val="20"/>
          <w:szCs w:val="20"/>
          <w:color w:val="auto"/>
        </w:rPr>
      </w:pPr>
      <w:r>
        <w:rPr>
          <w:rFonts w:ascii="Courier New" w:cs="Courier New" w:eastAsia="Courier New" w:hAnsi="Courier New"/>
          <w:sz w:val="16"/>
          <w:szCs w:val="16"/>
          <w:color w:val="auto"/>
        </w:rPr>
        <w:t>-------</w:t>
      </w:r>
    </w:p>
    <w:p>
      <w:pPr>
        <w:jc w:val="center"/>
        <w:ind w:right="9275"/>
        <w:spacing w:after="0" w:line="238" w:lineRule="auto"/>
        <w:rPr>
          <w:sz w:val="20"/>
          <w:szCs w:val="20"/>
          <w:color w:val="auto"/>
        </w:rPr>
      </w:pPr>
      <w:r>
        <w:rPr>
          <w:rFonts w:ascii="Courier New" w:cs="Courier New" w:eastAsia="Courier New" w:hAnsi="Courier New"/>
          <w:sz w:val="16"/>
          <w:szCs w:val="16"/>
          <w:color w:val="auto"/>
        </w:rPr>
        <w:t>Robert S.</w:t>
      </w:r>
    </w:p>
    <w:p>
      <w:pPr>
        <w:jc w:val="center"/>
        <w:ind w:right="9275"/>
        <w:spacing w:after="0"/>
        <w:rPr>
          <w:sz w:val="20"/>
          <w:szCs w:val="20"/>
          <w:color w:val="auto"/>
        </w:rPr>
      </w:pPr>
      <w:r>
        <w:rPr>
          <w:rFonts w:ascii="Courier New" w:cs="Courier New" w:eastAsia="Courier New" w:hAnsi="Courier New"/>
          <w:sz w:val="16"/>
          <w:szCs w:val="16"/>
          <w:color w:val="auto"/>
        </w:rPr>
        <w:t>Feit</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October 4, 2002</w:t>
      </w:r>
    </w:p>
    <w:p>
      <w:pPr>
        <w:sectPr>
          <w:pgSz w:w="11900" w:h="16838" w:orient="portrait"/>
          <w:cols w:equalWidth="0" w:num="1">
            <w:col w:w="10223"/>
          </w:cols>
          <w:pgMar w:left="236" w:top="834" w:right="1440" w:bottom="835" w:gutter="0" w:footer="0" w:header="0"/>
        </w:sectPr>
      </w:pPr>
    </w:p>
    <w:p>
      <w:pPr>
        <w:spacing w:after="0" w:line="371"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23"/>
          </w:cols>
          <w:pgMar w:left="236" w:top="834" w:right="1440" w:bottom="835" w:gutter="0" w:footer="0" w:header="0"/>
          <w:type w:val="continuous"/>
        </w:sectPr>
      </w:pPr>
    </w:p>
    <w:bookmarkStart w:id="355" w:name="page356"/>
    <w:bookmarkEnd w:id="355"/>
    <w:p>
      <w:pPr>
        <w:spacing w:after="0" w:line="70"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SIGNATURES FOR AT&amp;T BROADBAND CORP.</w:t>
      </w:r>
    </w:p>
    <w:p>
      <w:pPr>
        <w:spacing w:after="0" w:line="36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AT&amp;T BROADBAND CORP. has duly caused this amendment to be signed on its behalf by the undersigned, thereunto duly authorized, in the City of New York, State of New York, on October 4, 2002.</w:t>
      </w:r>
    </w:p>
    <w:p>
      <w:pPr>
        <w:spacing w:after="0" w:line="36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AT&amp;T BROADBAND CORP.</w:t>
      </w:r>
    </w:p>
    <w:p>
      <w:pPr>
        <w:spacing w:after="0" w:line="179"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By: /s/ ROBERT S. FEIT</w:t>
      </w:r>
    </w:p>
    <w:p>
      <w:pPr>
        <w:spacing w:after="0" w:line="4" w:lineRule="exact"/>
        <w:rPr>
          <w:sz w:val="20"/>
          <w:szCs w:val="20"/>
          <w:color w:val="auto"/>
        </w:r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4"/>
        <w:spacing w:after="0"/>
        <w:tabs>
          <w:tab w:leader="none" w:pos="4583" w:val="left"/>
        </w:tabs>
        <w:rPr>
          <w:sz w:val="20"/>
          <w:szCs w:val="20"/>
          <w:color w:val="auto"/>
        </w:rPr>
      </w:pPr>
      <w:r>
        <w:rPr>
          <w:rFonts w:ascii="Courier New" w:cs="Courier New" w:eastAsia="Courier New" w:hAnsi="Courier New"/>
          <w:sz w:val="16"/>
          <w:szCs w:val="16"/>
          <w:color w:val="auto"/>
        </w:rPr>
        <w:t>Name:</w:t>
        <w:tab/>
        <w:t>Robert S. Feit</w:t>
      </w:r>
    </w:p>
    <w:p>
      <w:pPr>
        <w:ind w:left="3944"/>
        <w:spacing w:after="0"/>
        <w:tabs>
          <w:tab w:leader="none" w:pos="4663" w:val="left"/>
        </w:tabs>
        <w:rPr>
          <w:sz w:val="20"/>
          <w:szCs w:val="20"/>
          <w:color w:val="auto"/>
        </w:rPr>
      </w:pPr>
      <w:r>
        <w:rPr>
          <w:rFonts w:ascii="Courier New" w:cs="Courier New" w:eastAsia="Courier New" w:hAnsi="Courier New"/>
          <w:sz w:val="16"/>
          <w:szCs w:val="16"/>
          <w:color w:val="auto"/>
        </w:rPr>
        <w:t>Title:</w:t>
        <w:tab/>
        <w:t>Vice President and Assistant</w:t>
      </w:r>
    </w:p>
    <w:p>
      <w:pPr>
        <w:ind w:left="4684"/>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85"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jc w:val="center"/>
        <w:ind w:right="9275"/>
        <w:spacing w:after="0" w:line="237" w:lineRule="auto"/>
        <w:rPr>
          <w:sz w:val="20"/>
          <w:szCs w:val="20"/>
          <w:color w:val="auto"/>
        </w:rPr>
      </w:pPr>
      <w:r>
        <w:rPr>
          <w:rFonts w:ascii="Courier New" w:cs="Courier New" w:eastAsia="Courier New" w:hAnsi="Courier New"/>
          <w:sz w:val="16"/>
          <w:szCs w:val="16"/>
          <w:color w:val="auto"/>
        </w:rPr>
        <w:t>Chairman</w:t>
      </w:r>
    </w:p>
    <w:p>
      <w:pPr>
        <w:jc w:val="center"/>
        <w:ind w:right="9275"/>
        <w:spacing w:after="0"/>
        <w:rPr>
          <w:sz w:val="20"/>
          <w:szCs w:val="20"/>
          <w:color w:val="auto"/>
        </w:rPr>
      </w:pPr>
      <w:r>
        <w:rPr>
          <w:rFonts w:ascii="Courier New" w:cs="Courier New" w:eastAsia="Courier New" w:hAnsi="Courier New"/>
          <w:sz w:val="16"/>
          <w:szCs w:val="16"/>
          <w:color w:val="auto"/>
        </w:rPr>
        <w:t>and</w:t>
      </w:r>
    </w:p>
    <w:p>
      <w:pPr>
        <w:ind w:left="44"/>
        <w:spacing w:after="0" w:line="238" w:lineRule="auto"/>
        <w:rPr>
          <w:sz w:val="20"/>
          <w:szCs w:val="20"/>
          <w:color w:val="auto"/>
        </w:rPr>
      </w:pPr>
      <w:r>
        <w:rPr>
          <w:rFonts w:ascii="Courier New" w:cs="Courier New" w:eastAsia="Courier New" w:hAnsi="Courier New"/>
          <w:sz w:val="16"/>
          <w:szCs w:val="16"/>
          <w:color w:val="auto"/>
        </w:rPr>
        <w:t>President</w:t>
      </w:r>
    </w:p>
    <w:p>
      <w:pPr>
        <w:ind w:left="4"/>
        <w:spacing w:after="0"/>
        <w:rPr>
          <w:sz w:val="20"/>
          <w:szCs w:val="20"/>
          <w:color w:val="auto"/>
        </w:rPr>
      </w:pPr>
      <w:r>
        <w:rPr>
          <w:rFonts w:ascii="Courier New" w:cs="Courier New" w:eastAsia="Courier New" w:hAnsi="Courier New"/>
          <w:sz w:val="16"/>
          <w:szCs w:val="16"/>
          <w:color w:val="auto"/>
        </w:rPr>
        <w:t>(Principal</w:t>
      </w:r>
    </w:p>
    <w:p>
      <w:pPr>
        <w:ind w:left="4"/>
        <w:spacing w:after="0" w:line="238" w:lineRule="auto"/>
        <w:rPr>
          <w:sz w:val="20"/>
          <w:szCs w:val="20"/>
          <w:color w:val="auto"/>
        </w:rPr>
      </w:pPr>
      <w:r>
        <w:rPr>
          <w:rFonts w:ascii="Courier New" w:cs="Courier New" w:eastAsia="Courier New" w:hAnsi="Courier New"/>
          <w:sz w:val="16"/>
          <w:szCs w:val="16"/>
          <w:color w:val="auto"/>
        </w:rPr>
        <w:t>October 4,</w:t>
      </w:r>
    </w:p>
    <w:p>
      <w:pPr>
        <w:ind w:left="4"/>
        <w:spacing w:after="0"/>
        <w:rPr>
          <w:sz w:val="20"/>
          <w:szCs w:val="20"/>
          <w:color w:val="auto"/>
        </w:rPr>
      </w:pPr>
      <w:r>
        <w:rPr>
          <w:rFonts w:ascii="Courier New" w:cs="Courier New" w:eastAsia="Courier New" w:hAnsi="Courier New"/>
          <w:sz w:val="16"/>
          <w:szCs w:val="16"/>
          <w:color w:val="auto"/>
        </w:rPr>
        <w:t>2002 -----</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jc w:val="center"/>
        <w:ind w:right="9275"/>
        <w:spacing w:after="0" w:line="238" w:lineRule="auto"/>
        <w:rPr>
          <w:sz w:val="20"/>
          <w:szCs w:val="20"/>
          <w:color w:val="auto"/>
        </w:rPr>
      </w:pPr>
      <w:r>
        <w:rPr>
          <w:rFonts w:ascii="Courier New" w:cs="Courier New" w:eastAsia="Courier New" w:hAnsi="Courier New"/>
          <w:sz w:val="16"/>
          <w:szCs w:val="16"/>
          <w:color w:val="auto"/>
        </w:rPr>
        <w:t>---</w:t>
      </w:r>
    </w:p>
    <w:p>
      <w:pPr>
        <w:jc w:val="center"/>
        <w:ind w:right="9275"/>
        <w:spacing w:after="0"/>
        <w:rPr>
          <w:sz w:val="20"/>
          <w:szCs w:val="20"/>
          <w:color w:val="auto"/>
        </w:rPr>
      </w:pPr>
      <w:r>
        <w:rPr>
          <w:rFonts w:ascii="Courier New" w:cs="Courier New" w:eastAsia="Courier New" w:hAnsi="Courier New"/>
          <w:sz w:val="16"/>
          <w:szCs w:val="16"/>
          <w:color w:val="auto"/>
        </w:rPr>
        <w:t>Executive</w:t>
      </w:r>
    </w:p>
    <w:p>
      <w:pPr>
        <w:jc w:val="center"/>
        <w:ind w:right="9275"/>
        <w:spacing w:after="0" w:line="237" w:lineRule="auto"/>
        <w:rPr>
          <w:sz w:val="20"/>
          <w:szCs w:val="20"/>
          <w:color w:val="auto"/>
        </w:rPr>
      </w:pPr>
      <w:r>
        <w:rPr>
          <w:rFonts w:ascii="Courier New" w:cs="Courier New" w:eastAsia="Courier New" w:hAnsi="Courier New"/>
          <w:sz w:val="16"/>
          <w:szCs w:val="16"/>
          <w:color w:val="auto"/>
        </w:rPr>
        <w:t>Officer)</w:t>
      </w:r>
    </w:p>
    <w:p>
      <w:pPr>
        <w:jc w:val="center"/>
        <w:ind w:right="9275"/>
        <w:spacing w:after="0"/>
        <w:rPr>
          <w:sz w:val="20"/>
          <w:szCs w:val="20"/>
          <w:color w:val="auto"/>
        </w:rPr>
      </w:pPr>
      <w:r>
        <w:rPr>
          <w:rFonts w:ascii="Courier New" w:cs="Courier New" w:eastAsia="Courier New" w:hAnsi="Courier New"/>
          <w:sz w:val="16"/>
          <w:szCs w:val="16"/>
          <w:color w:val="auto"/>
        </w:rPr>
        <w:t>and</w:t>
      </w:r>
    </w:p>
    <w:p>
      <w:pPr>
        <w:jc w:val="center"/>
        <w:ind w:right="9275"/>
        <w:spacing w:after="0" w:line="238" w:lineRule="auto"/>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Raymond E.</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Liguori *</w:t>
      </w:r>
    </w:p>
    <w:p>
      <w:pPr>
        <w:jc w:val="center"/>
        <w:ind w:right="9275"/>
        <w:spacing w:after="0"/>
        <w:rPr>
          <w:sz w:val="20"/>
          <w:szCs w:val="20"/>
          <w:color w:val="auto"/>
        </w:rPr>
      </w:pPr>
      <w:r>
        <w:rPr>
          <w:rFonts w:ascii="Courier New" w:cs="Courier New" w:eastAsia="Courier New" w:hAnsi="Courier New"/>
          <w:sz w:val="16"/>
          <w:szCs w:val="16"/>
          <w:color w:val="auto"/>
        </w:rPr>
        <w:t>Vice</w:t>
      </w:r>
    </w:p>
    <w:p>
      <w:pPr>
        <w:jc w:val="center"/>
        <w:ind w:right="927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75"/>
        <w:spacing w:after="0"/>
        <w:rPr>
          <w:sz w:val="20"/>
          <w:szCs w:val="20"/>
          <w:color w:val="auto"/>
        </w:rPr>
      </w:pPr>
      <w:r>
        <w:rPr>
          <w:rFonts w:ascii="Courier New" w:cs="Courier New" w:eastAsia="Courier New" w:hAnsi="Courier New"/>
          <w:sz w:val="16"/>
          <w:szCs w:val="16"/>
          <w:color w:val="auto"/>
        </w:rPr>
        <w:t>and</w:t>
      </w:r>
    </w:p>
    <w:p>
      <w:pPr>
        <w:jc w:val="center"/>
        <w:ind w:right="9275"/>
        <w:spacing w:after="0" w:line="238" w:lineRule="auto"/>
        <w:rPr>
          <w:sz w:val="20"/>
          <w:szCs w:val="20"/>
          <w:color w:val="auto"/>
        </w:rPr>
      </w:pPr>
      <w:r>
        <w:rPr>
          <w:rFonts w:ascii="Courier New" w:cs="Courier New" w:eastAsia="Courier New" w:hAnsi="Courier New"/>
          <w:sz w:val="16"/>
          <w:szCs w:val="16"/>
          <w:color w:val="auto"/>
        </w:rPr>
        <w:t>Treasurer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2002 -----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jc w:val="center"/>
        <w:ind w:right="9275"/>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(Principal</w:t>
      </w:r>
    </w:p>
    <w:p>
      <w:pPr>
        <w:ind w:left="44"/>
        <w:spacing w:after="0" w:line="238" w:lineRule="auto"/>
        <w:rPr>
          <w:sz w:val="20"/>
          <w:szCs w:val="20"/>
          <w:color w:val="auto"/>
        </w:rPr>
      </w:pPr>
      <w:r>
        <w:rPr>
          <w:rFonts w:ascii="Courier New" w:cs="Courier New" w:eastAsia="Courier New" w:hAnsi="Courier New"/>
          <w:sz w:val="16"/>
          <w:szCs w:val="16"/>
          <w:color w:val="auto"/>
        </w:rPr>
        <w:t>Financial</w:t>
      </w:r>
    </w:p>
    <w:p>
      <w:pPr>
        <w:ind w:left="4"/>
        <w:spacing w:after="0"/>
        <w:rPr>
          <w:sz w:val="20"/>
          <w:szCs w:val="20"/>
          <w:color w:val="auto"/>
        </w:rPr>
      </w:pPr>
      <w:r>
        <w:rPr>
          <w:rFonts w:ascii="Courier New" w:cs="Courier New" w:eastAsia="Courier New" w:hAnsi="Courier New"/>
          <w:sz w:val="16"/>
          <w:szCs w:val="16"/>
          <w:color w:val="auto"/>
        </w:rPr>
        <w:t>and Edward</w:t>
      </w:r>
    </w:p>
    <w:p>
      <w:pPr>
        <w:ind w:left="384" w:hanging="290"/>
        <w:spacing w:after="0" w:line="237" w:lineRule="auto"/>
        <w:tabs>
          <w:tab w:leader="none" w:pos="384"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Dwyer</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both"/>
        <w:ind w:left="44" w:right="933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 DAVID J. PESTER Director</w:t>
      </w:r>
    </w:p>
    <w:p>
      <w:pPr>
        <w:ind w:left="4"/>
        <w:spacing w:after="0" w:line="235" w:lineRule="auto"/>
        <w:rPr>
          <w:sz w:val="20"/>
          <w:szCs w:val="20"/>
          <w:color w:val="auto"/>
        </w:rPr>
      </w:pPr>
      <w:r>
        <w:rPr>
          <w:rFonts w:ascii="Courier New" w:cs="Courier New" w:eastAsia="Courier New" w:hAnsi="Courier New"/>
          <w:sz w:val="16"/>
          <w:szCs w:val="16"/>
          <w:color w:val="auto"/>
        </w:rPr>
        <w:t>October 4,</w:t>
      </w:r>
    </w:p>
    <w:p>
      <w:pPr>
        <w:ind w:left="4"/>
        <w:spacing w:after="0"/>
        <w:rPr>
          <w:sz w:val="20"/>
          <w:szCs w:val="20"/>
          <w:color w:val="auto"/>
        </w:rPr>
      </w:pPr>
      <w:r>
        <w:rPr>
          <w:rFonts w:ascii="Courier New" w:cs="Courier New" w:eastAsia="Courier New" w:hAnsi="Courier New"/>
          <w:sz w:val="16"/>
          <w:szCs w:val="16"/>
          <w:color w:val="auto"/>
        </w:rPr>
        <w:t>2002 -----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4" w:right="9279" w:firstLine="43"/>
        <w:spacing w:after="0" w:line="254" w:lineRule="auto"/>
        <w:tabs>
          <w:tab w:leader="none" w:pos="426"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Pester /s/ ROBERT</w:t>
      </w:r>
    </w:p>
    <w:p>
      <w:pPr>
        <w:ind w:left="1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 FEIT</w:t>
      </w:r>
    </w:p>
    <w:p>
      <w:pPr>
        <w:ind w:left="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Director</w:t>
      </w:r>
    </w:p>
    <w:p>
      <w:pPr>
        <w:ind w:left="4"/>
        <w:spacing w:after="0" w:line="237" w:lineRule="auto"/>
        <w:rPr>
          <w:sz w:val="20"/>
          <w:szCs w:val="20"/>
          <w:color w:val="auto"/>
        </w:rPr>
      </w:pPr>
      <w:r>
        <w:rPr>
          <w:rFonts w:ascii="Courier New" w:cs="Courier New" w:eastAsia="Courier New" w:hAnsi="Courier New"/>
          <w:sz w:val="16"/>
          <w:szCs w:val="16"/>
          <w:color w:val="auto"/>
        </w:rPr>
        <w:t>October 4,</w:t>
      </w:r>
    </w:p>
    <w:p>
      <w:pPr>
        <w:ind w:left="4"/>
        <w:spacing w:after="0"/>
        <w:rPr>
          <w:sz w:val="20"/>
          <w:szCs w:val="20"/>
          <w:color w:val="auto"/>
        </w:rPr>
      </w:pPr>
      <w:r>
        <w:rPr>
          <w:rFonts w:ascii="Courier New" w:cs="Courier New" w:eastAsia="Courier New" w:hAnsi="Courier New"/>
          <w:sz w:val="16"/>
          <w:szCs w:val="16"/>
          <w:color w:val="auto"/>
        </w:rPr>
        <w:t>2002 -----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384" w:hanging="384"/>
        <w:spacing w:after="0" w:line="237" w:lineRule="auto"/>
        <w:tabs>
          <w:tab w:leader="none" w:pos="384"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Feit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*By: /s/</w:t>
      </w:r>
    </w:p>
    <w:p>
      <w:pPr>
        <w:ind w:left="44"/>
        <w:spacing w:after="0" w:line="237" w:lineRule="auto"/>
        <w:rPr>
          <w:sz w:val="20"/>
          <w:szCs w:val="20"/>
          <w:color w:val="auto"/>
        </w:rPr>
      </w:pPr>
      <w:r>
        <w:rPr>
          <w:rFonts w:ascii="Courier New" w:cs="Courier New" w:eastAsia="Courier New" w:hAnsi="Courier New"/>
          <w:sz w:val="16"/>
          <w:szCs w:val="16"/>
          <w:color w:val="auto"/>
        </w:rPr>
        <w:t>ROBERT S.</w:t>
      </w:r>
    </w:p>
    <w:p>
      <w:pPr>
        <w:ind w:left="4"/>
        <w:spacing w:after="0"/>
        <w:rPr>
          <w:sz w:val="20"/>
          <w:szCs w:val="20"/>
          <w:color w:val="auto"/>
        </w:rPr>
      </w:pPr>
      <w:r>
        <w:rPr>
          <w:rFonts w:ascii="Courier New" w:cs="Courier New" w:eastAsia="Courier New" w:hAnsi="Courier New"/>
          <w:sz w:val="16"/>
          <w:szCs w:val="16"/>
          <w:color w:val="auto"/>
        </w:rPr>
        <w:t>FEIT -----</w:t>
      </w:r>
    </w:p>
    <w:p>
      <w:pPr>
        <w:ind w:left="4"/>
        <w:spacing w:after="0" w:line="238" w:lineRule="auto"/>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w:t>
      </w:r>
    </w:p>
    <w:p>
      <w:pPr>
        <w:sectPr>
          <w:pgSz w:w="11900" w:h="16908" w:orient="portrait"/>
          <w:cols w:equalWidth="0" w:num="1">
            <w:col w:w="10223"/>
          </w:cols>
          <w:pgMar w:left="236" w:top="654" w:right="1440" w:bottom="0" w:gutter="0" w:footer="0" w:header="0"/>
        </w:sectPr>
      </w:pPr>
    </w:p>
    <w:bookmarkStart w:id="356" w:name="page357"/>
    <w:bookmarkEnd w:id="356"/>
    <w:p>
      <w:pPr>
        <w:ind w:left="180"/>
        <w:spacing w:after="0"/>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Robert S.</w:t>
      </w:r>
    </w:p>
    <w:p>
      <w:pPr>
        <w:jc w:val="center"/>
        <w:ind w:right="9279"/>
        <w:spacing w:after="0" w:line="237" w:lineRule="auto"/>
        <w:rPr>
          <w:sz w:val="20"/>
          <w:szCs w:val="20"/>
          <w:color w:val="auto"/>
        </w:rPr>
      </w:pPr>
      <w:r>
        <w:rPr>
          <w:rFonts w:ascii="Courier New" w:cs="Courier New" w:eastAsia="Courier New" w:hAnsi="Courier New"/>
          <w:sz w:val="16"/>
          <w:szCs w:val="16"/>
          <w:color w:val="auto"/>
        </w:rPr>
        <w:t>Feit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in-fact)</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October 4,</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34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10219"/>
          </w:cols>
          <w:pgMar w:left="240" w:top="136" w:right="1440" w:bottom="1440" w:gutter="0" w:footer="0" w:header="0"/>
        </w:sectPr>
      </w:pPr>
    </w:p>
    <w:bookmarkStart w:id="357" w:name="page358"/>
    <w:bookmarkEnd w:id="357"/>
    <w:p>
      <w:pPr>
        <w:spacing w:after="0" w:line="71"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SIGNATURES FOR AT&amp;T COMCAST CORPORATION</w:t>
      </w:r>
    </w:p>
    <w:p>
      <w:pPr>
        <w:spacing w:after="0" w:line="36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AT&amp;T COMCAST CORPORATION has duly caused this amendment to be signed on its behalf by the undersigned, thereunto duly authorized, in the City of New York, State of New York, on October 4, 2002.</w:t>
      </w:r>
    </w:p>
    <w:p>
      <w:pPr>
        <w:spacing w:after="0" w:line="36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AT&amp;T COMCAST CORPORATION</w:t>
      </w:r>
    </w:p>
    <w:p>
      <w:pPr>
        <w:spacing w:after="0" w:line="179" w:lineRule="exact"/>
        <w:rPr>
          <w:sz w:val="20"/>
          <w:szCs w:val="20"/>
          <w:color w:val="auto"/>
        </w:rPr>
      </w:pPr>
    </w:p>
    <w:p>
      <w:pPr>
        <w:ind w:left="3944"/>
        <w:spacing w:after="0"/>
        <w:tabs>
          <w:tab w:leader="none" w:pos="476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ARTHUR R. BLOCK</w:t>
      </w:r>
    </w:p>
    <w:p>
      <w:pPr>
        <w:spacing w:after="0" w:line="4" w:lineRule="exact"/>
        <w:rPr>
          <w:sz w:val="20"/>
          <w:szCs w:val="20"/>
          <w:color w:val="auto"/>
        </w:r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4"/>
        <w:spacing w:after="0"/>
        <w:tabs>
          <w:tab w:leader="none" w:pos="4583" w:val="left"/>
        </w:tabs>
        <w:rPr>
          <w:sz w:val="20"/>
          <w:szCs w:val="20"/>
          <w:color w:val="auto"/>
        </w:rPr>
      </w:pPr>
      <w:r>
        <w:rPr>
          <w:rFonts w:ascii="Courier New" w:cs="Courier New" w:eastAsia="Courier New" w:hAnsi="Courier New"/>
          <w:sz w:val="16"/>
          <w:szCs w:val="16"/>
          <w:color w:val="auto"/>
        </w:rPr>
        <w:t>Name:</w:t>
        <w:tab/>
        <w:t>Arthur R. Block</w:t>
      </w:r>
    </w:p>
    <w:p>
      <w:pPr>
        <w:ind w:left="3944"/>
        <w:spacing w:after="0"/>
        <w:tabs>
          <w:tab w:leader="none" w:pos="4763" w:val="left"/>
        </w:tabs>
        <w:rPr>
          <w:sz w:val="20"/>
          <w:szCs w:val="20"/>
          <w:color w:val="auto"/>
        </w:rPr>
      </w:pPr>
      <w:r>
        <w:rPr>
          <w:rFonts w:ascii="Courier New" w:cs="Courier New" w:eastAsia="Courier New" w:hAnsi="Courier New"/>
          <w:sz w:val="16"/>
          <w:szCs w:val="16"/>
          <w:color w:val="auto"/>
        </w:rPr>
        <w:t>Title:</w:t>
        <w:tab/>
        <w:t>Senior Vice President</w:t>
      </w:r>
    </w:p>
    <w:p>
      <w:pPr>
        <w:spacing w:after="0" w:line="184"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 w:lineRule="exact"/>
        <w:rPr>
          <w:rFonts w:ascii="Courier New" w:cs="Courier New" w:eastAsia="Courier New" w:hAnsi="Courier New"/>
          <w:sz w:val="16"/>
          <w:szCs w:val="16"/>
          <w:color w:val="auto"/>
        </w:rPr>
      </w:pPr>
    </w:p>
    <w:p>
      <w:pPr>
        <w:jc w:val="both"/>
        <w:ind w:left="4"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October 4,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spacing w:after="0" w:line="3" w:lineRule="exact"/>
        <w:rPr>
          <w:rFonts w:ascii="Courier New" w:cs="Courier New" w:eastAsia="Courier New" w:hAnsi="Courier New"/>
          <w:sz w:val="16"/>
          <w:szCs w:val="16"/>
          <w:color w:val="auto"/>
        </w:rPr>
      </w:pPr>
    </w:p>
    <w:p>
      <w:pPr>
        <w:jc w:val="center"/>
        <w:ind w:left="4" w:right="927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Officer) Brian L. Roberts * Co-President (Co-Principal October 4,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both"/>
        <w:ind w:left="44" w:right="9279" w:hanging="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 Michael Armstrong</w:t>
      </w:r>
    </w:p>
    <w:p>
      <w:pPr>
        <w:ind w:left="4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3" w:lineRule="exact"/>
        <w:rPr>
          <w:rFonts w:ascii="Courier New" w:cs="Courier New" w:eastAsia="Courier New" w:hAnsi="Courier New"/>
          <w:sz w:val="16"/>
          <w:szCs w:val="16"/>
          <w:color w:val="auto"/>
        </w:rPr>
      </w:pPr>
    </w:p>
    <w:p>
      <w:pPr>
        <w:jc w:val="both"/>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October 4,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4" w:right="9339" w:firstLine="97"/>
        <w:spacing w:after="0" w:line="254" w:lineRule="auto"/>
        <w:tabs>
          <w:tab w:leader="none" w:pos="513" w:val="left"/>
        </w:tabs>
        <w:numPr>
          <w:ilvl w:val="1"/>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Co-Treasurer</w:t>
      </w:r>
    </w:p>
    <w:p>
      <w:pPr>
        <w:ind w:left="2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w:t>
      </w:r>
    </w:p>
    <w:p>
      <w:pPr>
        <w:ind w:left="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Principal</w:t>
      </w:r>
    </w:p>
    <w:p>
      <w:pPr>
        <w:ind w:left="1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John R.</w:t>
      </w: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Alchin</w:t>
      </w:r>
    </w:p>
    <w:p>
      <w:pPr>
        <w:spacing w:after="0" w:line="3" w:lineRule="exact"/>
        <w:rPr>
          <w:rFonts w:ascii="Courier New" w:cs="Courier New" w:eastAsia="Courier New" w:hAnsi="Courier New"/>
          <w:sz w:val="15"/>
          <w:szCs w:val="15"/>
          <w:color w:val="auto"/>
        </w:rPr>
      </w:pPr>
    </w:p>
    <w:p>
      <w:pPr>
        <w:jc w:val="center"/>
        <w:ind w:left="4" w:right="9279" w:firstLine="4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Officer) * Executive Vice President and October 4, 2002 -----</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4" w:right="9339" w:firstLine="97"/>
        <w:spacing w:after="0" w:line="254" w:lineRule="auto"/>
        <w:tabs>
          <w:tab w:leader="none" w:pos="513" w:val="left"/>
        </w:tabs>
        <w:numPr>
          <w:ilvl w:val="1"/>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Co-Treasurer</w:t>
      </w:r>
    </w:p>
    <w:p>
      <w:pPr>
        <w:ind w:left="3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and</w:t>
      </w:r>
    </w:p>
    <w:p>
      <w:pPr>
        <w:ind w:left="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Director</w:t>
      </w:r>
    </w:p>
    <w:p>
      <w:pPr>
        <w:sectPr>
          <w:pgSz w:w="11900" w:h="16909" w:orient="portrait"/>
          <w:cols w:equalWidth="0" w:num="1">
            <w:col w:w="10223"/>
          </w:cols>
          <w:pgMar w:left="236" w:top="654" w:right="1440" w:bottom="0" w:gutter="0" w:footer="0" w:header="0"/>
        </w:sectPr>
      </w:pPr>
    </w:p>
    <w:bookmarkStart w:id="358" w:name="page359"/>
    <w:bookmarkEnd w:id="358"/>
    <w:p>
      <w:pPr>
        <w:spacing w:after="0"/>
        <w:rPr>
          <w:sz w:val="20"/>
          <w:szCs w:val="20"/>
          <w:color w:val="auto"/>
        </w:rPr>
      </w:pPr>
      <w:r>
        <w:rPr>
          <w:rFonts w:ascii="Courier New" w:cs="Courier New" w:eastAsia="Courier New" w:hAnsi="Courier New"/>
          <w:sz w:val="15"/>
          <w:szCs w:val="15"/>
          <w:color w:val="auto"/>
        </w:rPr>
        <w:t>Charles 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Noski (Co-</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Principal</w:t>
      </w:r>
    </w:p>
    <w:p>
      <w:pPr>
        <w:ind w:left="40"/>
        <w:spacing w:after="0"/>
        <w:rPr>
          <w:sz w:val="20"/>
          <w:szCs w:val="20"/>
          <w:color w:val="auto"/>
        </w:rPr>
      </w:pPr>
      <w:r>
        <w:rPr>
          <w:rFonts w:ascii="Courier New" w:cs="Courier New" w:eastAsia="Courier New" w:hAnsi="Courier New"/>
          <w:sz w:val="16"/>
          <w:szCs w:val="16"/>
          <w:color w:val="auto"/>
        </w:rPr>
        <w:t>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Executive</w:t>
      </w:r>
    </w:p>
    <w:p>
      <w:pPr>
        <w:jc w:val="center"/>
        <w:ind w:right="9279"/>
        <w:spacing w:after="0"/>
        <w:rPr>
          <w:sz w:val="20"/>
          <w:szCs w:val="20"/>
          <w:color w:val="auto"/>
        </w:rPr>
      </w:pPr>
      <w:r>
        <w:rPr>
          <w:rFonts w:ascii="Courier New" w:cs="Courier New" w:eastAsia="Courier New" w:hAnsi="Courier New"/>
          <w:sz w:val="16"/>
          <w:szCs w:val="16"/>
          <w:color w:val="auto"/>
        </w:rPr>
        <w:t>Vice</w:t>
      </w:r>
    </w:p>
    <w:p>
      <w:pPr>
        <w:jc w:val="center"/>
        <w:ind w:right="9279"/>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79"/>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Director</w:t>
      </w:r>
    </w:p>
    <w:p>
      <w:pPr>
        <w:jc w:val="center"/>
        <w:ind w:right="9279"/>
        <w:spacing w:after="0" w:line="237" w:lineRule="auto"/>
        <w:rPr>
          <w:sz w:val="20"/>
          <w:szCs w:val="20"/>
          <w:color w:val="auto"/>
        </w:rPr>
      </w:pPr>
      <w:r>
        <w:rPr>
          <w:rFonts w:ascii="Courier New" w:cs="Courier New" w:eastAsia="Courier New" w:hAnsi="Courier New"/>
          <w:sz w:val="16"/>
          <w:szCs w:val="16"/>
          <w:color w:val="auto"/>
        </w:rPr>
        <w:t>(Co-</w:t>
      </w:r>
    </w:p>
    <w:p>
      <w:pPr>
        <w:jc w:val="center"/>
        <w:ind w:right="9279"/>
        <w:spacing w:after="0"/>
        <w:rPr>
          <w:sz w:val="20"/>
          <w:szCs w:val="20"/>
          <w:color w:val="auto"/>
        </w:rPr>
      </w:pPr>
      <w:r>
        <w:rPr>
          <w:rFonts w:ascii="Courier New" w:cs="Courier New" w:eastAsia="Courier New" w:hAnsi="Courier New"/>
          <w:sz w:val="16"/>
          <w:szCs w:val="16"/>
          <w:color w:val="auto"/>
        </w:rPr>
        <w:t>Principal</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Lawrence</w:t>
      </w:r>
    </w:p>
    <w:p>
      <w:pPr>
        <w:ind w:left="380" w:hanging="290"/>
        <w:spacing w:after="0"/>
        <w:tabs>
          <w:tab w:leader="none" w:pos="380" w:val="left"/>
        </w:tabs>
        <w:numPr>
          <w:ilvl w:val="1"/>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Smith</w:t>
      </w:r>
    </w:p>
    <w:p>
      <w:pPr>
        <w:spacing w:after="0" w:line="3" w:lineRule="exact"/>
        <w:rPr>
          <w:rFonts w:ascii="Courier New" w:cs="Courier New" w:eastAsia="Courier New" w:hAnsi="Courier New"/>
          <w:sz w:val="16"/>
          <w:szCs w:val="16"/>
          <w:color w:val="auto"/>
        </w:rPr>
      </w:pPr>
    </w:p>
    <w:p>
      <w:pPr>
        <w:jc w:val="center"/>
        <w:ind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Officer) * Executive Vice President (Co-October 4, 2002 -----</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center"/>
        <w:ind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Accounting Officer) Nicholas S. Cyprus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center"/>
        <w:ind w:right="9279"/>
        <w:spacing w:after="0" w:line="237" w:lineRule="auto"/>
        <w:rPr>
          <w:sz w:val="20"/>
          <w:szCs w:val="20"/>
          <w:color w:val="auto"/>
        </w:rPr>
      </w:pPr>
      <w:r>
        <w:rPr>
          <w:rFonts w:ascii="Courier New" w:cs="Courier New" w:eastAsia="Courier New" w:hAnsi="Courier New"/>
          <w:sz w:val="16"/>
          <w:szCs w:val="16"/>
          <w:color w:val="auto"/>
        </w:rPr>
        <w:t>Executive</w:t>
      </w:r>
    </w:p>
    <w:p>
      <w:pPr>
        <w:jc w:val="center"/>
        <w:ind w:right="9279"/>
        <w:spacing w:after="0"/>
        <w:rPr>
          <w:sz w:val="20"/>
          <w:szCs w:val="20"/>
          <w:color w:val="auto"/>
        </w:rPr>
      </w:pPr>
      <w:r>
        <w:rPr>
          <w:rFonts w:ascii="Courier New" w:cs="Courier New" w:eastAsia="Courier New" w:hAnsi="Courier New"/>
          <w:sz w:val="16"/>
          <w:szCs w:val="16"/>
          <w:color w:val="auto"/>
        </w:rPr>
        <w:t>Vice</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Secretary</w:t>
      </w:r>
    </w:p>
    <w:p>
      <w:pPr>
        <w:jc w:val="center"/>
        <w:ind w:right="9279"/>
        <w:spacing w:after="0" w:line="237" w:lineRule="auto"/>
        <w:rPr>
          <w:sz w:val="20"/>
          <w:szCs w:val="20"/>
          <w:color w:val="auto"/>
        </w:rPr>
      </w:pPr>
      <w:r>
        <w:rPr>
          <w:rFonts w:ascii="Courier New" w:cs="Courier New" w:eastAsia="Courier New" w:hAnsi="Courier New"/>
          <w:sz w:val="16"/>
          <w:szCs w:val="16"/>
          <w:color w:val="auto"/>
        </w:rPr>
        <w:t>and</w:t>
      </w:r>
    </w:p>
    <w:p>
      <w:pPr>
        <w:jc w:val="center"/>
        <w:ind w:right="9279"/>
        <w:spacing w:after="0"/>
        <w:rPr>
          <w:sz w:val="20"/>
          <w:szCs w:val="20"/>
          <w:color w:val="auto"/>
        </w:rPr>
      </w:pPr>
      <w:r>
        <w:rPr>
          <w:rFonts w:ascii="Courier New" w:cs="Courier New" w:eastAsia="Courier New" w:hAnsi="Courier New"/>
          <w:sz w:val="16"/>
          <w:szCs w:val="16"/>
          <w:color w:val="auto"/>
        </w:rPr>
        <w:t>Director</w:t>
      </w:r>
    </w:p>
    <w:p>
      <w:pPr>
        <w:jc w:val="center"/>
        <w:ind w:right="9279"/>
        <w:spacing w:after="0" w:line="238" w:lineRule="auto"/>
        <w:rPr>
          <w:sz w:val="20"/>
          <w:szCs w:val="20"/>
          <w:color w:val="auto"/>
        </w:rPr>
      </w:pPr>
      <w:r>
        <w:rPr>
          <w:rFonts w:ascii="Courier New" w:cs="Courier New" w:eastAsia="Courier New" w:hAnsi="Courier New"/>
          <w:sz w:val="16"/>
          <w:szCs w:val="16"/>
          <w:color w:val="auto"/>
        </w:rPr>
        <w:t>Stanley</w:t>
      </w:r>
    </w:p>
    <w:p>
      <w:pPr>
        <w:jc w:val="center"/>
        <w:ind w:right="9279"/>
        <w:spacing w:after="0"/>
        <w:rPr>
          <w:sz w:val="20"/>
          <w:szCs w:val="20"/>
          <w:color w:val="auto"/>
        </w:rPr>
      </w:pPr>
      <w:r>
        <w:rPr>
          <w:rFonts w:ascii="Courier New" w:cs="Courier New" w:eastAsia="Courier New" w:hAnsi="Courier New"/>
          <w:sz w:val="16"/>
          <w:szCs w:val="16"/>
          <w:color w:val="auto"/>
        </w:rPr>
        <w:t>Wang *</w:t>
      </w:r>
    </w:p>
    <w:p>
      <w:pPr>
        <w:jc w:val="center"/>
        <w:ind w:right="9279"/>
        <w:spacing w:after="0" w:line="238" w:lineRule="auto"/>
        <w:rPr>
          <w:sz w:val="20"/>
          <w:szCs w:val="20"/>
          <w:color w:val="auto"/>
        </w:rPr>
      </w:pPr>
      <w:r>
        <w:rPr>
          <w:rFonts w:ascii="Courier New" w:cs="Courier New" w:eastAsia="Courier New" w:hAnsi="Courier New"/>
          <w:sz w:val="16"/>
          <w:szCs w:val="16"/>
          <w:color w:val="auto"/>
        </w:rPr>
        <w:t>Executive</w:t>
      </w:r>
    </w:p>
    <w:p>
      <w:pPr>
        <w:jc w:val="center"/>
        <w:ind w:right="9279"/>
        <w:spacing w:after="0"/>
        <w:rPr>
          <w:sz w:val="20"/>
          <w:szCs w:val="20"/>
          <w:color w:val="auto"/>
        </w:rPr>
      </w:pPr>
      <w:r>
        <w:rPr>
          <w:rFonts w:ascii="Courier New" w:cs="Courier New" w:eastAsia="Courier New" w:hAnsi="Courier New"/>
          <w:sz w:val="16"/>
          <w:szCs w:val="16"/>
          <w:color w:val="auto"/>
        </w:rPr>
        <w:t>Vice</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Secretary</w:t>
      </w:r>
    </w:p>
    <w:p>
      <w:pPr>
        <w:jc w:val="center"/>
        <w:ind w:right="9279"/>
        <w:spacing w:after="0" w:line="237" w:lineRule="auto"/>
        <w:rPr>
          <w:sz w:val="20"/>
          <w:szCs w:val="20"/>
          <w:color w:val="auto"/>
        </w:rPr>
      </w:pPr>
      <w:r>
        <w:rPr>
          <w:rFonts w:ascii="Courier New" w:cs="Courier New" w:eastAsia="Courier New" w:hAnsi="Courier New"/>
          <w:sz w:val="16"/>
          <w:szCs w:val="16"/>
          <w:color w:val="auto"/>
        </w:rPr>
        <w:t>and</w:t>
      </w:r>
    </w:p>
    <w:p>
      <w:pPr>
        <w:jc w:val="center"/>
        <w:ind w:right="9279"/>
        <w:spacing w:after="0"/>
        <w:rPr>
          <w:sz w:val="20"/>
          <w:szCs w:val="20"/>
          <w:color w:val="auto"/>
        </w:rPr>
      </w:pPr>
      <w:r>
        <w:rPr>
          <w:rFonts w:ascii="Courier New" w:cs="Courier New" w:eastAsia="Courier New" w:hAnsi="Courier New"/>
          <w:sz w:val="16"/>
          <w:szCs w:val="16"/>
          <w:color w:val="auto"/>
        </w:rPr>
        <w:t>Director</w:t>
      </w:r>
    </w:p>
    <w:p>
      <w:pPr>
        <w:jc w:val="center"/>
        <w:ind w:right="9279"/>
        <w:spacing w:after="0" w:line="238" w:lineRule="auto"/>
        <w:rPr>
          <w:sz w:val="20"/>
          <w:szCs w:val="20"/>
          <w:color w:val="auto"/>
        </w:rPr>
      </w:pPr>
      <w:r>
        <w:rPr>
          <w:rFonts w:ascii="Courier New" w:cs="Courier New" w:eastAsia="Courier New" w:hAnsi="Courier New"/>
          <w:sz w:val="16"/>
          <w:szCs w:val="16"/>
          <w:color w:val="auto"/>
        </w:rPr>
        <w:t>James</w:t>
      </w:r>
    </w:p>
    <w:p>
      <w:pPr>
        <w:jc w:val="center"/>
        <w:ind w:right="9279"/>
        <w:spacing w:after="0"/>
        <w:rPr>
          <w:sz w:val="20"/>
          <w:szCs w:val="20"/>
          <w:color w:val="auto"/>
        </w:rPr>
      </w:pPr>
      <w:r>
        <w:rPr>
          <w:rFonts w:ascii="Courier New" w:cs="Courier New" w:eastAsia="Courier New" w:hAnsi="Courier New"/>
          <w:sz w:val="16"/>
          <w:szCs w:val="16"/>
          <w:color w:val="auto"/>
        </w:rPr>
        <w:t>Cicconi</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/s/ ARTHUR</w:t>
      </w:r>
    </w:p>
    <w:p>
      <w:pPr>
        <w:spacing w:after="0" w:line="10" w:lineRule="exact"/>
        <w:rPr>
          <w:sz w:val="20"/>
          <w:szCs w:val="20"/>
          <w:color w:val="auto"/>
        </w:rPr>
      </w:pPr>
    </w:p>
    <w:p>
      <w:pPr>
        <w:ind w:left="180" w:right="9379" w:hanging="90"/>
        <w:spacing w:after="0" w:line="254" w:lineRule="auto"/>
        <w:tabs>
          <w:tab w:leader="none" w:pos="368"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 Senior Vice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Assistant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Assistant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Arthur R.</w:t>
      </w:r>
    </w:p>
    <w:p>
      <w:pPr>
        <w:ind w:left="40"/>
        <w:spacing w:after="0"/>
        <w:rPr>
          <w:sz w:val="20"/>
          <w:szCs w:val="20"/>
          <w:color w:val="auto"/>
        </w:rPr>
      </w:pPr>
      <w:r>
        <w:rPr>
          <w:rFonts w:ascii="Courier New" w:cs="Courier New" w:eastAsia="Courier New" w:hAnsi="Courier New"/>
          <w:sz w:val="16"/>
          <w:szCs w:val="16"/>
          <w:color w:val="auto"/>
        </w:rPr>
        <w:t>Block and</w:t>
      </w:r>
    </w:p>
    <w:p>
      <w:pPr>
        <w:ind w:left="100"/>
        <w:spacing w:after="0" w:line="237" w:lineRule="auto"/>
        <w:rPr>
          <w:sz w:val="20"/>
          <w:szCs w:val="20"/>
          <w:color w:val="auto"/>
        </w:rPr>
      </w:pPr>
      <w:r>
        <w:rPr>
          <w:rFonts w:ascii="Courier New" w:cs="Courier New" w:eastAsia="Courier New" w:hAnsi="Courier New"/>
          <w:sz w:val="16"/>
          <w:szCs w:val="16"/>
          <w:color w:val="auto"/>
        </w:rPr>
        <w:t>Director</w:t>
      </w:r>
    </w:p>
    <w:p>
      <w:pPr>
        <w:sectPr>
          <w:pgSz w:w="11900" w:h="16838" w:orient="portrait"/>
          <w:cols w:equalWidth="0" w:num="1">
            <w:col w:w="10219"/>
          </w:cols>
          <w:pgMar w:left="240" w:top="141" w:right="1440" w:bottom="0" w:gutter="0" w:footer="0" w:header="0"/>
        </w:sectPr>
      </w:pPr>
    </w:p>
    <w:bookmarkStart w:id="359" w:name="page360"/>
    <w:bookmarkEnd w:id="359"/>
    <w:p>
      <w:pPr>
        <w:ind w:left="100"/>
        <w:spacing w:after="0"/>
        <w:rPr>
          <w:sz w:val="20"/>
          <w:szCs w:val="20"/>
          <w:color w:val="auto"/>
        </w:rPr>
      </w:pPr>
      <w:r>
        <w:rPr>
          <w:rFonts w:ascii="Courier New" w:cs="Courier New" w:eastAsia="Courier New" w:hAnsi="Courier New"/>
          <w:sz w:val="16"/>
          <w:szCs w:val="16"/>
          <w:color w:val="auto"/>
        </w:rPr>
        <w:t>*By: /s/</w:t>
      </w:r>
    </w:p>
    <w:p>
      <w:pPr>
        <w:ind w:left="40"/>
        <w:spacing w:after="0"/>
        <w:rPr>
          <w:sz w:val="20"/>
          <w:szCs w:val="20"/>
          <w:color w:val="auto"/>
        </w:rPr>
      </w:pPr>
      <w:r>
        <w:rPr>
          <w:rFonts w:ascii="Courier New" w:cs="Courier New" w:eastAsia="Courier New" w:hAnsi="Courier New"/>
          <w:sz w:val="16"/>
          <w:szCs w:val="16"/>
          <w:color w:val="auto"/>
        </w:rPr>
        <w:t>ARTHUR R.</w:t>
      </w:r>
    </w:p>
    <w:p>
      <w:pPr>
        <w:spacing w:after="0" w:line="237" w:lineRule="auto"/>
        <w:rPr>
          <w:sz w:val="20"/>
          <w:szCs w:val="20"/>
          <w:color w:val="auto"/>
        </w:rPr>
      </w:pPr>
      <w:r>
        <w:rPr>
          <w:rFonts w:ascii="Courier New" w:cs="Courier New" w:eastAsia="Courier New" w:hAnsi="Courier New"/>
          <w:sz w:val="16"/>
          <w:szCs w:val="16"/>
          <w:color w:val="auto"/>
        </w:rPr>
        <w:t>BLOCK ----</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ind w:left="100"/>
        <w:spacing w:after="0" w:line="238" w:lineRule="auto"/>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Arthur R.</w:t>
      </w:r>
    </w:p>
    <w:p>
      <w:pPr>
        <w:jc w:val="center"/>
        <w:ind w:right="9279"/>
        <w:spacing w:after="0" w:line="237" w:lineRule="auto"/>
        <w:rPr>
          <w:sz w:val="20"/>
          <w:szCs w:val="20"/>
          <w:color w:val="auto"/>
        </w:rPr>
      </w:pPr>
      <w:r>
        <w:rPr>
          <w:rFonts w:ascii="Courier New" w:cs="Courier New" w:eastAsia="Courier New" w:hAnsi="Courier New"/>
          <w:sz w:val="16"/>
          <w:szCs w:val="16"/>
          <w:color w:val="auto"/>
        </w:rPr>
        <w:t>Block</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4, 2002</w:t>
      </w:r>
    </w:p>
    <w:p>
      <w:pPr>
        <w:spacing w:after="0" w:line="36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10219"/>
          </w:cols>
          <w:pgMar w:left="240" w:top="136" w:right="1440" w:bottom="1440" w:gutter="0" w:footer="0" w:header="0"/>
        </w:sectPr>
      </w:pPr>
    </w:p>
    <w:bookmarkStart w:id="360" w:name="page361"/>
    <w:bookmarkEnd w:id="360"/>
    <w:p>
      <w:pPr>
        <w:spacing w:after="0" w:line="69" w:lineRule="exact"/>
        <w:rPr>
          <w:sz w:val="20"/>
          <w:szCs w:val="20"/>
          <w:color w:val="auto"/>
        </w:rPr>
      </w:pPr>
    </w:p>
    <w:p>
      <w:pPr>
        <w:ind w:left="1404"/>
        <w:spacing w:after="0"/>
        <w:rPr>
          <w:sz w:val="20"/>
          <w:szCs w:val="20"/>
          <w:color w:val="auto"/>
        </w:rPr>
      </w:pPr>
      <w:r>
        <w:rPr>
          <w:rFonts w:ascii="Courier New" w:cs="Courier New" w:eastAsia="Courier New" w:hAnsi="Courier New"/>
          <w:sz w:val="16"/>
          <w:szCs w:val="16"/>
          <w:color w:val="auto"/>
        </w:rPr>
        <w:t>SIGNATURES FOR COMCAST CABLE COMMUNICATIONS, INC.</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COMCAST CABLE COMMUNICATIONS, INC. has duly caused this amendment to be signed on its behalf by the undersigned, thereunto duly authorized, in the City of New York, State of New York, on October 4, 2002.</w:t>
      </w:r>
    </w:p>
    <w:p>
      <w:pPr>
        <w:spacing w:after="0" w:line="36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COMCAST CABLE</w:t>
      </w:r>
    </w:p>
    <w:p>
      <w:pPr>
        <w:ind w:left="3944"/>
        <w:spacing w:after="0"/>
        <w:rPr>
          <w:sz w:val="20"/>
          <w:szCs w:val="20"/>
          <w:color w:val="auto"/>
        </w:rPr>
      </w:pPr>
      <w:r>
        <w:rPr>
          <w:rFonts w:ascii="Courier New" w:cs="Courier New" w:eastAsia="Courier New" w:hAnsi="Courier New"/>
          <w:sz w:val="16"/>
          <w:szCs w:val="16"/>
          <w:color w:val="auto"/>
        </w:rPr>
        <w:t>COMMUNICATIONS, INC.</w:t>
      </w:r>
    </w:p>
    <w:p>
      <w:pPr>
        <w:sectPr>
          <w:pgSz w:w="11900" w:h="16908" w:orient="portrait"/>
          <w:cols w:equalWidth="0" w:num="1">
            <w:col w:w="10223"/>
          </w:cols>
          <w:pgMar w:left="236" w:top="654" w:right="1440" w:bottom="0" w:gutter="0" w:footer="0" w:header="0"/>
        </w:sectPr>
      </w:pPr>
    </w:p>
    <w:p>
      <w:pPr>
        <w:spacing w:after="0" w:line="364" w:lineRule="exact"/>
        <w:rPr>
          <w:sz w:val="20"/>
          <w:szCs w:val="20"/>
          <w:color w:val="auto"/>
        </w:rPr>
      </w:pPr>
    </w:p>
    <w:p>
      <w:pPr>
        <w:ind w:left="394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R. BLOCK</w:t>
      </w:r>
    </w:p>
    <w:p>
      <w:pPr>
        <w:spacing w:after="0" w:line="191" w:lineRule="exact"/>
        <w:rPr>
          <w:sz w:val="20"/>
          <w:szCs w:val="20"/>
          <w:color w:val="auto"/>
        </w:rPr>
      </w:pPr>
    </w:p>
    <w:p>
      <w:pPr>
        <w:sectPr>
          <w:pgSz w:w="11900" w:h="16908" w:orient="portrait"/>
          <w:cols w:equalWidth="0" w:num="2">
            <w:col w:w="4224" w:space="560"/>
            <w:col w:w="5439"/>
          </w:cols>
          <w:pgMar w:left="236" w:top="654" w:right="1440" w:bottom="0" w:gutter="0" w:footer="0" w:header="0"/>
          <w:type w:val="continuous"/>
        </w:sect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4"/>
        <w:spacing w:after="0"/>
        <w:tabs>
          <w:tab w:leader="none" w:pos="4583" w:val="left"/>
        </w:tabs>
        <w:rPr>
          <w:sz w:val="20"/>
          <w:szCs w:val="20"/>
          <w:color w:val="auto"/>
        </w:rPr>
      </w:pPr>
      <w:r>
        <w:rPr>
          <w:rFonts w:ascii="Courier New" w:cs="Courier New" w:eastAsia="Courier New" w:hAnsi="Courier New"/>
          <w:sz w:val="16"/>
          <w:szCs w:val="16"/>
          <w:color w:val="auto"/>
        </w:rPr>
        <w:t>Name:</w:t>
        <w:tab/>
        <w:t>Arthur R. Block</w:t>
      </w:r>
    </w:p>
    <w:p>
      <w:pPr>
        <w:ind w:left="3944"/>
        <w:spacing w:after="0"/>
        <w:rPr>
          <w:sz w:val="20"/>
          <w:szCs w:val="20"/>
          <w:color w:val="auto"/>
        </w:rPr>
      </w:pPr>
      <w:r>
        <w:rPr>
          <w:rFonts w:ascii="Courier New" w:cs="Courier New" w:eastAsia="Courier New" w:hAnsi="Courier New"/>
          <w:sz w:val="16"/>
          <w:szCs w:val="16"/>
          <w:color w:val="auto"/>
        </w:rPr>
        <w:t>Title: Senior Vice President</w:t>
      </w:r>
    </w:p>
    <w:p>
      <w:pPr>
        <w:spacing w:after="0" w:line="184"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ectPr>
          <w:pgSz w:w="11900" w:h="16908" w:orient="portrait"/>
          <w:cols w:equalWidth="0" w:num="1">
            <w:col w:w="10223"/>
          </w:cols>
          <w:pgMar w:left="236" w:top="654" w:right="1440" w:bottom="0" w:gutter="0" w:footer="0" w:header="0"/>
          <w:type w:val="continuous"/>
        </w:sectPr>
      </w:pP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DATE -----</w:t>
      </w:r>
    </w:p>
    <w:p>
      <w:pPr>
        <w:spacing w:after="0" w:line="10" w:lineRule="exact"/>
        <w:rPr>
          <w:sz w:val="20"/>
          <w:szCs w:val="20"/>
          <w:color w:val="auto"/>
        </w:rPr>
      </w:pPr>
    </w:p>
    <w:p>
      <w:pPr>
        <w:ind w:left="464" w:hanging="464"/>
        <w:spacing w:after="0"/>
        <w:tabs>
          <w:tab w:leader="none" w:pos="464"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Chairman</w:t>
      </w:r>
    </w:p>
    <w:p>
      <w:pPr>
        <w:jc w:val="center"/>
        <w:ind w:right="9275"/>
        <w:spacing w:after="0"/>
        <w:rPr>
          <w:sz w:val="20"/>
          <w:szCs w:val="20"/>
          <w:color w:val="auto"/>
        </w:rPr>
      </w:pPr>
      <w:r>
        <w:rPr>
          <w:rFonts w:ascii="Courier New" w:cs="Courier New" w:eastAsia="Courier New" w:hAnsi="Courier New"/>
          <w:sz w:val="16"/>
          <w:szCs w:val="16"/>
          <w:color w:val="auto"/>
        </w:rPr>
        <w:t>and</w:t>
      </w:r>
    </w:p>
    <w:p>
      <w:pPr>
        <w:jc w:val="center"/>
        <w:ind w:right="9275"/>
        <w:spacing w:after="0" w:line="237" w:lineRule="auto"/>
        <w:rPr>
          <w:sz w:val="20"/>
          <w:szCs w:val="20"/>
          <w:color w:val="auto"/>
        </w:rPr>
      </w:pPr>
      <w:r>
        <w:rPr>
          <w:rFonts w:ascii="Courier New" w:cs="Courier New" w:eastAsia="Courier New" w:hAnsi="Courier New"/>
          <w:sz w:val="16"/>
          <w:szCs w:val="16"/>
          <w:color w:val="auto"/>
        </w:rPr>
        <w:t>Director</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2002 -----</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jc w:val="right"/>
        <w:ind w:left="4" w:right="9279" w:firstLine="43"/>
        <w:spacing w:after="0" w:line="254" w:lineRule="auto"/>
        <w:tabs>
          <w:tab w:leader="none" w:pos="426" w:val="left"/>
        </w:tabs>
        <w:numPr>
          <w:ilvl w:val="1"/>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Vice</w:t>
      </w:r>
    </w:p>
    <w:p>
      <w:pPr>
        <w:jc w:val="center"/>
        <w:ind w:right="9275"/>
        <w:spacing w:after="0" w:line="237" w:lineRule="auto"/>
        <w:rPr>
          <w:sz w:val="20"/>
          <w:szCs w:val="20"/>
          <w:color w:val="auto"/>
        </w:rPr>
      </w:pPr>
      <w:r>
        <w:rPr>
          <w:rFonts w:ascii="Courier New" w:cs="Courier New" w:eastAsia="Courier New" w:hAnsi="Courier New"/>
          <w:sz w:val="16"/>
          <w:szCs w:val="16"/>
          <w:color w:val="auto"/>
        </w:rPr>
        <w:t>Chairman</w:t>
      </w:r>
    </w:p>
    <w:p>
      <w:pPr>
        <w:jc w:val="center"/>
        <w:ind w:right="9275"/>
        <w:spacing w:after="0"/>
        <w:rPr>
          <w:sz w:val="20"/>
          <w:szCs w:val="20"/>
          <w:color w:val="auto"/>
        </w:rPr>
      </w:pPr>
      <w:r>
        <w:rPr>
          <w:rFonts w:ascii="Courier New" w:cs="Courier New" w:eastAsia="Courier New" w:hAnsi="Courier New"/>
          <w:sz w:val="16"/>
          <w:szCs w:val="16"/>
          <w:color w:val="auto"/>
        </w:rPr>
        <w:t>and</w:t>
      </w:r>
    </w:p>
    <w:p>
      <w:pPr>
        <w:jc w:val="center"/>
        <w:ind w:right="9275"/>
        <w:spacing w:after="0" w:line="238" w:lineRule="auto"/>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2002 -----</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Executive</w:t>
      </w:r>
    </w:p>
    <w:p>
      <w:pPr>
        <w:ind w:left="104"/>
        <w:spacing w:after="0"/>
        <w:rPr>
          <w:sz w:val="20"/>
          <w:szCs w:val="20"/>
          <w:color w:val="auto"/>
        </w:rPr>
      </w:pPr>
      <w:r>
        <w:rPr>
          <w:rFonts w:ascii="Courier New" w:cs="Courier New" w:eastAsia="Courier New" w:hAnsi="Courier New"/>
          <w:sz w:val="16"/>
          <w:szCs w:val="16"/>
          <w:color w:val="auto"/>
        </w:rPr>
        <w:t>Officer)</w:t>
      </w:r>
    </w:p>
    <w:p>
      <w:pPr>
        <w:ind w:left="104"/>
        <w:spacing w:after="0" w:line="237" w:lineRule="auto"/>
        <w:rPr>
          <w:sz w:val="20"/>
          <w:szCs w:val="20"/>
          <w:color w:val="auto"/>
        </w:rPr>
      </w:pPr>
      <w:r>
        <w:rPr>
          <w:rFonts w:ascii="Courier New" w:cs="Courier New" w:eastAsia="Courier New" w:hAnsi="Courier New"/>
          <w:sz w:val="16"/>
          <w:szCs w:val="16"/>
          <w:color w:val="auto"/>
        </w:rPr>
        <w:t>Brian L.</w:t>
      </w:r>
    </w:p>
    <w:p>
      <w:pPr>
        <w:jc w:val="center"/>
        <w:ind w:right="9275"/>
        <w:spacing w:after="0"/>
        <w:rPr>
          <w:sz w:val="20"/>
          <w:szCs w:val="20"/>
          <w:color w:val="auto"/>
        </w:rPr>
      </w:pPr>
      <w:r>
        <w:rPr>
          <w:rFonts w:ascii="Courier New" w:cs="Courier New" w:eastAsia="Courier New" w:hAnsi="Courier New"/>
          <w:sz w:val="16"/>
          <w:szCs w:val="16"/>
          <w:color w:val="auto"/>
        </w:rPr>
        <w:t>Roberts *</w:t>
      </w:r>
    </w:p>
    <w:p>
      <w:pPr>
        <w:jc w:val="center"/>
        <w:ind w:right="9275"/>
        <w:spacing w:after="0" w:line="238" w:lineRule="auto"/>
        <w:rPr>
          <w:sz w:val="20"/>
          <w:szCs w:val="20"/>
          <w:color w:val="auto"/>
        </w:rPr>
      </w:pPr>
      <w:r>
        <w:rPr>
          <w:rFonts w:ascii="Courier New" w:cs="Courier New" w:eastAsia="Courier New" w:hAnsi="Courier New"/>
          <w:sz w:val="16"/>
          <w:szCs w:val="16"/>
          <w:color w:val="auto"/>
        </w:rPr>
        <w:t>Executive</w:t>
      </w:r>
    </w:p>
    <w:p>
      <w:pPr>
        <w:jc w:val="center"/>
        <w:ind w:right="9275"/>
        <w:spacing w:after="0"/>
        <w:rPr>
          <w:sz w:val="20"/>
          <w:szCs w:val="20"/>
          <w:color w:val="auto"/>
        </w:rPr>
      </w:pPr>
      <w:r>
        <w:rPr>
          <w:rFonts w:ascii="Courier New" w:cs="Courier New" w:eastAsia="Courier New" w:hAnsi="Courier New"/>
          <w:sz w:val="16"/>
          <w:szCs w:val="16"/>
          <w:color w:val="auto"/>
        </w:rPr>
        <w:t>Vice</w:t>
      </w:r>
    </w:p>
    <w:p>
      <w:pPr>
        <w:jc w:val="center"/>
        <w:ind w:right="9275"/>
        <w:spacing w:after="0" w:line="238" w:lineRule="auto"/>
        <w:rPr>
          <w:sz w:val="20"/>
          <w:szCs w:val="20"/>
          <w:color w:val="auto"/>
        </w:rPr>
      </w:pPr>
      <w:r>
        <w:rPr>
          <w:rFonts w:ascii="Courier New" w:cs="Courier New" w:eastAsia="Courier New" w:hAnsi="Courier New"/>
          <w:sz w:val="16"/>
          <w:szCs w:val="16"/>
          <w:color w:val="auto"/>
        </w:rPr>
        <w:t>President</w:t>
      </w:r>
    </w:p>
    <w:p>
      <w:pPr>
        <w:jc w:val="center"/>
        <w:ind w:right="9275"/>
        <w:spacing w:after="0"/>
        <w:rPr>
          <w:sz w:val="20"/>
          <w:szCs w:val="20"/>
          <w:color w:val="auto"/>
        </w:rPr>
      </w:pPr>
      <w:r>
        <w:rPr>
          <w:rFonts w:ascii="Courier New" w:cs="Courier New" w:eastAsia="Courier New" w:hAnsi="Courier New"/>
          <w:sz w:val="16"/>
          <w:szCs w:val="16"/>
          <w:color w:val="auto"/>
        </w:rPr>
        <w:t>and</w:t>
      </w:r>
    </w:p>
    <w:p>
      <w:pPr>
        <w:spacing w:after="0" w:line="3"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2002 -----</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w:t>
      </w:r>
    </w:p>
    <w:p>
      <w:pPr>
        <w:jc w:val="center"/>
        <w:ind w:right="9275"/>
        <w:spacing w:after="0"/>
        <w:rPr>
          <w:sz w:val="20"/>
          <w:szCs w:val="20"/>
          <w:color w:val="auto"/>
        </w:rPr>
      </w:pPr>
      <w:r>
        <w:rPr>
          <w:rFonts w:ascii="Courier New" w:cs="Courier New" w:eastAsia="Courier New" w:hAnsi="Courier New"/>
          <w:sz w:val="16"/>
          <w:szCs w:val="16"/>
          <w:color w:val="auto"/>
        </w:rPr>
        <w:t>Director</w:t>
      </w:r>
    </w:p>
    <w:p>
      <w:pPr>
        <w:jc w:val="center"/>
        <w:ind w:right="9275"/>
        <w:spacing w:after="0" w:line="237" w:lineRule="auto"/>
        <w:rPr>
          <w:sz w:val="20"/>
          <w:szCs w:val="20"/>
          <w:color w:val="auto"/>
        </w:rPr>
      </w:pPr>
      <w:r>
        <w:rPr>
          <w:rFonts w:ascii="Courier New" w:cs="Courier New" w:eastAsia="Courier New" w:hAnsi="Courier New"/>
          <w:sz w:val="16"/>
          <w:szCs w:val="16"/>
          <w:color w:val="auto"/>
        </w:rPr>
        <w:t>Lawrence</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S. Smith *</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Executive</w:t>
      </w:r>
    </w:p>
    <w:p>
      <w:pPr>
        <w:jc w:val="center"/>
        <w:ind w:right="9275"/>
        <w:spacing w:after="0"/>
        <w:rPr>
          <w:sz w:val="20"/>
          <w:szCs w:val="20"/>
          <w:color w:val="auto"/>
        </w:rPr>
      </w:pPr>
      <w:r>
        <w:rPr>
          <w:rFonts w:ascii="Courier New" w:cs="Courier New" w:eastAsia="Courier New" w:hAnsi="Courier New"/>
          <w:sz w:val="16"/>
          <w:szCs w:val="16"/>
          <w:color w:val="auto"/>
        </w:rPr>
        <w:t>Vice</w:t>
      </w:r>
    </w:p>
    <w:p>
      <w:pPr>
        <w:spacing w:after="0" w:line="3"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President,</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2002 -----</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w:t>
      </w:r>
    </w:p>
    <w:p>
      <w:pPr>
        <w:jc w:val="center"/>
        <w:ind w:right="9275"/>
        <w:spacing w:after="0"/>
        <w:rPr>
          <w:sz w:val="20"/>
          <w:szCs w:val="20"/>
          <w:color w:val="auto"/>
        </w:rPr>
      </w:pPr>
      <w:r>
        <w:rPr>
          <w:rFonts w:ascii="Courier New" w:cs="Courier New" w:eastAsia="Courier New" w:hAnsi="Courier New"/>
          <w:sz w:val="16"/>
          <w:szCs w:val="16"/>
          <w:color w:val="auto"/>
        </w:rPr>
        <w:t>Secretary</w:t>
      </w:r>
    </w:p>
    <w:p>
      <w:pPr>
        <w:jc w:val="center"/>
        <w:ind w:right="9275"/>
        <w:spacing w:after="0" w:line="237" w:lineRule="auto"/>
        <w:rPr>
          <w:sz w:val="20"/>
          <w:szCs w:val="20"/>
          <w:color w:val="auto"/>
        </w:rPr>
      </w:pPr>
      <w:r>
        <w:rPr>
          <w:rFonts w:ascii="Courier New" w:cs="Courier New" w:eastAsia="Courier New" w:hAnsi="Courier New"/>
          <w:sz w:val="16"/>
          <w:szCs w:val="16"/>
          <w:color w:val="auto"/>
        </w:rPr>
        <w:t>and</w:t>
      </w:r>
    </w:p>
    <w:p>
      <w:pPr>
        <w:jc w:val="center"/>
        <w:ind w:right="9275"/>
        <w:spacing w:after="0"/>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Stanley L.</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6"/>
          <w:szCs w:val="16"/>
          <w:color w:val="auto"/>
        </w:rPr>
        <w:t>Wang *</w:t>
      </w:r>
    </w:p>
    <w:p>
      <w:pPr>
        <w:jc w:val="center"/>
        <w:ind w:right="9275"/>
        <w:spacing w:after="0"/>
        <w:rPr>
          <w:sz w:val="20"/>
          <w:szCs w:val="20"/>
          <w:color w:val="auto"/>
        </w:rPr>
      </w:pPr>
      <w:r>
        <w:rPr>
          <w:rFonts w:ascii="Courier New" w:cs="Courier New" w:eastAsia="Courier New" w:hAnsi="Courier New"/>
          <w:sz w:val="16"/>
          <w:szCs w:val="16"/>
          <w:color w:val="auto"/>
        </w:rPr>
        <w:t>Executive</w:t>
      </w:r>
    </w:p>
    <w:p>
      <w:pPr>
        <w:jc w:val="center"/>
        <w:ind w:right="9275"/>
        <w:spacing w:after="0" w:line="237" w:lineRule="auto"/>
        <w:rPr>
          <w:sz w:val="20"/>
          <w:szCs w:val="20"/>
          <w:color w:val="auto"/>
        </w:rPr>
      </w:pPr>
      <w:r>
        <w:rPr>
          <w:rFonts w:ascii="Courier New" w:cs="Courier New" w:eastAsia="Courier New" w:hAnsi="Courier New"/>
          <w:sz w:val="16"/>
          <w:szCs w:val="16"/>
          <w:color w:val="auto"/>
        </w:rPr>
        <w:t>Vice</w:t>
      </w:r>
    </w:p>
    <w:p>
      <w:pPr>
        <w:jc w:val="center"/>
        <w:ind w:right="9275"/>
        <w:spacing w:after="0"/>
        <w:rPr>
          <w:sz w:val="20"/>
          <w:szCs w:val="20"/>
          <w:color w:val="auto"/>
        </w:rPr>
      </w:pPr>
      <w:r>
        <w:rPr>
          <w:rFonts w:ascii="Courier New" w:cs="Courier New" w:eastAsia="Courier New" w:hAnsi="Courier New"/>
          <w:sz w:val="16"/>
          <w:szCs w:val="16"/>
          <w:color w:val="auto"/>
        </w:rPr>
        <w:t>President</w:t>
      </w:r>
    </w:p>
    <w:p>
      <w:pPr>
        <w:jc w:val="center"/>
        <w:ind w:right="9275"/>
        <w:spacing w:after="0" w:line="238" w:lineRule="auto"/>
        <w:rPr>
          <w:sz w:val="20"/>
          <w:szCs w:val="20"/>
          <w:color w:val="auto"/>
        </w:rPr>
      </w:pPr>
      <w:r>
        <w:rPr>
          <w:rFonts w:ascii="Courier New" w:cs="Courier New" w:eastAsia="Courier New" w:hAnsi="Courier New"/>
          <w:sz w:val="16"/>
          <w:szCs w:val="16"/>
          <w:color w:val="auto"/>
        </w:rPr>
        <w:t>and</w:t>
      </w:r>
    </w:p>
    <w:p>
      <w:pPr>
        <w:sectPr>
          <w:pgSz w:w="11900" w:h="16908" w:orient="portrait"/>
          <w:cols w:equalWidth="0" w:num="1">
            <w:col w:w="10223"/>
          </w:cols>
          <w:pgMar w:left="236" w:top="654" w:right="1440" w:bottom="0" w:gutter="0" w:footer="0" w:header="0"/>
          <w:type w:val="continuous"/>
        </w:sectPr>
      </w:pPr>
    </w:p>
    <w:bookmarkStart w:id="361" w:name="page362"/>
    <w:bookmarkEnd w:id="361"/>
    <w:p>
      <w:pPr>
        <w:spacing w:after="0"/>
        <w:rPr>
          <w:sz w:val="20"/>
          <w:szCs w:val="20"/>
          <w:color w:val="auto"/>
        </w:rPr>
      </w:pPr>
      <w:r>
        <w:rPr>
          <w:rFonts w:ascii="Courier New" w:cs="Courier New" w:eastAsia="Courier New" w:hAnsi="Courier New"/>
          <w:sz w:val="16"/>
          <w:szCs w:val="16"/>
          <w:color w:val="auto"/>
        </w:rPr>
        <w:t>October 4,</w:t>
      </w:r>
    </w:p>
    <w:p>
      <w:pPr>
        <w:spacing w:after="0"/>
        <w:rPr>
          <w:sz w:val="20"/>
          <w:szCs w:val="20"/>
          <w:color w:val="auto"/>
        </w:rPr>
      </w:pPr>
      <w:r>
        <w:rPr>
          <w:rFonts w:ascii="Courier New" w:cs="Courier New" w:eastAsia="Courier New" w:hAnsi="Courier New"/>
          <w:sz w:val="16"/>
          <w:szCs w:val="16"/>
          <w:color w:val="auto"/>
        </w:rPr>
        <w:t>2002 -----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jc w:val="center"/>
        <w:ind w:right="9279"/>
        <w:spacing w:after="0" w:line="238" w:lineRule="auto"/>
        <w:rPr>
          <w:sz w:val="20"/>
          <w:szCs w:val="20"/>
          <w:color w:val="auto"/>
        </w:rPr>
      </w:pPr>
      <w:r>
        <w:rPr>
          <w:rFonts w:ascii="Courier New" w:cs="Courier New" w:eastAsia="Courier New" w:hAnsi="Courier New"/>
          <w:sz w:val="16"/>
          <w:szCs w:val="16"/>
          <w:color w:val="auto"/>
        </w:rPr>
        <w:t>---</w:t>
      </w:r>
    </w:p>
    <w:p>
      <w:pPr>
        <w:jc w:val="center"/>
        <w:ind w:right="9279"/>
        <w:spacing w:after="0"/>
        <w:rPr>
          <w:sz w:val="20"/>
          <w:szCs w:val="20"/>
          <w:color w:val="auto"/>
        </w:rPr>
      </w:pPr>
      <w:r>
        <w:rPr>
          <w:rFonts w:ascii="Courier New" w:cs="Courier New" w:eastAsia="Courier New" w:hAnsi="Courier New"/>
          <w:sz w:val="16"/>
          <w:szCs w:val="16"/>
          <w:color w:val="auto"/>
        </w:rPr>
        <w:t>Treasurer</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Financial</w:t>
      </w:r>
    </w:p>
    <w:p>
      <w:pPr>
        <w:jc w:val="center"/>
        <w:ind w:right="9279"/>
        <w:spacing w:after="0"/>
        <w:rPr>
          <w:sz w:val="20"/>
          <w:szCs w:val="20"/>
          <w:color w:val="auto"/>
        </w:rPr>
      </w:pPr>
      <w:r>
        <w:rPr>
          <w:rFonts w:ascii="Courier New" w:cs="Courier New" w:eastAsia="Courier New" w:hAnsi="Courier New"/>
          <w:sz w:val="16"/>
          <w:szCs w:val="16"/>
          <w:color w:val="auto"/>
        </w:rPr>
        <w:t>John R.</w:t>
      </w:r>
    </w:p>
    <w:p>
      <w:pPr>
        <w:jc w:val="center"/>
        <w:ind w:right="9279"/>
        <w:spacing w:after="0" w:line="237" w:lineRule="auto"/>
        <w:rPr>
          <w:sz w:val="20"/>
          <w:szCs w:val="20"/>
          <w:color w:val="auto"/>
        </w:rPr>
      </w:pPr>
      <w:r>
        <w:rPr>
          <w:rFonts w:ascii="Courier New" w:cs="Courier New" w:eastAsia="Courier New" w:hAnsi="Courier New"/>
          <w:sz w:val="16"/>
          <w:szCs w:val="16"/>
          <w:color w:val="auto"/>
        </w:rPr>
        <w:t>Alchin</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Officer) *</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Senior</w:t>
      </w:r>
    </w:p>
    <w:p>
      <w:pPr>
        <w:jc w:val="center"/>
        <w:ind w:right="9279"/>
        <w:spacing w:after="0"/>
        <w:rPr>
          <w:sz w:val="20"/>
          <w:szCs w:val="20"/>
          <w:color w:val="auto"/>
        </w:rPr>
      </w:pPr>
      <w:r>
        <w:rPr>
          <w:rFonts w:ascii="Courier New" w:cs="Courier New" w:eastAsia="Courier New" w:hAnsi="Courier New"/>
          <w:sz w:val="16"/>
          <w:szCs w:val="16"/>
          <w:color w:val="auto"/>
        </w:rPr>
        <w:t>Vice</w:t>
      </w:r>
    </w:p>
    <w:p>
      <w:pPr>
        <w:jc w:val="center"/>
        <w:ind w:right="9279"/>
        <w:spacing w:after="0" w:line="237" w:lineRule="auto"/>
        <w:rPr>
          <w:sz w:val="20"/>
          <w:szCs w:val="20"/>
          <w:color w:val="auto"/>
        </w:rPr>
      </w:pPr>
      <w:r>
        <w:rPr>
          <w:rFonts w:ascii="Courier New" w:cs="Courier New" w:eastAsia="Courier New" w:hAnsi="Courier New"/>
          <w:sz w:val="16"/>
          <w:szCs w:val="16"/>
          <w:color w:val="auto"/>
        </w:rPr>
        <w:t>President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(Principal</w:t>
      </w:r>
    </w:p>
    <w:p>
      <w:pPr>
        <w:spacing w:after="0" w:line="10"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2002 -----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jc w:val="center"/>
        <w:ind w:right="9279"/>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Officer)</w:t>
      </w:r>
    </w:p>
    <w:p>
      <w:pPr>
        <w:ind w:left="100"/>
        <w:spacing w:after="0"/>
        <w:rPr>
          <w:sz w:val="20"/>
          <w:szCs w:val="20"/>
          <w:color w:val="auto"/>
        </w:rPr>
      </w:pPr>
      <w:r>
        <w:rPr>
          <w:rFonts w:ascii="Courier New" w:cs="Courier New" w:eastAsia="Courier New" w:hAnsi="Courier New"/>
          <w:sz w:val="16"/>
          <w:szCs w:val="16"/>
          <w:color w:val="auto"/>
        </w:rPr>
        <w:t>Lawrence</w:t>
      </w:r>
    </w:p>
    <w:p>
      <w:pPr>
        <w:spacing w:after="0" w:line="3" w:lineRule="exact"/>
        <w:rPr>
          <w:sz w:val="20"/>
          <w:szCs w:val="20"/>
          <w:color w:val="auto"/>
        </w:rPr>
      </w:pPr>
    </w:p>
    <w:p>
      <w:pPr>
        <w:jc w:val="both"/>
        <w:ind w:left="100" w:right="9379" w:hanging="10"/>
        <w:spacing w:after="0" w:line="254" w:lineRule="auto"/>
        <w:tabs>
          <w:tab w:leader="none" w:pos="381"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Salva *By: /s/</w:t>
      </w:r>
    </w:p>
    <w:p>
      <w:pPr>
        <w:ind w:left="40"/>
        <w:spacing w:after="0" w:line="234" w:lineRule="auto"/>
        <w:rPr>
          <w:sz w:val="20"/>
          <w:szCs w:val="20"/>
          <w:color w:val="auto"/>
        </w:rPr>
      </w:pPr>
      <w:r>
        <w:rPr>
          <w:rFonts w:ascii="Courier New" w:cs="Courier New" w:eastAsia="Courier New" w:hAnsi="Courier New"/>
          <w:sz w:val="16"/>
          <w:szCs w:val="16"/>
          <w:color w:val="auto"/>
        </w:rPr>
        <w:t>ARTHUR R.</w:t>
      </w:r>
    </w:p>
    <w:p>
      <w:pPr>
        <w:spacing w:after="0"/>
        <w:rPr>
          <w:sz w:val="20"/>
          <w:szCs w:val="20"/>
          <w:color w:val="auto"/>
        </w:rPr>
      </w:pPr>
      <w:r>
        <w:rPr>
          <w:rFonts w:ascii="Courier New" w:cs="Courier New" w:eastAsia="Courier New" w:hAnsi="Courier New"/>
          <w:sz w:val="16"/>
          <w:szCs w:val="16"/>
          <w:color w:val="auto"/>
        </w:rPr>
        <w:t>BLOCK ----</w:t>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ind w:left="100"/>
        <w:spacing w:after="0"/>
        <w:rPr>
          <w:sz w:val="20"/>
          <w:szCs w:val="20"/>
          <w:color w:val="auto"/>
        </w:rPr>
      </w:pPr>
      <w:r>
        <w:rPr>
          <w:rFonts w:ascii="Courier New" w:cs="Courier New" w:eastAsia="Courier New" w:hAnsi="Courier New"/>
          <w:sz w:val="16"/>
          <w:szCs w:val="16"/>
          <w:color w:val="auto"/>
        </w:rPr>
        <w:t>--------</w:t>
      </w:r>
    </w:p>
    <w:p>
      <w:pPr>
        <w:jc w:val="center"/>
        <w:ind w:right="9279"/>
        <w:spacing w:after="0" w:line="237" w:lineRule="auto"/>
        <w:rPr>
          <w:sz w:val="20"/>
          <w:szCs w:val="20"/>
          <w:color w:val="auto"/>
        </w:rPr>
      </w:pPr>
      <w:r>
        <w:rPr>
          <w:rFonts w:ascii="Courier New" w:cs="Courier New" w:eastAsia="Courier New" w:hAnsi="Courier New"/>
          <w:sz w:val="16"/>
          <w:szCs w:val="16"/>
          <w:color w:val="auto"/>
        </w:rPr>
        <w:t>Arthur R.</w:t>
      </w:r>
    </w:p>
    <w:p>
      <w:pPr>
        <w:jc w:val="center"/>
        <w:ind w:right="9279"/>
        <w:spacing w:after="0"/>
        <w:rPr>
          <w:sz w:val="20"/>
          <w:szCs w:val="20"/>
          <w:color w:val="auto"/>
        </w:rPr>
      </w:pPr>
      <w:r>
        <w:rPr>
          <w:rFonts w:ascii="Courier New" w:cs="Courier New" w:eastAsia="Courier New" w:hAnsi="Courier New"/>
          <w:sz w:val="16"/>
          <w:szCs w:val="16"/>
          <w:color w:val="auto"/>
        </w:rPr>
        <w:t>Block</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4, 2002</w:t>
      </w:r>
    </w:p>
    <w:p>
      <w:pPr>
        <w:spacing w:after="0" w:line="36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II-15</w:t>
      </w:r>
    </w:p>
    <w:p>
      <w:pPr>
        <w:sectPr>
          <w:pgSz w:w="11900" w:h="16838" w:orient="portrait"/>
          <w:cols w:equalWidth="0" w:num="1">
            <w:col w:w="10219"/>
          </w:cols>
          <w:pgMar w:left="240" w:top="136" w:right="1440" w:bottom="1440" w:gutter="0" w:footer="0" w:header="0"/>
        </w:sectPr>
      </w:pPr>
    </w:p>
    <w:bookmarkStart w:id="362" w:name="page363"/>
    <w:bookmarkEnd w:id="362"/>
    <w:p>
      <w:pPr>
        <w:spacing w:after="0" w:line="71"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SIGNATURES FOR MEDIAONE GROUP, INC.</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MEDIAONE GROUP, INC. has duly caused this amendment to be signed on its behalf by the undersigned, in the City of New York, State of New York, on October 4, 2002.</w:t>
      </w:r>
    </w:p>
    <w:p>
      <w:pPr>
        <w:spacing w:after="0" w:line="360"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MEDIAONE GROUP, INC.</w:t>
      </w:r>
    </w:p>
    <w:p>
      <w:pPr>
        <w:spacing w:after="0" w:line="179" w:lineRule="exact"/>
        <w:rPr>
          <w:sz w:val="20"/>
          <w:szCs w:val="20"/>
          <w:color w:val="auto"/>
        </w:rPr>
      </w:pPr>
    </w:p>
    <w:p>
      <w:pPr>
        <w:ind w:left="3944"/>
        <w:spacing w:after="0"/>
        <w:tabs>
          <w:tab w:leader="none" w:pos="476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FEIT</w:t>
      </w:r>
    </w:p>
    <w:p>
      <w:pPr>
        <w:spacing w:after="0" w:line="4" w:lineRule="exact"/>
        <w:rPr>
          <w:sz w:val="20"/>
          <w:szCs w:val="20"/>
          <w:color w:val="auto"/>
        </w:r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4"/>
        <w:spacing w:after="0"/>
        <w:tabs>
          <w:tab w:leader="none" w:pos="4583" w:val="left"/>
        </w:tabs>
        <w:rPr>
          <w:sz w:val="20"/>
          <w:szCs w:val="20"/>
          <w:color w:val="auto"/>
        </w:rPr>
      </w:pPr>
      <w:r>
        <w:rPr>
          <w:rFonts w:ascii="Courier New" w:cs="Courier New" w:eastAsia="Courier New" w:hAnsi="Courier New"/>
          <w:sz w:val="16"/>
          <w:szCs w:val="16"/>
          <w:color w:val="auto"/>
        </w:rPr>
        <w:t>Name:</w:t>
        <w:tab/>
        <w:t>Robert S. Feit</w:t>
      </w:r>
    </w:p>
    <w:p>
      <w:pPr>
        <w:ind w:left="3944"/>
        <w:spacing w:after="0"/>
        <w:rPr>
          <w:sz w:val="20"/>
          <w:szCs w:val="20"/>
          <w:color w:val="auto"/>
        </w:rPr>
      </w:pPr>
      <w:r>
        <w:rPr>
          <w:rFonts w:ascii="Courier New" w:cs="Courier New" w:eastAsia="Courier New" w:hAnsi="Courier New"/>
          <w:sz w:val="16"/>
          <w:szCs w:val="16"/>
          <w:color w:val="auto"/>
        </w:rPr>
        <w:t>Title: Assistant Secretary</w:t>
      </w:r>
    </w:p>
    <w:p>
      <w:pPr>
        <w:spacing w:after="0" w:line="184"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both"/>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 * President and Chief Executive October 4,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both"/>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Executive William T.</w:t>
      </w:r>
    </w:p>
    <w:p>
      <w:pPr>
        <w:spacing w:after="0" w:line="1" w:lineRule="exact"/>
        <w:rPr>
          <w:rFonts w:ascii="Courier New" w:cs="Courier New" w:eastAsia="Courier New" w:hAnsi="Courier New"/>
          <w:sz w:val="16"/>
          <w:szCs w:val="16"/>
          <w:color w:val="auto"/>
        </w:rPr>
      </w:pPr>
    </w:p>
    <w:p>
      <w:pPr>
        <w:jc w:val="center"/>
        <w:ind w:left="4" w:right="927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Schleyer Officer) and Director * Executive Vice President and Chief October 4, 2002 -----</w:t>
      </w:r>
    </w:p>
    <w:p>
      <w:pPr>
        <w:spacing w:after="0" w:line="1"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both"/>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Michael P.</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Huseby</w:t>
      </w:r>
    </w:p>
    <w:p>
      <w:pPr>
        <w:spacing w:after="0" w:line="3" w:lineRule="exact"/>
        <w:rPr>
          <w:rFonts w:ascii="Courier New" w:cs="Courier New" w:eastAsia="Courier New" w:hAnsi="Courier New"/>
          <w:sz w:val="16"/>
          <w:szCs w:val="16"/>
          <w:color w:val="auto"/>
        </w:rPr>
      </w:pPr>
    </w:p>
    <w:p>
      <w:pPr>
        <w:jc w:val="center"/>
        <w:ind w:left="4"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Financial Officer) * Vice President and Controller October 4,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center"/>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Accounting Officer) Scott D. Macdonald /s/ ROBERT S. FEIT Director October 4, 2002 -----</w:t>
      </w:r>
    </w:p>
    <w:p>
      <w:pPr>
        <w:spacing w:after="0" w:line="1"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Robert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Feit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*By: /s/</w:t>
      </w:r>
    </w:p>
    <w:p>
      <w:pPr>
        <w:sectPr>
          <w:pgSz w:w="11900" w:h="16909" w:orient="portrait"/>
          <w:cols w:equalWidth="0" w:num="1">
            <w:col w:w="10223"/>
          </w:cols>
          <w:pgMar w:left="236" w:top="654" w:right="1440" w:bottom="0" w:gutter="0" w:footer="0" w:header="0"/>
        </w:sectPr>
      </w:pPr>
    </w:p>
    <w:bookmarkStart w:id="363" w:name="page364"/>
    <w:bookmarkEnd w:id="363"/>
    <w:p>
      <w:pPr>
        <w:ind w:left="40"/>
        <w:spacing w:after="0"/>
        <w:rPr>
          <w:sz w:val="20"/>
          <w:szCs w:val="20"/>
          <w:color w:val="auto"/>
        </w:rPr>
      </w:pPr>
      <w:r>
        <w:rPr>
          <w:rFonts w:ascii="Courier New" w:cs="Courier New" w:eastAsia="Courier New" w:hAnsi="Courier New"/>
          <w:sz w:val="16"/>
          <w:szCs w:val="16"/>
          <w:color w:val="auto"/>
        </w:rPr>
        <w:t>ROBERT S.</w:t>
      </w:r>
    </w:p>
    <w:p>
      <w:pPr>
        <w:spacing w:after="0"/>
        <w:rPr>
          <w:sz w:val="20"/>
          <w:szCs w:val="20"/>
          <w:color w:val="auto"/>
        </w:rPr>
      </w:pPr>
      <w:r>
        <w:rPr>
          <w:rFonts w:ascii="Courier New" w:cs="Courier New" w:eastAsia="Courier New" w:hAnsi="Courier New"/>
          <w:sz w:val="16"/>
          <w:szCs w:val="16"/>
          <w:color w:val="auto"/>
        </w:rPr>
        <w:t>FEIT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w:t>
      </w:r>
    </w:p>
    <w:p>
      <w:pPr>
        <w:ind w:left="140"/>
        <w:spacing w:after="0"/>
        <w:rPr>
          <w:sz w:val="20"/>
          <w:szCs w:val="20"/>
          <w:color w:val="auto"/>
        </w:rPr>
      </w:pPr>
      <w:r>
        <w:rPr>
          <w:rFonts w:ascii="Courier New" w:cs="Courier New" w:eastAsia="Courier New" w:hAnsi="Courier New"/>
          <w:sz w:val="16"/>
          <w:szCs w:val="16"/>
          <w:color w:val="auto"/>
        </w:rPr>
        <w:t>-------</w:t>
      </w:r>
    </w:p>
    <w:p>
      <w:pPr>
        <w:jc w:val="center"/>
        <w:ind w:right="9279"/>
        <w:spacing w:after="0" w:line="238" w:lineRule="auto"/>
        <w:rPr>
          <w:sz w:val="20"/>
          <w:szCs w:val="20"/>
          <w:color w:val="auto"/>
        </w:rPr>
      </w:pPr>
      <w:r>
        <w:rPr>
          <w:rFonts w:ascii="Courier New" w:cs="Courier New" w:eastAsia="Courier New" w:hAnsi="Courier New"/>
          <w:sz w:val="16"/>
          <w:szCs w:val="16"/>
          <w:color w:val="auto"/>
        </w:rPr>
        <w:t>Robert S.</w:t>
      </w:r>
    </w:p>
    <w:p>
      <w:pPr>
        <w:jc w:val="center"/>
        <w:ind w:right="9279"/>
        <w:spacing w:after="0"/>
        <w:rPr>
          <w:sz w:val="20"/>
          <w:szCs w:val="20"/>
          <w:color w:val="auto"/>
        </w:rPr>
      </w:pPr>
      <w:r>
        <w:rPr>
          <w:rFonts w:ascii="Courier New" w:cs="Courier New" w:eastAsia="Courier New" w:hAnsi="Courier New"/>
          <w:sz w:val="16"/>
          <w:szCs w:val="16"/>
          <w:color w:val="auto"/>
        </w:rPr>
        <w:t>Feit</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(Attorney-</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in-fact)</w:t>
      </w:r>
    </w:p>
    <w:p>
      <w:pPr>
        <w:spacing w:after="0" w:line="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October 4,</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340"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II-16</w:t>
      </w:r>
    </w:p>
    <w:p>
      <w:pPr>
        <w:sectPr>
          <w:pgSz w:w="11900" w:h="16838" w:orient="portrait"/>
          <w:cols w:equalWidth="0" w:num="1">
            <w:col w:w="10219"/>
          </w:cols>
          <w:pgMar w:left="240" w:top="136" w:right="1440" w:bottom="1440" w:gutter="0" w:footer="0" w:header="0"/>
        </w:sectPr>
      </w:pPr>
    </w:p>
    <w:bookmarkStart w:id="364" w:name="page365"/>
    <w:bookmarkEnd w:id="364"/>
    <w:p>
      <w:pPr>
        <w:spacing w:after="0" w:line="71"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SIGNATURES FOR AT&amp;T BROADBAND, LLC</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AT&amp;T BROADBAND, LLC has duly caused this amendment to be signed on its behalf by the undersigned, thereunto duly authorized, in the City of New York, State of New York, on October 4, 2002.</w:t>
      </w:r>
    </w:p>
    <w:p>
      <w:pPr>
        <w:spacing w:after="0" w:line="36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AT&amp;T BROADBAND, LLC</w:t>
      </w:r>
    </w:p>
    <w:p>
      <w:pPr>
        <w:spacing w:after="0" w:line="179" w:lineRule="exact"/>
        <w:rPr>
          <w:sz w:val="20"/>
          <w:szCs w:val="20"/>
          <w:color w:val="auto"/>
        </w:rPr>
      </w:pPr>
    </w:p>
    <w:p>
      <w:pPr>
        <w:ind w:left="3944"/>
        <w:spacing w:after="0"/>
        <w:tabs>
          <w:tab w:leader="none" w:pos="476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FEIT</w:t>
      </w:r>
    </w:p>
    <w:p>
      <w:pPr>
        <w:spacing w:after="0" w:line="4" w:lineRule="exact"/>
        <w:rPr>
          <w:sz w:val="20"/>
          <w:szCs w:val="20"/>
          <w:color w:val="auto"/>
        </w:rPr>
      </w:pPr>
    </w:p>
    <w:p>
      <w:pPr>
        <w:ind w:left="412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44"/>
        <w:spacing w:after="0"/>
        <w:tabs>
          <w:tab w:leader="none" w:pos="4583" w:val="left"/>
        </w:tabs>
        <w:rPr>
          <w:sz w:val="20"/>
          <w:szCs w:val="20"/>
          <w:color w:val="auto"/>
        </w:rPr>
      </w:pPr>
      <w:r>
        <w:rPr>
          <w:rFonts w:ascii="Courier New" w:cs="Courier New" w:eastAsia="Courier New" w:hAnsi="Courier New"/>
          <w:sz w:val="16"/>
          <w:szCs w:val="16"/>
          <w:color w:val="auto"/>
        </w:rPr>
        <w:t>Name:</w:t>
        <w:tab/>
        <w:t>Robert S. Feit</w:t>
      </w:r>
    </w:p>
    <w:p>
      <w:pPr>
        <w:ind w:left="3944"/>
        <w:spacing w:after="0"/>
        <w:rPr>
          <w:sz w:val="20"/>
          <w:szCs w:val="20"/>
          <w:color w:val="auto"/>
        </w:rPr>
      </w:pPr>
      <w:r>
        <w:rPr>
          <w:rFonts w:ascii="Courier New" w:cs="Courier New" w:eastAsia="Courier New" w:hAnsi="Courier New"/>
          <w:sz w:val="16"/>
          <w:szCs w:val="16"/>
          <w:color w:val="auto"/>
        </w:rPr>
        <w:t>Title: Assistant Secretary</w:t>
      </w:r>
    </w:p>
    <w:p>
      <w:pPr>
        <w:spacing w:after="0" w:line="184"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360" w:lineRule="exact"/>
        <w:rPr>
          <w:sz w:val="20"/>
          <w:szCs w:val="20"/>
          <w:color w:val="auto"/>
        </w:rPr>
      </w:pPr>
    </w:p>
    <w:p>
      <w:pPr>
        <w:ind w:left="44"/>
        <w:spacing w:after="0"/>
        <w:rPr>
          <w:sz w:val="20"/>
          <w:szCs w:val="20"/>
          <w:color w:val="auto"/>
        </w:rPr>
      </w:pPr>
      <w:r>
        <w:rPr>
          <w:rFonts w:ascii="Courier New" w:cs="Courier New" w:eastAsia="Courier New" w:hAnsi="Courier New"/>
          <w:sz w:val="16"/>
          <w:szCs w:val="16"/>
          <w:color w:val="auto"/>
        </w:rPr>
        <w:t>SIGNATURE</w:t>
      </w:r>
    </w:p>
    <w:p>
      <w:pPr>
        <w:ind w:left="104"/>
        <w:spacing w:after="0"/>
        <w:rPr>
          <w:sz w:val="20"/>
          <w:szCs w:val="20"/>
          <w:color w:val="auto"/>
        </w:rPr>
      </w:pPr>
      <w:r>
        <w:rPr>
          <w:rFonts w:ascii="Courier New" w:cs="Courier New" w:eastAsia="Courier New" w:hAnsi="Courier New"/>
          <w:sz w:val="16"/>
          <w:szCs w:val="16"/>
          <w:color w:val="auto"/>
        </w:rPr>
        <w:t>CAPACITY</w:t>
      </w:r>
    </w:p>
    <w:p>
      <w:pPr>
        <w:ind w:left="4"/>
        <w:spacing w:after="0" w:line="237" w:lineRule="auto"/>
        <w:rPr>
          <w:sz w:val="20"/>
          <w:szCs w:val="20"/>
          <w:color w:val="auto"/>
        </w:rPr>
      </w:pPr>
      <w:r>
        <w:rPr>
          <w:rFonts w:ascii="Courier New" w:cs="Courier New" w:eastAsia="Courier New" w:hAnsi="Courier New"/>
          <w:sz w:val="16"/>
          <w:szCs w:val="16"/>
          <w:color w:val="auto"/>
        </w:rPr>
        <w:t>DATE -----</w:t>
      </w:r>
    </w:p>
    <w:p>
      <w:pPr>
        <w:ind w:left="464" w:hanging="464"/>
        <w:spacing w:after="0"/>
        <w:tabs>
          <w:tab w:leader="none" w:pos="464"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both"/>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 * President and Chief Executive October 4,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both"/>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Executive William 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Schleyer</w:t>
      </w:r>
    </w:p>
    <w:p>
      <w:pPr>
        <w:spacing w:after="0" w:line="3" w:lineRule="exact"/>
        <w:rPr>
          <w:rFonts w:ascii="Courier New" w:cs="Courier New" w:eastAsia="Courier New" w:hAnsi="Courier New"/>
          <w:sz w:val="16"/>
          <w:szCs w:val="16"/>
          <w:color w:val="auto"/>
        </w:rPr>
      </w:pPr>
    </w:p>
    <w:p>
      <w:pPr>
        <w:jc w:val="center"/>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Officer) * Executive Vice President and Chief October 4,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3" w:lineRule="exact"/>
        <w:rPr>
          <w:rFonts w:ascii="Courier New" w:cs="Courier New" w:eastAsia="Courier New" w:hAnsi="Courier New"/>
          <w:sz w:val="16"/>
          <w:szCs w:val="16"/>
          <w:color w:val="auto"/>
        </w:rPr>
      </w:pPr>
    </w:p>
    <w:p>
      <w:pPr>
        <w:jc w:val="both"/>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Michael P.</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Huseby</w:t>
      </w:r>
    </w:p>
    <w:p>
      <w:pPr>
        <w:spacing w:after="0" w:line="3" w:lineRule="exact"/>
        <w:rPr>
          <w:rFonts w:ascii="Courier New" w:cs="Courier New" w:eastAsia="Courier New" w:hAnsi="Courier New"/>
          <w:sz w:val="16"/>
          <w:szCs w:val="16"/>
          <w:color w:val="auto"/>
        </w:rPr>
      </w:pPr>
    </w:p>
    <w:p>
      <w:pPr>
        <w:jc w:val="center"/>
        <w:ind w:left="4"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Financial Officer) * Vice President and Controller October 4, 2002 -----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center"/>
        <w:ind w:left="4" w:right="927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(Principal Accounting Officer) Scott D. Macdonald *By: /s/</w:t>
      </w:r>
    </w:p>
    <w:p>
      <w:pPr>
        <w:spacing w:after="0" w:line="3" w:lineRule="exact"/>
        <w:rPr>
          <w:rFonts w:ascii="Courier New" w:cs="Courier New" w:eastAsia="Courier New" w:hAnsi="Courier New"/>
          <w:sz w:val="16"/>
          <w:szCs w:val="16"/>
          <w:color w:val="auto"/>
        </w:rPr>
      </w:pPr>
    </w:p>
    <w:p>
      <w:pPr>
        <w:jc w:val="both"/>
        <w:ind w:left="4" w:right="9279" w:firstLine="47"/>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ROBERT S. FEIT -----</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Feit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(Attorney-</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in-fact)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CORP.</w:t>
      </w:r>
    </w:p>
    <w:p>
      <w:pPr>
        <w:ind w:left="1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By: /s/</w:t>
      </w:r>
    </w:p>
    <w:p>
      <w:pPr>
        <w:sectPr>
          <w:pgSz w:w="11900" w:h="16909" w:orient="portrait"/>
          <w:cols w:equalWidth="0" w:num="1">
            <w:col w:w="10223"/>
          </w:cols>
          <w:pgMar w:left="236" w:top="654" w:right="1440" w:bottom="0" w:gutter="0" w:footer="0" w:header="0"/>
        </w:sectPr>
      </w:pPr>
    </w:p>
    <w:bookmarkStart w:id="365" w:name="page366"/>
    <w:bookmarkEnd w:id="365"/>
    <w:p>
      <w:pPr>
        <w:jc w:val="center"/>
        <w:ind w:right="9275"/>
        <w:spacing w:after="0"/>
        <w:rPr>
          <w:sz w:val="20"/>
          <w:szCs w:val="20"/>
          <w:color w:val="auto"/>
        </w:rPr>
      </w:pPr>
      <w:r>
        <w:rPr>
          <w:rFonts w:ascii="Courier New" w:cs="Courier New" w:eastAsia="Courier New" w:hAnsi="Courier New"/>
          <w:sz w:val="16"/>
          <w:szCs w:val="16"/>
          <w:color w:val="auto"/>
        </w:rPr>
        <w:t>ROBERT S.</w:t>
      </w:r>
    </w:p>
    <w:p>
      <w:pPr>
        <w:jc w:val="center"/>
        <w:ind w:right="9275"/>
        <w:spacing w:after="0"/>
        <w:rPr>
          <w:sz w:val="20"/>
          <w:szCs w:val="20"/>
          <w:color w:val="auto"/>
        </w:rPr>
      </w:pPr>
      <w:r>
        <w:rPr>
          <w:rFonts w:ascii="Courier New" w:cs="Courier New" w:eastAsia="Courier New" w:hAnsi="Courier New"/>
          <w:sz w:val="16"/>
          <w:szCs w:val="16"/>
          <w:color w:val="auto"/>
        </w:rPr>
        <w:t>FEIT Sole</w:t>
      </w:r>
    </w:p>
    <w:p>
      <w:pPr>
        <w:jc w:val="center"/>
        <w:ind w:right="9275"/>
        <w:spacing w:after="0" w:line="237" w:lineRule="auto"/>
        <w:rPr>
          <w:sz w:val="20"/>
          <w:szCs w:val="20"/>
          <w:color w:val="auto"/>
        </w:rPr>
      </w:pPr>
      <w:r>
        <w:rPr>
          <w:rFonts w:ascii="Courier New" w:cs="Courier New" w:eastAsia="Courier New" w:hAnsi="Courier New"/>
          <w:sz w:val="16"/>
          <w:szCs w:val="16"/>
          <w:color w:val="auto"/>
        </w:rPr>
        <w:t>Member</w:t>
      </w:r>
    </w:p>
    <w:p>
      <w:pPr>
        <w:spacing w:after="0" w:line="5"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October 4,</w:t>
      </w:r>
    </w:p>
    <w:p>
      <w:pPr>
        <w:spacing w:after="0" w:line="10" w:lineRule="exact"/>
        <w:rPr>
          <w:sz w:val="20"/>
          <w:szCs w:val="20"/>
          <w:color w:val="auto"/>
        </w:rPr>
      </w:pPr>
    </w:p>
    <w:p>
      <w:pPr>
        <w:jc w:val="center"/>
        <w:ind w:right="9275"/>
        <w:spacing w:after="0"/>
        <w:rPr>
          <w:sz w:val="20"/>
          <w:szCs w:val="20"/>
          <w:color w:val="auto"/>
        </w:rPr>
      </w:pPr>
      <w:r>
        <w:rPr>
          <w:rFonts w:ascii="Courier New" w:cs="Courier New" w:eastAsia="Courier New" w:hAnsi="Courier New"/>
          <w:sz w:val="15"/>
          <w:szCs w:val="15"/>
          <w:color w:val="auto"/>
        </w:rPr>
        <w:t>2002 -----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w:t>
      </w:r>
    </w:p>
    <w:p>
      <w:pPr>
        <w:ind w:left="4"/>
        <w:spacing w:after="0" w:line="237" w:lineRule="auto"/>
        <w:rPr>
          <w:sz w:val="20"/>
          <w:szCs w:val="20"/>
          <w:color w:val="auto"/>
        </w:rPr>
      </w:pPr>
      <w:r>
        <w:rPr>
          <w:rFonts w:ascii="Courier New" w:cs="Courier New" w:eastAsia="Courier New" w:hAnsi="Courier New"/>
          <w:sz w:val="16"/>
          <w:szCs w:val="16"/>
          <w:color w:val="auto"/>
        </w:rPr>
        <w:t>----------</w:t>
      </w:r>
    </w:p>
    <w:p>
      <w:pPr>
        <w:ind w:left="144"/>
        <w:spacing w:after="0"/>
        <w:rPr>
          <w:sz w:val="20"/>
          <w:szCs w:val="20"/>
          <w:color w:val="auto"/>
        </w:rPr>
      </w:pPr>
      <w:r>
        <w:rPr>
          <w:rFonts w:ascii="Courier New" w:cs="Courier New" w:eastAsia="Courier New" w:hAnsi="Courier New"/>
          <w:sz w:val="16"/>
          <w:szCs w:val="16"/>
          <w:color w:val="auto"/>
        </w:rPr>
        <w:t>-------</w:t>
      </w:r>
    </w:p>
    <w:p>
      <w:pPr>
        <w:ind w:left="44"/>
        <w:spacing w:after="0" w:line="238" w:lineRule="auto"/>
        <w:rPr>
          <w:sz w:val="20"/>
          <w:szCs w:val="20"/>
          <w:color w:val="auto"/>
        </w:rPr>
      </w:pPr>
      <w:r>
        <w:rPr>
          <w:rFonts w:ascii="Courier New" w:cs="Courier New" w:eastAsia="Courier New" w:hAnsi="Courier New"/>
          <w:sz w:val="16"/>
          <w:szCs w:val="16"/>
          <w:color w:val="auto"/>
        </w:rPr>
        <w:t>Robert S.</w:t>
      </w:r>
    </w:p>
    <w:p>
      <w:pPr>
        <w:ind w:left="44"/>
        <w:spacing w:after="0"/>
        <w:rPr>
          <w:sz w:val="20"/>
          <w:szCs w:val="20"/>
          <w:color w:val="auto"/>
        </w:rPr>
      </w:pPr>
      <w:r>
        <w:rPr>
          <w:rFonts w:ascii="Courier New" w:cs="Courier New" w:eastAsia="Courier New" w:hAnsi="Courier New"/>
          <w:sz w:val="16"/>
          <w:szCs w:val="16"/>
          <w:color w:val="auto"/>
        </w:rPr>
        <w:t>Feit Vice</w:t>
      </w:r>
    </w:p>
    <w:p>
      <w:pPr>
        <w:ind w:left="44"/>
        <w:spacing w:after="0" w:line="238" w:lineRule="auto"/>
        <w:rPr>
          <w:sz w:val="20"/>
          <w:szCs w:val="20"/>
          <w:color w:val="auto"/>
        </w:rPr>
      </w:pPr>
      <w:r>
        <w:rPr>
          <w:rFonts w:ascii="Courier New" w:cs="Courier New" w:eastAsia="Courier New" w:hAnsi="Courier New"/>
          <w:sz w:val="16"/>
          <w:szCs w:val="16"/>
          <w:color w:val="auto"/>
        </w:rPr>
        <w:t>President</w:t>
      </w:r>
    </w:p>
    <w:p>
      <w:pPr>
        <w:spacing w:after="0" w:line="4" w:lineRule="exact"/>
        <w:rPr>
          <w:sz w:val="20"/>
          <w:szCs w:val="20"/>
          <w:color w:val="auto"/>
        </w:rPr>
      </w:pPr>
    </w:p>
    <w:p>
      <w:pPr>
        <w:jc w:val="both"/>
        <w:ind w:left="4" w:right="9279" w:hanging="4"/>
        <w:spacing w:after="0" w:line="254" w:lineRule="auto"/>
        <w:tabs>
          <w:tab w:leader="none" w:pos="285"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 and Secretary October 4,</w:t>
      </w:r>
    </w:p>
    <w:p>
      <w:pPr>
        <w:ind w:left="2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339"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6"/>
          <w:szCs w:val="16"/>
          <w:color w:val="auto"/>
        </w:rPr>
        <w:t>II-17</w:t>
      </w:r>
    </w:p>
    <w:p>
      <w:pPr>
        <w:sectPr>
          <w:pgSz w:w="11900" w:h="16838" w:orient="portrait"/>
          <w:cols w:equalWidth="0" w:num="1">
            <w:col w:w="10223"/>
          </w:cols>
          <w:pgMar w:left="236" w:top="136" w:right="1440" w:bottom="1440" w:gutter="0" w:footer="0" w:header="0"/>
        </w:sectPr>
      </w:pPr>
    </w:p>
    <w:bookmarkStart w:id="366" w:name="page367"/>
    <w:bookmarkEnd w:id="366"/>
    <w:p>
      <w:pPr>
        <w:spacing w:after="0" w:line="77" w:lineRule="exact"/>
        <w:rPr>
          <w:sz w:val="20"/>
          <w:szCs w:val="20"/>
          <w:color w:val="auto"/>
        </w:rPr>
      </w:pPr>
    </w:p>
    <w:p>
      <w:pPr>
        <w:jc w:val="right"/>
        <w:ind w:right="5719"/>
        <w:spacing w:after="0"/>
        <w:rPr>
          <w:sz w:val="20"/>
          <w:szCs w:val="20"/>
          <w:color w:val="auto"/>
        </w:rPr>
      </w:pPr>
      <w:r>
        <w:rPr>
          <w:rFonts w:ascii="Courier New" w:cs="Courier New" w:eastAsia="Courier New" w:hAnsi="Courier New"/>
          <w:sz w:val="16"/>
          <w:szCs w:val="16"/>
          <w:color w:val="auto"/>
        </w:rPr>
        <w:t>INDEX OF EXHIBITS</w:t>
      </w:r>
    </w:p>
    <w:p>
      <w:pPr>
        <w:spacing w:after="0" w:line="36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ind w:left="80"/>
        <w:spacing w:after="0"/>
        <w:rPr>
          <w:sz w:val="20"/>
          <w:szCs w:val="20"/>
          <w:color w:val="auto"/>
        </w:rPr>
      </w:pPr>
      <w:r>
        <w:rPr>
          <w:rFonts w:ascii="Courier New" w:cs="Courier New" w:eastAsia="Courier New" w:hAnsi="Courier New"/>
          <w:sz w:val="16"/>
          <w:szCs w:val="16"/>
          <w:color w:val="auto"/>
        </w:rPr>
        <w:t>DOCUMENT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700" w:hanging="567"/>
        <w:spacing w:after="0"/>
        <w:tabs>
          <w:tab w:leader="none" w:pos="700"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Form of</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Dealer</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2.1</w:t>
      </w:r>
    </w:p>
    <w:p>
      <w:pPr>
        <w:jc w:val="center"/>
        <w:ind w:right="9099"/>
        <w:spacing w:after="0" w:line="238" w:lineRule="auto"/>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and Plan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Merger</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December</w:t>
      </w:r>
    </w:p>
    <w:p>
      <w:pPr>
        <w:jc w:val="center"/>
        <w:ind w:right="9099"/>
        <w:spacing w:after="0"/>
        <w:rPr>
          <w:sz w:val="20"/>
          <w:szCs w:val="20"/>
          <w:color w:val="auto"/>
        </w:rPr>
      </w:pPr>
      <w:r>
        <w:rPr>
          <w:rFonts w:ascii="Courier New" w:cs="Courier New" w:eastAsia="Courier New" w:hAnsi="Courier New"/>
          <w:sz w:val="16"/>
          <w:szCs w:val="16"/>
          <w:color w:val="auto"/>
        </w:rPr>
        <w:t>19, 2001,</w:t>
      </w:r>
    </w:p>
    <w:p>
      <w:pPr>
        <w:jc w:val="center"/>
        <w:ind w:right="9099"/>
        <w:spacing w:after="0" w:line="238" w:lineRule="auto"/>
        <w:rPr>
          <w:sz w:val="20"/>
          <w:szCs w:val="20"/>
          <w:color w:val="auto"/>
        </w:rPr>
      </w:pPr>
      <w:r>
        <w:rPr>
          <w:rFonts w:ascii="Courier New" w:cs="Courier New" w:eastAsia="Courier New" w:hAnsi="Courier New"/>
          <w:sz w:val="16"/>
          <w:szCs w:val="16"/>
          <w:color w:val="auto"/>
        </w:rPr>
        <w:t>as amended,</w:t>
      </w:r>
    </w:p>
    <w:p>
      <w:pPr>
        <w:jc w:val="center"/>
        <w:ind w:right="9099"/>
        <w:spacing w:after="0"/>
        <w:rPr>
          <w:sz w:val="20"/>
          <w:szCs w:val="20"/>
          <w:color w:val="auto"/>
        </w:rPr>
      </w:pPr>
      <w:r>
        <w:rPr>
          <w:rFonts w:ascii="Courier New" w:cs="Courier New" w:eastAsia="Courier New" w:hAnsi="Courier New"/>
          <w:sz w:val="16"/>
          <w:szCs w:val="16"/>
          <w:color w:val="auto"/>
        </w:rPr>
        <w:t>among AT&amp;T</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Corp., AT&amp;T</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Corp.,</w:t>
      </w:r>
    </w:p>
    <w:p>
      <w:pPr>
        <w:jc w:val="center"/>
        <w:ind w:right="9099"/>
        <w:spacing w:after="0"/>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Acquisition</w:t>
      </w:r>
    </w:p>
    <w:p>
      <w:pPr>
        <w:jc w:val="center"/>
        <w:ind w:right="9099"/>
        <w:spacing w:after="0"/>
        <w:rPr>
          <w:sz w:val="20"/>
          <w:szCs w:val="20"/>
          <w:color w:val="auto"/>
        </w:rPr>
      </w:pPr>
      <w:r>
        <w:rPr>
          <w:rFonts w:ascii="Courier New" w:cs="Courier New" w:eastAsia="Courier New" w:hAnsi="Courier New"/>
          <w:sz w:val="16"/>
          <w:szCs w:val="16"/>
          <w:color w:val="auto"/>
        </w:rPr>
        <w:t>Corp.,</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Comcast</w:t>
      </w:r>
    </w:p>
    <w:p>
      <w:pPr>
        <w:jc w:val="center"/>
        <w:ind w:right="9099"/>
        <w:spacing w:after="0"/>
        <w:rPr>
          <w:sz w:val="20"/>
          <w:szCs w:val="20"/>
          <w:color w:val="auto"/>
        </w:rPr>
      </w:pPr>
      <w:r>
        <w:rPr>
          <w:rFonts w:ascii="Courier New" w:cs="Courier New" w:eastAsia="Courier New" w:hAnsi="Courier New"/>
          <w:sz w:val="16"/>
          <w:szCs w:val="16"/>
          <w:color w:val="auto"/>
        </w:rPr>
        <w:t>Acquisition</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Corp. and</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ind w:left="600" w:hanging="373"/>
        <w:spacing w:after="0"/>
        <w:tabs>
          <w:tab w:leader="none" w:pos="600"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Separation</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Distribution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December</w:t>
      </w:r>
    </w:p>
    <w:p>
      <w:pPr>
        <w:jc w:val="center"/>
        <w:ind w:right="9099"/>
        <w:spacing w:after="0"/>
        <w:rPr>
          <w:sz w:val="20"/>
          <w:szCs w:val="20"/>
          <w:color w:val="auto"/>
        </w:rPr>
      </w:pPr>
      <w:r>
        <w:rPr>
          <w:rFonts w:ascii="Courier New" w:cs="Courier New" w:eastAsia="Courier New" w:hAnsi="Courier New"/>
          <w:sz w:val="16"/>
          <w:szCs w:val="16"/>
          <w:color w:val="auto"/>
        </w:rPr>
        <w:t>19, 2001,</w:t>
      </w:r>
    </w:p>
    <w:p>
      <w:pPr>
        <w:jc w:val="center"/>
        <w:ind w:right="9099"/>
        <w:spacing w:after="0" w:line="238" w:lineRule="auto"/>
        <w:rPr>
          <w:sz w:val="20"/>
          <w:szCs w:val="20"/>
          <w:color w:val="auto"/>
        </w:rPr>
      </w:pPr>
      <w:r>
        <w:rPr>
          <w:rFonts w:ascii="Courier New" w:cs="Courier New" w:eastAsia="Courier New" w:hAnsi="Courier New"/>
          <w:sz w:val="16"/>
          <w:szCs w:val="16"/>
          <w:color w:val="auto"/>
        </w:rPr>
        <w:t>as amended,</w:t>
      </w:r>
    </w:p>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Corp.(1)</w:t>
      </w:r>
    </w:p>
    <w:p>
      <w:pPr>
        <w:jc w:val="center"/>
        <w:ind w:right="9099"/>
        <w:spacing w:after="0" w:line="238" w:lineRule="auto"/>
        <w:rPr>
          <w:sz w:val="20"/>
          <w:szCs w:val="20"/>
          <w:color w:val="auto"/>
        </w:rPr>
      </w:pPr>
      <w:r>
        <w:rPr>
          <w:rFonts w:ascii="Courier New" w:cs="Courier New" w:eastAsia="Courier New" w:hAnsi="Courier New"/>
          <w:sz w:val="16"/>
          <w:szCs w:val="16"/>
          <w:color w:val="auto"/>
        </w:rPr>
        <w:t>2.3 Support</w:t>
      </w:r>
    </w:p>
    <w:p>
      <w:pPr>
        <w:jc w:val="center"/>
        <w:ind w:right="9099"/>
        <w:spacing w:after="0"/>
        <w:rPr>
          <w:sz w:val="20"/>
          <w:szCs w:val="20"/>
          <w:color w:val="auto"/>
        </w:rPr>
      </w:pPr>
      <w:r>
        <w:rPr>
          <w:rFonts w:ascii="Courier New" w:cs="Courier New" w:eastAsia="Courier New" w:hAnsi="Courier New"/>
          <w:sz w:val="16"/>
          <w:szCs w:val="16"/>
          <w:color w:val="auto"/>
        </w:rPr>
        <w:t>Agreement</w:t>
      </w:r>
    </w:p>
    <w:p>
      <w:pPr>
        <w:jc w:val="center"/>
        <w:ind w:right="9099"/>
        <w:spacing w:after="0" w:line="238" w:lineRule="auto"/>
        <w:rPr>
          <w:sz w:val="20"/>
          <w:szCs w:val="20"/>
          <w:color w:val="auto"/>
        </w:rPr>
      </w:pPr>
      <w:r>
        <w:rPr>
          <w:rFonts w:ascii="Courier New" w:cs="Courier New" w:eastAsia="Courier New" w:hAnsi="Courier New"/>
          <w:sz w:val="16"/>
          <w:szCs w:val="16"/>
          <w:color w:val="auto"/>
        </w:rPr>
        <w:t>dated as of</w:t>
      </w:r>
    </w:p>
    <w:p>
      <w:pPr>
        <w:jc w:val="center"/>
        <w:ind w:right="9099"/>
        <w:spacing w:after="0"/>
        <w:rPr>
          <w:sz w:val="20"/>
          <w:szCs w:val="20"/>
          <w:color w:val="auto"/>
        </w:rPr>
      </w:pPr>
      <w:r>
        <w:rPr>
          <w:rFonts w:ascii="Courier New" w:cs="Courier New" w:eastAsia="Courier New" w:hAnsi="Courier New"/>
          <w:sz w:val="16"/>
          <w:szCs w:val="16"/>
          <w:color w:val="auto"/>
        </w:rPr>
        <w:t>December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19, 2001,</w:t>
      </w:r>
    </w:p>
    <w:p>
      <w:pPr>
        <w:jc w:val="center"/>
        <w:ind w:right="9099"/>
        <w:spacing w:after="0"/>
        <w:rPr>
          <w:sz w:val="20"/>
          <w:szCs w:val="20"/>
          <w:color w:val="auto"/>
        </w:rPr>
      </w:pPr>
      <w:r>
        <w:rPr>
          <w:rFonts w:ascii="Courier New" w:cs="Courier New" w:eastAsia="Courier New" w:hAnsi="Courier New"/>
          <w:sz w:val="16"/>
          <w:szCs w:val="16"/>
          <w:color w:val="auto"/>
        </w:rPr>
        <w:t>as amended,</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Comcast</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Sural LLC</w:t>
      </w:r>
    </w:p>
    <w:p>
      <w:pPr>
        <w:jc w:val="center"/>
        <w:ind w:right="9099"/>
        <w:spacing w:after="0"/>
        <w:rPr>
          <w:sz w:val="20"/>
          <w:szCs w:val="20"/>
          <w:color w:val="auto"/>
        </w:rPr>
      </w:pPr>
      <w:r>
        <w:rPr>
          <w:rFonts w:ascii="Courier New" w:cs="Courier New" w:eastAsia="Courier New" w:hAnsi="Courier New"/>
          <w:sz w:val="16"/>
          <w:szCs w:val="16"/>
          <w:color w:val="auto"/>
        </w:rPr>
        <w:t>and Brian</w:t>
      </w:r>
    </w:p>
    <w:p>
      <w:pPr>
        <w:ind w:left="320" w:hanging="281"/>
        <w:spacing w:after="0" w:line="237" w:lineRule="auto"/>
        <w:tabs>
          <w:tab w:leader="none" w:pos="320"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2.4 Tax</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dated as of</w:t>
      </w:r>
    </w:p>
    <w:p>
      <w:pPr>
        <w:spacing w:after="0" w:line="3" w:lineRule="exact"/>
        <w:rPr>
          <w:rFonts w:ascii="Courier New" w:cs="Courier New" w:eastAsia="Courier New" w:hAnsi="Courier New"/>
          <w:sz w:val="16"/>
          <w:szCs w:val="16"/>
          <w:color w:val="auto"/>
        </w:rPr>
      </w:pPr>
    </w:p>
    <w:p>
      <w:pPr>
        <w:jc w:val="center"/>
        <w:ind w:left="40" w:right="9139" w:firstLine="141"/>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December 19, 2001 between AT&amp;T Corp. and AT&amp;T Broadband Corp.(1) 2.5 Employee Benefits Agreement dated as of December 19, 2001 between AT&amp;T Corp. and AT&amp;T Broadband Corp.(2) 2.6 Exchange</w:t>
      </w:r>
    </w:p>
    <w:p>
      <w:pPr>
        <w:sectPr>
          <w:pgSz w:w="11900" w:h="16916" w:orient="portrait"/>
          <w:cols w:equalWidth="0" w:num="1">
            <w:col w:w="10219"/>
          </w:cols>
          <w:pgMar w:left="240" w:top="654" w:right="1440" w:bottom="0" w:gutter="0" w:footer="0" w:header="0"/>
        </w:sectPr>
      </w:pPr>
    </w:p>
    <w:bookmarkStart w:id="367" w:name="page368"/>
    <w:bookmarkEnd w:id="367"/>
    <w:p>
      <w:pPr>
        <w:jc w:val="center"/>
        <w:ind w:right="9099"/>
        <w:spacing w:after="0"/>
        <w:rPr>
          <w:sz w:val="20"/>
          <w:szCs w:val="20"/>
          <w:color w:val="auto"/>
        </w:rPr>
      </w:pPr>
      <w:r>
        <w:rPr>
          <w:rFonts w:ascii="Courier New" w:cs="Courier New" w:eastAsia="Courier New" w:hAnsi="Courier New"/>
          <w:sz w:val="16"/>
          <w:szCs w:val="16"/>
          <w:color w:val="auto"/>
        </w:rPr>
        <w:t>Agreement</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December 7,</w:t>
      </w:r>
    </w:p>
    <w:p>
      <w:pPr>
        <w:jc w:val="center"/>
        <w:ind w:right="9099"/>
        <w:spacing w:after="0"/>
        <w:rPr>
          <w:sz w:val="20"/>
          <w:szCs w:val="20"/>
          <w:color w:val="auto"/>
        </w:rPr>
      </w:pPr>
      <w:r>
        <w:rPr>
          <w:rFonts w:ascii="Courier New" w:cs="Courier New" w:eastAsia="Courier New" w:hAnsi="Courier New"/>
          <w:sz w:val="16"/>
          <w:szCs w:val="16"/>
          <w:color w:val="auto"/>
        </w:rPr>
        <w:t>2001, as</w:t>
      </w:r>
    </w:p>
    <w:p>
      <w:pPr>
        <w:jc w:val="center"/>
        <w:ind w:right="9099"/>
        <w:spacing w:after="0" w:line="238" w:lineRule="auto"/>
        <w:rPr>
          <w:sz w:val="20"/>
          <w:szCs w:val="20"/>
          <w:color w:val="auto"/>
        </w:rPr>
      </w:pPr>
      <w:r>
        <w:rPr>
          <w:rFonts w:ascii="Courier New" w:cs="Courier New" w:eastAsia="Courier New" w:hAnsi="Courier New"/>
          <w:sz w:val="16"/>
          <w:szCs w:val="16"/>
          <w:color w:val="auto"/>
        </w:rPr>
        <w:t>amended,</w:t>
      </w:r>
    </w:p>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line="238" w:lineRule="auto"/>
        <w:rPr>
          <w:sz w:val="20"/>
          <w:szCs w:val="20"/>
          <w:color w:val="auto"/>
        </w:rPr>
      </w:pPr>
      <w:r>
        <w:rPr>
          <w:rFonts w:ascii="Courier New" w:cs="Courier New" w:eastAsia="Courier New" w:hAnsi="Courier New"/>
          <w:sz w:val="16"/>
          <w:szCs w:val="16"/>
          <w:color w:val="auto"/>
        </w:rPr>
        <w:t>Microsoft</w:t>
      </w:r>
    </w:p>
    <w:p>
      <w:pPr>
        <w:jc w:val="center"/>
        <w:ind w:right="9099"/>
        <w:spacing w:after="0"/>
        <w:rPr>
          <w:sz w:val="20"/>
          <w:szCs w:val="20"/>
          <w:color w:val="auto"/>
        </w:rPr>
      </w:pPr>
      <w:r>
        <w:rPr>
          <w:rFonts w:ascii="Courier New" w:cs="Courier New" w:eastAsia="Courier New" w:hAnsi="Courier New"/>
          <w:sz w:val="16"/>
          <w:szCs w:val="16"/>
          <w:color w:val="auto"/>
        </w:rPr>
        <w:t>Corporation</w:t>
      </w:r>
    </w:p>
    <w:p>
      <w:pPr>
        <w:jc w:val="center"/>
        <w:ind w:right="9099"/>
        <w:spacing w:after="0" w:line="237" w:lineRule="auto"/>
        <w:rPr>
          <w:sz w:val="20"/>
          <w:szCs w:val="20"/>
          <w:color w:val="auto"/>
        </w:rPr>
      </w:pPr>
      <w:r>
        <w:rPr>
          <w:rFonts w:ascii="Courier New" w:cs="Courier New" w:eastAsia="Courier New" w:hAnsi="Courier New"/>
          <w:sz w:val="16"/>
          <w:szCs w:val="16"/>
          <w:color w:val="auto"/>
        </w:rPr>
        <w:t>and Comcast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ind w:left="600" w:hanging="373"/>
        <w:spacing w:after="0"/>
        <w:tabs>
          <w:tab w:leader="none" w:pos="600"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Admission</w:t>
      </w:r>
    </w:p>
    <w:p>
      <w:pPr>
        <w:jc w:val="center"/>
        <w:ind w:right="909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9099"/>
        <w:spacing w:after="0"/>
        <w:rPr>
          <w:sz w:val="20"/>
          <w:szCs w:val="20"/>
          <w:color w:val="auto"/>
        </w:rPr>
      </w:pPr>
      <w:r>
        <w:rPr>
          <w:rFonts w:ascii="Courier New" w:cs="Courier New" w:eastAsia="Courier New" w:hAnsi="Courier New"/>
          <w:sz w:val="16"/>
          <w:szCs w:val="16"/>
          <w:color w:val="auto"/>
        </w:rPr>
        <w:t>December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19, 2001,</w:t>
      </w:r>
    </w:p>
    <w:p>
      <w:pPr>
        <w:jc w:val="center"/>
        <w:ind w:right="9099"/>
        <w:spacing w:after="0"/>
        <w:rPr>
          <w:sz w:val="20"/>
          <w:szCs w:val="20"/>
          <w:color w:val="auto"/>
        </w:rPr>
      </w:pPr>
      <w:r>
        <w:rPr>
          <w:rFonts w:ascii="Courier New" w:cs="Courier New" w:eastAsia="Courier New" w:hAnsi="Courier New"/>
          <w:sz w:val="16"/>
          <w:szCs w:val="16"/>
          <w:color w:val="auto"/>
        </w:rPr>
        <w:t>as amended,</w:t>
      </w:r>
    </w:p>
    <w:p>
      <w:pPr>
        <w:jc w:val="center"/>
        <w:ind w:right="9099"/>
        <w:spacing w:after="0" w:line="238" w:lineRule="auto"/>
        <w:rPr>
          <w:sz w:val="20"/>
          <w:szCs w:val="20"/>
          <w:color w:val="auto"/>
        </w:rPr>
      </w:pPr>
      <w:r>
        <w:rPr>
          <w:rFonts w:ascii="Courier New" w:cs="Courier New" w:eastAsia="Courier New" w:hAnsi="Courier New"/>
          <w:sz w:val="16"/>
          <w:szCs w:val="16"/>
          <w:color w:val="auto"/>
        </w:rPr>
        <w:t>between</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99"/>
        <w:spacing w:after="0"/>
        <w:rPr>
          <w:sz w:val="20"/>
          <w:szCs w:val="20"/>
          <w:color w:val="auto"/>
        </w:rPr>
      </w:pPr>
      <w:r>
        <w:rPr>
          <w:rFonts w:ascii="Courier New" w:cs="Courier New" w:eastAsia="Courier New" w:hAnsi="Courier New"/>
          <w:sz w:val="16"/>
          <w:szCs w:val="16"/>
          <w:color w:val="auto"/>
        </w:rPr>
        <w:t>Corporation</w:t>
      </w:r>
    </w:p>
    <w:p>
      <w:pPr>
        <w:jc w:val="center"/>
        <w:ind w:right="9099"/>
        <w:spacing w:after="0" w:line="238" w:lineRule="auto"/>
        <w:rPr>
          <w:sz w:val="20"/>
          <w:szCs w:val="20"/>
          <w:color w:val="auto"/>
        </w:rPr>
      </w:pPr>
      <w:r>
        <w:rPr>
          <w:rFonts w:ascii="Courier New" w:cs="Courier New" w:eastAsia="Courier New" w:hAnsi="Courier New"/>
          <w:sz w:val="16"/>
          <w:szCs w:val="16"/>
          <w:color w:val="auto"/>
        </w:rPr>
        <w:t>and AT&amp;T</w:t>
      </w:r>
    </w:p>
    <w:p>
      <w:pPr>
        <w:jc w:val="center"/>
        <w:ind w:right="9099"/>
        <w:spacing w:after="0"/>
        <w:rPr>
          <w:sz w:val="20"/>
          <w:szCs w:val="20"/>
          <w:color w:val="auto"/>
        </w:rPr>
      </w:pPr>
      <w:r>
        <w:rPr>
          <w:rFonts w:ascii="Courier New" w:cs="Courier New" w:eastAsia="Courier New" w:hAnsi="Courier New"/>
          <w:sz w:val="16"/>
          <w:szCs w:val="16"/>
          <w:color w:val="auto"/>
        </w:rPr>
        <w:t>Corp.(1)</w:t>
      </w:r>
    </w:p>
    <w:p>
      <w:pPr>
        <w:jc w:val="center"/>
        <w:ind w:right="9099"/>
        <w:spacing w:after="0" w:line="238" w:lineRule="auto"/>
        <w:rPr>
          <w:sz w:val="20"/>
          <w:szCs w:val="20"/>
          <w:color w:val="auto"/>
        </w:rPr>
      </w:pPr>
      <w:r>
        <w:rPr>
          <w:rFonts w:ascii="Courier New" w:cs="Courier New" w:eastAsia="Courier New" w:hAnsi="Courier New"/>
          <w:sz w:val="16"/>
          <w:szCs w:val="16"/>
          <w:color w:val="auto"/>
        </w:rPr>
        <w:t>4.1</w:t>
      </w: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9099"/>
        <w:spacing w:after="0"/>
        <w:rPr>
          <w:sz w:val="20"/>
          <w:szCs w:val="20"/>
          <w:color w:val="auto"/>
        </w:rPr>
      </w:pPr>
      <w:r>
        <w:rPr>
          <w:rFonts w:ascii="Courier New" w:cs="Courier New" w:eastAsia="Courier New" w:hAnsi="Courier New"/>
          <w:sz w:val="16"/>
          <w:szCs w:val="16"/>
          <w:color w:val="auto"/>
        </w:rPr>
        <w:t>September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7, 1990</w:t>
      </w:r>
    </w:p>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The</w:t>
      </w:r>
    </w:p>
    <w:p>
      <w:pPr>
        <w:jc w:val="center"/>
        <w:ind w:right="9099"/>
        <w:spacing w:after="0" w:line="237" w:lineRule="auto"/>
        <w:rPr>
          <w:sz w:val="20"/>
          <w:szCs w:val="20"/>
          <w:color w:val="auto"/>
        </w:rPr>
      </w:pPr>
      <w:r>
        <w:rPr>
          <w:rFonts w:ascii="Courier New" w:cs="Courier New" w:eastAsia="Courier New" w:hAnsi="Courier New"/>
          <w:sz w:val="16"/>
          <w:szCs w:val="16"/>
          <w:color w:val="auto"/>
        </w:rPr>
        <w:t>Bank of New</w:t>
      </w:r>
    </w:p>
    <w:p>
      <w:pPr>
        <w:jc w:val="center"/>
        <w:ind w:right="9099"/>
        <w:spacing w:after="0"/>
        <w:rPr>
          <w:sz w:val="20"/>
          <w:szCs w:val="20"/>
          <w:color w:val="auto"/>
        </w:rPr>
      </w:pPr>
      <w:r>
        <w:rPr>
          <w:rFonts w:ascii="Courier New" w:cs="Courier New" w:eastAsia="Courier New" w:hAnsi="Courier New"/>
          <w:sz w:val="16"/>
          <w:szCs w:val="16"/>
          <w:color w:val="auto"/>
        </w:rPr>
        <w:t>York, as</w:t>
      </w:r>
    </w:p>
    <w:p>
      <w:pPr>
        <w:jc w:val="center"/>
        <w:ind w:right="9099"/>
        <w:spacing w:after="0" w:line="238" w:lineRule="auto"/>
        <w:rPr>
          <w:sz w:val="20"/>
          <w:szCs w:val="20"/>
          <w:color w:val="auto"/>
        </w:rPr>
      </w:pPr>
      <w:r>
        <w:rPr>
          <w:rFonts w:ascii="Courier New" w:cs="Courier New" w:eastAsia="Courier New" w:hAnsi="Courier New"/>
          <w:sz w:val="16"/>
          <w:szCs w:val="16"/>
          <w:color w:val="auto"/>
        </w:rPr>
        <w:t>trustee,</w:t>
      </w:r>
    </w:p>
    <w:p>
      <w:pPr>
        <w:jc w:val="center"/>
        <w:ind w:right="9099"/>
        <w:spacing w:after="0"/>
        <w:rPr>
          <w:sz w:val="20"/>
          <w:szCs w:val="20"/>
          <w:color w:val="auto"/>
        </w:rPr>
      </w:pPr>
      <w:r>
        <w:rPr>
          <w:rFonts w:ascii="Courier New" w:cs="Courier New" w:eastAsia="Courier New" w:hAnsi="Courier New"/>
          <w:sz w:val="16"/>
          <w:szCs w:val="16"/>
          <w:color w:val="auto"/>
        </w:rPr>
        <w:t>relating to</w:t>
      </w:r>
    </w:p>
    <w:p>
      <w:pPr>
        <w:jc w:val="center"/>
        <w:ind w:right="9099"/>
        <w:spacing w:after="0" w:line="238" w:lineRule="auto"/>
        <w:rPr>
          <w:sz w:val="20"/>
          <w:szCs w:val="20"/>
          <w:color w:val="auto"/>
        </w:rPr>
      </w:pPr>
      <w:r>
        <w:rPr>
          <w:rFonts w:ascii="Courier New" w:cs="Courier New" w:eastAsia="Courier New" w:hAnsi="Courier New"/>
          <w:sz w:val="16"/>
          <w:szCs w:val="16"/>
          <w:color w:val="auto"/>
        </w:rPr>
        <w:t>the</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 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the AT&amp;T</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Notes.(3)</w:t>
      </w:r>
    </w:p>
    <w:p>
      <w:pPr>
        <w:jc w:val="center"/>
        <w:ind w:right="9099"/>
        <w:spacing w:after="0"/>
        <w:rPr>
          <w:sz w:val="20"/>
          <w:szCs w:val="20"/>
          <w:color w:val="auto"/>
        </w:rPr>
      </w:pPr>
      <w:r>
        <w:rPr>
          <w:rFonts w:ascii="Courier New" w:cs="Courier New" w:eastAsia="Courier New" w:hAnsi="Courier New"/>
          <w:sz w:val="16"/>
          <w:szCs w:val="16"/>
          <w:color w:val="auto"/>
        </w:rPr>
        <w:t>4.2 First</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October 30,</w:t>
      </w:r>
    </w:p>
    <w:p>
      <w:pPr>
        <w:jc w:val="center"/>
        <w:ind w:right="9099"/>
        <w:spacing w:after="0"/>
        <w:rPr>
          <w:sz w:val="20"/>
          <w:szCs w:val="20"/>
          <w:color w:val="auto"/>
        </w:rPr>
      </w:pPr>
      <w:r>
        <w:rPr>
          <w:rFonts w:ascii="Courier New" w:cs="Courier New" w:eastAsia="Courier New" w:hAnsi="Courier New"/>
          <w:sz w:val="16"/>
          <w:szCs w:val="16"/>
          <w:color w:val="auto"/>
        </w:rPr>
        <w:t>1992</w:t>
      </w:r>
    </w:p>
    <w:p>
      <w:pPr>
        <w:jc w:val="center"/>
        <w:ind w:right="9099"/>
        <w:spacing w:after="0" w:line="238" w:lineRule="auto"/>
        <w:rPr>
          <w:sz w:val="20"/>
          <w:szCs w:val="20"/>
          <w:color w:val="auto"/>
        </w:rPr>
      </w:pPr>
      <w:r>
        <w:rPr>
          <w:rFonts w:ascii="Courier New" w:cs="Courier New" w:eastAsia="Courier New" w:hAnsi="Courier New"/>
          <w:sz w:val="16"/>
          <w:szCs w:val="16"/>
          <w:color w:val="auto"/>
        </w:rPr>
        <w:t>between</w:t>
      </w:r>
    </w:p>
    <w:p>
      <w:pPr>
        <w:jc w:val="center"/>
        <w:ind w:right="9099"/>
        <w:spacing w:after="0"/>
        <w:rPr>
          <w:sz w:val="20"/>
          <w:szCs w:val="20"/>
          <w:color w:val="auto"/>
        </w:rPr>
      </w:pPr>
      <w:r>
        <w:rPr>
          <w:rFonts w:ascii="Courier New" w:cs="Courier New" w:eastAsia="Courier New" w:hAnsi="Courier New"/>
          <w:sz w:val="16"/>
          <w:szCs w:val="16"/>
          <w:color w:val="auto"/>
        </w:rPr>
        <w:t>AT&amp;T Corp.</w:t>
      </w:r>
    </w:p>
    <w:p>
      <w:pPr>
        <w:jc w:val="center"/>
        <w:ind w:right="9099"/>
        <w:spacing w:after="0" w:line="238" w:lineRule="auto"/>
        <w:rPr>
          <w:sz w:val="20"/>
          <w:szCs w:val="20"/>
          <w:color w:val="auto"/>
        </w:rPr>
      </w:pPr>
      <w:r>
        <w:rPr>
          <w:rFonts w:ascii="Courier New" w:cs="Courier New" w:eastAsia="Courier New" w:hAnsi="Courier New"/>
          <w:sz w:val="16"/>
          <w:szCs w:val="16"/>
          <w:color w:val="auto"/>
        </w:rPr>
        <w:t>and The</w:t>
      </w:r>
    </w:p>
    <w:p>
      <w:pPr>
        <w:jc w:val="center"/>
        <w:ind w:right="9099"/>
        <w:spacing w:after="0"/>
        <w:rPr>
          <w:sz w:val="20"/>
          <w:szCs w:val="20"/>
          <w:color w:val="auto"/>
        </w:rPr>
      </w:pPr>
      <w:r>
        <w:rPr>
          <w:rFonts w:ascii="Courier New" w:cs="Courier New" w:eastAsia="Courier New" w:hAnsi="Courier New"/>
          <w:sz w:val="16"/>
          <w:szCs w:val="16"/>
          <w:color w:val="auto"/>
        </w:rPr>
        <w:t>Bank of New</w:t>
      </w:r>
    </w:p>
    <w:p>
      <w:pPr>
        <w:jc w:val="center"/>
        <w:ind w:right="9099"/>
        <w:spacing w:after="0" w:line="237" w:lineRule="auto"/>
        <w:rPr>
          <w:sz w:val="20"/>
          <w:szCs w:val="20"/>
          <w:color w:val="auto"/>
        </w:rPr>
      </w:pPr>
      <w:r>
        <w:rPr>
          <w:rFonts w:ascii="Courier New" w:cs="Courier New" w:eastAsia="Courier New" w:hAnsi="Courier New"/>
          <w:sz w:val="16"/>
          <w:szCs w:val="16"/>
          <w:color w:val="auto"/>
        </w:rPr>
        <w:t>York, as</w:t>
      </w:r>
    </w:p>
    <w:p>
      <w:pPr>
        <w:jc w:val="center"/>
        <w:ind w:right="9099"/>
        <w:spacing w:after="0"/>
        <w:rPr>
          <w:sz w:val="20"/>
          <w:szCs w:val="20"/>
          <w:color w:val="auto"/>
        </w:rPr>
      </w:pPr>
      <w:r>
        <w:rPr>
          <w:rFonts w:ascii="Courier New" w:cs="Courier New" w:eastAsia="Courier New" w:hAnsi="Courier New"/>
          <w:sz w:val="16"/>
          <w:szCs w:val="16"/>
          <w:color w:val="auto"/>
        </w:rPr>
        <w:t>trustee,</w:t>
      </w:r>
    </w:p>
    <w:p>
      <w:pPr>
        <w:jc w:val="center"/>
        <w:ind w:right="9099"/>
        <w:spacing w:after="0" w:line="238" w:lineRule="auto"/>
        <w:rPr>
          <w:sz w:val="20"/>
          <w:szCs w:val="20"/>
          <w:color w:val="auto"/>
        </w:rPr>
      </w:pPr>
      <w:r>
        <w:rPr>
          <w:rFonts w:ascii="Courier New" w:cs="Courier New" w:eastAsia="Courier New" w:hAnsi="Courier New"/>
          <w:sz w:val="16"/>
          <w:szCs w:val="16"/>
          <w:color w:val="auto"/>
        </w:rPr>
        <w:t>relating to</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 and</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Notes.(4)</w:t>
      </w:r>
    </w:p>
    <w:p>
      <w:pPr>
        <w:jc w:val="center"/>
        <w:ind w:right="9099"/>
        <w:spacing w:after="0" w:line="238" w:lineRule="auto"/>
        <w:rPr>
          <w:sz w:val="20"/>
          <w:szCs w:val="20"/>
          <w:color w:val="auto"/>
        </w:rPr>
      </w:pPr>
      <w:r>
        <w:rPr>
          <w:rFonts w:ascii="Courier New" w:cs="Courier New" w:eastAsia="Courier New" w:hAnsi="Courier New"/>
          <w:sz w:val="16"/>
          <w:szCs w:val="16"/>
          <w:color w:val="auto"/>
        </w:rPr>
        <w:t>4.3 Form of</w:t>
      </w:r>
    </w:p>
    <w:p>
      <w:pPr>
        <w:jc w:val="center"/>
        <w:ind w:right="9099"/>
        <w:spacing w:after="0"/>
        <w:rPr>
          <w:sz w:val="20"/>
          <w:szCs w:val="20"/>
          <w:color w:val="auto"/>
        </w:rPr>
      </w:pPr>
      <w:r>
        <w:rPr>
          <w:rFonts w:ascii="Courier New" w:cs="Courier New" w:eastAsia="Courier New" w:hAnsi="Courier New"/>
          <w:sz w:val="16"/>
          <w:szCs w:val="16"/>
          <w:color w:val="auto"/>
        </w:rPr>
        <w:t>Permanent</w:t>
      </w:r>
    </w:p>
    <w:p>
      <w:pPr>
        <w:jc w:val="center"/>
        <w:ind w:right="9099"/>
        <w:spacing w:after="0" w:line="237" w:lineRule="auto"/>
        <w:rPr>
          <w:sz w:val="20"/>
          <w:szCs w:val="20"/>
          <w:color w:val="auto"/>
        </w:rPr>
      </w:pPr>
      <w:r>
        <w:rPr>
          <w:rFonts w:ascii="Courier New" w:cs="Courier New" w:eastAsia="Courier New" w:hAnsi="Courier New"/>
          <w:sz w:val="16"/>
          <w:szCs w:val="16"/>
          <w:color w:val="auto"/>
        </w:rPr>
        <w:t>Global</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8" w:lineRule="auto"/>
        <w:rPr>
          <w:sz w:val="20"/>
          <w:szCs w:val="20"/>
          <w:color w:val="auto"/>
        </w:rPr>
      </w:pPr>
      <w:r>
        <w:rPr>
          <w:rFonts w:ascii="Courier New" w:cs="Courier New" w:eastAsia="Courier New" w:hAnsi="Courier New"/>
          <w:sz w:val="16"/>
          <w:szCs w:val="16"/>
          <w:color w:val="auto"/>
        </w:rPr>
        <w:t>Fixed Rate</w:t>
      </w:r>
    </w:p>
    <w:p>
      <w:pPr>
        <w:jc w:val="center"/>
        <w:ind w:right="9099"/>
        <w:spacing w:after="0"/>
        <w:rPr>
          <w:sz w:val="20"/>
          <w:szCs w:val="20"/>
          <w:color w:val="auto"/>
        </w:rPr>
      </w:pPr>
      <w:r>
        <w:rPr>
          <w:rFonts w:ascii="Courier New" w:cs="Courier New" w:eastAsia="Courier New" w:hAnsi="Courier New"/>
          <w:sz w:val="16"/>
          <w:szCs w:val="16"/>
          <w:color w:val="auto"/>
        </w:rPr>
        <w:t>Note.(3)</w:t>
      </w:r>
    </w:p>
    <w:p>
      <w:pPr>
        <w:jc w:val="center"/>
        <w:ind w:right="9099"/>
        <w:spacing w:after="0" w:line="238" w:lineRule="auto"/>
        <w:rPr>
          <w:sz w:val="20"/>
          <w:szCs w:val="20"/>
          <w:color w:val="auto"/>
        </w:rPr>
      </w:pPr>
      <w:r>
        <w:rPr>
          <w:rFonts w:ascii="Courier New" w:cs="Courier New" w:eastAsia="Courier New" w:hAnsi="Courier New"/>
          <w:sz w:val="16"/>
          <w:szCs w:val="16"/>
          <w:color w:val="auto"/>
        </w:rPr>
        <w:t>4.4 Form of</w:t>
      </w:r>
    </w:p>
    <w:p>
      <w:pPr>
        <w:jc w:val="center"/>
        <w:ind w:right="9099"/>
        <w:spacing w:after="0"/>
        <w:rPr>
          <w:sz w:val="20"/>
          <w:szCs w:val="20"/>
          <w:color w:val="auto"/>
        </w:rPr>
      </w:pPr>
      <w:r>
        <w:rPr>
          <w:rFonts w:ascii="Courier New" w:cs="Courier New" w:eastAsia="Courier New" w:hAnsi="Courier New"/>
          <w:sz w:val="16"/>
          <w:szCs w:val="16"/>
          <w:color w:val="auto"/>
        </w:rPr>
        <w:t>Definitive</w:t>
      </w:r>
    </w:p>
    <w:p>
      <w:pPr>
        <w:jc w:val="center"/>
        <w:ind w:right="9099"/>
        <w:spacing w:after="0" w:line="237" w:lineRule="auto"/>
        <w:rPr>
          <w:sz w:val="20"/>
          <w:szCs w:val="20"/>
          <w:color w:val="auto"/>
        </w:rPr>
      </w:pPr>
      <w:r>
        <w:rPr>
          <w:rFonts w:ascii="Courier New" w:cs="Courier New" w:eastAsia="Courier New" w:hAnsi="Courier New"/>
          <w:sz w:val="16"/>
          <w:szCs w:val="16"/>
          <w:color w:val="auto"/>
        </w:rPr>
        <w:t>Registered</w:t>
      </w:r>
    </w:p>
    <w:p>
      <w:pPr>
        <w:jc w:val="center"/>
        <w:ind w:right="9099"/>
        <w:spacing w:after="0"/>
        <w:rPr>
          <w:sz w:val="20"/>
          <w:szCs w:val="20"/>
          <w:color w:val="auto"/>
        </w:rPr>
      </w:pPr>
      <w:r>
        <w:rPr>
          <w:rFonts w:ascii="Courier New" w:cs="Courier New" w:eastAsia="Courier New" w:hAnsi="Courier New"/>
          <w:sz w:val="16"/>
          <w:szCs w:val="16"/>
          <w:color w:val="auto"/>
        </w:rPr>
        <w:t>Fixed Rate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Note.(3)</w:t>
      </w:r>
    </w:p>
    <w:p>
      <w:pPr>
        <w:jc w:val="center"/>
        <w:ind w:right="9099"/>
        <w:spacing w:after="0"/>
        <w:rPr>
          <w:sz w:val="20"/>
          <w:szCs w:val="20"/>
          <w:color w:val="auto"/>
        </w:rPr>
      </w:pPr>
      <w:r>
        <w:rPr>
          <w:rFonts w:ascii="Courier New" w:cs="Courier New" w:eastAsia="Courier New" w:hAnsi="Courier New"/>
          <w:sz w:val="16"/>
          <w:szCs w:val="16"/>
          <w:color w:val="auto"/>
        </w:rPr>
        <w:t>4.5 Form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Temporary</w:t>
      </w:r>
    </w:p>
    <w:p>
      <w:pPr>
        <w:jc w:val="center"/>
        <w:ind w:right="9099"/>
        <w:spacing w:after="0"/>
        <w:rPr>
          <w:sz w:val="20"/>
          <w:szCs w:val="20"/>
          <w:color w:val="auto"/>
        </w:rPr>
      </w:pPr>
      <w:r>
        <w:rPr>
          <w:rFonts w:ascii="Courier New" w:cs="Courier New" w:eastAsia="Courier New" w:hAnsi="Courier New"/>
          <w:sz w:val="16"/>
          <w:szCs w:val="16"/>
          <w:color w:val="auto"/>
        </w:rPr>
        <w:t>Global</w:t>
      </w:r>
    </w:p>
    <w:p>
      <w:pPr>
        <w:jc w:val="center"/>
        <w:ind w:right="9099"/>
        <w:spacing w:after="0" w:line="237" w:lineRule="auto"/>
        <w:rPr>
          <w:sz w:val="20"/>
          <w:szCs w:val="20"/>
          <w:color w:val="auto"/>
        </w:rPr>
      </w:pPr>
      <w:r>
        <w:rPr>
          <w:rFonts w:ascii="Courier New" w:cs="Courier New" w:eastAsia="Courier New" w:hAnsi="Courier New"/>
          <w:sz w:val="16"/>
          <w:szCs w:val="16"/>
          <w:color w:val="auto"/>
        </w:rPr>
        <w:t>Bearer</w:t>
      </w:r>
    </w:p>
    <w:p>
      <w:pPr>
        <w:jc w:val="center"/>
        <w:ind w:right="9099"/>
        <w:spacing w:after="0"/>
        <w:rPr>
          <w:sz w:val="20"/>
          <w:szCs w:val="20"/>
          <w:color w:val="auto"/>
        </w:rPr>
      </w:pPr>
      <w:r>
        <w:rPr>
          <w:rFonts w:ascii="Courier New" w:cs="Courier New" w:eastAsia="Courier New" w:hAnsi="Courier New"/>
          <w:sz w:val="16"/>
          <w:szCs w:val="16"/>
          <w:color w:val="auto"/>
        </w:rPr>
        <w:t>Fixed Rate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Note.(3)</w:t>
      </w:r>
    </w:p>
    <w:p>
      <w:pPr>
        <w:jc w:val="center"/>
        <w:ind w:right="9099"/>
        <w:spacing w:after="0"/>
        <w:rPr>
          <w:sz w:val="20"/>
          <w:szCs w:val="20"/>
          <w:color w:val="auto"/>
        </w:rPr>
      </w:pPr>
      <w:r>
        <w:rPr>
          <w:rFonts w:ascii="Courier New" w:cs="Courier New" w:eastAsia="Courier New" w:hAnsi="Courier New"/>
          <w:sz w:val="16"/>
          <w:szCs w:val="16"/>
          <w:color w:val="auto"/>
        </w:rPr>
        <w:t>4.6 Form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Permanent</w:t>
      </w:r>
    </w:p>
    <w:p>
      <w:pPr>
        <w:jc w:val="center"/>
        <w:ind w:right="9099"/>
        <w:spacing w:after="0"/>
        <w:rPr>
          <w:sz w:val="20"/>
          <w:szCs w:val="20"/>
          <w:color w:val="auto"/>
        </w:rPr>
      </w:pPr>
      <w:r>
        <w:rPr>
          <w:rFonts w:ascii="Courier New" w:cs="Courier New" w:eastAsia="Courier New" w:hAnsi="Courier New"/>
          <w:sz w:val="16"/>
          <w:szCs w:val="16"/>
          <w:color w:val="auto"/>
        </w:rPr>
        <w:t>Global</w:t>
      </w:r>
    </w:p>
    <w:p>
      <w:pPr>
        <w:jc w:val="center"/>
        <w:ind w:right="9099"/>
        <w:spacing w:after="0" w:line="237" w:lineRule="auto"/>
        <w:rPr>
          <w:sz w:val="20"/>
          <w:szCs w:val="20"/>
          <w:color w:val="auto"/>
        </w:rPr>
      </w:pPr>
      <w:r>
        <w:rPr>
          <w:rFonts w:ascii="Courier New" w:cs="Courier New" w:eastAsia="Courier New" w:hAnsi="Courier New"/>
          <w:sz w:val="16"/>
          <w:szCs w:val="16"/>
          <w:color w:val="auto"/>
        </w:rPr>
        <w:t>Bearer</w:t>
      </w:r>
    </w:p>
    <w:p>
      <w:pPr>
        <w:jc w:val="center"/>
        <w:ind w:right="9099"/>
        <w:spacing w:after="0"/>
        <w:rPr>
          <w:sz w:val="20"/>
          <w:szCs w:val="20"/>
          <w:color w:val="auto"/>
        </w:rPr>
      </w:pPr>
      <w:r>
        <w:rPr>
          <w:rFonts w:ascii="Courier New" w:cs="Courier New" w:eastAsia="Courier New" w:hAnsi="Courier New"/>
          <w:sz w:val="16"/>
          <w:szCs w:val="16"/>
          <w:color w:val="auto"/>
        </w:rPr>
        <w:t>Fixed Rate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Note.(3)</w:t>
      </w:r>
    </w:p>
    <w:p>
      <w:pPr>
        <w:jc w:val="center"/>
        <w:ind w:right="9099"/>
        <w:spacing w:after="0"/>
        <w:rPr>
          <w:sz w:val="20"/>
          <w:szCs w:val="20"/>
          <w:color w:val="auto"/>
        </w:rPr>
      </w:pPr>
      <w:r>
        <w:rPr>
          <w:rFonts w:ascii="Courier New" w:cs="Courier New" w:eastAsia="Courier New" w:hAnsi="Courier New"/>
          <w:sz w:val="16"/>
          <w:szCs w:val="16"/>
          <w:color w:val="auto"/>
        </w:rPr>
        <w:t>4.7 Form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Definitive</w:t>
      </w:r>
    </w:p>
    <w:p>
      <w:pPr>
        <w:jc w:val="center"/>
        <w:ind w:right="9099"/>
        <w:spacing w:after="0"/>
        <w:rPr>
          <w:sz w:val="20"/>
          <w:szCs w:val="20"/>
          <w:color w:val="auto"/>
        </w:rPr>
      </w:pPr>
      <w:r>
        <w:rPr>
          <w:rFonts w:ascii="Courier New" w:cs="Courier New" w:eastAsia="Courier New" w:hAnsi="Courier New"/>
          <w:sz w:val="16"/>
          <w:szCs w:val="16"/>
          <w:color w:val="auto"/>
        </w:rPr>
        <w:t>Bearer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Fixed Rate</w:t>
      </w:r>
    </w:p>
    <w:p>
      <w:pPr>
        <w:jc w:val="center"/>
        <w:ind w:right="9099"/>
        <w:spacing w:after="0"/>
        <w:rPr>
          <w:sz w:val="20"/>
          <w:szCs w:val="20"/>
          <w:color w:val="auto"/>
        </w:rPr>
      </w:pPr>
      <w:r>
        <w:rPr>
          <w:rFonts w:ascii="Courier New" w:cs="Courier New" w:eastAsia="Courier New" w:hAnsi="Courier New"/>
          <w:sz w:val="16"/>
          <w:szCs w:val="16"/>
          <w:color w:val="auto"/>
        </w:rPr>
        <w:t>Note.(3)</w:t>
      </w:r>
    </w:p>
    <w:p>
      <w:pPr>
        <w:sectPr>
          <w:pgSz w:w="11900" w:h="16838" w:orient="portrait"/>
          <w:cols w:equalWidth="0" w:num="1">
            <w:col w:w="10219"/>
          </w:cols>
          <w:pgMar w:left="240" w:top="136" w:right="1440" w:bottom="0" w:gutter="0" w:footer="0" w:header="0"/>
        </w:sectPr>
      </w:pPr>
    </w:p>
    <w:bookmarkStart w:id="368" w:name="page369"/>
    <w:bookmarkEnd w:id="368"/>
    <w:p>
      <w:pPr>
        <w:jc w:val="center"/>
        <w:ind w:right="9099"/>
        <w:spacing w:after="0"/>
        <w:rPr>
          <w:sz w:val="20"/>
          <w:szCs w:val="20"/>
          <w:color w:val="auto"/>
        </w:rPr>
      </w:pPr>
      <w:r>
        <w:rPr>
          <w:rFonts w:ascii="Courier New" w:cs="Courier New" w:eastAsia="Courier New" w:hAnsi="Courier New"/>
          <w:sz w:val="16"/>
          <w:szCs w:val="16"/>
          <w:color w:val="auto"/>
        </w:rPr>
        <w:t>4.8 Form of</w:t>
      </w:r>
    </w:p>
    <w:p>
      <w:pPr>
        <w:jc w:val="center"/>
        <w:ind w:right="9099"/>
        <w:spacing w:after="0"/>
        <w:rPr>
          <w:sz w:val="20"/>
          <w:szCs w:val="20"/>
          <w:color w:val="auto"/>
        </w:rPr>
      </w:pPr>
      <w:r>
        <w:rPr>
          <w:rFonts w:ascii="Courier New" w:cs="Courier New" w:eastAsia="Courier New" w:hAnsi="Courier New"/>
          <w:sz w:val="16"/>
          <w:szCs w:val="16"/>
          <w:color w:val="auto"/>
        </w:rPr>
        <w:t>Medium Term</w:t>
      </w:r>
    </w:p>
    <w:p>
      <w:pPr>
        <w:jc w:val="center"/>
        <w:ind w:right="9099"/>
        <w:spacing w:after="0" w:line="237" w:lineRule="auto"/>
        <w:rPr>
          <w:sz w:val="20"/>
          <w:szCs w:val="20"/>
          <w:color w:val="auto"/>
        </w:rPr>
      </w:pPr>
      <w:r>
        <w:rPr>
          <w:rFonts w:ascii="Courier New" w:cs="Courier New" w:eastAsia="Courier New" w:hAnsi="Courier New"/>
          <w:sz w:val="16"/>
          <w:szCs w:val="16"/>
          <w:color w:val="auto"/>
        </w:rPr>
        <w:t>Global</w:t>
      </w:r>
    </w:p>
    <w:p>
      <w:pPr>
        <w:jc w:val="center"/>
        <w:ind w:right="9099"/>
        <w:spacing w:after="0"/>
        <w:rPr>
          <w:sz w:val="20"/>
          <w:szCs w:val="20"/>
          <w:color w:val="auto"/>
        </w:rPr>
      </w:pPr>
      <w:r>
        <w:rPr>
          <w:rFonts w:ascii="Courier New" w:cs="Courier New" w:eastAsia="Courier New" w:hAnsi="Courier New"/>
          <w:sz w:val="16"/>
          <w:szCs w:val="16"/>
          <w:color w:val="auto"/>
        </w:rPr>
        <w:t>Floating</w:t>
      </w:r>
    </w:p>
    <w:p>
      <w:pPr>
        <w:jc w:val="center"/>
        <w:ind w:right="9099"/>
        <w:spacing w:after="0" w:line="238" w:lineRule="auto"/>
        <w:rPr>
          <w:sz w:val="20"/>
          <w:szCs w:val="20"/>
          <w:color w:val="auto"/>
        </w:rPr>
      </w:pPr>
      <w:r>
        <w:rPr>
          <w:rFonts w:ascii="Courier New" w:cs="Courier New" w:eastAsia="Courier New" w:hAnsi="Courier New"/>
          <w:sz w:val="16"/>
          <w:szCs w:val="16"/>
          <w:color w:val="auto"/>
        </w:rPr>
        <w:t>Rate Note,</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8" w:lineRule="auto"/>
        <w:rPr>
          <w:sz w:val="20"/>
          <w:szCs w:val="20"/>
          <w:color w:val="auto"/>
        </w:rPr>
      </w:pPr>
      <w:r>
        <w:rPr>
          <w:rFonts w:ascii="Courier New" w:cs="Courier New" w:eastAsia="Courier New" w:hAnsi="Courier New"/>
          <w:sz w:val="16"/>
          <w:szCs w:val="16"/>
          <w:color w:val="auto"/>
        </w:rPr>
        <w:t>Security.</w:t>
      </w:r>
    </w:p>
    <w:p>
      <w:pPr>
        <w:spacing w:after="0" w:line="4" w:lineRule="exact"/>
        <w:rPr>
          <w:sz w:val="20"/>
          <w:szCs w:val="20"/>
          <w:color w:val="auto"/>
        </w:rPr>
      </w:pPr>
    </w:p>
    <w:p>
      <w:pPr>
        <w:jc w:val="right"/>
        <w:ind w:left="220" w:right="9339" w:firstLine="7"/>
        <w:spacing w:after="0" w:line="263" w:lineRule="auto"/>
        <w:tabs>
          <w:tab w:leader="none" w:pos="595"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220" w:right="9279" w:hanging="40"/>
        <w:spacing w:after="0" w:line="237" w:lineRule="auto"/>
        <w:tabs>
          <w:tab w:leader="none" w:pos="548"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4.10 Form of Second</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line="237"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Bank of New</w:t>
      </w:r>
    </w:p>
    <w:p>
      <w:pPr>
        <w:jc w:val="center"/>
        <w:ind w:right="9099"/>
        <w:spacing w:after="0"/>
        <w:rPr>
          <w:sz w:val="20"/>
          <w:szCs w:val="20"/>
          <w:color w:val="auto"/>
        </w:rPr>
      </w:pPr>
      <w:r>
        <w:rPr>
          <w:rFonts w:ascii="Courier New" w:cs="Courier New" w:eastAsia="Courier New" w:hAnsi="Courier New"/>
          <w:sz w:val="16"/>
          <w:szCs w:val="16"/>
          <w:color w:val="auto"/>
        </w:rPr>
        <w:t>York, as</w:t>
      </w:r>
    </w:p>
    <w:p>
      <w:pPr>
        <w:jc w:val="center"/>
        <w:ind w:right="9099"/>
        <w:spacing w:after="0" w:line="238" w:lineRule="auto"/>
        <w:rPr>
          <w:sz w:val="20"/>
          <w:szCs w:val="20"/>
          <w:color w:val="auto"/>
        </w:rPr>
      </w:pPr>
      <w:r>
        <w:rPr>
          <w:rFonts w:ascii="Courier New" w:cs="Courier New" w:eastAsia="Courier New" w:hAnsi="Courier New"/>
          <w:sz w:val="16"/>
          <w:szCs w:val="16"/>
          <w:color w:val="auto"/>
        </w:rPr>
        <w:t>trustee,</w:t>
      </w:r>
    </w:p>
    <w:p>
      <w:pPr>
        <w:jc w:val="center"/>
        <w:ind w:right="9099"/>
        <w:spacing w:after="0"/>
        <w:rPr>
          <w:sz w:val="20"/>
          <w:szCs w:val="20"/>
          <w:color w:val="auto"/>
        </w:rPr>
      </w:pPr>
      <w:r>
        <w:rPr>
          <w:rFonts w:ascii="Courier New" w:cs="Courier New" w:eastAsia="Courier New" w:hAnsi="Courier New"/>
          <w:sz w:val="16"/>
          <w:szCs w:val="16"/>
          <w:color w:val="auto"/>
        </w:rPr>
        <w:t>relating to</w:t>
      </w:r>
    </w:p>
    <w:p>
      <w:pPr>
        <w:jc w:val="center"/>
        <w:ind w:right="9099"/>
        <w:spacing w:after="0" w:line="237" w:lineRule="auto"/>
        <w:rPr>
          <w:sz w:val="20"/>
          <w:szCs w:val="20"/>
          <w:color w:val="auto"/>
        </w:rPr>
      </w:pPr>
      <w:r>
        <w:rPr>
          <w:rFonts w:ascii="Courier New" w:cs="Courier New" w:eastAsia="Courier New" w:hAnsi="Courier New"/>
          <w:sz w:val="16"/>
          <w:szCs w:val="16"/>
          <w:color w:val="auto"/>
        </w:rPr>
        <w:t>the Note</w:t>
      </w:r>
    </w:p>
    <w:p>
      <w:pPr>
        <w:jc w:val="center"/>
        <w:ind w:right="9099"/>
        <w:spacing w:after="0"/>
        <w:rPr>
          <w:sz w:val="20"/>
          <w:szCs w:val="20"/>
          <w:color w:val="auto"/>
        </w:rPr>
      </w:pPr>
      <w:r>
        <w:rPr>
          <w:rFonts w:ascii="Courier New" w:cs="Courier New" w:eastAsia="Courier New" w:hAnsi="Courier New"/>
          <w:sz w:val="16"/>
          <w:szCs w:val="16"/>
          <w:color w:val="auto"/>
        </w:rPr>
        <w:t>Amendment</w:t>
      </w:r>
    </w:p>
    <w:p>
      <w:pPr>
        <w:jc w:val="center"/>
        <w:ind w:right="9099"/>
        <w:spacing w:after="0" w:line="238" w:lineRule="auto"/>
        <w:rPr>
          <w:sz w:val="20"/>
          <w:szCs w:val="20"/>
          <w:color w:val="auto"/>
        </w:rPr>
      </w:pPr>
      <w:r>
        <w:rPr>
          <w:rFonts w:ascii="Courier New" w:cs="Courier New" w:eastAsia="Courier New" w:hAnsi="Courier New"/>
          <w:sz w:val="16"/>
          <w:szCs w:val="16"/>
          <w:color w:val="auto"/>
        </w:rPr>
        <w:t>and the New</w:t>
      </w:r>
    </w:p>
    <w:p>
      <w:pPr>
        <w:jc w:val="center"/>
        <w:ind w:right="9099"/>
        <w:spacing w:after="0"/>
        <w:rPr>
          <w:sz w:val="20"/>
          <w:szCs w:val="20"/>
          <w:color w:val="auto"/>
        </w:rPr>
      </w:pPr>
      <w:r>
        <w:rPr>
          <w:rFonts w:ascii="Courier New" w:cs="Courier New" w:eastAsia="Courier New" w:hAnsi="Courier New"/>
          <w:sz w:val="16"/>
          <w:szCs w:val="16"/>
          <w:color w:val="auto"/>
        </w:rPr>
        <w:t>AT&amp;T Notes.</w:t>
      </w:r>
    </w:p>
    <w:p>
      <w:pPr>
        <w:ind w:left="560" w:hanging="380"/>
        <w:spacing w:after="0" w:line="238" w:lineRule="auto"/>
        <w:tabs>
          <w:tab w:leader="none" w:pos="560"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4.11</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5.625%</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 Due</w:t>
      </w:r>
    </w:p>
    <w:p>
      <w:pPr>
        <w:jc w:val="center"/>
        <w:ind w:right="9099"/>
        <w:spacing w:after="0"/>
        <w:rPr>
          <w:sz w:val="20"/>
          <w:szCs w:val="20"/>
          <w:color w:val="auto"/>
        </w:rPr>
      </w:pPr>
      <w:r>
        <w:rPr>
          <w:rFonts w:ascii="Courier New" w:cs="Courier New" w:eastAsia="Courier New" w:hAnsi="Courier New"/>
          <w:sz w:val="16"/>
          <w:szCs w:val="16"/>
          <w:color w:val="auto"/>
        </w:rPr>
        <w:t>2004 (New</w:t>
      </w:r>
    </w:p>
    <w:p>
      <w:pPr>
        <w:jc w:val="center"/>
        <w:ind w:right="9099"/>
        <w:spacing w:after="0" w:line="238" w:lineRule="auto"/>
        <w:rPr>
          <w:sz w:val="20"/>
          <w:szCs w:val="20"/>
          <w:color w:val="auto"/>
        </w:rPr>
      </w:pPr>
      <w:r>
        <w:rPr>
          <w:rFonts w:ascii="Courier New" w:cs="Courier New" w:eastAsia="Courier New" w:hAnsi="Courier New"/>
          <w:sz w:val="16"/>
          <w:szCs w:val="16"/>
          <w:color w:val="auto"/>
        </w:rPr>
        <w:t>AT&amp;T</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4.12 6.75%</w:t>
      </w:r>
    </w:p>
    <w:p>
      <w:pPr>
        <w:jc w:val="center"/>
        <w:ind w:right="9099"/>
        <w:spacing w:after="0"/>
        <w:rPr>
          <w:sz w:val="20"/>
          <w:szCs w:val="20"/>
          <w:color w:val="auto"/>
        </w:rPr>
      </w:pPr>
      <w:r>
        <w:rPr>
          <w:rFonts w:ascii="Courier New" w:cs="Courier New" w:eastAsia="Courier New" w:hAnsi="Courier New"/>
          <w:sz w:val="16"/>
          <w:szCs w:val="16"/>
          <w:color w:val="auto"/>
        </w:rPr>
        <w:t>Notes Due</w:t>
      </w:r>
    </w:p>
    <w:p>
      <w:pPr>
        <w:jc w:val="center"/>
        <w:ind w:right="9099"/>
        <w:spacing w:after="0" w:line="237" w:lineRule="auto"/>
        <w:rPr>
          <w:sz w:val="20"/>
          <w:szCs w:val="20"/>
          <w:color w:val="auto"/>
        </w:rPr>
      </w:pPr>
      <w:r>
        <w:rPr>
          <w:rFonts w:ascii="Courier New" w:cs="Courier New" w:eastAsia="Courier New" w:hAnsi="Courier New"/>
          <w:sz w:val="16"/>
          <w:szCs w:val="16"/>
          <w:color w:val="auto"/>
        </w:rPr>
        <w:t>2004 (New</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4.13 7.75%</w:t>
      </w:r>
    </w:p>
    <w:p>
      <w:pPr>
        <w:jc w:val="center"/>
        <w:ind w:right="9099"/>
        <w:spacing w:after="0" w:line="238" w:lineRule="auto"/>
        <w:rPr>
          <w:sz w:val="20"/>
          <w:szCs w:val="20"/>
          <w:color w:val="auto"/>
        </w:rPr>
      </w:pPr>
      <w:r>
        <w:rPr>
          <w:rFonts w:ascii="Courier New" w:cs="Courier New" w:eastAsia="Courier New" w:hAnsi="Courier New"/>
          <w:sz w:val="16"/>
          <w:szCs w:val="16"/>
          <w:color w:val="auto"/>
        </w:rPr>
        <w:t>Medium-Term</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7" w:lineRule="auto"/>
        <w:rPr>
          <w:sz w:val="20"/>
          <w:szCs w:val="20"/>
          <w:color w:val="auto"/>
        </w:rPr>
      </w:pPr>
      <w:r>
        <w:rPr>
          <w:rFonts w:ascii="Courier New" w:cs="Courier New" w:eastAsia="Courier New" w:hAnsi="Courier New"/>
          <w:sz w:val="16"/>
          <w:szCs w:val="16"/>
          <w:color w:val="auto"/>
        </w:rPr>
        <w:t>Series A</w:t>
      </w:r>
    </w:p>
    <w:p>
      <w:pPr>
        <w:jc w:val="center"/>
        <w:ind w:right="9099"/>
        <w:spacing w:after="0"/>
        <w:rPr>
          <w:sz w:val="20"/>
          <w:szCs w:val="20"/>
          <w:color w:val="auto"/>
        </w:rPr>
      </w:pPr>
      <w:r>
        <w:rPr>
          <w:rFonts w:ascii="Courier New" w:cs="Courier New" w:eastAsia="Courier New" w:hAnsi="Courier New"/>
          <w:sz w:val="16"/>
          <w:szCs w:val="16"/>
          <w:color w:val="auto"/>
        </w:rPr>
        <w:t>Due May 15,</w:t>
      </w:r>
    </w:p>
    <w:p>
      <w:pPr>
        <w:jc w:val="center"/>
        <w:ind w:right="9099"/>
        <w:spacing w:after="0" w:line="238" w:lineRule="auto"/>
        <w:rPr>
          <w:sz w:val="20"/>
          <w:szCs w:val="20"/>
          <w:color w:val="auto"/>
        </w:rPr>
      </w:pPr>
      <w:r>
        <w:rPr>
          <w:rFonts w:ascii="Courier New" w:cs="Courier New" w:eastAsia="Courier New" w:hAnsi="Courier New"/>
          <w:sz w:val="16"/>
          <w:szCs w:val="16"/>
          <w:color w:val="auto"/>
        </w:rPr>
        <w:t>2025 (New</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4.14 8.00%</w:t>
      </w:r>
    </w:p>
    <w:p>
      <w:pPr>
        <w:jc w:val="center"/>
        <w:ind w:right="9099"/>
        <w:spacing w:after="0" w:line="237" w:lineRule="auto"/>
        <w:rPr>
          <w:sz w:val="20"/>
          <w:szCs w:val="20"/>
          <w:color w:val="auto"/>
        </w:rPr>
      </w:pPr>
      <w:r>
        <w:rPr>
          <w:rFonts w:ascii="Courier New" w:cs="Courier New" w:eastAsia="Courier New" w:hAnsi="Courier New"/>
          <w:sz w:val="16"/>
          <w:szCs w:val="16"/>
          <w:color w:val="auto"/>
        </w:rPr>
        <w:t>Medium-Term</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Series A</w:t>
      </w:r>
    </w:p>
    <w:p>
      <w:pPr>
        <w:jc w:val="center"/>
        <w:ind w:right="9099"/>
        <w:spacing w:after="0"/>
        <w:rPr>
          <w:sz w:val="20"/>
          <w:szCs w:val="20"/>
          <w:color w:val="auto"/>
        </w:rPr>
      </w:pPr>
      <w:r>
        <w:rPr>
          <w:rFonts w:ascii="Courier New" w:cs="Courier New" w:eastAsia="Courier New" w:hAnsi="Courier New"/>
          <w:sz w:val="16"/>
          <w:szCs w:val="16"/>
          <w:color w:val="auto"/>
        </w:rPr>
        <w:t>Due May 15,</w:t>
      </w:r>
    </w:p>
    <w:p>
      <w:pPr>
        <w:jc w:val="center"/>
        <w:ind w:right="9099"/>
        <w:spacing w:after="0" w:line="238" w:lineRule="auto"/>
        <w:rPr>
          <w:sz w:val="20"/>
          <w:szCs w:val="20"/>
          <w:color w:val="auto"/>
        </w:rPr>
      </w:pPr>
      <w:r>
        <w:rPr>
          <w:rFonts w:ascii="Courier New" w:cs="Courier New" w:eastAsia="Courier New" w:hAnsi="Courier New"/>
          <w:sz w:val="16"/>
          <w:szCs w:val="16"/>
          <w:color w:val="auto"/>
        </w:rPr>
        <w:t>2025 (New</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4.15 6.50%</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 Due</w:t>
      </w:r>
    </w:p>
    <w:p>
      <w:pPr>
        <w:jc w:val="center"/>
        <w:ind w:right="9099"/>
        <w:spacing w:after="0"/>
        <w:rPr>
          <w:sz w:val="20"/>
          <w:szCs w:val="20"/>
          <w:color w:val="auto"/>
        </w:rPr>
      </w:pPr>
      <w:r>
        <w:rPr>
          <w:rFonts w:ascii="Courier New" w:cs="Courier New" w:eastAsia="Courier New" w:hAnsi="Courier New"/>
          <w:sz w:val="16"/>
          <w:szCs w:val="16"/>
          <w:color w:val="auto"/>
        </w:rPr>
        <w:t>March 15,</w:t>
      </w:r>
    </w:p>
    <w:p>
      <w:pPr>
        <w:jc w:val="center"/>
        <w:ind w:right="9099"/>
        <w:spacing w:after="0" w:line="238" w:lineRule="auto"/>
        <w:rPr>
          <w:sz w:val="20"/>
          <w:szCs w:val="20"/>
          <w:color w:val="auto"/>
        </w:rPr>
      </w:pPr>
      <w:r>
        <w:rPr>
          <w:rFonts w:ascii="Courier New" w:cs="Courier New" w:eastAsia="Courier New" w:hAnsi="Courier New"/>
          <w:sz w:val="16"/>
          <w:szCs w:val="16"/>
          <w:color w:val="auto"/>
        </w:rPr>
        <w:t>2013 (New</w:t>
      </w:r>
    </w:p>
    <w:p>
      <w:pPr>
        <w:jc w:val="center"/>
        <w:ind w:right="9099"/>
        <w:spacing w:after="0"/>
        <w:rPr>
          <w:sz w:val="20"/>
          <w:szCs w:val="20"/>
          <w:color w:val="auto"/>
        </w:rPr>
      </w:pPr>
      <w:r>
        <w:rPr>
          <w:rFonts w:ascii="Courier New" w:cs="Courier New" w:eastAsia="Courier New" w:hAnsi="Courier New"/>
          <w:sz w:val="16"/>
          <w:szCs w:val="16"/>
          <w:color w:val="auto"/>
        </w:rPr>
        <w:t>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4.16 FRN</w:t>
      </w:r>
    </w:p>
    <w:p>
      <w:pPr>
        <w:jc w:val="center"/>
        <w:ind w:right="9099"/>
        <w:spacing w:after="0" w:line="238" w:lineRule="auto"/>
        <w:rPr>
          <w:sz w:val="20"/>
          <w:szCs w:val="20"/>
          <w:color w:val="auto"/>
        </w:rPr>
      </w:pPr>
      <w:r>
        <w:rPr>
          <w:rFonts w:ascii="Courier New" w:cs="Courier New" w:eastAsia="Courier New" w:hAnsi="Courier New"/>
          <w:sz w:val="16"/>
          <w:szCs w:val="16"/>
          <w:color w:val="auto"/>
        </w:rPr>
        <w:t>Medium-Term</w:t>
      </w:r>
    </w:p>
    <w:p>
      <w:pPr>
        <w:jc w:val="center"/>
        <w:ind w:right="9099"/>
        <w:spacing w:after="0"/>
        <w:rPr>
          <w:sz w:val="20"/>
          <w:szCs w:val="20"/>
          <w:color w:val="auto"/>
        </w:rPr>
      </w:pPr>
      <w:r>
        <w:rPr>
          <w:rFonts w:ascii="Courier New" w:cs="Courier New" w:eastAsia="Courier New" w:hAnsi="Courier New"/>
          <w:sz w:val="16"/>
          <w:szCs w:val="16"/>
          <w:color w:val="auto"/>
        </w:rPr>
        <w:t>Notes,</w:t>
      </w:r>
    </w:p>
    <w:p>
      <w:pPr>
        <w:jc w:val="center"/>
        <w:ind w:right="9099"/>
        <w:spacing w:after="0" w:line="238" w:lineRule="auto"/>
        <w:rPr>
          <w:sz w:val="20"/>
          <w:szCs w:val="20"/>
          <w:color w:val="auto"/>
        </w:rPr>
      </w:pPr>
      <w:r>
        <w:rPr>
          <w:rFonts w:ascii="Courier New" w:cs="Courier New" w:eastAsia="Courier New" w:hAnsi="Courier New"/>
          <w:sz w:val="16"/>
          <w:szCs w:val="16"/>
          <w:color w:val="auto"/>
        </w:rPr>
        <w:t>Series A</w:t>
      </w:r>
    </w:p>
    <w:p>
      <w:pPr>
        <w:jc w:val="center"/>
        <w:ind w:right="9099"/>
        <w:spacing w:after="0"/>
        <w:rPr>
          <w:sz w:val="20"/>
          <w:szCs w:val="20"/>
          <w:color w:val="auto"/>
        </w:rPr>
      </w:pPr>
      <w:r>
        <w:rPr>
          <w:rFonts w:ascii="Courier New" w:cs="Courier New" w:eastAsia="Courier New" w:hAnsi="Courier New"/>
          <w:sz w:val="16"/>
          <w:szCs w:val="16"/>
          <w:color w:val="auto"/>
        </w:rPr>
        <w:t>Due 2054</w:t>
      </w:r>
    </w:p>
    <w:p>
      <w:pPr>
        <w:jc w:val="center"/>
        <w:ind w:right="9099"/>
        <w:spacing w:after="0" w:line="237" w:lineRule="auto"/>
        <w:rPr>
          <w:sz w:val="20"/>
          <w:szCs w:val="20"/>
          <w:color w:val="auto"/>
        </w:rPr>
      </w:pPr>
      <w:r>
        <w:rPr>
          <w:rFonts w:ascii="Courier New" w:cs="Courier New" w:eastAsia="Courier New" w:hAnsi="Courier New"/>
          <w:sz w:val="16"/>
          <w:szCs w:val="16"/>
          <w:color w:val="auto"/>
        </w:rPr>
        <w:t>(New AT&amp;T</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4.17 Form</w:t>
      </w:r>
    </w:p>
    <w:p>
      <w:pPr>
        <w:jc w:val="center"/>
        <w:ind w:right="9099"/>
        <w:spacing w:after="0"/>
        <w:rPr>
          <w:sz w:val="20"/>
          <w:szCs w:val="20"/>
          <w:color w:val="auto"/>
        </w:rPr>
      </w:pPr>
      <w:r>
        <w:rPr>
          <w:rFonts w:ascii="Courier New" w:cs="Courier New" w:eastAsia="Courier New" w:hAnsi="Courier New"/>
          <w:sz w:val="16"/>
          <w:szCs w:val="16"/>
          <w:color w:val="auto"/>
        </w:rPr>
        <w:t>of Third</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rPr>
          <w:sz w:val="20"/>
          <w:szCs w:val="20"/>
          <w:color w:val="auto"/>
        </w:rPr>
      </w:pPr>
      <w:r>
        <w:rPr>
          <w:rFonts w:ascii="Courier New" w:cs="Courier New" w:eastAsia="Courier New" w:hAnsi="Courier New"/>
          <w:sz w:val="16"/>
          <w:szCs w:val="16"/>
          <w:color w:val="auto"/>
        </w:rPr>
        <w:t>among 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Corp., AT&amp;T</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Corp. and</w:t>
      </w:r>
    </w:p>
    <w:p>
      <w:pPr>
        <w:jc w:val="center"/>
        <w:ind w:right="9099"/>
        <w:spacing w:after="0"/>
        <w:rPr>
          <w:sz w:val="20"/>
          <w:szCs w:val="20"/>
          <w:color w:val="auto"/>
        </w:rPr>
      </w:pPr>
      <w:r>
        <w:rPr>
          <w:rFonts w:ascii="Courier New" w:cs="Courier New" w:eastAsia="Courier New" w:hAnsi="Courier New"/>
          <w:sz w:val="16"/>
          <w:szCs w:val="16"/>
          <w:color w:val="auto"/>
        </w:rPr>
        <w:t>The Bank 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New York,</w:t>
      </w:r>
    </w:p>
    <w:p>
      <w:pPr>
        <w:jc w:val="center"/>
        <w:ind w:right="9099"/>
        <w:spacing w:after="0"/>
        <w:rPr>
          <w:sz w:val="20"/>
          <w:szCs w:val="20"/>
          <w:color w:val="auto"/>
        </w:rPr>
      </w:pPr>
      <w:r>
        <w:rPr>
          <w:rFonts w:ascii="Courier New" w:cs="Courier New" w:eastAsia="Courier New" w:hAnsi="Courier New"/>
          <w:sz w:val="16"/>
          <w:szCs w:val="16"/>
          <w:color w:val="auto"/>
        </w:rPr>
        <w:t>as trustee,</w:t>
      </w:r>
    </w:p>
    <w:p>
      <w:pPr>
        <w:jc w:val="center"/>
        <w:ind w:right="9099"/>
        <w:spacing w:after="0" w:line="237" w:lineRule="auto"/>
        <w:rPr>
          <w:sz w:val="20"/>
          <w:szCs w:val="20"/>
          <w:color w:val="auto"/>
        </w:rPr>
      </w:pPr>
      <w:r>
        <w:rPr>
          <w:rFonts w:ascii="Courier New" w:cs="Courier New" w:eastAsia="Courier New" w:hAnsi="Courier New"/>
          <w:sz w:val="16"/>
          <w:szCs w:val="16"/>
          <w:color w:val="auto"/>
        </w:rPr>
        <w:t>relating to</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Exchange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w:t>
      </w:r>
    </w:p>
    <w:p>
      <w:pPr>
        <w:jc w:val="center"/>
        <w:ind w:right="9099"/>
        <w:spacing w:after="0"/>
        <w:rPr>
          <w:sz w:val="20"/>
          <w:szCs w:val="20"/>
          <w:color w:val="auto"/>
        </w:rPr>
      </w:pPr>
      <w:r>
        <w:rPr>
          <w:rFonts w:ascii="Courier New" w:cs="Courier New" w:eastAsia="Courier New" w:hAnsi="Courier New"/>
          <w:sz w:val="16"/>
          <w:szCs w:val="16"/>
          <w:color w:val="auto"/>
        </w:rPr>
        <w:t>including</w:t>
      </w:r>
    </w:p>
    <w:p>
      <w:pPr>
        <w:jc w:val="center"/>
        <w:ind w:right="9099"/>
        <w:spacing w:after="0" w:line="237" w:lineRule="auto"/>
        <w:rPr>
          <w:sz w:val="20"/>
          <w:szCs w:val="20"/>
          <w:color w:val="auto"/>
        </w:rPr>
      </w:pPr>
      <w:r>
        <w:rPr>
          <w:rFonts w:ascii="Courier New" w:cs="Courier New" w:eastAsia="Courier New" w:hAnsi="Courier New"/>
          <w:sz w:val="16"/>
          <w:szCs w:val="16"/>
          <w:color w:val="auto"/>
        </w:rPr>
        <w:t>forms of</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Broadband</w:t>
      </w:r>
    </w:p>
    <w:p>
      <w:pPr>
        <w:sectPr>
          <w:pgSz w:w="11900" w:h="16838" w:orient="portrait"/>
          <w:cols w:equalWidth="0" w:num="1">
            <w:col w:w="10219"/>
          </w:cols>
          <w:pgMar w:left="240" w:top="136" w:right="1440" w:bottom="0" w:gutter="0" w:footer="0" w:header="0"/>
        </w:sectPr>
      </w:pPr>
    </w:p>
    <w:bookmarkStart w:id="369" w:name="page370"/>
    <w:bookmarkEnd w:id="369"/>
    <w:p>
      <w:pPr>
        <w:ind w:left="140"/>
        <w:spacing w:after="0"/>
        <w:rPr>
          <w:sz w:val="20"/>
          <w:szCs w:val="20"/>
          <w:color w:val="auto"/>
        </w:rPr>
      </w:pPr>
      <w:r>
        <w:rPr>
          <w:rFonts w:ascii="Courier New" w:cs="Courier New" w:eastAsia="Courier New" w:hAnsi="Courier New"/>
          <w:sz w:val="16"/>
          <w:szCs w:val="16"/>
          <w:color w:val="auto"/>
        </w:rPr>
        <w:t>Exchange</w:t>
      </w:r>
    </w:p>
    <w:p>
      <w:pPr>
        <w:jc w:val="center"/>
        <w:ind w:right="9139"/>
        <w:spacing w:after="0"/>
        <w:rPr>
          <w:sz w:val="20"/>
          <w:szCs w:val="20"/>
          <w:color w:val="auto"/>
        </w:rPr>
      </w:pPr>
      <w:r>
        <w:rPr>
          <w:rFonts w:ascii="Courier New" w:cs="Courier New" w:eastAsia="Courier New" w:hAnsi="Courier New"/>
          <w:sz w:val="16"/>
          <w:szCs w:val="16"/>
          <w:color w:val="auto"/>
        </w:rPr>
        <w:t>Notes.(6)</w:t>
      </w:r>
    </w:p>
    <w:p>
      <w:pPr>
        <w:jc w:val="center"/>
        <w:ind w:right="9139"/>
        <w:spacing w:after="0" w:line="237" w:lineRule="auto"/>
        <w:rPr>
          <w:sz w:val="20"/>
          <w:szCs w:val="20"/>
          <w:color w:val="auto"/>
        </w:rPr>
      </w:pPr>
      <w:r>
        <w:rPr>
          <w:rFonts w:ascii="Courier New" w:cs="Courier New" w:eastAsia="Courier New" w:hAnsi="Courier New"/>
          <w:sz w:val="16"/>
          <w:szCs w:val="16"/>
          <w:color w:val="auto"/>
        </w:rPr>
        <w:t>4.18 Form</w:t>
      </w:r>
    </w:p>
    <w:p>
      <w:pPr>
        <w:jc w:val="center"/>
        <w:ind w:right="9139"/>
        <w:spacing w:after="0"/>
        <w:rPr>
          <w:sz w:val="20"/>
          <w:szCs w:val="20"/>
          <w:color w:val="auto"/>
        </w:rPr>
      </w:pPr>
      <w:r>
        <w:rPr>
          <w:rFonts w:ascii="Courier New" w:cs="Courier New" w:eastAsia="Courier New" w:hAnsi="Courier New"/>
          <w:sz w:val="16"/>
          <w:szCs w:val="16"/>
          <w:color w:val="auto"/>
        </w:rPr>
        <w:t>of</w:t>
      </w:r>
    </w:p>
    <w:p>
      <w:pPr>
        <w:jc w:val="center"/>
        <w:ind w:right="9139"/>
        <w:spacing w:after="0" w:line="238" w:lineRule="auto"/>
        <w:rPr>
          <w:sz w:val="20"/>
          <w:szCs w:val="20"/>
          <w:color w:val="auto"/>
        </w:rPr>
      </w:pPr>
      <w:r>
        <w:rPr>
          <w:rFonts w:ascii="Courier New" w:cs="Courier New" w:eastAsia="Courier New" w:hAnsi="Courier New"/>
          <w:sz w:val="16"/>
          <w:szCs w:val="16"/>
          <w:color w:val="auto"/>
        </w:rPr>
        <w:t>Indenture</w:t>
      </w:r>
    </w:p>
    <w:p>
      <w:pPr>
        <w:jc w:val="center"/>
        <w:ind w:right="9139"/>
        <w:spacing w:after="0"/>
        <w:rPr>
          <w:sz w:val="20"/>
          <w:szCs w:val="20"/>
          <w:color w:val="auto"/>
        </w:rPr>
      </w:pPr>
      <w:r>
        <w:rPr>
          <w:rFonts w:ascii="Courier New" w:cs="Courier New" w:eastAsia="Courier New" w:hAnsi="Courier New"/>
          <w:sz w:val="16"/>
          <w:szCs w:val="16"/>
          <w:color w:val="auto"/>
        </w:rPr>
        <w:t>among AT&amp;T</w:t>
      </w:r>
    </w:p>
    <w:p>
      <w:pPr>
        <w:jc w:val="center"/>
        <w:ind w:right="9139"/>
        <w:spacing w:after="0" w:line="238" w:lineRule="auto"/>
        <w:rPr>
          <w:sz w:val="20"/>
          <w:szCs w:val="20"/>
          <w:color w:val="auto"/>
        </w:rPr>
      </w:pPr>
      <w:r>
        <w:rPr>
          <w:rFonts w:ascii="Courier New" w:cs="Courier New" w:eastAsia="Courier New" w:hAnsi="Courier New"/>
          <w:sz w:val="16"/>
          <w:szCs w:val="16"/>
          <w:color w:val="auto"/>
        </w:rPr>
        <w:t>Broadband</w:t>
      </w:r>
    </w:p>
    <w:p>
      <w:pPr>
        <w:jc w:val="center"/>
        <w:ind w:right="9139"/>
        <w:spacing w:after="0"/>
        <w:rPr>
          <w:sz w:val="20"/>
          <w:szCs w:val="20"/>
          <w:color w:val="auto"/>
        </w:rPr>
      </w:pPr>
      <w:r>
        <w:rPr>
          <w:rFonts w:ascii="Courier New" w:cs="Courier New" w:eastAsia="Courier New" w:hAnsi="Courier New"/>
          <w:sz w:val="16"/>
          <w:szCs w:val="16"/>
          <w:color w:val="auto"/>
        </w:rPr>
        <w:t>Corp., the</w:t>
      </w:r>
    </w:p>
    <w:p>
      <w:pPr>
        <w:jc w:val="center"/>
        <w:ind w:right="9139"/>
        <w:spacing w:after="0" w:line="237" w:lineRule="auto"/>
        <w:rPr>
          <w:sz w:val="20"/>
          <w:szCs w:val="20"/>
          <w:color w:val="auto"/>
        </w:rPr>
      </w:pPr>
      <w:r>
        <w:rPr>
          <w:rFonts w:ascii="Courier New" w:cs="Courier New" w:eastAsia="Courier New" w:hAnsi="Courier New"/>
          <w:sz w:val="16"/>
          <w:szCs w:val="16"/>
          <w:color w:val="auto"/>
        </w:rPr>
        <w:t>Cable</w:t>
      </w:r>
    </w:p>
    <w:p>
      <w:pPr>
        <w:jc w:val="center"/>
        <w:ind w:right="9139"/>
        <w:spacing w:after="0"/>
        <w:rPr>
          <w:sz w:val="20"/>
          <w:szCs w:val="20"/>
          <w:color w:val="auto"/>
        </w:rPr>
      </w:pPr>
      <w:r>
        <w:rPr>
          <w:rFonts w:ascii="Courier New" w:cs="Courier New" w:eastAsia="Courier New" w:hAnsi="Courier New"/>
          <w:sz w:val="16"/>
          <w:szCs w:val="16"/>
          <w:color w:val="auto"/>
        </w:rPr>
        <w:t>Guarantors</w:t>
      </w:r>
    </w:p>
    <w:p>
      <w:pPr>
        <w:jc w:val="center"/>
        <w:ind w:right="9139"/>
        <w:spacing w:after="0" w:line="238" w:lineRule="auto"/>
        <w:rPr>
          <w:sz w:val="20"/>
          <w:szCs w:val="20"/>
          <w:color w:val="auto"/>
        </w:rPr>
      </w:pPr>
      <w:r>
        <w:rPr>
          <w:rFonts w:ascii="Courier New" w:cs="Courier New" w:eastAsia="Courier New" w:hAnsi="Courier New"/>
          <w:sz w:val="16"/>
          <w:szCs w:val="16"/>
          <w:color w:val="auto"/>
        </w:rPr>
        <w:t>party</w:t>
      </w:r>
    </w:p>
    <w:p>
      <w:pPr>
        <w:spacing w:after="0" w:line="4"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thereto and</w:t>
      </w:r>
    </w:p>
    <w:p>
      <w:pPr>
        <w:spacing w:after="0" w:line="10"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The Bank of</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New York,</w:t>
      </w:r>
    </w:p>
    <w:p>
      <w:pPr>
        <w:spacing w:after="0" w:line="4"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as trustee,</w:t>
      </w:r>
    </w:p>
    <w:p>
      <w:pPr>
        <w:spacing w:after="0" w:line="10"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relating to</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the New</w:t>
      </w:r>
    </w:p>
    <w:p>
      <w:pPr>
        <w:jc w:val="center"/>
        <w:ind w:right="9139"/>
        <w:spacing w:after="0"/>
        <w:rPr>
          <w:sz w:val="20"/>
          <w:szCs w:val="20"/>
          <w:color w:val="auto"/>
        </w:rPr>
      </w:pPr>
      <w:r>
        <w:rPr>
          <w:rFonts w:ascii="Courier New" w:cs="Courier New" w:eastAsia="Courier New" w:hAnsi="Courier New"/>
          <w:sz w:val="16"/>
          <w:szCs w:val="16"/>
          <w:color w:val="auto"/>
        </w:rPr>
        <w:t>Broadband</w:t>
      </w:r>
    </w:p>
    <w:p>
      <w:pPr>
        <w:jc w:val="center"/>
        <w:ind w:right="9139"/>
        <w:spacing w:after="0" w:line="237" w:lineRule="auto"/>
        <w:rPr>
          <w:sz w:val="20"/>
          <w:szCs w:val="20"/>
          <w:color w:val="auto"/>
        </w:rPr>
      </w:pPr>
      <w:r>
        <w:rPr>
          <w:rFonts w:ascii="Courier New" w:cs="Courier New" w:eastAsia="Courier New" w:hAnsi="Courier New"/>
          <w:sz w:val="16"/>
          <w:szCs w:val="16"/>
          <w:color w:val="auto"/>
        </w:rPr>
        <w:t>Notes.(6)</w:t>
      </w:r>
    </w:p>
    <w:p>
      <w:pPr>
        <w:jc w:val="center"/>
        <w:ind w:right="9139"/>
        <w:spacing w:after="0"/>
        <w:rPr>
          <w:sz w:val="20"/>
          <w:szCs w:val="20"/>
          <w:color w:val="auto"/>
        </w:rPr>
      </w:pPr>
      <w:r>
        <w:rPr>
          <w:rFonts w:ascii="Courier New" w:cs="Courier New" w:eastAsia="Courier New" w:hAnsi="Courier New"/>
          <w:sz w:val="16"/>
          <w:szCs w:val="16"/>
          <w:color w:val="auto"/>
        </w:rPr>
        <w:t>4.19 Form</w:t>
      </w:r>
    </w:p>
    <w:p>
      <w:pPr>
        <w:jc w:val="center"/>
        <w:ind w:right="9139"/>
        <w:spacing w:after="0" w:line="238" w:lineRule="auto"/>
        <w:rPr>
          <w:sz w:val="20"/>
          <w:szCs w:val="20"/>
          <w:color w:val="auto"/>
        </w:rPr>
      </w:pPr>
      <w:r>
        <w:rPr>
          <w:rFonts w:ascii="Courier New" w:cs="Courier New" w:eastAsia="Courier New" w:hAnsi="Courier New"/>
          <w:sz w:val="16"/>
          <w:szCs w:val="16"/>
          <w:color w:val="auto"/>
        </w:rPr>
        <w:t>of New</w:t>
      </w:r>
    </w:p>
    <w:p>
      <w:pPr>
        <w:jc w:val="center"/>
        <w:ind w:right="9139"/>
        <w:spacing w:after="0"/>
        <w:rPr>
          <w:sz w:val="20"/>
          <w:szCs w:val="20"/>
          <w:color w:val="auto"/>
        </w:rPr>
      </w:pPr>
      <w:r>
        <w:rPr>
          <w:rFonts w:ascii="Courier New" w:cs="Courier New" w:eastAsia="Courier New" w:hAnsi="Courier New"/>
          <w:sz w:val="16"/>
          <w:szCs w:val="16"/>
          <w:color w:val="auto"/>
        </w:rPr>
        <w:t>Broadband</w:t>
      </w:r>
    </w:p>
    <w:p>
      <w:pPr>
        <w:jc w:val="center"/>
        <w:ind w:right="9139"/>
        <w:spacing w:after="0" w:line="238" w:lineRule="auto"/>
        <w:rPr>
          <w:sz w:val="20"/>
          <w:szCs w:val="20"/>
          <w:color w:val="auto"/>
        </w:rPr>
      </w:pPr>
      <w:r>
        <w:rPr>
          <w:rFonts w:ascii="Courier New" w:cs="Courier New" w:eastAsia="Courier New" w:hAnsi="Courier New"/>
          <w:sz w:val="16"/>
          <w:szCs w:val="16"/>
          <w:color w:val="auto"/>
        </w:rPr>
        <w:t>Notes.(6)</w:t>
      </w:r>
    </w:p>
    <w:p>
      <w:pPr>
        <w:sectPr>
          <w:pgSz w:w="11900" w:h="16838" w:orient="portrait"/>
          <w:cols w:equalWidth="0" w:num="1">
            <w:col w:w="10179"/>
          </w:cols>
          <w:pgMar w:left="280" w:top="136" w:right="1440" w:bottom="1440" w:gutter="0" w:footer="0" w:header="0"/>
        </w:sectPr>
      </w:pPr>
    </w:p>
    <w:bookmarkStart w:id="370" w:name="page371"/>
    <w:bookmarkEnd w:id="370"/>
    <w:p>
      <w:pPr>
        <w:spacing w:after="0" w:line="7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EXHIBIT NO. DOCUMENT</w:t>
      </w:r>
    </w:p>
    <w:p>
      <w:pPr>
        <w:spacing w:after="0" w:line="5" w:lineRule="exact"/>
        <w:rPr>
          <w:sz w:val="20"/>
          <w:szCs w:val="20"/>
          <w:color w:val="auto"/>
        </w:rPr>
      </w:pPr>
    </w:p>
    <w:p>
      <w:pPr>
        <w:ind w:left="320" w:hanging="180"/>
        <w:spacing w:after="0"/>
        <w:tabs>
          <w:tab w:leader="none" w:pos="320"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center"/>
        <w:ind w:right="82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4.20 Credit Agreement dated as of April 26, 2002 among AT&amp;T Comcast Corporation, AT&amp;T Broadband Corp., the Financial Institutions party thereto, JPMorgan Chase Bank, as Administrative Agent, Swing Line Lender and Issuing Lender, Citibank, N.A., as Syndication Agent, and Bank of America, N.A., Merrill Lynch &amp; Co., Merrill Lynch, Pierce, Fenner &amp; Smith Incorporated and Morgan Stanley Senior Funding, Inc., as Co-Documentation Agents.(5) 4.21 Bridge Credit Agreement dated as of April 26, 2002 among AT&amp;T Comcast Corporation, AT&amp;T Broadband Corp., the Financial Institutions party thereto, JPMorgan Chase Bank, as Administrative Agent, Swing Line Lender and Issuing Lender, Citibank, N.A., as Syndication Agent, and Bank of America, N.A., Merrill Lynch &amp; Co., Merrill Lynch, Pierce, Fenner &amp; Smith Incorporated and Morgan Stanley Senior Funding, Inc., as Co-Documentation Agents.(5) 4.22 Credit Agreement dated as of May 3, 2002 among AT&amp;T Broadband Corp., AT&amp;T Comcast Corporation, the Financial Institutions party thereto, JPMorgan Chase Bank, as Administrative Agent, Citibank, N.A., Bank of America, N.A., Merrill Lynch Capital Corporation and Morgan Stanley Senior Funding, Inc.(5) 5.1 Opinion of Robert S. Feit with respect to the New AT&amp;T Notes and the Broadband Exchange Notes. 5.2 Opinion of James N. Zerefos with respect to the Broadband Exchange Notes. 5.3 Opinion of Davis Polk</w:t>
      </w:r>
    </w:p>
    <w:p>
      <w:pPr>
        <w:spacing w:after="0" w:line="39" w:lineRule="exact"/>
        <w:rPr>
          <w:rFonts w:ascii="Courier New" w:cs="Courier New" w:eastAsia="Courier New" w:hAnsi="Courier New"/>
          <w:sz w:val="16"/>
          <w:szCs w:val="16"/>
          <w:color w:val="auto"/>
        </w:rPr>
      </w:pPr>
    </w:p>
    <w:p>
      <w:pPr>
        <w:ind w:left="140" w:right="8359" w:firstLine="141"/>
        <w:spacing w:after="0" w:line="254" w:lineRule="auto"/>
        <w:tabs>
          <w:tab w:leader="none" w:pos="468" w:val="left"/>
        </w:tabs>
        <w:numPr>
          <w:ilvl w:val="1"/>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Wardwell with respect to the New</w:t>
      </w:r>
    </w:p>
    <w:p>
      <w:pPr>
        <w:spacing w:after="0" w:line="1"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Broadband Notes. 12.1</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Statement Regarding</w:t>
      </w:r>
    </w:p>
    <w:p>
      <w:pPr>
        <w:jc w:val="center"/>
        <w:ind w:right="8219"/>
        <w:spacing w:after="0"/>
        <w:rPr>
          <w:sz w:val="20"/>
          <w:szCs w:val="20"/>
          <w:color w:val="auto"/>
        </w:rPr>
      </w:pPr>
      <w:r>
        <w:rPr>
          <w:rFonts w:ascii="Courier New" w:cs="Courier New" w:eastAsia="Courier New" w:hAnsi="Courier New"/>
          <w:sz w:val="16"/>
          <w:szCs w:val="16"/>
          <w:color w:val="auto"/>
        </w:rPr>
        <w:t>Computation of Ratio</w:t>
      </w:r>
    </w:p>
    <w:p>
      <w:pPr>
        <w:jc w:val="center"/>
        <w:ind w:right="8219"/>
        <w:spacing w:after="0" w:line="237" w:lineRule="auto"/>
        <w:rPr>
          <w:sz w:val="20"/>
          <w:szCs w:val="20"/>
          <w:color w:val="auto"/>
        </w:rPr>
      </w:pPr>
      <w:r>
        <w:rPr>
          <w:rFonts w:ascii="Courier New" w:cs="Courier New" w:eastAsia="Courier New" w:hAnsi="Courier New"/>
          <w:sz w:val="16"/>
          <w:szCs w:val="16"/>
          <w:color w:val="auto"/>
        </w:rPr>
        <w:t>of Earnings to Fixed</w:t>
      </w:r>
    </w:p>
    <w:p>
      <w:pPr>
        <w:jc w:val="center"/>
        <w:ind w:right="8219"/>
        <w:spacing w:after="0"/>
        <w:rPr>
          <w:sz w:val="20"/>
          <w:szCs w:val="20"/>
          <w:color w:val="auto"/>
        </w:rPr>
      </w:pPr>
      <w:r>
        <w:rPr>
          <w:rFonts w:ascii="Courier New" w:cs="Courier New" w:eastAsia="Courier New" w:hAnsi="Courier New"/>
          <w:sz w:val="16"/>
          <w:szCs w:val="16"/>
          <w:color w:val="auto"/>
        </w:rPr>
        <w:t>Charges for AT&amp;T</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Corp.(6) 12.2</w:t>
      </w:r>
    </w:p>
    <w:p>
      <w:pPr>
        <w:jc w:val="center"/>
        <w:ind w:right="8219"/>
        <w:spacing w:after="0"/>
        <w:rPr>
          <w:sz w:val="20"/>
          <w:szCs w:val="20"/>
          <w:color w:val="auto"/>
        </w:rPr>
      </w:pPr>
      <w:r>
        <w:rPr>
          <w:rFonts w:ascii="Courier New" w:cs="Courier New" w:eastAsia="Courier New" w:hAnsi="Courier New"/>
          <w:sz w:val="16"/>
          <w:szCs w:val="16"/>
          <w:color w:val="auto"/>
        </w:rPr>
        <w:t>Statement Regarding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Computation of Ratio</w:t>
      </w:r>
    </w:p>
    <w:p>
      <w:pPr>
        <w:jc w:val="center"/>
        <w:ind w:right="8219"/>
        <w:spacing w:after="0"/>
        <w:rPr>
          <w:sz w:val="20"/>
          <w:szCs w:val="20"/>
          <w:color w:val="auto"/>
        </w:rPr>
      </w:pPr>
      <w:r>
        <w:rPr>
          <w:rFonts w:ascii="Courier New" w:cs="Courier New" w:eastAsia="Courier New" w:hAnsi="Courier New"/>
          <w:sz w:val="16"/>
          <w:szCs w:val="16"/>
          <w:color w:val="auto"/>
        </w:rPr>
        <w:t>of Earnings to Fixed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Charges for AT&amp;T</w:t>
      </w:r>
    </w:p>
    <w:p>
      <w:pPr>
        <w:jc w:val="center"/>
        <w:ind w:right="8219"/>
        <w:spacing w:after="0"/>
        <w:rPr>
          <w:sz w:val="20"/>
          <w:szCs w:val="20"/>
          <w:color w:val="auto"/>
        </w:rPr>
      </w:pPr>
      <w:r>
        <w:rPr>
          <w:rFonts w:ascii="Courier New" w:cs="Courier New" w:eastAsia="Courier New" w:hAnsi="Courier New"/>
          <w:sz w:val="16"/>
          <w:szCs w:val="16"/>
          <w:color w:val="auto"/>
        </w:rPr>
        <w:t>Broadband Corp.(6)</w:t>
      </w:r>
    </w:p>
    <w:p>
      <w:pPr>
        <w:sectPr>
          <w:pgSz w:w="11900" w:h="16908" w:orient="portrait"/>
          <w:cols w:equalWidth="0" w:num="1">
            <w:col w:w="10179"/>
          </w:cols>
          <w:pgMar w:left="280" w:top="839" w:right="1440" w:bottom="0" w:gutter="0" w:footer="0" w:header="0"/>
        </w:sectPr>
      </w:pPr>
    </w:p>
    <w:bookmarkStart w:id="371" w:name="page372"/>
    <w:bookmarkEnd w:id="371"/>
    <w:p>
      <w:pPr>
        <w:jc w:val="center"/>
        <w:ind w:right="8159"/>
        <w:spacing w:after="0"/>
        <w:rPr>
          <w:sz w:val="20"/>
          <w:szCs w:val="20"/>
          <w:color w:val="auto"/>
        </w:rPr>
      </w:pPr>
      <w:r>
        <w:rPr>
          <w:rFonts w:ascii="Courier New" w:cs="Courier New" w:eastAsia="Courier New" w:hAnsi="Courier New"/>
          <w:sz w:val="16"/>
          <w:szCs w:val="16"/>
          <w:color w:val="auto"/>
        </w:rPr>
        <w:t>12.3 Statement</w:t>
      </w:r>
    </w:p>
    <w:p>
      <w:pPr>
        <w:jc w:val="center"/>
        <w:ind w:right="8159"/>
        <w:spacing w:after="0"/>
        <w:rPr>
          <w:sz w:val="20"/>
          <w:szCs w:val="20"/>
          <w:color w:val="auto"/>
        </w:rPr>
      </w:pPr>
      <w:r>
        <w:rPr>
          <w:rFonts w:ascii="Courier New" w:cs="Courier New" w:eastAsia="Courier New" w:hAnsi="Courier New"/>
          <w:sz w:val="16"/>
          <w:szCs w:val="16"/>
          <w:color w:val="auto"/>
        </w:rPr>
        <w:t>Regarding Computation</w:t>
      </w:r>
    </w:p>
    <w:p>
      <w:pPr>
        <w:jc w:val="center"/>
        <w:ind w:right="8159"/>
        <w:spacing w:after="0" w:line="237" w:lineRule="auto"/>
        <w:rPr>
          <w:sz w:val="20"/>
          <w:szCs w:val="20"/>
          <w:color w:val="auto"/>
        </w:rPr>
      </w:pPr>
      <w:r>
        <w:rPr>
          <w:rFonts w:ascii="Courier New" w:cs="Courier New" w:eastAsia="Courier New" w:hAnsi="Courier New"/>
          <w:sz w:val="16"/>
          <w:szCs w:val="16"/>
          <w:color w:val="auto"/>
        </w:rPr>
        <w:t>of Ratio of Earnings</w:t>
      </w:r>
    </w:p>
    <w:p>
      <w:pPr>
        <w:jc w:val="center"/>
        <w:ind w:right="8159"/>
        <w:spacing w:after="0"/>
        <w:rPr>
          <w:sz w:val="20"/>
          <w:szCs w:val="20"/>
          <w:color w:val="auto"/>
        </w:rPr>
      </w:pPr>
      <w:r>
        <w:rPr>
          <w:rFonts w:ascii="Courier New" w:cs="Courier New" w:eastAsia="Courier New" w:hAnsi="Courier New"/>
          <w:sz w:val="16"/>
          <w:szCs w:val="16"/>
          <w:color w:val="auto"/>
        </w:rPr>
        <w:t>to Fixed Charges for</w:t>
      </w:r>
    </w:p>
    <w:p>
      <w:pPr>
        <w:jc w:val="center"/>
        <w:ind w:right="8159"/>
        <w:spacing w:after="0" w:line="238" w:lineRule="auto"/>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40" w:right="8219" w:firstLine="140"/>
        <w:spacing w:after="0" w:line="254" w:lineRule="auto"/>
        <w:tabs>
          <w:tab w:leader="none" w:pos="556" w:val="left"/>
        </w:tabs>
        <w:numPr>
          <w:ilvl w:val="1"/>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12.4 Statement Regarding Computation of Ratio of Earnings to Fixed Charges for</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Comcast Cable</w:t>
      </w: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Communications, Inc.</w:t>
      </w:r>
    </w:p>
    <w:p>
      <w:pPr>
        <w:spacing w:after="0" w:line="3" w:lineRule="exact"/>
        <w:rPr>
          <w:rFonts w:ascii="Courier New" w:cs="Courier New" w:eastAsia="Courier New" w:hAnsi="Courier New"/>
          <w:sz w:val="15"/>
          <w:szCs w:val="15"/>
          <w:color w:val="auto"/>
        </w:rPr>
      </w:pPr>
    </w:p>
    <w:p>
      <w:pPr>
        <w:ind w:left="40" w:right="8219" w:firstLine="140"/>
        <w:spacing w:after="0" w:line="254" w:lineRule="auto"/>
        <w:tabs>
          <w:tab w:leader="none" w:pos="556" w:val="left"/>
        </w:tabs>
        <w:numPr>
          <w:ilvl w:val="1"/>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Statement Regarding Computation of Ratio of Earnings to Fixed Charges with</w:t>
      </w:r>
    </w:p>
    <w:p>
      <w:pPr>
        <w:spacing w:after="0" w:line="2" w:lineRule="exact"/>
        <w:rPr>
          <w:rFonts w:ascii="Courier New" w:cs="Courier New" w:eastAsia="Courier New" w:hAnsi="Courier New"/>
          <w:sz w:val="15"/>
          <w:szCs w:val="15"/>
          <w:color w:val="auto"/>
        </w:rPr>
      </w:pPr>
    </w:p>
    <w:p>
      <w:pPr>
        <w:jc w:val="both"/>
        <w:ind w:left="80" w:right="8259" w:firstLine="4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respect to MediaOne Group, Inc.(6) 12.6 Statement Regarding Computation of Ratio of Earnings to Fixed Charges with respect</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AT&amp;T Broadband,</w:t>
      </w:r>
    </w:p>
    <w:p>
      <w:pPr>
        <w:ind w:left="4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LLC.(6) 12.7</w:t>
      </w:r>
    </w:p>
    <w:p>
      <w:pPr>
        <w:spacing w:after="0" w:line="3" w:lineRule="exact"/>
        <w:rPr>
          <w:rFonts w:ascii="Courier New" w:cs="Courier New" w:eastAsia="Courier New" w:hAnsi="Courier New"/>
          <w:sz w:val="15"/>
          <w:szCs w:val="15"/>
          <w:color w:val="auto"/>
        </w:rPr>
      </w:pPr>
    </w:p>
    <w:p>
      <w:pPr>
        <w:jc w:val="center"/>
        <w:ind w:right="8159" w:firstLine="13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Regarding Computation of Ratio of Earnings to Fixed Charges with respect to AT&amp;T Comcast Corporation.(6) 23.1 Consent of Deloitte &amp; Touche LLP with respect to AT&amp;T Comcast Corporation. 23.2 Consent of Deloitte &amp; Touche LLP with respect to Comcast Cable Communications, Inc. 23.3 Consent of Deloitte &amp; Touche LLP with respect to Comcast Corporation. 23.4 Consent of PricewaterhouseCoopers LLP with respect to AT&amp;T Corp. 23.5 Consent of PricewaterhouseCoopers LLP with respect to AT&amp;T Broadband Corp. 23.6 Consent of PricewaterhouseCoopers LLP with respect to AT&amp;T Broadband Group. 23.7 Consent of PricewaterhouseCoopers LLP with respect to Concert, B.V. 23.8 Consent of KPMG LLP with respect to AT&amp;T Canada Inc. 23.9 Consent of KPMG LLP with respect to Liberty Media Corporation. 23.10 Consent of Robert S. Feit (included in Exhibit 5.1). 23.11 Consent of James N. Zerefos (included in Exhibit 5.2). 23.12 Consent of Davis Polk</w:t>
      </w:r>
    </w:p>
    <w:p>
      <w:pPr>
        <w:spacing w:after="0" w:line="26" w:lineRule="exact"/>
        <w:rPr>
          <w:rFonts w:ascii="Courier New" w:cs="Courier New" w:eastAsia="Courier New" w:hAnsi="Courier New"/>
          <w:sz w:val="15"/>
          <w:szCs w:val="15"/>
          <w:color w:val="auto"/>
        </w:rPr>
      </w:pPr>
    </w:p>
    <w:p>
      <w:pPr>
        <w:jc w:val="both"/>
        <w:ind w:left="140" w:right="8259" w:hanging="54"/>
        <w:spacing w:after="0" w:line="254" w:lineRule="auto"/>
        <w:tabs>
          <w:tab w:leader="none" w:pos="281"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Wardwell (included in Exhibit 5.3). 24 Powers of Attorney.</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36" w:right="1440" w:bottom="1440" w:gutter="0" w:footer="0" w:header="0"/>
        </w:sectPr>
      </w:pPr>
    </w:p>
    <w:bookmarkStart w:id="372" w:name="page373"/>
    <w:bookmarkEnd w:id="372"/>
    <w:p>
      <w:pPr>
        <w:spacing w:after="0" w:line="6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ind w:left="80"/>
        <w:spacing w:after="0"/>
        <w:rPr>
          <w:sz w:val="20"/>
          <w:szCs w:val="20"/>
          <w:color w:val="auto"/>
        </w:rPr>
      </w:pPr>
      <w:r>
        <w:rPr>
          <w:rFonts w:ascii="Courier New" w:cs="Courier New" w:eastAsia="Courier New" w:hAnsi="Courier New"/>
          <w:sz w:val="16"/>
          <w:szCs w:val="16"/>
          <w:color w:val="auto"/>
        </w:rPr>
        <w:t>DOCUMENT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right"/>
        <w:ind w:left="140" w:right="9199" w:hanging="54"/>
        <w:spacing w:after="0" w:line="254" w:lineRule="auto"/>
        <w:tabs>
          <w:tab w:leader="none" w:pos="656"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25.1 Statement</w:t>
      </w:r>
    </w:p>
    <w:p>
      <w:pPr>
        <w:ind w:left="4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Eligibility</w:t>
      </w:r>
    </w:p>
    <w:p>
      <w:pPr>
        <w:jc w:val="center"/>
        <w:ind w:right="9099"/>
        <w:spacing w:after="0"/>
        <w:rPr>
          <w:sz w:val="20"/>
          <w:szCs w:val="20"/>
          <w:color w:val="auto"/>
        </w:rPr>
      </w:pPr>
      <w:r>
        <w:rPr>
          <w:rFonts w:ascii="Courier New" w:cs="Courier New" w:eastAsia="Courier New" w:hAnsi="Courier New"/>
          <w:sz w:val="16"/>
          <w:szCs w:val="16"/>
          <w:color w:val="auto"/>
        </w:rPr>
        <w:t>on Form T-1</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The Bank</w:t>
      </w:r>
    </w:p>
    <w:p>
      <w:pPr>
        <w:jc w:val="center"/>
        <w:ind w:right="9099"/>
        <w:spacing w:after="0"/>
        <w:rPr>
          <w:sz w:val="20"/>
          <w:szCs w:val="20"/>
          <w:color w:val="auto"/>
        </w:rPr>
      </w:pPr>
      <w:r>
        <w:rPr>
          <w:rFonts w:ascii="Courier New" w:cs="Courier New" w:eastAsia="Courier New" w:hAnsi="Courier New"/>
          <w:sz w:val="16"/>
          <w:szCs w:val="16"/>
          <w:color w:val="auto"/>
        </w:rPr>
        <w:t>of New</w:t>
      </w:r>
    </w:p>
    <w:p>
      <w:pPr>
        <w:jc w:val="center"/>
        <w:ind w:right="9099"/>
        <w:spacing w:after="0" w:line="238" w:lineRule="auto"/>
        <w:rPr>
          <w:sz w:val="20"/>
          <w:szCs w:val="20"/>
          <w:color w:val="auto"/>
        </w:rPr>
      </w:pPr>
      <w:r>
        <w:rPr>
          <w:rFonts w:ascii="Courier New" w:cs="Courier New" w:eastAsia="Courier New" w:hAnsi="Courier New"/>
          <w:sz w:val="16"/>
          <w:szCs w:val="16"/>
          <w:color w:val="auto"/>
        </w:rPr>
        <w:t>York, as</w:t>
      </w:r>
    </w:p>
    <w:p>
      <w:pPr>
        <w:jc w:val="center"/>
        <w:ind w:right="9099"/>
        <w:spacing w:after="0"/>
        <w:rPr>
          <w:sz w:val="20"/>
          <w:szCs w:val="20"/>
          <w:color w:val="auto"/>
        </w:rPr>
      </w:pPr>
      <w:r>
        <w:rPr>
          <w:rFonts w:ascii="Courier New" w:cs="Courier New" w:eastAsia="Courier New" w:hAnsi="Courier New"/>
          <w:sz w:val="16"/>
          <w:szCs w:val="16"/>
          <w:color w:val="auto"/>
        </w:rPr>
        <w:t>trustee,</w:t>
      </w:r>
    </w:p>
    <w:p>
      <w:pPr>
        <w:jc w:val="center"/>
        <w:ind w:right="9099"/>
        <w:spacing w:after="0" w:line="237" w:lineRule="auto"/>
        <w:rPr>
          <w:sz w:val="20"/>
          <w:szCs w:val="20"/>
          <w:color w:val="auto"/>
        </w:rPr>
      </w:pPr>
      <w:r>
        <w:rPr>
          <w:rFonts w:ascii="Courier New" w:cs="Courier New" w:eastAsia="Courier New" w:hAnsi="Courier New"/>
          <w:sz w:val="16"/>
          <w:szCs w:val="16"/>
          <w:color w:val="auto"/>
        </w:rPr>
        <w:t>with</w:t>
      </w:r>
    </w:p>
    <w:p>
      <w:pPr>
        <w:jc w:val="center"/>
        <w:ind w:right="9099"/>
        <w:spacing w:after="0"/>
        <w:rPr>
          <w:sz w:val="20"/>
          <w:szCs w:val="20"/>
          <w:color w:val="auto"/>
        </w:rPr>
      </w:pPr>
      <w:r>
        <w:rPr>
          <w:rFonts w:ascii="Courier New" w:cs="Courier New" w:eastAsia="Courier New" w:hAnsi="Courier New"/>
          <w:sz w:val="16"/>
          <w:szCs w:val="16"/>
          <w:color w:val="auto"/>
        </w:rPr>
        <w:t>respect to</w:t>
      </w:r>
    </w:p>
    <w:p>
      <w:pPr>
        <w:jc w:val="center"/>
        <w:ind w:right="9099"/>
        <w:spacing w:after="0" w:line="238" w:lineRule="auto"/>
        <w:rPr>
          <w:sz w:val="20"/>
          <w:szCs w:val="20"/>
          <w:color w:val="auto"/>
        </w:rPr>
      </w:pPr>
      <w:r>
        <w:rPr>
          <w:rFonts w:ascii="Courier New" w:cs="Courier New" w:eastAsia="Courier New" w:hAnsi="Courier New"/>
          <w:sz w:val="16"/>
          <w:szCs w:val="16"/>
          <w:color w:val="auto"/>
        </w:rPr>
        <w:t>the Second</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line="237"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Bank of New</w:t>
      </w:r>
    </w:p>
    <w:p>
      <w:pPr>
        <w:jc w:val="center"/>
        <w:ind w:right="9099"/>
        <w:spacing w:after="0"/>
        <w:rPr>
          <w:sz w:val="20"/>
          <w:szCs w:val="20"/>
          <w:color w:val="auto"/>
        </w:rPr>
      </w:pPr>
      <w:r>
        <w:rPr>
          <w:rFonts w:ascii="Courier New" w:cs="Courier New" w:eastAsia="Courier New" w:hAnsi="Courier New"/>
          <w:sz w:val="16"/>
          <w:szCs w:val="16"/>
          <w:color w:val="auto"/>
        </w:rPr>
        <w:t>York, as</w:t>
      </w:r>
    </w:p>
    <w:p>
      <w:pPr>
        <w:jc w:val="center"/>
        <w:ind w:right="9099"/>
        <w:spacing w:after="0" w:line="238" w:lineRule="auto"/>
        <w:rPr>
          <w:sz w:val="20"/>
          <w:szCs w:val="20"/>
          <w:color w:val="auto"/>
        </w:rPr>
      </w:pPr>
      <w:r>
        <w:rPr>
          <w:rFonts w:ascii="Courier New" w:cs="Courier New" w:eastAsia="Courier New" w:hAnsi="Courier New"/>
          <w:sz w:val="16"/>
          <w:szCs w:val="16"/>
          <w:color w:val="auto"/>
        </w:rPr>
        <w:t>trustee,</w:t>
      </w:r>
    </w:p>
    <w:p>
      <w:pPr>
        <w:jc w:val="center"/>
        <w:ind w:right="9099"/>
        <w:spacing w:after="0"/>
        <w:rPr>
          <w:sz w:val="20"/>
          <w:szCs w:val="20"/>
          <w:color w:val="auto"/>
        </w:rPr>
      </w:pPr>
      <w:r>
        <w:rPr>
          <w:rFonts w:ascii="Courier New" w:cs="Courier New" w:eastAsia="Courier New" w:hAnsi="Courier New"/>
          <w:sz w:val="16"/>
          <w:szCs w:val="16"/>
          <w:color w:val="auto"/>
        </w:rPr>
        <w:t>relating to</w:t>
      </w:r>
    </w:p>
    <w:p>
      <w:pPr>
        <w:jc w:val="center"/>
        <w:ind w:right="9099"/>
        <w:spacing w:after="0" w:line="237" w:lineRule="auto"/>
        <w:rPr>
          <w:sz w:val="20"/>
          <w:szCs w:val="20"/>
          <w:color w:val="auto"/>
        </w:rPr>
      </w:pPr>
      <w:r>
        <w:rPr>
          <w:rFonts w:ascii="Courier New" w:cs="Courier New" w:eastAsia="Courier New" w:hAnsi="Courier New"/>
          <w:sz w:val="16"/>
          <w:szCs w:val="16"/>
          <w:color w:val="auto"/>
        </w:rPr>
        <w:t>the Note</w:t>
      </w: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4" w:lineRule="exact"/>
        <w:rPr>
          <w:sz w:val="20"/>
          <w:szCs w:val="20"/>
          <w:color w:val="auto"/>
        </w:rPr>
      </w:pPr>
    </w:p>
    <w:p>
      <w:pPr>
        <w:jc w:val="right"/>
        <w:ind w:left="140" w:right="9239" w:firstLine="40"/>
        <w:spacing w:after="0" w:line="254" w:lineRule="auto"/>
        <w:tabs>
          <w:tab w:leader="none" w:pos="562"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25.2 Statement</w:t>
      </w:r>
    </w:p>
    <w:p>
      <w:pPr>
        <w:ind w:left="4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Eligibility</w:t>
      </w:r>
    </w:p>
    <w:p>
      <w:pPr>
        <w:jc w:val="center"/>
        <w:ind w:right="9099"/>
        <w:spacing w:after="0"/>
        <w:rPr>
          <w:sz w:val="20"/>
          <w:szCs w:val="20"/>
          <w:color w:val="auto"/>
        </w:rPr>
      </w:pPr>
      <w:r>
        <w:rPr>
          <w:rFonts w:ascii="Courier New" w:cs="Courier New" w:eastAsia="Courier New" w:hAnsi="Courier New"/>
          <w:sz w:val="16"/>
          <w:szCs w:val="16"/>
          <w:color w:val="auto"/>
        </w:rPr>
        <w:t>on Form T-1</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The Bank</w:t>
      </w:r>
    </w:p>
    <w:p>
      <w:pPr>
        <w:jc w:val="center"/>
        <w:ind w:right="9099"/>
        <w:spacing w:after="0"/>
        <w:rPr>
          <w:sz w:val="20"/>
          <w:szCs w:val="20"/>
          <w:color w:val="auto"/>
        </w:rPr>
      </w:pPr>
      <w:r>
        <w:rPr>
          <w:rFonts w:ascii="Courier New" w:cs="Courier New" w:eastAsia="Courier New" w:hAnsi="Courier New"/>
          <w:sz w:val="16"/>
          <w:szCs w:val="16"/>
          <w:color w:val="auto"/>
        </w:rPr>
        <w:t>of New</w:t>
      </w:r>
    </w:p>
    <w:p>
      <w:pPr>
        <w:jc w:val="center"/>
        <w:ind w:right="9099"/>
        <w:spacing w:after="0" w:line="238" w:lineRule="auto"/>
        <w:rPr>
          <w:sz w:val="20"/>
          <w:szCs w:val="20"/>
          <w:color w:val="auto"/>
        </w:rPr>
      </w:pPr>
      <w:r>
        <w:rPr>
          <w:rFonts w:ascii="Courier New" w:cs="Courier New" w:eastAsia="Courier New" w:hAnsi="Courier New"/>
          <w:sz w:val="16"/>
          <w:szCs w:val="16"/>
          <w:color w:val="auto"/>
        </w:rPr>
        <w:t>York, as</w:t>
      </w:r>
    </w:p>
    <w:p>
      <w:pPr>
        <w:jc w:val="center"/>
        <w:ind w:right="9099"/>
        <w:spacing w:after="0"/>
        <w:rPr>
          <w:sz w:val="20"/>
          <w:szCs w:val="20"/>
          <w:color w:val="auto"/>
        </w:rPr>
      </w:pPr>
      <w:r>
        <w:rPr>
          <w:rFonts w:ascii="Courier New" w:cs="Courier New" w:eastAsia="Courier New" w:hAnsi="Courier New"/>
          <w:sz w:val="16"/>
          <w:szCs w:val="16"/>
          <w:color w:val="auto"/>
        </w:rPr>
        <w:t>trustee,</w:t>
      </w:r>
    </w:p>
    <w:p>
      <w:pPr>
        <w:jc w:val="center"/>
        <w:ind w:right="9099"/>
        <w:spacing w:after="0" w:line="237" w:lineRule="auto"/>
        <w:rPr>
          <w:sz w:val="20"/>
          <w:szCs w:val="20"/>
          <w:color w:val="auto"/>
        </w:rPr>
      </w:pPr>
      <w:r>
        <w:rPr>
          <w:rFonts w:ascii="Courier New" w:cs="Courier New" w:eastAsia="Courier New" w:hAnsi="Courier New"/>
          <w:sz w:val="16"/>
          <w:szCs w:val="16"/>
          <w:color w:val="auto"/>
        </w:rPr>
        <w:t>with</w:t>
      </w:r>
    </w:p>
    <w:p>
      <w:pPr>
        <w:jc w:val="center"/>
        <w:ind w:right="9099"/>
        <w:spacing w:after="0"/>
        <w:rPr>
          <w:sz w:val="20"/>
          <w:szCs w:val="20"/>
          <w:color w:val="auto"/>
        </w:rPr>
      </w:pPr>
      <w:r>
        <w:rPr>
          <w:rFonts w:ascii="Courier New" w:cs="Courier New" w:eastAsia="Courier New" w:hAnsi="Courier New"/>
          <w:sz w:val="16"/>
          <w:szCs w:val="16"/>
          <w:color w:val="auto"/>
        </w:rPr>
        <w:t>respect to</w:t>
      </w:r>
    </w:p>
    <w:p>
      <w:pPr>
        <w:jc w:val="center"/>
        <w:ind w:right="9099"/>
        <w:spacing w:after="0" w:line="238" w:lineRule="auto"/>
        <w:rPr>
          <w:sz w:val="20"/>
          <w:szCs w:val="20"/>
          <w:color w:val="auto"/>
        </w:rPr>
      </w:pPr>
      <w:r>
        <w:rPr>
          <w:rFonts w:ascii="Courier New" w:cs="Courier New" w:eastAsia="Courier New" w:hAnsi="Courier New"/>
          <w:sz w:val="16"/>
          <w:szCs w:val="16"/>
          <w:color w:val="auto"/>
        </w:rPr>
        <w:t>the Third</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Indenture</w:t>
      </w:r>
    </w:p>
    <w:p>
      <w:pPr>
        <w:jc w:val="center"/>
        <w:ind w:right="9099"/>
        <w:spacing w:after="0"/>
        <w:rPr>
          <w:sz w:val="20"/>
          <w:szCs w:val="20"/>
          <w:color w:val="auto"/>
        </w:rPr>
      </w:pPr>
      <w:r>
        <w:rPr>
          <w:rFonts w:ascii="Courier New" w:cs="Courier New" w:eastAsia="Courier New" w:hAnsi="Courier New"/>
          <w:sz w:val="16"/>
          <w:szCs w:val="16"/>
          <w:color w:val="auto"/>
        </w:rPr>
        <w:t>between</w:t>
      </w:r>
    </w:p>
    <w:p>
      <w:pPr>
        <w:jc w:val="center"/>
        <w:ind w:right="9099"/>
        <w:spacing w:after="0" w:line="237" w:lineRule="auto"/>
        <w:rPr>
          <w:sz w:val="20"/>
          <w:szCs w:val="20"/>
          <w:color w:val="auto"/>
        </w:rPr>
      </w:pPr>
      <w:r>
        <w:rPr>
          <w:rFonts w:ascii="Courier New" w:cs="Courier New" w:eastAsia="Courier New" w:hAnsi="Courier New"/>
          <w:sz w:val="16"/>
          <w:szCs w:val="16"/>
          <w:color w:val="auto"/>
        </w:rPr>
        <w:t>AT&amp;T Corp.</w:t>
      </w:r>
    </w:p>
    <w:p>
      <w:pPr>
        <w:jc w:val="center"/>
        <w:ind w:right="9099"/>
        <w:spacing w:after="0"/>
        <w:rPr>
          <w:sz w:val="20"/>
          <w:szCs w:val="20"/>
          <w:color w:val="auto"/>
        </w:rPr>
      </w:pPr>
      <w:r>
        <w:rPr>
          <w:rFonts w:ascii="Courier New" w:cs="Courier New" w:eastAsia="Courier New" w:hAnsi="Courier New"/>
          <w:sz w:val="16"/>
          <w:szCs w:val="16"/>
          <w:color w:val="auto"/>
        </w:rPr>
        <w:t>and 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Bank of New</w:t>
      </w:r>
    </w:p>
    <w:p>
      <w:pPr>
        <w:jc w:val="center"/>
        <w:ind w:right="9099"/>
        <w:spacing w:after="0"/>
        <w:rPr>
          <w:sz w:val="20"/>
          <w:szCs w:val="20"/>
          <w:color w:val="auto"/>
        </w:rPr>
      </w:pPr>
      <w:r>
        <w:rPr>
          <w:rFonts w:ascii="Courier New" w:cs="Courier New" w:eastAsia="Courier New" w:hAnsi="Courier New"/>
          <w:sz w:val="16"/>
          <w:szCs w:val="16"/>
          <w:color w:val="auto"/>
        </w:rPr>
        <w:t>York, as</w:t>
      </w:r>
    </w:p>
    <w:p>
      <w:pPr>
        <w:jc w:val="center"/>
        <w:ind w:right="9099"/>
        <w:spacing w:after="0" w:line="238" w:lineRule="auto"/>
        <w:rPr>
          <w:sz w:val="20"/>
          <w:szCs w:val="20"/>
          <w:color w:val="auto"/>
        </w:rPr>
      </w:pPr>
      <w:r>
        <w:rPr>
          <w:rFonts w:ascii="Courier New" w:cs="Courier New" w:eastAsia="Courier New" w:hAnsi="Courier New"/>
          <w:sz w:val="16"/>
          <w:szCs w:val="16"/>
          <w:color w:val="auto"/>
        </w:rPr>
        <w:t>trustee,</w:t>
      </w:r>
    </w:p>
    <w:p>
      <w:pPr>
        <w:jc w:val="center"/>
        <w:ind w:right="9099"/>
        <w:spacing w:after="0"/>
        <w:rPr>
          <w:sz w:val="20"/>
          <w:szCs w:val="20"/>
          <w:color w:val="auto"/>
        </w:rPr>
      </w:pPr>
      <w:r>
        <w:rPr>
          <w:rFonts w:ascii="Courier New" w:cs="Courier New" w:eastAsia="Courier New" w:hAnsi="Courier New"/>
          <w:sz w:val="16"/>
          <w:szCs w:val="16"/>
          <w:color w:val="auto"/>
        </w:rPr>
        <w:t>relating to</w:t>
      </w:r>
    </w:p>
    <w:p>
      <w:pPr>
        <w:jc w:val="center"/>
        <w:ind w:right="909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Exchange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25.3</w:t>
      </w:r>
    </w:p>
    <w:p>
      <w:pPr>
        <w:jc w:val="center"/>
        <w:ind w:right="9099"/>
        <w:spacing w:after="0"/>
        <w:rPr>
          <w:sz w:val="20"/>
          <w:szCs w:val="20"/>
          <w:color w:val="auto"/>
        </w:rPr>
      </w:pPr>
      <w:r>
        <w:rPr>
          <w:rFonts w:ascii="Courier New" w:cs="Courier New" w:eastAsia="Courier New" w:hAnsi="Courier New"/>
          <w:sz w:val="16"/>
          <w:szCs w:val="16"/>
          <w:color w:val="auto"/>
        </w:rPr>
        <w:t>Statement</w:t>
      </w:r>
    </w:p>
    <w:p>
      <w:pPr>
        <w:jc w:val="center"/>
        <w:ind w:right="9099"/>
        <w:spacing w:after="0" w:line="237" w:lineRule="auto"/>
        <w:rPr>
          <w:sz w:val="20"/>
          <w:szCs w:val="20"/>
          <w:color w:val="auto"/>
        </w:rPr>
      </w:pPr>
      <w:r>
        <w:rPr>
          <w:rFonts w:ascii="Courier New" w:cs="Courier New" w:eastAsia="Courier New" w:hAnsi="Courier New"/>
          <w:sz w:val="16"/>
          <w:szCs w:val="16"/>
          <w:color w:val="auto"/>
        </w:rPr>
        <w:t>of</w:t>
      </w:r>
    </w:p>
    <w:p>
      <w:pPr>
        <w:jc w:val="center"/>
        <w:ind w:right="9099"/>
        <w:spacing w:after="0"/>
        <w:rPr>
          <w:sz w:val="20"/>
          <w:szCs w:val="20"/>
          <w:color w:val="auto"/>
        </w:rPr>
      </w:pPr>
      <w:r>
        <w:rPr>
          <w:rFonts w:ascii="Courier New" w:cs="Courier New" w:eastAsia="Courier New" w:hAnsi="Courier New"/>
          <w:sz w:val="16"/>
          <w:szCs w:val="16"/>
          <w:color w:val="auto"/>
        </w:rPr>
        <w:t>Eligibility</w:t>
      </w:r>
    </w:p>
    <w:p>
      <w:pPr>
        <w:jc w:val="center"/>
        <w:ind w:right="9099"/>
        <w:spacing w:after="0" w:line="238" w:lineRule="auto"/>
        <w:rPr>
          <w:sz w:val="20"/>
          <w:szCs w:val="20"/>
          <w:color w:val="auto"/>
        </w:rPr>
      </w:pPr>
      <w:r>
        <w:rPr>
          <w:rFonts w:ascii="Courier New" w:cs="Courier New" w:eastAsia="Courier New" w:hAnsi="Courier New"/>
          <w:sz w:val="16"/>
          <w:szCs w:val="16"/>
          <w:color w:val="auto"/>
        </w:rPr>
        <w:t>on Form T-1</w:t>
      </w:r>
    </w:p>
    <w:p>
      <w:pPr>
        <w:jc w:val="center"/>
        <w:ind w:right="9099"/>
        <w:spacing w:after="0"/>
        <w:rPr>
          <w:sz w:val="20"/>
          <w:szCs w:val="20"/>
          <w:color w:val="auto"/>
        </w:rPr>
      </w:pPr>
      <w:r>
        <w:rPr>
          <w:rFonts w:ascii="Courier New" w:cs="Courier New" w:eastAsia="Courier New" w:hAnsi="Courier New"/>
          <w:sz w:val="16"/>
          <w:szCs w:val="16"/>
          <w:color w:val="auto"/>
        </w:rPr>
        <w:t>of The Bank</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New</w:t>
      </w:r>
    </w:p>
    <w:p>
      <w:pPr>
        <w:jc w:val="center"/>
        <w:ind w:right="9099"/>
        <w:spacing w:after="0"/>
        <w:rPr>
          <w:sz w:val="20"/>
          <w:szCs w:val="20"/>
          <w:color w:val="auto"/>
        </w:rPr>
      </w:pPr>
      <w:r>
        <w:rPr>
          <w:rFonts w:ascii="Courier New" w:cs="Courier New" w:eastAsia="Courier New" w:hAnsi="Courier New"/>
          <w:sz w:val="16"/>
          <w:szCs w:val="16"/>
          <w:color w:val="auto"/>
        </w:rPr>
        <w:t>York, as</w:t>
      </w:r>
    </w:p>
    <w:p>
      <w:pPr>
        <w:jc w:val="center"/>
        <w:ind w:right="9099"/>
        <w:spacing w:after="0" w:line="237" w:lineRule="auto"/>
        <w:rPr>
          <w:sz w:val="20"/>
          <w:szCs w:val="20"/>
          <w:color w:val="auto"/>
        </w:rPr>
      </w:pPr>
      <w:r>
        <w:rPr>
          <w:rFonts w:ascii="Courier New" w:cs="Courier New" w:eastAsia="Courier New" w:hAnsi="Courier New"/>
          <w:sz w:val="16"/>
          <w:szCs w:val="16"/>
          <w:color w:val="auto"/>
        </w:rPr>
        <w:t>trustee,</w:t>
      </w:r>
    </w:p>
    <w:p>
      <w:pPr>
        <w:jc w:val="center"/>
        <w:ind w:right="9099"/>
        <w:spacing w:after="0"/>
        <w:rPr>
          <w:sz w:val="20"/>
          <w:szCs w:val="20"/>
          <w:color w:val="auto"/>
        </w:rPr>
      </w:pPr>
      <w:r>
        <w:rPr>
          <w:rFonts w:ascii="Courier New" w:cs="Courier New" w:eastAsia="Courier New" w:hAnsi="Courier New"/>
          <w:sz w:val="16"/>
          <w:szCs w:val="16"/>
          <w:color w:val="auto"/>
        </w:rPr>
        <w:t>with</w:t>
      </w:r>
    </w:p>
    <w:p>
      <w:pPr>
        <w:jc w:val="center"/>
        <w:ind w:right="9099"/>
        <w:spacing w:after="0" w:line="238" w:lineRule="auto"/>
        <w:rPr>
          <w:sz w:val="20"/>
          <w:szCs w:val="20"/>
          <w:color w:val="auto"/>
        </w:rPr>
      </w:pPr>
      <w:r>
        <w:rPr>
          <w:rFonts w:ascii="Courier New" w:cs="Courier New" w:eastAsia="Courier New" w:hAnsi="Courier New"/>
          <w:sz w:val="16"/>
          <w:szCs w:val="16"/>
          <w:color w:val="auto"/>
        </w:rPr>
        <w:t>respect to</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Indenture</w:t>
      </w:r>
    </w:p>
    <w:p>
      <w:pPr>
        <w:jc w:val="center"/>
        <w:ind w:right="9099"/>
        <w:spacing w:after="0"/>
        <w:rPr>
          <w:sz w:val="20"/>
          <w:szCs w:val="20"/>
          <w:color w:val="auto"/>
        </w:rPr>
      </w:pPr>
      <w:r>
        <w:rPr>
          <w:rFonts w:ascii="Courier New" w:cs="Courier New" w:eastAsia="Courier New" w:hAnsi="Courier New"/>
          <w:sz w:val="16"/>
          <w:szCs w:val="16"/>
          <w:color w:val="auto"/>
        </w:rPr>
        <w:t>among 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Corp., 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Cable</w:t>
      </w:r>
    </w:p>
    <w:p>
      <w:pPr>
        <w:jc w:val="center"/>
        <w:ind w:right="9099"/>
        <w:spacing w:after="0"/>
        <w:rPr>
          <w:sz w:val="20"/>
          <w:szCs w:val="20"/>
          <w:color w:val="auto"/>
        </w:rPr>
      </w:pPr>
      <w:r>
        <w:rPr>
          <w:rFonts w:ascii="Courier New" w:cs="Courier New" w:eastAsia="Courier New" w:hAnsi="Courier New"/>
          <w:sz w:val="16"/>
          <w:szCs w:val="16"/>
          <w:color w:val="auto"/>
        </w:rPr>
        <w:t>Guarantors</w:t>
      </w:r>
    </w:p>
    <w:p>
      <w:pPr>
        <w:jc w:val="center"/>
        <w:ind w:right="9099"/>
        <w:spacing w:after="0" w:line="238" w:lineRule="auto"/>
        <w:rPr>
          <w:sz w:val="20"/>
          <w:szCs w:val="20"/>
          <w:color w:val="auto"/>
        </w:rPr>
      </w:pPr>
      <w:r>
        <w:rPr>
          <w:rFonts w:ascii="Courier New" w:cs="Courier New" w:eastAsia="Courier New" w:hAnsi="Courier New"/>
          <w:sz w:val="16"/>
          <w:szCs w:val="16"/>
          <w:color w:val="auto"/>
        </w:rPr>
        <w:t>party</w:t>
      </w:r>
    </w:p>
    <w:p>
      <w:pPr>
        <w:jc w:val="center"/>
        <w:ind w:right="9099"/>
        <w:spacing w:after="0"/>
        <w:rPr>
          <w:sz w:val="20"/>
          <w:szCs w:val="20"/>
          <w:color w:val="auto"/>
        </w:rPr>
      </w:pPr>
      <w:r>
        <w:rPr>
          <w:rFonts w:ascii="Courier New" w:cs="Courier New" w:eastAsia="Courier New" w:hAnsi="Courier New"/>
          <w:sz w:val="16"/>
          <w:szCs w:val="16"/>
          <w:color w:val="auto"/>
        </w:rPr>
        <w:t>thereto 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The Bank of</w:t>
      </w:r>
    </w:p>
    <w:p>
      <w:pPr>
        <w:jc w:val="center"/>
        <w:ind w:right="9099"/>
        <w:spacing w:after="0"/>
        <w:rPr>
          <w:sz w:val="20"/>
          <w:szCs w:val="20"/>
          <w:color w:val="auto"/>
        </w:rPr>
      </w:pPr>
      <w:r>
        <w:rPr>
          <w:rFonts w:ascii="Courier New" w:cs="Courier New" w:eastAsia="Courier New" w:hAnsi="Courier New"/>
          <w:sz w:val="16"/>
          <w:szCs w:val="16"/>
          <w:color w:val="auto"/>
        </w:rPr>
        <w:t>New York,</w:t>
      </w:r>
    </w:p>
    <w:p>
      <w:pPr>
        <w:jc w:val="center"/>
        <w:ind w:right="9099"/>
        <w:spacing w:after="0" w:line="238" w:lineRule="auto"/>
        <w:rPr>
          <w:sz w:val="20"/>
          <w:szCs w:val="20"/>
          <w:color w:val="auto"/>
        </w:rPr>
      </w:pPr>
      <w:r>
        <w:rPr>
          <w:rFonts w:ascii="Courier New" w:cs="Courier New" w:eastAsia="Courier New" w:hAnsi="Courier New"/>
          <w:sz w:val="16"/>
          <w:szCs w:val="16"/>
          <w:color w:val="auto"/>
        </w:rPr>
        <w:t>as trustee,</w:t>
      </w:r>
    </w:p>
    <w:p>
      <w:pPr>
        <w:jc w:val="center"/>
        <w:ind w:right="9099"/>
        <w:spacing w:after="0"/>
        <w:rPr>
          <w:sz w:val="20"/>
          <w:szCs w:val="20"/>
          <w:color w:val="auto"/>
        </w:rPr>
      </w:pPr>
      <w:r>
        <w:rPr>
          <w:rFonts w:ascii="Courier New" w:cs="Courier New" w:eastAsia="Courier New" w:hAnsi="Courier New"/>
          <w:sz w:val="16"/>
          <w:szCs w:val="16"/>
          <w:color w:val="auto"/>
        </w:rPr>
        <w:t>relating to</w:t>
      </w:r>
    </w:p>
    <w:p>
      <w:pPr>
        <w:jc w:val="center"/>
        <w:ind w:right="9099"/>
        <w:spacing w:after="0" w:line="238" w:lineRule="auto"/>
        <w:rPr>
          <w:sz w:val="20"/>
          <w:szCs w:val="20"/>
          <w:color w:val="auto"/>
        </w:rPr>
      </w:pPr>
      <w:r>
        <w:rPr>
          <w:rFonts w:ascii="Courier New" w:cs="Courier New" w:eastAsia="Courier New" w:hAnsi="Courier New"/>
          <w:sz w:val="16"/>
          <w:szCs w:val="16"/>
          <w:color w:val="auto"/>
        </w:rPr>
        <w:t>the New</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99.1.1 Form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Letter</w:t>
      </w:r>
    </w:p>
    <w:p>
      <w:pPr>
        <w:jc w:val="center"/>
        <w:ind w:right="9099"/>
        <w:spacing w:after="0"/>
        <w:rPr>
          <w:sz w:val="20"/>
          <w:szCs w:val="20"/>
          <w:color w:val="auto"/>
        </w:rPr>
      </w:pPr>
      <w:r>
        <w:rPr>
          <w:rFonts w:ascii="Courier New" w:cs="Courier New" w:eastAsia="Courier New" w:hAnsi="Courier New"/>
          <w:sz w:val="16"/>
          <w:szCs w:val="16"/>
          <w:color w:val="auto"/>
        </w:rPr>
        <w:t>of</w:t>
      </w:r>
    </w:p>
    <w:p>
      <w:pPr>
        <w:jc w:val="center"/>
        <w:ind w:right="9099"/>
        <w:spacing w:after="0" w:line="238" w:lineRule="auto"/>
        <w:rPr>
          <w:sz w:val="20"/>
          <w:szCs w:val="20"/>
          <w:color w:val="auto"/>
        </w:rPr>
      </w:pPr>
      <w:r>
        <w:rPr>
          <w:rFonts w:ascii="Courier New" w:cs="Courier New" w:eastAsia="Courier New" w:hAnsi="Courier New"/>
          <w:sz w:val="16"/>
          <w:szCs w:val="16"/>
          <w:color w:val="auto"/>
        </w:rPr>
        <w:t>Transmittal</w:t>
      </w:r>
    </w:p>
    <w:p>
      <w:pPr>
        <w:jc w:val="center"/>
        <w:ind w:right="9099"/>
        <w:spacing w:after="0"/>
        <w:rPr>
          <w:sz w:val="20"/>
          <w:szCs w:val="20"/>
          <w:color w:val="auto"/>
        </w:rPr>
      </w:pPr>
      <w:r>
        <w:rPr>
          <w:rFonts w:ascii="Courier New" w:cs="Courier New" w:eastAsia="Courier New" w:hAnsi="Courier New"/>
          <w:sz w:val="16"/>
          <w:szCs w:val="16"/>
          <w:color w:val="auto"/>
        </w:rPr>
        <w:t>for</w:t>
      </w:r>
    </w:p>
    <w:p>
      <w:pPr>
        <w:jc w:val="center"/>
        <w:ind w:right="909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99.1.2 Form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Letter</w:t>
      </w:r>
    </w:p>
    <w:p>
      <w:pPr>
        <w:sectPr>
          <w:pgSz w:w="11900" w:h="16908" w:orient="portrait"/>
          <w:cols w:equalWidth="0" w:num="1">
            <w:col w:w="10219"/>
          </w:cols>
          <w:pgMar w:left="240" w:top="834" w:right="1440" w:bottom="0" w:gutter="0" w:footer="0" w:header="0"/>
        </w:sectPr>
      </w:pPr>
    </w:p>
    <w:bookmarkStart w:id="373" w:name="page374"/>
    <w:bookmarkEnd w:id="373"/>
    <w:p>
      <w:pPr>
        <w:jc w:val="center"/>
        <w:ind w:right="9099"/>
        <w:spacing w:after="0"/>
        <w:rPr>
          <w:sz w:val="20"/>
          <w:szCs w:val="20"/>
          <w:color w:val="auto"/>
        </w:rPr>
      </w:pPr>
      <w:r>
        <w:rPr>
          <w:rFonts w:ascii="Courier New" w:cs="Courier New" w:eastAsia="Courier New" w:hAnsi="Courier New"/>
          <w:sz w:val="16"/>
          <w:szCs w:val="16"/>
          <w:color w:val="auto"/>
        </w:rPr>
        <w:t>of</w:t>
      </w:r>
    </w:p>
    <w:p>
      <w:pPr>
        <w:jc w:val="center"/>
        <w:ind w:right="9099"/>
        <w:spacing w:after="0"/>
        <w:rPr>
          <w:sz w:val="20"/>
          <w:szCs w:val="20"/>
          <w:color w:val="auto"/>
        </w:rPr>
      </w:pPr>
      <w:r>
        <w:rPr>
          <w:rFonts w:ascii="Courier New" w:cs="Courier New" w:eastAsia="Courier New" w:hAnsi="Courier New"/>
          <w:sz w:val="16"/>
          <w:szCs w:val="16"/>
          <w:color w:val="auto"/>
        </w:rPr>
        <w:t>Transmittal</w:t>
      </w:r>
    </w:p>
    <w:p>
      <w:pPr>
        <w:ind w:left="180"/>
        <w:spacing w:after="0" w:line="237" w:lineRule="auto"/>
        <w:rPr>
          <w:sz w:val="20"/>
          <w:szCs w:val="20"/>
          <w:color w:val="auto"/>
        </w:rPr>
      </w:pPr>
      <w:r>
        <w:rPr>
          <w:rFonts w:ascii="Courier New" w:cs="Courier New" w:eastAsia="Courier New" w:hAnsi="Courier New"/>
          <w:sz w:val="16"/>
          <w:szCs w:val="16"/>
          <w:color w:val="auto"/>
        </w:rPr>
        <w:t>for AT&amp;T</w:t>
      </w:r>
    </w:p>
    <w:p>
      <w:pPr>
        <w:ind w:left="180"/>
        <w:spacing w:after="0"/>
        <w:rPr>
          <w:sz w:val="20"/>
          <w:szCs w:val="20"/>
          <w:color w:val="auto"/>
        </w:rPr>
      </w:pPr>
      <w:r>
        <w:rPr>
          <w:rFonts w:ascii="Courier New" w:cs="Courier New" w:eastAsia="Courier New" w:hAnsi="Courier New"/>
          <w:sz w:val="16"/>
          <w:szCs w:val="16"/>
          <w:color w:val="auto"/>
        </w:rPr>
        <w:t>Eligible</w:t>
      </w:r>
    </w:p>
    <w:p>
      <w:pPr>
        <w:ind w:left="140"/>
        <w:spacing w:after="0" w:line="238"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99.2.1 Form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Notice</w:t>
      </w:r>
    </w:p>
    <w:p>
      <w:pPr>
        <w:jc w:val="center"/>
        <w:ind w:right="9099"/>
        <w:spacing w:after="0"/>
        <w:rPr>
          <w:sz w:val="20"/>
          <w:szCs w:val="20"/>
          <w:color w:val="auto"/>
        </w:rPr>
      </w:pPr>
      <w:r>
        <w:rPr>
          <w:rFonts w:ascii="Courier New" w:cs="Courier New" w:eastAsia="Courier New" w:hAnsi="Courier New"/>
          <w:sz w:val="16"/>
          <w:szCs w:val="16"/>
          <w:color w:val="auto"/>
        </w:rPr>
        <w:t>of</w:t>
      </w:r>
    </w:p>
    <w:p>
      <w:pPr>
        <w:jc w:val="center"/>
        <w:ind w:right="9099"/>
        <w:spacing w:after="0" w:line="237" w:lineRule="auto"/>
        <w:rPr>
          <w:sz w:val="20"/>
          <w:szCs w:val="20"/>
          <w:color w:val="auto"/>
        </w:rPr>
      </w:pPr>
      <w:r>
        <w:rPr>
          <w:rFonts w:ascii="Courier New" w:cs="Courier New" w:eastAsia="Courier New" w:hAnsi="Courier New"/>
          <w:sz w:val="16"/>
          <w:szCs w:val="16"/>
          <w:color w:val="auto"/>
        </w:rPr>
        <w:t>Guaranteed</w:t>
      </w:r>
    </w:p>
    <w:p>
      <w:pPr>
        <w:jc w:val="center"/>
        <w:ind w:right="9099"/>
        <w:spacing w:after="0"/>
        <w:rPr>
          <w:sz w:val="20"/>
          <w:szCs w:val="20"/>
          <w:color w:val="auto"/>
        </w:rPr>
      </w:pPr>
      <w:r>
        <w:rPr>
          <w:rFonts w:ascii="Courier New" w:cs="Courier New" w:eastAsia="Courier New" w:hAnsi="Courier New"/>
          <w:sz w:val="16"/>
          <w:szCs w:val="16"/>
          <w:color w:val="auto"/>
        </w:rPr>
        <w:t>Delivery</w:t>
      </w:r>
    </w:p>
    <w:p>
      <w:pPr>
        <w:jc w:val="center"/>
        <w:ind w:right="9099"/>
        <w:spacing w:after="0" w:line="238"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7" w:lineRule="auto"/>
        <w:rPr>
          <w:sz w:val="20"/>
          <w:szCs w:val="20"/>
          <w:color w:val="auto"/>
        </w:rPr>
      </w:pPr>
      <w:r>
        <w:rPr>
          <w:rFonts w:ascii="Courier New" w:cs="Courier New" w:eastAsia="Courier New" w:hAnsi="Courier New"/>
          <w:sz w:val="16"/>
          <w:szCs w:val="16"/>
          <w:color w:val="auto"/>
        </w:rPr>
        <w:t>99.2.2 Form</w:t>
      </w:r>
    </w:p>
    <w:p>
      <w:pPr>
        <w:jc w:val="center"/>
        <w:ind w:right="9099"/>
        <w:spacing w:after="0"/>
        <w:rPr>
          <w:sz w:val="20"/>
          <w:szCs w:val="20"/>
          <w:color w:val="auto"/>
        </w:rPr>
      </w:pPr>
      <w:r>
        <w:rPr>
          <w:rFonts w:ascii="Courier New" w:cs="Courier New" w:eastAsia="Courier New" w:hAnsi="Courier New"/>
          <w:sz w:val="16"/>
          <w:szCs w:val="16"/>
          <w:color w:val="auto"/>
        </w:rPr>
        <w:t>of Notice</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w:t>
      </w:r>
    </w:p>
    <w:p>
      <w:pPr>
        <w:jc w:val="center"/>
        <w:ind w:right="9099"/>
        <w:spacing w:after="0"/>
        <w:rPr>
          <w:sz w:val="20"/>
          <w:szCs w:val="20"/>
          <w:color w:val="auto"/>
        </w:rPr>
      </w:pPr>
      <w:r>
        <w:rPr>
          <w:rFonts w:ascii="Courier New" w:cs="Courier New" w:eastAsia="Courier New" w:hAnsi="Courier New"/>
          <w:sz w:val="16"/>
          <w:szCs w:val="16"/>
          <w:color w:val="auto"/>
        </w:rPr>
        <w:t>Guaranteed</w:t>
      </w:r>
    </w:p>
    <w:p>
      <w:pPr>
        <w:ind w:left="180"/>
        <w:spacing w:after="0" w:line="238" w:lineRule="auto"/>
        <w:rPr>
          <w:sz w:val="20"/>
          <w:szCs w:val="20"/>
          <w:color w:val="auto"/>
        </w:rPr>
      </w:pPr>
      <w:r>
        <w:rPr>
          <w:rFonts w:ascii="Courier New" w:cs="Courier New" w:eastAsia="Courier New" w:hAnsi="Courier New"/>
          <w:sz w:val="16"/>
          <w:szCs w:val="16"/>
          <w:color w:val="auto"/>
        </w:rPr>
        <w:t>Delivery</w:t>
      </w:r>
    </w:p>
    <w:p>
      <w:pPr>
        <w:ind w:left="180"/>
        <w:spacing w:after="0"/>
        <w:rPr>
          <w:sz w:val="20"/>
          <w:szCs w:val="20"/>
          <w:color w:val="auto"/>
        </w:rPr>
      </w:pPr>
      <w:r>
        <w:rPr>
          <w:rFonts w:ascii="Courier New" w:cs="Courier New" w:eastAsia="Courier New" w:hAnsi="Courier New"/>
          <w:sz w:val="16"/>
          <w:szCs w:val="16"/>
          <w:color w:val="auto"/>
        </w:rPr>
        <w:t>for AT&amp;T</w:t>
      </w:r>
    </w:p>
    <w:p>
      <w:pPr>
        <w:ind w:left="180"/>
        <w:spacing w:after="0" w:line="237" w:lineRule="auto"/>
        <w:rPr>
          <w:sz w:val="20"/>
          <w:szCs w:val="20"/>
          <w:color w:val="auto"/>
        </w:rPr>
      </w:pPr>
      <w:r>
        <w:rPr>
          <w:rFonts w:ascii="Courier New" w:cs="Courier New" w:eastAsia="Courier New" w:hAnsi="Courier New"/>
          <w:sz w:val="16"/>
          <w:szCs w:val="16"/>
          <w:color w:val="auto"/>
        </w:rPr>
        <w:t>Eligible</w:t>
      </w:r>
    </w:p>
    <w:p>
      <w:pPr>
        <w:ind w:left="140"/>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99.3.1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Holders and</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Depository</w:t>
      </w:r>
    </w:p>
    <w:p>
      <w:pPr>
        <w:jc w:val="center"/>
        <w:ind w:right="9099"/>
        <w:spacing w:after="0"/>
        <w:rPr>
          <w:sz w:val="20"/>
          <w:szCs w:val="20"/>
          <w:color w:val="auto"/>
        </w:rPr>
      </w:pPr>
      <w:r>
        <w:rPr>
          <w:rFonts w:ascii="Courier New" w:cs="Courier New" w:eastAsia="Courier New" w:hAnsi="Courier New"/>
          <w:sz w:val="16"/>
          <w:szCs w:val="16"/>
          <w:color w:val="auto"/>
        </w:rPr>
        <w:t>Trust</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Participants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99.3.2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Holders and</w:t>
      </w:r>
    </w:p>
    <w:p>
      <w:pPr>
        <w:jc w:val="center"/>
        <w:ind w:right="9099"/>
        <w:spacing w:after="0"/>
        <w:rPr>
          <w:sz w:val="20"/>
          <w:szCs w:val="20"/>
          <w:color w:val="auto"/>
        </w:rPr>
      </w:pPr>
      <w:r>
        <w:rPr>
          <w:rFonts w:ascii="Courier New" w:cs="Courier New" w:eastAsia="Courier New" w:hAnsi="Courier New"/>
          <w:sz w:val="16"/>
          <w:szCs w:val="16"/>
          <w:color w:val="auto"/>
        </w:rPr>
        <w:t>The</w:t>
      </w:r>
    </w:p>
    <w:p>
      <w:pPr>
        <w:jc w:val="center"/>
        <w:ind w:right="9099"/>
        <w:spacing w:after="0" w:line="238" w:lineRule="auto"/>
        <w:rPr>
          <w:sz w:val="20"/>
          <w:szCs w:val="20"/>
          <w:color w:val="auto"/>
        </w:rPr>
      </w:pPr>
      <w:r>
        <w:rPr>
          <w:rFonts w:ascii="Courier New" w:cs="Courier New" w:eastAsia="Courier New" w:hAnsi="Courier New"/>
          <w:sz w:val="16"/>
          <w:szCs w:val="16"/>
          <w:color w:val="auto"/>
        </w:rPr>
        <w:t>Depository</w:t>
      </w:r>
    </w:p>
    <w:p>
      <w:pPr>
        <w:jc w:val="center"/>
        <w:ind w:right="9099"/>
        <w:spacing w:after="0"/>
        <w:rPr>
          <w:sz w:val="20"/>
          <w:szCs w:val="20"/>
          <w:color w:val="auto"/>
        </w:rPr>
      </w:pPr>
      <w:r>
        <w:rPr>
          <w:rFonts w:ascii="Courier New" w:cs="Courier New" w:eastAsia="Courier New" w:hAnsi="Courier New"/>
          <w:sz w:val="16"/>
          <w:szCs w:val="16"/>
          <w:color w:val="auto"/>
        </w:rPr>
        <w:t>Trust</w:t>
      </w:r>
    </w:p>
    <w:p>
      <w:pPr>
        <w:jc w:val="center"/>
        <w:ind w:right="9099"/>
        <w:spacing w:after="0" w:line="238" w:lineRule="auto"/>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Participants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AT&amp;T</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7" w:lineRule="auto"/>
        <w:rPr>
          <w:sz w:val="20"/>
          <w:szCs w:val="20"/>
          <w:color w:val="auto"/>
        </w:rPr>
      </w:pPr>
      <w:r>
        <w:rPr>
          <w:rFonts w:ascii="Courier New" w:cs="Courier New" w:eastAsia="Courier New" w:hAnsi="Courier New"/>
          <w:sz w:val="16"/>
          <w:szCs w:val="16"/>
          <w:color w:val="auto"/>
        </w:rPr>
        <w:t>Notes.(6)</w:t>
      </w:r>
    </w:p>
    <w:p>
      <w:pPr>
        <w:jc w:val="center"/>
        <w:ind w:right="9099"/>
        <w:spacing w:after="0"/>
        <w:rPr>
          <w:sz w:val="20"/>
          <w:szCs w:val="20"/>
          <w:color w:val="auto"/>
        </w:rPr>
      </w:pPr>
      <w:r>
        <w:rPr>
          <w:rFonts w:ascii="Courier New" w:cs="Courier New" w:eastAsia="Courier New" w:hAnsi="Courier New"/>
          <w:sz w:val="16"/>
          <w:szCs w:val="16"/>
          <w:color w:val="auto"/>
        </w:rPr>
        <w:t>99.4.1 Form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of Letter</w:t>
      </w:r>
    </w:p>
    <w:p>
      <w:pPr>
        <w:jc w:val="center"/>
        <w:ind w:right="9099"/>
        <w:spacing w:after="0"/>
        <w:rPr>
          <w:sz w:val="20"/>
          <w:szCs w:val="20"/>
          <w:color w:val="auto"/>
        </w:rPr>
      </w:pPr>
      <w:r>
        <w:rPr>
          <w:rFonts w:ascii="Courier New" w:cs="Courier New" w:eastAsia="Courier New" w:hAnsi="Courier New"/>
          <w:sz w:val="16"/>
          <w:szCs w:val="16"/>
          <w:color w:val="auto"/>
        </w:rPr>
        <w:t>to Clients</w:t>
      </w:r>
    </w:p>
    <w:p>
      <w:pPr>
        <w:jc w:val="center"/>
        <w:ind w:right="9099"/>
        <w:spacing w:after="0" w:line="238"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99.4.2 Form</w:t>
      </w:r>
    </w:p>
    <w:p>
      <w:pPr>
        <w:jc w:val="center"/>
        <w:ind w:right="9099"/>
        <w:spacing w:after="0"/>
        <w:rPr>
          <w:sz w:val="20"/>
          <w:szCs w:val="20"/>
          <w:color w:val="auto"/>
        </w:rPr>
      </w:pPr>
      <w:r>
        <w:rPr>
          <w:rFonts w:ascii="Courier New" w:cs="Courier New" w:eastAsia="Courier New" w:hAnsi="Courier New"/>
          <w:sz w:val="16"/>
          <w:szCs w:val="16"/>
          <w:color w:val="auto"/>
        </w:rPr>
        <w:t>of Letter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to Clients</w:t>
      </w:r>
    </w:p>
    <w:p>
      <w:pPr>
        <w:jc w:val="center"/>
        <w:ind w:right="9099"/>
        <w:spacing w:after="0"/>
        <w:rPr>
          <w:sz w:val="20"/>
          <w:szCs w:val="20"/>
          <w:color w:val="auto"/>
        </w:rPr>
      </w:pPr>
      <w:r>
        <w:rPr>
          <w:rFonts w:ascii="Courier New" w:cs="Courier New" w:eastAsia="Courier New" w:hAnsi="Courier New"/>
          <w:sz w:val="16"/>
          <w:szCs w:val="16"/>
          <w:color w:val="auto"/>
        </w:rPr>
        <w:t>for AT&amp;T</w:t>
      </w:r>
    </w:p>
    <w:p>
      <w:pPr>
        <w:jc w:val="center"/>
        <w:ind w:right="909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99.5.1 Form</w:t>
      </w:r>
    </w:p>
    <w:p>
      <w:pPr>
        <w:jc w:val="center"/>
        <w:ind w:right="9099"/>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Instructions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w:t>
      </w:r>
    </w:p>
    <w:p>
      <w:pPr>
        <w:jc w:val="center"/>
        <w:ind w:right="9099"/>
        <w:spacing w:after="0"/>
        <w:rPr>
          <w:sz w:val="20"/>
          <w:szCs w:val="20"/>
          <w:color w:val="auto"/>
        </w:rPr>
      </w:pPr>
      <w:r>
        <w:rPr>
          <w:rFonts w:ascii="Courier New" w:cs="Courier New" w:eastAsia="Courier New" w:hAnsi="Courier New"/>
          <w:sz w:val="16"/>
          <w:szCs w:val="16"/>
          <w:color w:val="auto"/>
        </w:rPr>
        <w:t>and/or</w:t>
      </w:r>
    </w:p>
    <w:p>
      <w:pPr>
        <w:jc w:val="center"/>
        <w:ind w:right="9099"/>
        <w:spacing w:after="0" w:line="238" w:lineRule="auto"/>
        <w:rPr>
          <w:sz w:val="20"/>
          <w:szCs w:val="20"/>
          <w:color w:val="auto"/>
        </w:rPr>
      </w:pPr>
      <w:r>
        <w:rPr>
          <w:rFonts w:ascii="Courier New" w:cs="Courier New" w:eastAsia="Courier New" w:hAnsi="Courier New"/>
          <w:sz w:val="16"/>
          <w:szCs w:val="16"/>
          <w:color w:val="auto"/>
        </w:rPr>
        <w:t>Book-Entry</w:t>
      </w:r>
    </w:p>
    <w:p>
      <w:pPr>
        <w:jc w:val="center"/>
        <w:ind w:right="9099"/>
        <w:spacing w:after="0"/>
        <w:rPr>
          <w:sz w:val="20"/>
          <w:szCs w:val="20"/>
          <w:color w:val="auto"/>
        </w:rPr>
      </w:pPr>
      <w:r>
        <w:rPr>
          <w:rFonts w:ascii="Courier New" w:cs="Courier New" w:eastAsia="Courier New" w:hAnsi="Courier New"/>
          <w:sz w:val="16"/>
          <w:szCs w:val="16"/>
          <w:color w:val="auto"/>
        </w:rPr>
        <w:t>Transfer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Participant</w:t>
      </w:r>
    </w:p>
    <w:p>
      <w:pPr>
        <w:jc w:val="center"/>
        <w:ind w:right="9099"/>
        <w:spacing w:after="0"/>
        <w:rPr>
          <w:sz w:val="20"/>
          <w:szCs w:val="20"/>
          <w:color w:val="auto"/>
        </w:rPr>
      </w:pPr>
      <w:r>
        <w:rPr>
          <w:rFonts w:ascii="Courier New" w:cs="Courier New" w:eastAsia="Courier New" w:hAnsi="Courier New"/>
          <w:sz w:val="16"/>
          <w:szCs w:val="16"/>
          <w:color w:val="auto"/>
        </w:rPr>
        <w:t>from Owner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for</w:t>
      </w:r>
    </w:p>
    <w:p>
      <w:pPr>
        <w:jc w:val="center"/>
        <w:ind w:right="9099"/>
        <w:spacing w:after="0"/>
        <w:rPr>
          <w:sz w:val="20"/>
          <w:szCs w:val="20"/>
          <w:color w:val="auto"/>
        </w:rPr>
      </w:pPr>
      <w:r>
        <w:rPr>
          <w:rFonts w:ascii="Courier New" w:cs="Courier New" w:eastAsia="Courier New" w:hAnsi="Courier New"/>
          <w:sz w:val="16"/>
          <w:szCs w:val="16"/>
          <w:color w:val="auto"/>
        </w:rPr>
        <w:t>Broadband</w:t>
      </w:r>
    </w:p>
    <w:p>
      <w:pPr>
        <w:jc w:val="center"/>
        <w:ind w:right="9099"/>
        <w:spacing w:after="0" w:line="238" w:lineRule="auto"/>
        <w:rPr>
          <w:sz w:val="20"/>
          <w:szCs w:val="20"/>
          <w:color w:val="auto"/>
        </w:rPr>
      </w:pPr>
      <w:r>
        <w:rPr>
          <w:rFonts w:ascii="Courier New" w:cs="Courier New" w:eastAsia="Courier New" w:hAnsi="Courier New"/>
          <w:sz w:val="16"/>
          <w:szCs w:val="16"/>
          <w:color w:val="auto"/>
        </w:rPr>
        <w:t>Eligible</w:t>
      </w:r>
    </w:p>
    <w:p>
      <w:pPr>
        <w:jc w:val="center"/>
        <w:ind w:right="9099"/>
        <w:spacing w:after="0"/>
        <w:rPr>
          <w:sz w:val="20"/>
          <w:szCs w:val="20"/>
          <w:color w:val="auto"/>
        </w:rPr>
      </w:pPr>
      <w:r>
        <w:rPr>
          <w:rFonts w:ascii="Courier New" w:cs="Courier New" w:eastAsia="Courier New" w:hAnsi="Courier New"/>
          <w:sz w:val="16"/>
          <w:szCs w:val="16"/>
          <w:color w:val="auto"/>
        </w:rPr>
        <w:t>Notes.(6)</w:t>
      </w:r>
    </w:p>
    <w:p>
      <w:pPr>
        <w:jc w:val="center"/>
        <w:ind w:right="9099"/>
        <w:spacing w:after="0" w:line="238" w:lineRule="auto"/>
        <w:rPr>
          <w:sz w:val="20"/>
          <w:szCs w:val="20"/>
          <w:color w:val="auto"/>
        </w:rPr>
      </w:pPr>
      <w:r>
        <w:rPr>
          <w:rFonts w:ascii="Courier New" w:cs="Courier New" w:eastAsia="Courier New" w:hAnsi="Courier New"/>
          <w:sz w:val="16"/>
          <w:szCs w:val="16"/>
          <w:color w:val="auto"/>
        </w:rPr>
        <w:t>99.5.2 Form</w:t>
      </w:r>
    </w:p>
    <w:p>
      <w:pPr>
        <w:jc w:val="center"/>
        <w:ind w:right="9099"/>
        <w:spacing w:after="0"/>
        <w:rPr>
          <w:sz w:val="20"/>
          <w:szCs w:val="20"/>
          <w:color w:val="auto"/>
        </w:rPr>
      </w:pPr>
      <w:r>
        <w:rPr>
          <w:rFonts w:ascii="Courier New" w:cs="Courier New" w:eastAsia="Courier New" w:hAnsi="Courier New"/>
          <w:sz w:val="16"/>
          <w:szCs w:val="16"/>
          <w:color w:val="auto"/>
        </w:rPr>
        <w:t>of</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Instructions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jc w:val="center"/>
        <w:ind w:right="9099"/>
        <w:spacing w:after="0"/>
        <w:rPr>
          <w:sz w:val="20"/>
          <w:szCs w:val="20"/>
          <w:color w:val="auto"/>
        </w:rPr>
      </w:pPr>
      <w:r>
        <w:rPr>
          <w:rFonts w:ascii="Courier New" w:cs="Courier New" w:eastAsia="Courier New" w:hAnsi="Courier New"/>
          <w:sz w:val="16"/>
          <w:szCs w:val="16"/>
          <w:color w:val="auto"/>
        </w:rPr>
        <w:t>Registered</w:t>
      </w:r>
    </w:p>
    <w:p>
      <w:pPr>
        <w:jc w:val="center"/>
        <w:ind w:right="9099"/>
        <w:spacing w:after="0" w:line="237" w:lineRule="auto"/>
        <w:rPr>
          <w:sz w:val="20"/>
          <w:szCs w:val="20"/>
          <w:color w:val="auto"/>
        </w:rPr>
      </w:pPr>
      <w:r>
        <w:rPr>
          <w:rFonts w:ascii="Courier New" w:cs="Courier New" w:eastAsia="Courier New" w:hAnsi="Courier New"/>
          <w:sz w:val="16"/>
          <w:szCs w:val="16"/>
          <w:color w:val="auto"/>
        </w:rPr>
        <w:t>Holder</w:t>
      </w:r>
    </w:p>
    <w:p>
      <w:pPr>
        <w:jc w:val="center"/>
        <w:ind w:right="9099"/>
        <w:spacing w:after="0"/>
        <w:rPr>
          <w:sz w:val="20"/>
          <w:szCs w:val="20"/>
          <w:color w:val="auto"/>
        </w:rPr>
      </w:pPr>
      <w:r>
        <w:rPr>
          <w:rFonts w:ascii="Courier New" w:cs="Courier New" w:eastAsia="Courier New" w:hAnsi="Courier New"/>
          <w:sz w:val="16"/>
          <w:szCs w:val="16"/>
          <w:color w:val="auto"/>
        </w:rPr>
        <w:t>and/or</w:t>
      </w:r>
    </w:p>
    <w:p>
      <w:pPr>
        <w:jc w:val="center"/>
        <w:ind w:right="9099"/>
        <w:spacing w:after="0" w:line="238" w:lineRule="auto"/>
        <w:rPr>
          <w:sz w:val="20"/>
          <w:szCs w:val="20"/>
          <w:color w:val="auto"/>
        </w:rPr>
      </w:pPr>
      <w:r>
        <w:rPr>
          <w:rFonts w:ascii="Courier New" w:cs="Courier New" w:eastAsia="Courier New" w:hAnsi="Courier New"/>
          <w:sz w:val="16"/>
          <w:szCs w:val="16"/>
          <w:color w:val="auto"/>
        </w:rPr>
        <w:t>Book-Entry</w:t>
      </w:r>
    </w:p>
    <w:p>
      <w:pPr>
        <w:jc w:val="center"/>
        <w:ind w:right="9099"/>
        <w:spacing w:after="0"/>
        <w:rPr>
          <w:sz w:val="20"/>
          <w:szCs w:val="20"/>
          <w:color w:val="auto"/>
        </w:rPr>
      </w:pPr>
      <w:r>
        <w:rPr>
          <w:rFonts w:ascii="Courier New" w:cs="Courier New" w:eastAsia="Courier New" w:hAnsi="Courier New"/>
          <w:sz w:val="16"/>
          <w:szCs w:val="16"/>
          <w:color w:val="auto"/>
        </w:rPr>
        <w:t>Transfer</w:t>
      </w:r>
    </w:p>
    <w:p>
      <w:pPr>
        <w:jc w:val="center"/>
        <w:ind w:right="9099"/>
        <w:spacing w:after="0" w:line="238" w:lineRule="auto"/>
        <w:rPr>
          <w:sz w:val="20"/>
          <w:szCs w:val="20"/>
          <w:color w:val="auto"/>
        </w:rPr>
      </w:pPr>
      <w:r>
        <w:rPr>
          <w:rFonts w:ascii="Courier New" w:cs="Courier New" w:eastAsia="Courier New" w:hAnsi="Courier New"/>
          <w:sz w:val="16"/>
          <w:szCs w:val="16"/>
          <w:color w:val="auto"/>
        </w:rPr>
        <w:t>Participant</w:t>
      </w:r>
    </w:p>
    <w:p>
      <w:pPr>
        <w:jc w:val="center"/>
        <w:ind w:right="9099"/>
        <w:spacing w:after="0"/>
        <w:rPr>
          <w:sz w:val="20"/>
          <w:szCs w:val="20"/>
          <w:color w:val="auto"/>
        </w:rPr>
      </w:pPr>
      <w:r>
        <w:rPr>
          <w:rFonts w:ascii="Courier New" w:cs="Courier New" w:eastAsia="Courier New" w:hAnsi="Courier New"/>
          <w:sz w:val="16"/>
          <w:szCs w:val="16"/>
          <w:color w:val="auto"/>
        </w:rPr>
        <w:t>from Owner</w:t>
      </w:r>
    </w:p>
    <w:p>
      <w:pPr>
        <w:jc w:val="center"/>
        <w:ind w:right="9099"/>
        <w:spacing w:after="0" w:line="237" w:lineRule="auto"/>
        <w:rPr>
          <w:sz w:val="20"/>
          <w:szCs w:val="20"/>
          <w:color w:val="auto"/>
        </w:rPr>
      </w:pPr>
      <w:r>
        <w:rPr>
          <w:rFonts w:ascii="Courier New" w:cs="Courier New" w:eastAsia="Courier New" w:hAnsi="Courier New"/>
          <w:sz w:val="16"/>
          <w:szCs w:val="16"/>
          <w:color w:val="auto"/>
        </w:rPr>
        <w:t>for AT&amp;T</w:t>
      </w:r>
    </w:p>
    <w:p>
      <w:pPr>
        <w:jc w:val="center"/>
        <w:ind w:right="9099"/>
        <w:spacing w:after="0"/>
        <w:rPr>
          <w:sz w:val="20"/>
          <w:szCs w:val="20"/>
          <w:color w:val="auto"/>
        </w:rPr>
      </w:pPr>
      <w:r>
        <w:rPr>
          <w:rFonts w:ascii="Courier New" w:cs="Courier New" w:eastAsia="Courier New" w:hAnsi="Courier New"/>
          <w:sz w:val="16"/>
          <w:szCs w:val="16"/>
          <w:color w:val="auto"/>
        </w:rPr>
        <w:t>Eligible</w:t>
      </w:r>
    </w:p>
    <w:p>
      <w:pPr>
        <w:jc w:val="center"/>
        <w:ind w:right="9099"/>
        <w:spacing w:after="0" w:line="238" w:lineRule="auto"/>
        <w:rPr>
          <w:sz w:val="20"/>
          <w:szCs w:val="20"/>
          <w:color w:val="auto"/>
        </w:rPr>
      </w:pPr>
      <w:r>
        <w:rPr>
          <w:rFonts w:ascii="Courier New" w:cs="Courier New" w:eastAsia="Courier New" w:hAnsi="Courier New"/>
          <w:sz w:val="16"/>
          <w:szCs w:val="16"/>
          <w:color w:val="auto"/>
        </w:rPr>
        <w:t>Notes.(6)</w:t>
      </w:r>
    </w:p>
    <w:p>
      <w:pPr>
        <w:sectPr>
          <w:pgSz w:w="11900" w:h="16838" w:orient="portrait"/>
          <w:cols w:equalWidth="0" w:num="1">
            <w:col w:w="10219"/>
          </w:cols>
          <w:pgMar w:left="240" w:top="136" w:right="1440" w:bottom="0" w:gutter="0" w:footer="0" w:header="0"/>
        </w:sectPr>
      </w:pPr>
    </w:p>
    <w:bookmarkStart w:id="374" w:name="page375"/>
    <w:bookmarkEnd w:id="374"/>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3279" w:hanging="384"/>
        <w:spacing w:after="0" w:line="236" w:lineRule="auto"/>
        <w:tabs>
          <w:tab w:leader="none" w:pos="384"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AT&amp;T Comcast Corporation Registration Statement on Form S-4, filed on February 11, 2002.</w:t>
      </w:r>
    </w:p>
    <w:p>
      <w:pPr>
        <w:spacing w:after="0" w:line="184" w:lineRule="exact"/>
        <w:rPr>
          <w:rFonts w:ascii="Courier New" w:cs="Courier New" w:eastAsia="Courier New" w:hAnsi="Courier New"/>
          <w:sz w:val="16"/>
          <w:szCs w:val="16"/>
          <w:color w:val="auto"/>
        </w:rPr>
      </w:pPr>
    </w:p>
    <w:p>
      <w:pPr>
        <w:ind w:left="384" w:right="2819" w:hanging="384"/>
        <w:spacing w:after="0" w:line="236" w:lineRule="auto"/>
        <w:tabs>
          <w:tab w:leader="none" w:pos="384"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Annual Report on Form 10-K for the year ended December 31, 2001, filed on April 1, 2002.</w:t>
      </w:r>
    </w:p>
    <w:p>
      <w:pPr>
        <w:spacing w:after="0" w:line="184"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Registration Statement on Form SE, dated September 10, 1990.</w:t>
      </w:r>
    </w:p>
    <w:p>
      <w:pPr>
        <w:spacing w:after="0" w:line="184" w:lineRule="exact"/>
        <w:rPr>
          <w:rFonts w:ascii="Courier New" w:cs="Courier New" w:eastAsia="Courier New" w:hAnsi="Courier New"/>
          <w:sz w:val="16"/>
          <w:szCs w:val="16"/>
          <w:color w:val="auto"/>
        </w:rPr>
      </w:pPr>
    </w:p>
    <w:p>
      <w:pPr>
        <w:ind w:left="384" w:right="3379" w:hanging="384"/>
        <w:spacing w:after="0" w:line="236" w:lineRule="auto"/>
        <w:tabs>
          <w:tab w:leader="none" w:pos="384"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Current Report on Form 8-K, dated December 1, 1992.</w:t>
      </w:r>
    </w:p>
    <w:p>
      <w:pPr>
        <w:spacing w:after="0" w:line="184" w:lineRule="exact"/>
        <w:rPr>
          <w:rFonts w:ascii="Courier New" w:cs="Courier New" w:eastAsia="Courier New" w:hAnsi="Courier New"/>
          <w:sz w:val="16"/>
          <w:szCs w:val="16"/>
          <w:color w:val="auto"/>
        </w:rPr>
      </w:pPr>
    </w:p>
    <w:p>
      <w:pPr>
        <w:ind w:left="384" w:right="3759" w:hanging="384"/>
        <w:spacing w:after="0" w:line="263" w:lineRule="auto"/>
        <w:tabs>
          <w:tab w:leader="none" w:pos="384"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AT&amp;T Comcast Corporation Amended Registration Statement on Form S-4/A, filed on May 14, 2002.</w:t>
      </w:r>
    </w:p>
    <w:p>
      <w:pPr>
        <w:spacing w:after="0" w:line="344"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this Registration Statement.</w:t>
      </w:r>
    </w:p>
    <w:p>
      <w:pPr>
        <w:sectPr>
          <w:pgSz w:w="11900" w:h="16838" w:orient="portrait"/>
          <w:cols w:equalWidth="0" w:num="1">
            <w:col w:w="10223"/>
          </w:cols>
          <w:pgMar w:left="236" w:top="678" w:right="1440" w:bottom="1440" w:gutter="0" w:footer="0" w:header="0"/>
        </w:sectPr>
      </w:pPr>
    </w:p>
    <w:bookmarkStart w:id="375" w:name="page376"/>
    <w:bookmarkEnd w:id="375"/>
    <w:p>
      <w:pPr>
        <w:jc w:val="right"/>
        <w:ind w:right="2719"/>
        <w:spacing w:after="0"/>
        <w:rPr>
          <w:sz w:val="20"/>
          <w:szCs w:val="20"/>
          <w:color w:val="auto"/>
        </w:rPr>
      </w:pPr>
      <w:r>
        <w:rPr>
          <w:rFonts w:ascii="Courier New" w:cs="Courier New" w:eastAsia="Courier New" w:hAnsi="Courier New"/>
          <w:sz w:val="16"/>
          <w:szCs w:val="16"/>
          <w:color w:val="auto"/>
        </w:rPr>
        <w:t>Exhibit 1.1</w:t>
      </w:r>
    </w:p>
    <w:p>
      <w:pPr>
        <w:spacing w:after="0" w:line="360" w:lineRule="exact"/>
        <w:rPr>
          <w:sz w:val="20"/>
          <w:szCs w:val="20"/>
          <w:color w:val="auto"/>
        </w:rPr>
      </w:pPr>
    </w:p>
    <w:p>
      <w:pPr>
        <w:ind w:left="2244"/>
        <w:spacing w:after="0"/>
        <w:rPr>
          <w:sz w:val="20"/>
          <w:szCs w:val="20"/>
          <w:color w:val="auto"/>
        </w:rPr>
      </w:pPr>
      <w:r>
        <w:rPr>
          <w:rFonts w:ascii="Courier New" w:cs="Courier New" w:eastAsia="Courier New" w:hAnsi="Courier New"/>
          <w:sz w:val="16"/>
          <w:szCs w:val="16"/>
          <w:color w:val="auto"/>
        </w:rPr>
        <w:t>FORM OF DEALER MANAGER AGREEMENT</w:t>
      </w:r>
    </w:p>
    <w:p>
      <w:pPr>
        <w:spacing w:after="0" w:line="360"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October 4, 2002</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Credit Suisse First Boston Corporation</w:t>
      </w:r>
    </w:p>
    <w:p>
      <w:pPr>
        <w:ind w:left="4"/>
        <w:spacing w:after="0"/>
        <w:rPr>
          <w:sz w:val="20"/>
          <w:szCs w:val="20"/>
          <w:color w:val="auto"/>
        </w:rPr>
      </w:pPr>
      <w:r>
        <w:rPr>
          <w:rFonts w:ascii="Courier New" w:cs="Courier New" w:eastAsia="Courier New" w:hAnsi="Courier New"/>
          <w:sz w:val="16"/>
          <w:szCs w:val="16"/>
          <w:color w:val="auto"/>
        </w:rPr>
        <w:t>11 Madison Avenue</w:t>
      </w:r>
    </w:p>
    <w:p>
      <w:pPr>
        <w:ind w:left="4"/>
        <w:spacing w:after="0" w:line="237" w:lineRule="auto"/>
        <w:rPr>
          <w:sz w:val="20"/>
          <w:szCs w:val="20"/>
          <w:color w:val="auto"/>
        </w:rPr>
      </w:pPr>
      <w:r>
        <w:rPr>
          <w:rFonts w:ascii="Courier New" w:cs="Courier New" w:eastAsia="Courier New" w:hAnsi="Courier New"/>
          <w:sz w:val="16"/>
          <w:szCs w:val="16"/>
          <w:color w:val="auto"/>
        </w:rPr>
        <w:t>New York, New York 10010</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Deutsche Bank Securities Inc.</w:t>
      </w:r>
    </w:p>
    <w:p>
      <w:pPr>
        <w:ind w:left="4"/>
        <w:spacing w:after="0"/>
        <w:rPr>
          <w:sz w:val="20"/>
          <w:szCs w:val="20"/>
          <w:color w:val="auto"/>
        </w:rPr>
      </w:pPr>
      <w:r>
        <w:rPr>
          <w:rFonts w:ascii="Courier New" w:cs="Courier New" w:eastAsia="Courier New" w:hAnsi="Courier New"/>
          <w:sz w:val="16"/>
          <w:szCs w:val="16"/>
          <w:color w:val="auto"/>
        </w:rPr>
        <w:t>31 West 52nd Street</w:t>
      </w:r>
    </w:p>
    <w:p>
      <w:pPr>
        <w:ind w:left="4"/>
        <w:spacing w:after="0" w:line="237" w:lineRule="auto"/>
        <w:rPr>
          <w:sz w:val="20"/>
          <w:szCs w:val="20"/>
          <w:color w:val="auto"/>
        </w:rPr>
      </w:pPr>
      <w:r>
        <w:rPr>
          <w:rFonts w:ascii="Courier New" w:cs="Courier New" w:eastAsia="Courier New" w:hAnsi="Courier New"/>
          <w:sz w:val="16"/>
          <w:szCs w:val="16"/>
          <w:color w:val="auto"/>
        </w:rPr>
        <w:t>New York, New York 10019</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Goldman, Sachs &amp; Co.</w:t>
      </w:r>
    </w:p>
    <w:p>
      <w:pPr>
        <w:ind w:left="4"/>
        <w:spacing w:after="0"/>
        <w:rPr>
          <w:sz w:val="20"/>
          <w:szCs w:val="20"/>
          <w:color w:val="auto"/>
        </w:rPr>
      </w:pPr>
      <w:r>
        <w:rPr>
          <w:rFonts w:ascii="Courier New" w:cs="Courier New" w:eastAsia="Courier New" w:hAnsi="Courier New"/>
          <w:sz w:val="16"/>
          <w:szCs w:val="16"/>
          <w:color w:val="auto"/>
        </w:rPr>
        <w:t>85 Broad Street</w:t>
      </w:r>
    </w:p>
    <w:p>
      <w:pPr>
        <w:ind w:left="4"/>
        <w:spacing w:after="0" w:line="237" w:lineRule="auto"/>
        <w:rPr>
          <w:sz w:val="20"/>
          <w:szCs w:val="20"/>
          <w:color w:val="auto"/>
        </w:rPr>
      </w:pPr>
      <w:r>
        <w:rPr>
          <w:rFonts w:ascii="Courier New" w:cs="Courier New" w:eastAsia="Courier New" w:hAnsi="Courier New"/>
          <w:sz w:val="16"/>
          <w:szCs w:val="16"/>
          <w:color w:val="auto"/>
        </w:rPr>
        <w:t>New York, New York 10004</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J.P. Morgan Securities Inc.</w:t>
      </w:r>
    </w:p>
    <w:p>
      <w:pPr>
        <w:ind w:left="4"/>
        <w:spacing w:after="0"/>
        <w:rPr>
          <w:sz w:val="20"/>
          <w:szCs w:val="20"/>
          <w:color w:val="auto"/>
        </w:rPr>
      </w:pPr>
      <w:r>
        <w:rPr>
          <w:rFonts w:ascii="Courier New" w:cs="Courier New" w:eastAsia="Courier New" w:hAnsi="Courier New"/>
          <w:sz w:val="16"/>
          <w:szCs w:val="16"/>
          <w:color w:val="auto"/>
        </w:rPr>
        <w:t>270 Park Avenue</w:t>
      </w:r>
    </w:p>
    <w:p>
      <w:pPr>
        <w:ind w:left="4"/>
        <w:spacing w:after="0" w:line="237" w:lineRule="auto"/>
        <w:rPr>
          <w:sz w:val="20"/>
          <w:szCs w:val="20"/>
          <w:color w:val="auto"/>
        </w:rPr>
      </w:pPr>
      <w:r>
        <w:rPr>
          <w:rFonts w:ascii="Courier New" w:cs="Courier New" w:eastAsia="Courier New" w:hAnsi="Courier New"/>
          <w:sz w:val="16"/>
          <w:szCs w:val="16"/>
          <w:color w:val="auto"/>
        </w:rPr>
        <w:t>New York, New York 10017</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Merrill Lynch, Pierce, Fenner &amp; Smith</w:t>
      </w:r>
    </w:p>
    <w:p>
      <w:pPr>
        <w:ind w:left="284"/>
        <w:spacing w:after="0"/>
        <w:rPr>
          <w:sz w:val="20"/>
          <w:szCs w:val="20"/>
          <w:color w:val="auto"/>
        </w:rPr>
      </w:pPr>
      <w:r>
        <w:rPr>
          <w:rFonts w:ascii="Courier New" w:cs="Courier New" w:eastAsia="Courier New" w:hAnsi="Courier New"/>
          <w:sz w:val="16"/>
          <w:szCs w:val="16"/>
          <w:color w:val="auto"/>
        </w:rPr>
        <w:t>Incorporated</w:t>
      </w:r>
    </w:p>
    <w:p>
      <w:pPr>
        <w:ind w:left="4"/>
        <w:spacing w:after="0" w:line="237" w:lineRule="auto"/>
        <w:rPr>
          <w:sz w:val="20"/>
          <w:szCs w:val="20"/>
          <w:color w:val="auto"/>
        </w:rPr>
      </w:pPr>
      <w:r>
        <w:rPr>
          <w:rFonts w:ascii="Courier New" w:cs="Courier New" w:eastAsia="Courier New" w:hAnsi="Courier New"/>
          <w:sz w:val="16"/>
          <w:szCs w:val="16"/>
          <w:color w:val="auto"/>
        </w:rPr>
        <w:t>Four World Financial Center</w:t>
      </w:r>
    </w:p>
    <w:p>
      <w:pPr>
        <w:ind w:left="4"/>
        <w:spacing w:after="0"/>
        <w:rPr>
          <w:sz w:val="20"/>
          <w:szCs w:val="20"/>
          <w:color w:val="auto"/>
        </w:rPr>
      </w:pPr>
      <w:r>
        <w:rPr>
          <w:rFonts w:ascii="Courier New" w:cs="Courier New" w:eastAsia="Courier New" w:hAnsi="Courier New"/>
          <w:sz w:val="16"/>
          <w:szCs w:val="16"/>
          <w:color w:val="auto"/>
        </w:rPr>
        <w:t>New York, New York 10080</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Morgan Stanley &amp; Co. Incorporated</w:t>
      </w:r>
    </w:p>
    <w:p>
      <w:pPr>
        <w:ind w:left="4"/>
        <w:spacing w:after="0"/>
        <w:rPr>
          <w:sz w:val="20"/>
          <w:szCs w:val="20"/>
          <w:color w:val="auto"/>
        </w:rPr>
      </w:pPr>
      <w:r>
        <w:rPr>
          <w:rFonts w:ascii="Courier New" w:cs="Courier New" w:eastAsia="Courier New" w:hAnsi="Courier New"/>
          <w:sz w:val="16"/>
          <w:szCs w:val="16"/>
          <w:color w:val="auto"/>
        </w:rPr>
        <w:t>1585 Broadway</w:t>
      </w:r>
    </w:p>
    <w:p>
      <w:pPr>
        <w:ind w:left="4"/>
        <w:spacing w:after="0" w:line="237" w:lineRule="auto"/>
        <w:rPr>
          <w:sz w:val="20"/>
          <w:szCs w:val="20"/>
          <w:color w:val="auto"/>
        </w:rPr>
      </w:pPr>
      <w:r>
        <w:rPr>
          <w:rFonts w:ascii="Courier New" w:cs="Courier New" w:eastAsia="Courier New" w:hAnsi="Courier New"/>
          <w:sz w:val="16"/>
          <w:szCs w:val="16"/>
          <w:color w:val="auto"/>
        </w:rPr>
        <w:t>New York, New York 10036</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Ladies and Gentlemen:</w:t>
      </w:r>
    </w:p>
    <w:p>
      <w:pPr>
        <w:spacing w:after="0" w:line="185" w:lineRule="exact"/>
        <w:rPr>
          <w:sz w:val="20"/>
          <w:szCs w:val="20"/>
          <w:color w:val="auto"/>
        </w:rPr>
      </w:pPr>
    </w:p>
    <w:p>
      <w:pPr>
        <w:ind w:left="844" w:right="2719" w:hanging="844"/>
        <w:spacing w:after="0" w:line="254" w:lineRule="auto"/>
        <w:tabs>
          <w:tab w:leader="none" w:pos="844"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AT&amp;T Corp., a New York corporation ("AT&amp;T"), AT&amp;T Broadband Corp., a Delaware corporation ("Broadband"), MediaOne Group, Inc., a Delaware corporation ("MediaOne"), AT&amp;T Broadband, LLC, a Delaware limited liability company ("TCI"), AT&amp;T Comcast Corporation, a Pennsylvania corporation ("AT&amp;T Comcast"), and Comcast Cable Communications, Inc. ("Comcast Cable", together with MediaOne, TCI and AT&amp;T Comcast, the "Guarantors" and, collectively with AT&amp;T and Broadband, the "Registrants"), plan to commence an exchange offer for</w:t>
      </w:r>
    </w:p>
    <w:p>
      <w:pPr>
        <w:spacing w:after="0" w:line="4" w:lineRule="exact"/>
        <w:rPr>
          <w:rFonts w:ascii="Courier New" w:cs="Courier New" w:eastAsia="Courier New" w:hAnsi="Courier New"/>
          <w:sz w:val="15"/>
          <w:szCs w:val="15"/>
          <w:color w:val="auto"/>
        </w:rPr>
      </w:pPr>
    </w:p>
    <w:p>
      <w:pPr>
        <w:ind w:left="844" w:right="2719"/>
        <w:spacing w:after="0" w:line="238" w:lineRule="auto"/>
        <w:tabs>
          <w:tab w:leader="none" w:pos="1219" w:val="left"/>
        </w:tabs>
        <w:numPr>
          <w:ilvl w:val="1"/>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notes listed on Schedule I hereto under the heading "Broadband Eligible Notes" (collectively, the "Broadband Eligible Notes") for a like principal amount of Broadband Exchange Notes of AT&amp;T and Broadband (the "Broadband Exchange Notes"), which will be mandatorily exchanged for notes (the "New Broadband Notes") of Broadband, and (ii) AT&amp;T's notes listed on Schedule I hereto under the heading "AT&amp;T Eligible Notes" (collectively, the "AT&amp;T Eligible Notes", and together with the Broadband Eligible Notes, the "Securities") for a like principal amount of notes of AT&amp;T (the "New AT&amp;T Notes", together with the Broadband Exchange Notes</w:t>
      </w:r>
    </w:p>
    <w:p>
      <w:pPr>
        <w:sectPr>
          <w:pgSz w:w="11900" w:h="16838" w:orient="portrait"/>
          <w:cols w:equalWidth="0" w:num="1">
            <w:col w:w="10223"/>
          </w:cols>
          <w:pgMar w:left="236" w:top="317" w:right="1440" w:bottom="1440" w:gutter="0" w:footer="0" w:header="0"/>
        </w:sectPr>
      </w:pPr>
    </w:p>
    <w:bookmarkStart w:id="376" w:name="page377"/>
    <w:bookmarkEnd w:id="376"/>
    <w:p>
      <w:pPr>
        <w:ind w:left="844" w:right="2819"/>
        <w:spacing w:after="0" w:line="255" w:lineRule="auto"/>
        <w:rPr>
          <w:sz w:val="20"/>
          <w:szCs w:val="20"/>
          <w:color w:val="auto"/>
        </w:rPr>
      </w:pPr>
      <w:r>
        <w:rPr>
          <w:rFonts w:ascii="Courier New" w:cs="Courier New" w:eastAsia="Courier New" w:hAnsi="Courier New"/>
          <w:sz w:val="15"/>
          <w:szCs w:val="15"/>
          <w:color w:val="auto"/>
        </w:rPr>
        <w:t>and the New Broadband Notes, the "New Notes") and engage in a related solicitation of consents from holders of the Securities to certain amendments to the Indenture, dated as of September 7, 1990, between AT&amp;T and The Bank of New York (the "Trustee"), as amended by a supplemental indenture, dated as of October 30, 1992, between AT&amp;T and the Trustee, under which the Securities were issued (the "AT&amp;T Indenture") (such exchange offer and consent solicitation hereinafter referred to, together with any amendments, supplements or extensions thereof, as the "Exchange Offer"), on the terms and subject to the conditions set forth in the Exchange Offer Material (as hereinafter defined) as the same may be amended or supplemented from time to time. The New Broadband Notes are to be guaranteed (the "Guarantees") on an unsecured and unsubordinated basis by the Guarantors.</w:t>
      </w:r>
    </w:p>
    <w:p>
      <w:pPr>
        <w:spacing w:after="0" w:line="178" w:lineRule="exact"/>
        <w:rPr>
          <w:sz w:val="20"/>
          <w:szCs w:val="20"/>
          <w:color w:val="auto"/>
        </w:rPr>
      </w:pPr>
    </w:p>
    <w:p>
      <w:pPr>
        <w:ind w:left="844" w:right="2719" w:hanging="844"/>
        <w:spacing w:after="0" w:line="255" w:lineRule="auto"/>
        <w:tabs>
          <w:tab w:leader="none" w:pos="844"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as Dealer Managers. The Registrants hereby appoint you and your affiliates as Dealer Managers and Solicitation Agents (collectively, the "Dealer Managers" or "you") and authorize you to act as such in connection with the Exchange Offer. On the basis of the representations, warranties and covenants of the Registrants and Comcast Corporation, a Pennsylvania corporation ("Comcast" and, together with the Registrants, the "Companies"), contained herein, you agree, in accordance with your customary practice, to perform those services in connection with the Exchange Offer as are customarily performed by investment banks in connection with exchange offers and consent solicitations of a like nature, including, but not limited to, communicating generally regarding the Exchange Offer with brokers, dealers, commercial banks and trust companies and other holders of the Securities. You further agree that you will not make any statements or disseminate any information about or concerning the Companies, their businesses or subsidiaries, or the Exchange Offer, other than as disclosed in the Exchange Offer Material. You have been engaged to act as the sole Dealer Managers in connection with the Exchange Offer and in such capacity, each of you shall act as an independent contractor, and each of your duties arising out of your engagement pursuant to this Agreement shall be owed solely to the Companies.</w:t>
      </w:r>
    </w:p>
    <w:p>
      <w:pPr>
        <w:spacing w:after="0" w:line="176" w:lineRule="exact"/>
        <w:rPr>
          <w:rFonts w:ascii="Courier New" w:cs="Courier New" w:eastAsia="Courier New" w:hAnsi="Courier New"/>
          <w:sz w:val="15"/>
          <w:szCs w:val="15"/>
          <w:color w:val="auto"/>
        </w:rPr>
      </w:pPr>
    </w:p>
    <w:p>
      <w:pPr>
        <w:ind w:left="844" w:right="271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further authorize you to communicate with The Bank of New York in its capacity as exchange agent for the Exchange Offer with respect to all of the Securities other than the Luxembourg Notes (as defined in the Exchange Offer Material) (the "Exchange Agent"), The Bank of New York (Luxembourg) S.A., in its capacity as exchange agent and listing agent (the "Luxembourg Agent") for the Exchange Offer with respect to the Luxembourg Notes (as defined in the Prospectus) and D.F. King &amp; Co. Inc. in its capacity as information agent for the Exchange Offer (the "Information Agent"), with respect to matters relating to the Exchange Offer. AT&amp;T has instructed the Exchange Agent to advise you at least daily as to the number of Securities which have been tendered pursuant to the Exchange Offer and as to such other matters in connection with the Exchange Offer as you may reasonably request.</w:t>
      </w:r>
    </w:p>
    <w:p>
      <w:pPr>
        <w:spacing w:after="0" w:line="35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478" w:right="1440" w:bottom="1440" w:gutter="0" w:footer="0" w:header="0"/>
        </w:sectPr>
      </w:pPr>
    </w:p>
    <w:bookmarkStart w:id="377" w:name="page378"/>
    <w:bookmarkEnd w:id="377"/>
    <w:p>
      <w:pPr>
        <w:ind w:left="844" w:right="2719" w:hanging="844"/>
        <w:spacing w:after="0" w:line="255" w:lineRule="auto"/>
        <w:tabs>
          <w:tab w:leader="none" w:pos="844"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for Acts of Brokers, Dealers, Banks, Trust Registrants and Other Nominees. Neither you nor any of your affiliates, officers, other employees or directors shall have any liability to the Companies or any other person for any losses, claims, damages, liabilities and expenses (each, a "Loss" and collectively, the "Losses") arising from any act or omission on the part of any broker or dealer in securities (other than any of your affiliates), bank, trust company, any other nominees or any other person, and neither you nor any of your affiliates, officers, other employees or directors shall be liable for any Losses arising from your own acts or omissions in performing your obligations as Dealer Managers hereunder, except for any such Losses which are finally and judicially determined to have resulted primarily from your bad faith or gross negligence. In soliciting or obtaining tenders and consents, no dealer, bank, trust company or other nominee is to be deemed to be acting as your agent or the agent of the Companies or any of their affiliates, and you, as Dealer Managers, are not to be deemed the agent of any dealer, bank, trust company or other nominee or the agent or fiduciary of the Companies or any of their affiliates, security holders, creditors or of any other person. In soliciting or obtaining tenders and consents, you shall not be and shall not be deemed for any purpose to act as a partner or joint venturer of or a member of a syndicate or group with the Companies or any of their affiliates in connection with the Exchange Offer, any acceptance of the Securities or the consents, or otherwise, and neither the Companies nor any of their affiliates shall be deemed to act as your agent. AT&amp;T and Comcast, acting jointly, shall have sole authority for the acceptance or rejection of any and all tenders. In addition, the obligations of the Dealer Managers under this Agreement are several and not joint, and no Dealer Manager shall be liable for any acts or omissions of any other Dealer Manager.</w:t>
      </w:r>
    </w:p>
    <w:p>
      <w:pPr>
        <w:spacing w:after="0" w:line="355" w:lineRule="exact"/>
        <w:rPr>
          <w:rFonts w:ascii="Courier New" w:cs="Courier New" w:eastAsia="Courier New" w:hAnsi="Courier New"/>
          <w:sz w:val="15"/>
          <w:szCs w:val="15"/>
          <w:color w:val="auto"/>
        </w:rPr>
      </w:pPr>
    </w:p>
    <w:p>
      <w:pPr>
        <w:ind w:left="844" w:right="2719" w:hanging="844"/>
        <w:spacing w:after="0" w:line="238" w:lineRule="auto"/>
        <w:tabs>
          <w:tab w:leader="none" w:pos="844"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Offer Material and Withdrawal Rights. The Registrants agree to furnish you, at their expense, with as many copies as you may reasonably request of (i) each of the documents that is filed by the Registrants with the Securities and Exchange Commission (the "Commission") or any other U.S. federal, state, local or foreign governmental or regulatory authorities or agency (the "Other Agencies") or any court in connection with the Exchange Offer, including the registration statement on Form S-4 relating to the Exchange Offer (as it may be amended or supplemented and including the documents incorporated by reference therein and all financial statements, schedules and exhibits, as applicable, the "Registration Statement") and any preliminary prospectus or any final prospectus included therein, as filed with, or delivered for filing to the Commission pursuant to Rule 424 of the Securities Act of 1933, as amended, and the rules and regulations promulgated by the Commission thereunder (collectively, the "Securities Act") filed with the Commission in connection with the Exchange Offer and all documents incorporated therein by reference, (ii) the Letter(s) of Transmittal for the Exchange Offer and any related letters, filings, documents, releases or communications mailed, delivered, published or filed by or on behalf of the Registrants, in connection with the Exchange Offer, (iii) any other document required to be filed with the Commission pursuant to the provisions of the Securities Act and the Securities Exchange Act of 1934, as amended, and the</w:t>
      </w:r>
    </w:p>
    <w:p>
      <w:pPr>
        <w:spacing w:after="0" w:line="19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478" w:right="1440" w:bottom="1440" w:gutter="0" w:footer="0" w:header="0"/>
        </w:sectPr>
      </w:pPr>
    </w:p>
    <w:bookmarkStart w:id="378" w:name="page379"/>
    <w:bookmarkEnd w:id="378"/>
    <w:p>
      <w:pPr>
        <w:ind w:right="2719"/>
        <w:spacing w:after="0" w:line="255" w:lineRule="auto"/>
        <w:rPr>
          <w:sz w:val="20"/>
          <w:szCs w:val="20"/>
          <w:color w:val="auto"/>
        </w:rPr>
      </w:pPr>
      <w:r>
        <w:rPr>
          <w:rFonts w:ascii="Courier New" w:cs="Courier New" w:eastAsia="Courier New" w:hAnsi="Courier New"/>
          <w:sz w:val="15"/>
          <w:szCs w:val="15"/>
          <w:color w:val="auto"/>
        </w:rPr>
        <w:t>rules and regulations promulgated by the Commission thereunder (collectively, the "Exchange Act") pertaining to either the Exchange Offer or the Registrants during the term of this Agreement and (iv) each appendix, attachment, modification, amendment or supplement to any of the foregoing and all related documents (each of (i), (ii), (iii) and (iv), together with each document incorporated by reference in any of the foregoing, the "Exchange Offer Material"). The final prospectus included in the Registration Statement (including any documents incorporated by reference therein and as it may be amended or supplemented from time to time) is herein called the "Prospectus," except that if the final prospectus furnished to the Dealer Managers for use in connection with the Exchange Offer differs from the prospectus set forth in the Registration Statement (whether or not such prospectus is required to be filed pursuant to Rule 424 (b)), the term "Prospectus" shall refer to the final prospectus furnished to the Dealer Managers for such use and as it may be amended or supplemented. The Exchange Offer Material has been or will be prepared and approved by, and is the sole responsibility of, the Companies. At the commencement of the Exchange Offer, the Registrants shall cause timely to be mailed, to each registered holder of any Securities, the Exchange Offer Material and any other offering materials prepared expressly for use by holders of Securities tendering in the Exchange Offer, together with a return envelope. Thereafter, to the extent practicable, until the expiration of the Exchange Offer, the Registrants shall use their commercially reasonable efforts to cause copies of such materials and a return envelope to be mailed to each additional person who becomes a record holder of any applicable Securities.</w:t>
      </w:r>
    </w:p>
    <w:p>
      <w:pPr>
        <w:spacing w:after="0" w:line="176"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The Companies acknowledge and agree that each of you may use the Exchange Offer Material as specified herein without assuming any responsibility for independent investigation or verification on your part and the Companies represent and warrant to you that you may rely on the accuracy and adequacy of any information delivered to you by or on behalf of the Companies without assuming any responsibility for independent verification of such information or without performing or receiving any appraisal or evaluation of the Companies' assets or liabilities. You acknowledge and agree that you will not use any Exchange Offer Material after such time as any of the Companies has notified you that such Exchange Offer Material is inaccurate or otherwise inadequate, or use any Exchange Offer Material that has been amended or supplemented without such amendment or supplement.</w:t>
      </w:r>
    </w:p>
    <w:p>
      <w:pPr>
        <w:spacing w:after="0" w:line="178"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You hereby agree, as Dealer Managers, that, without the prior consent of the Registrants, you will not disseminate any written material for or in connection with the solicitation of tenders of the Securities pursuant to the Exchange Offer other than the Exchange Offer Material.</w:t>
      </w:r>
    </w:p>
    <w:p>
      <w:pPr>
        <w:spacing w:after="0" w:line="17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Registrants agree that no Exchange Offer Material will be used in connection with the Exchange Offer or filed with the Commission or any Other Agency with respect to the Exchange Offer without first providing you a copy thereof a reasonable time prior to such time as such materials are proposed to be used and</w:t>
      </w:r>
    </w:p>
    <w:p>
      <w:pPr>
        <w:spacing w:after="0" w:line="18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379"/>
          </w:cols>
          <w:pgMar w:left="1080" w:top="478" w:right="1440" w:bottom="1440" w:gutter="0" w:footer="0" w:header="0"/>
        </w:sectPr>
      </w:pPr>
    </w:p>
    <w:bookmarkStart w:id="379" w:name="page380"/>
    <w:bookmarkEnd w:id="379"/>
    <w:p>
      <w:pPr>
        <w:ind w:left="844" w:right="2719"/>
        <w:spacing w:after="0" w:line="254" w:lineRule="auto"/>
        <w:rPr>
          <w:sz w:val="20"/>
          <w:szCs w:val="20"/>
          <w:color w:val="auto"/>
        </w:rPr>
      </w:pPr>
      <w:r>
        <w:rPr>
          <w:rFonts w:ascii="Courier New" w:cs="Courier New" w:eastAsia="Courier New" w:hAnsi="Courier New"/>
          <w:sz w:val="15"/>
          <w:szCs w:val="15"/>
          <w:color w:val="auto"/>
        </w:rPr>
        <w:t>giving reasonable consideration to your and your counsel's comments, if any thereon. In the event that (a) any of the Companies use or permits the use of any Exchange Offer Material in connection with the Exchange Offer or files any such material with the Commission or any Other Agency and such materials unreasonably fail to address any comments provided by you or your counsel, (b) any of the Companies shall have breached any of its representations, warranties, agreements or covenants herein in any material respect or (c) any condition set forth in Section 10 hereof shall have failed to have been satisfied, then any of you shall be entitled to (I) withdraw as a Dealer Manager in connection with the Exchange Offer without any liability or penalty to you or any person indemnified under Section 11 hereof for such withdrawal, and without loss of any right to the indemnification provided in such Section 11, (II) the payment of all fees and expenses, if any, payable under this Agreement which have accrued pursuant to the applicable Fee Side Letters (as defined below) to the date of such withdrawal or would otherwise be due to any of you on such date and</w:t>
      </w:r>
    </w:p>
    <w:p>
      <w:pPr>
        <w:spacing w:after="0" w:line="9" w:lineRule="exact"/>
        <w:rPr>
          <w:sz w:val="20"/>
          <w:szCs w:val="20"/>
          <w:color w:val="auto"/>
        </w:rPr>
      </w:pPr>
    </w:p>
    <w:p>
      <w:pPr>
        <w:ind w:left="844" w:right="2719"/>
        <w:spacing w:after="0" w:line="238" w:lineRule="auto"/>
        <w:tabs>
          <w:tab w:leader="none" w:pos="1407" w:val="left"/>
        </w:tabs>
        <w:numPr>
          <w:ilvl w:val="1"/>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 of any other provisions surviving such withdrawal pursuant to Section 14 hereof. If any Dealer Manager withdraws as a Dealer Manager hereunder, the fees accrued and reimbursement for such Dealer Manager's expenses that are payable pursuant to the terms of the applicable Fee Side Letters through the date of such withdrawal shall be paid to the withdrawing Dealer Manager on or promptly after such date.</w:t>
      </w:r>
    </w:p>
    <w:p>
      <w:pPr>
        <w:spacing w:after="0" w:line="184" w:lineRule="exact"/>
        <w:rPr>
          <w:rFonts w:ascii="Courier New" w:cs="Courier New" w:eastAsia="Courier New" w:hAnsi="Courier New"/>
          <w:sz w:val="16"/>
          <w:szCs w:val="16"/>
          <w:color w:val="auto"/>
        </w:rPr>
      </w:pPr>
    </w:p>
    <w:p>
      <w:pPr>
        <w:ind w:left="844" w:right="2719" w:hanging="844"/>
        <w:spacing w:after="0" w:line="238" w:lineRule="auto"/>
        <w:tabs>
          <w:tab w:leader="none" w:pos="844"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In consideration for each of your services as financial advisor to the Companies in connection with the Exchange Offer, including each of your services as Dealer Manager, AT&amp;T agrees to pay Credit Suisse First Boston Corporation, Deutsche Bank Securities Inc. and Goldman, Sachs &amp; Co. the fees specified in the side letter between such parties and Comcast agrees to pay J.P. Morgan Securities Inc., Merrill Lynch, Pierce, Fenner and Smith Incorporated and Morgan Stanley &amp; Co. Incorporated the fees specified in the letter between such parties dated October 3, 2002 (collectively, the "Fee Side Letters"). Such payment shall be made pursuant to and in accordance with the terms of such Fee Side Letters, respectively.</w:t>
      </w:r>
    </w:p>
    <w:p>
      <w:pPr>
        <w:spacing w:after="0" w:line="187" w:lineRule="exact"/>
        <w:rPr>
          <w:rFonts w:ascii="Courier New" w:cs="Courier New" w:eastAsia="Courier New" w:hAnsi="Courier New"/>
          <w:sz w:val="16"/>
          <w:szCs w:val="16"/>
          <w:color w:val="auto"/>
        </w:rPr>
      </w:pPr>
    </w:p>
    <w:p>
      <w:pPr>
        <w:ind w:left="844" w:right="2719" w:hanging="844"/>
        <w:spacing w:after="0" w:line="257" w:lineRule="auto"/>
        <w:tabs>
          <w:tab w:leader="none" w:pos="844"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Dealer Manager and Others. In addition to your compensation for your services hereunder pursuant to Section 5 hereof, expenses for which you are entitled to reimbursement under the Fee Side Letters shall be paid to you in accordance with the Fee Side Letters.</w:t>
      </w:r>
    </w:p>
    <w:p>
      <w:pPr>
        <w:spacing w:after="0" w:line="174" w:lineRule="exact"/>
        <w:rPr>
          <w:rFonts w:ascii="Courier New" w:cs="Courier New" w:eastAsia="Courier New" w:hAnsi="Courier New"/>
          <w:sz w:val="15"/>
          <w:szCs w:val="15"/>
          <w:color w:val="auto"/>
        </w:rPr>
      </w:pPr>
    </w:p>
    <w:p>
      <w:pPr>
        <w:ind w:left="844" w:right="2719" w:hanging="844"/>
        <w:spacing w:after="0" w:line="255" w:lineRule="auto"/>
        <w:tabs>
          <w:tab w:leader="none" w:pos="844"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Lists. AT&amp;T will cause you to be provided with cards or lists or other records showing the names and addresses (if available) of, and the principal amount of the Securities, held by, the holders of the Securities as of a recent date and will cause you to be advised from day to day during the period of the Exchange Offer as to any transfers of record of Securities. You agree that, except as may be required by law or the applicable rules and regulations of any self-regulatory organization, such cards or lists or other records shall be kept confidential and shall be used only in connection with your duties as Dealer Manager hereunder or as otherwise requested by the Companies.</w:t>
      </w:r>
    </w:p>
    <w:p>
      <w:pPr>
        <w:spacing w:after="0" w:line="35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478" w:right="1440" w:bottom="1440" w:gutter="0" w:footer="0" w:header="0"/>
        </w:sectPr>
      </w:pPr>
    </w:p>
    <w:bookmarkStart w:id="380" w:name="page381"/>
    <w:bookmarkEnd w:id="380"/>
    <w:p>
      <w:pPr>
        <w:ind w:left="844" w:hanging="844"/>
        <w:spacing w:after="0"/>
        <w:tabs>
          <w:tab w:leader="none" w:pos="844"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Obligations of the Registrants.</w:t>
      </w:r>
    </w:p>
    <w:p>
      <w:pPr>
        <w:spacing w:after="0" w:line="184" w:lineRule="exact"/>
        <w:rPr>
          <w:rFonts w:ascii="Courier New" w:cs="Courier New" w:eastAsia="Courier New" w:hAnsi="Courier New"/>
          <w:sz w:val="16"/>
          <w:szCs w:val="16"/>
          <w:color w:val="auto"/>
        </w:rPr>
      </w:pPr>
    </w:p>
    <w:p>
      <w:pPr>
        <w:ind w:left="1684" w:right="2719" w:hanging="840"/>
        <w:spacing w:after="0" w:line="255" w:lineRule="auto"/>
        <w:tabs>
          <w:tab w:leader="none" w:pos="1684" w:val="left"/>
        </w:tabs>
        <w:numPr>
          <w:ilvl w:val="1"/>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Registrants terminate the Exchange Offer, the Companies will prepare and file, as required by applicable law, any and all necessary amendments or supplements to any of the Exchange Offer Material, will promptly furnish to you true and complete copies of each such amendment and supplement within a reasonable period of time prior to the filing thereof and will notify you as promptly as practicable of the same becoming effective. The Registrants will not file any amendment or supplement to the Registration Statement or the Prospectus without first providing you a copy thereof a reasonable time prior to such time as such materials are proposed to be used and giving reasonable consideration to your and your counsel's comments, if any thereon.</w:t>
      </w:r>
    </w:p>
    <w:p>
      <w:pPr>
        <w:spacing w:after="0" w:line="178" w:lineRule="exact"/>
        <w:rPr>
          <w:rFonts w:ascii="Courier New" w:cs="Courier New" w:eastAsia="Courier New" w:hAnsi="Courier New"/>
          <w:sz w:val="15"/>
          <w:szCs w:val="15"/>
          <w:color w:val="auto"/>
        </w:rPr>
      </w:pPr>
    </w:p>
    <w:p>
      <w:pPr>
        <w:ind w:left="1684" w:right="2819" w:hanging="840"/>
        <w:spacing w:after="0" w:line="254" w:lineRule="auto"/>
        <w:tabs>
          <w:tab w:leader="none" w:pos="1684" w:val="left"/>
        </w:tabs>
        <w:numPr>
          <w:ilvl w:val="1"/>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will advise each of you as promptly as practicable (confirming such advice in writing) of (i) the time when the Registration Statement has become effective and when any post-effective amendment thereto becomes effective,</w:t>
      </w:r>
    </w:p>
    <w:p>
      <w:pPr>
        <w:spacing w:after="0" w:line="2" w:lineRule="exact"/>
        <w:rPr>
          <w:rFonts w:ascii="Courier New" w:cs="Courier New" w:eastAsia="Courier New" w:hAnsi="Courier New"/>
          <w:sz w:val="15"/>
          <w:szCs w:val="15"/>
          <w:color w:val="auto"/>
        </w:rPr>
      </w:pPr>
    </w:p>
    <w:p>
      <w:pPr>
        <w:ind w:left="1684" w:right="2719" w:firstLine="4"/>
        <w:spacing w:after="0" w:line="255" w:lineRule="auto"/>
        <w:tabs>
          <w:tab w:leader="none" w:pos="2153" w:val="left"/>
        </w:tabs>
        <w:numPr>
          <w:ilvl w:val="2"/>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event, or the discovery of any fact, the occurrence or existence of which it believes would require the making of any change in any of the Exchange Offer Material then being used or would cause any representation or warranty contained in this Agreement to be untrue or inaccurate in any material respect, (iii) any proposal or requirement to make, amend or supplement any filing required by the Securities Act, the Exchange Act, "blue sky" or other U.S. and non-U.S. state securities laws or any Other Agency in connection with the Exchange Offer or to make any filing in connection with the Exchange Offer pursuant to any other applicable law, rule or regulation, (iv) the issuance by the Commission or any Other Agency of any comment or order or the taking of any other action concerning the Registration Statement, the Prospectus or the Exchange Offer (and, if in writing, will furnish you with a copy thereof), (v) any material developments in connection with the Exchange Offer, including, without limitation, the commencement of any lawsuit concerning the Exchange Offer, and (vi) any other information relating to the Exchange Offer, the Exchange Offer Material or this Agreement which you may from time to time reasonably request. If at any time the Commission shall issue any order suspending the effectiveness of the Registration Statement, any U.S. and non-U.S. state securities commission or other regulatory authority shall issue an order suspending the qualification of the Securities or the New Notes under U.S. and non-U.S. state securities or "blue sky" laws or any Other Agency shall issue any order impeding the making or consummation of the Exchange Offer, the Registrants shall notify you of such order as promptly as practicable and shall make reasonable effort to obtain the lifting or removal thereof as soon as possible.</w:t>
      </w:r>
    </w:p>
    <w:p>
      <w:pPr>
        <w:spacing w:after="0" w:line="200" w:lineRule="exact"/>
        <w:rPr>
          <w:rFonts w:ascii="Courier New" w:cs="Courier New" w:eastAsia="Courier New" w:hAnsi="Courier New"/>
          <w:sz w:val="15"/>
          <w:szCs w:val="15"/>
          <w:color w:val="auto"/>
        </w:rPr>
      </w:pPr>
    </w:p>
    <w:p>
      <w:pPr>
        <w:spacing w:after="0" w:line="336" w:lineRule="exact"/>
        <w:rPr>
          <w:rFonts w:ascii="Courier New" w:cs="Courier New" w:eastAsia="Courier New" w:hAnsi="Courier New"/>
          <w:sz w:val="15"/>
          <w:szCs w:val="15"/>
          <w:color w:val="auto"/>
        </w:rPr>
      </w:pPr>
    </w:p>
    <w:p>
      <w:pPr>
        <w:ind w:left="1684" w:hanging="840"/>
        <w:spacing w:after="0"/>
        <w:tabs>
          <w:tab w:leader="none" w:pos="1684" w:val="left"/>
        </w:tabs>
        <w:numPr>
          <w:ilvl w:val="1"/>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issuance of the New Notes, the Registrants shall</w:t>
      </w:r>
    </w:p>
    <w:p>
      <w:pPr>
        <w:spacing w:after="0" w:line="10" w:lineRule="exact"/>
        <w:rPr>
          <w:rFonts w:ascii="Courier New" w:cs="Courier New" w:eastAsia="Courier New" w:hAnsi="Courier New"/>
          <w:sz w:val="15"/>
          <w:szCs w:val="15"/>
          <w:color w:val="auto"/>
        </w:rPr>
      </w:pPr>
    </w:p>
    <w:p>
      <w:pPr>
        <w:ind w:left="1684" w:right="2719" w:firstLine="4"/>
        <w:spacing w:after="0" w:line="237" w:lineRule="auto"/>
        <w:tabs>
          <w:tab w:leader="none" w:pos="2059" w:val="left"/>
        </w:tabs>
        <w:numPr>
          <w:ilvl w:val="2"/>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the registration or qualification thereof under the U.S. and non-U.S. securities or "blue sky" laws of such jurisdictions as may be required for the</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473" w:right="1440" w:bottom="1440" w:gutter="0" w:footer="0" w:header="0"/>
        </w:sectPr>
      </w:pPr>
    </w:p>
    <w:bookmarkStart w:id="381" w:name="page382"/>
    <w:bookmarkEnd w:id="381"/>
    <w:p>
      <w:pPr>
        <w:ind w:left="1684" w:right="2719"/>
        <w:spacing w:after="0" w:line="256" w:lineRule="auto"/>
        <w:rPr>
          <w:sz w:val="20"/>
          <w:szCs w:val="20"/>
          <w:color w:val="auto"/>
        </w:rPr>
      </w:pPr>
      <w:r>
        <w:rPr>
          <w:rFonts w:ascii="Courier New" w:cs="Courier New" w:eastAsia="Courier New" w:hAnsi="Courier New"/>
          <w:sz w:val="15"/>
          <w:szCs w:val="15"/>
          <w:color w:val="auto"/>
        </w:rPr>
        <w:t>consummation of the Exchange Offer and (ii) comply with any requirements of the NASD, LSE and NYSE and any Other Agency (together the "Exchanges") with respect to the Exchange Offer, including with respect to the listing of the New Notes, Broadband Exchange Notes and New Broadband Notes on the NYSE and certain New Notes on the LSE, and shall furnish you with preliminary and final forms of "blue sky" memoranda, if applicable, evidencing such registration and qualification.</w:t>
      </w:r>
    </w:p>
    <w:p>
      <w:pPr>
        <w:spacing w:after="0" w:line="173" w:lineRule="exact"/>
        <w:rPr>
          <w:sz w:val="20"/>
          <w:szCs w:val="20"/>
          <w:color w:val="auto"/>
        </w:rPr>
      </w:pPr>
    </w:p>
    <w:p>
      <w:pPr>
        <w:ind w:left="1684" w:right="2719" w:hanging="840"/>
        <w:spacing w:after="0" w:line="255" w:lineRule="auto"/>
        <w:tabs>
          <w:tab w:leader="none" w:pos="1684" w:val="left"/>
        </w:tabs>
        <w:numPr>
          <w:ilvl w:val="1"/>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Exchange Offer is completed or terminated, AT&amp;T, Comcast and Comcast Cable will deliver to you, promptly upon their becoming available, copies of all financial statements, reports, notices and proxy statements sent by AT&amp;T, Comcast and Comcast Cable to their security holders, and of all current, regular and periodic reports filed by AT&amp;T, Comcast and Comcast Cable or any of their subsidiaries with any securities exchange or with the Commission or any governmental authority succeeding to any of the Commission's functions.</w:t>
      </w:r>
    </w:p>
    <w:p>
      <w:pPr>
        <w:spacing w:after="0" w:line="178" w:lineRule="exact"/>
        <w:rPr>
          <w:rFonts w:ascii="Courier New" w:cs="Courier New" w:eastAsia="Courier New" w:hAnsi="Courier New"/>
          <w:sz w:val="15"/>
          <w:szCs w:val="15"/>
          <w:color w:val="auto"/>
        </w:rPr>
      </w:pPr>
    </w:p>
    <w:p>
      <w:pPr>
        <w:ind w:left="1684" w:right="2719" w:hanging="840"/>
        <w:spacing w:after="0" w:line="238" w:lineRule="auto"/>
        <w:tabs>
          <w:tab w:leader="none" w:pos="1684" w:val="left"/>
        </w:tabs>
        <w:numPr>
          <w:ilvl w:val="1"/>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making and consummating the Exchange Offer, AT&amp;T will fully comply in a timely manner in all material respects with the applicable requirements of the Securities Act, the Exchange Act and the Trust Indenture Act of 1939, as amended, and the rules and regulations promulgated by the Commission thereunder (the "Trust Indenture Act") and any applicable non-U.S. laws and requirements.</w:t>
      </w:r>
    </w:p>
    <w:p>
      <w:pPr>
        <w:spacing w:after="0" w:line="184" w:lineRule="exact"/>
        <w:rPr>
          <w:rFonts w:ascii="Courier New" w:cs="Courier New" w:eastAsia="Courier New" w:hAnsi="Courier New"/>
          <w:sz w:val="16"/>
          <w:szCs w:val="16"/>
          <w:color w:val="auto"/>
        </w:rPr>
      </w:pPr>
    </w:p>
    <w:p>
      <w:pPr>
        <w:ind w:left="1684" w:right="2719" w:hanging="840"/>
        <w:spacing w:after="0" w:line="238" w:lineRule="auto"/>
        <w:tabs>
          <w:tab w:leader="none" w:pos="1684" w:val="left"/>
        </w:tabs>
        <w:numPr>
          <w:ilvl w:val="1"/>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AT&amp;T Comcast and Comcast Cable agree to make generally available to their security holders as soon as practicable an earnings statement that will satisfy the provisions of Section 11(a) of the Securities Act covering a twelve month period beginning not later than the first day of AT&amp;T's, AT&amp;T Comcast's and Comcast Cable's fiscal quarter next following the effective date of the Registration Statement.</w:t>
      </w:r>
    </w:p>
    <w:p>
      <w:pPr>
        <w:spacing w:after="0" w:line="184" w:lineRule="exact"/>
        <w:rPr>
          <w:rFonts w:ascii="Courier New" w:cs="Courier New" w:eastAsia="Courier New" w:hAnsi="Courier New"/>
          <w:sz w:val="16"/>
          <w:szCs w:val="16"/>
          <w:color w:val="auto"/>
        </w:rPr>
      </w:pPr>
    </w:p>
    <w:p>
      <w:pPr>
        <w:ind w:left="844" w:right="3839" w:hanging="844"/>
        <w:spacing w:after="0" w:line="236" w:lineRule="auto"/>
        <w:tabs>
          <w:tab w:leader="none" w:pos="844"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Representations, Warranties and Covenants of the Registrants.</w:t>
      </w:r>
    </w:p>
    <w:p>
      <w:pPr>
        <w:spacing w:after="0" w:line="184" w:lineRule="exact"/>
        <w:rPr>
          <w:rFonts w:ascii="Courier New" w:cs="Courier New" w:eastAsia="Courier New" w:hAnsi="Courier New"/>
          <w:sz w:val="16"/>
          <w:szCs w:val="16"/>
          <w:color w:val="auto"/>
        </w:rPr>
      </w:pPr>
    </w:p>
    <w:p>
      <w:pPr>
        <w:ind w:left="1684" w:right="3279" w:hanging="840"/>
        <w:spacing w:after="0" w:line="236" w:lineRule="auto"/>
        <w:tabs>
          <w:tab w:leader="none" w:pos="1684" w:val="left"/>
        </w:tabs>
        <w:numPr>
          <w:ilvl w:val="1"/>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represents and warrants to, and agrees with, you as follows:</w:t>
      </w:r>
    </w:p>
    <w:p>
      <w:pPr>
        <w:spacing w:after="0" w:line="184" w:lineRule="exact"/>
        <w:rPr>
          <w:rFonts w:ascii="Courier New" w:cs="Courier New" w:eastAsia="Courier New" w:hAnsi="Courier New"/>
          <w:sz w:val="16"/>
          <w:szCs w:val="16"/>
          <w:color w:val="auto"/>
        </w:rPr>
      </w:pPr>
    </w:p>
    <w:p>
      <w:pPr>
        <w:ind w:left="844" w:right="2719" w:firstLine="844"/>
        <w:spacing w:after="0" w:line="238" w:lineRule="auto"/>
        <w:tabs>
          <w:tab w:leader="none" w:pos="2063" w:val="left"/>
        </w:tabs>
        <w:numPr>
          <w:ilvl w:val="2"/>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Media One, TCI and Broadband (collectively, the "AT&amp;T Parties") is a corporation or limited liability company incorporated or duly organized, validly existing and in good standing under the laws of the jurisdiction of its incorporation or formation, as the case may be, with corporate or limited liability company power, as the case may be, and authority to own, lease and operate its properties and to conduct its business as described in the Prospectus; and each of the AT&amp;T Parties is duly qualified to transact business and is in good standing in each jurisdiction in which the conduct of its business or the ownership or leasing of property requires such qualification, except to the extent that the failure to be so qualified or to be in good standing would not have a material adverse effect on the business or financial condition of AT&amp;T and all of its subsidiaries taken as a whole.</w:t>
      </w:r>
    </w:p>
    <w:p>
      <w:pPr>
        <w:spacing w:after="0" w:line="365"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478" w:right="1440" w:bottom="1440" w:gutter="0" w:footer="0" w:header="0"/>
        </w:sectPr>
      </w:pPr>
    </w:p>
    <w:bookmarkStart w:id="382" w:name="page383"/>
    <w:bookmarkEnd w:id="382"/>
    <w:p>
      <w:pPr>
        <w:ind w:right="2719" w:firstLine="844"/>
        <w:spacing w:after="0" w:line="254" w:lineRule="auto"/>
        <w:tabs>
          <w:tab w:leader="none" w:pos="1313" w:val="left"/>
        </w:tabs>
        <w:numPr>
          <w:ilvl w:val="1"/>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AT&amp;T Parties has full corporate or limited liability company power, as the case may be, and authority to take and has duly taken all necessary corporate or limited liability company action to authorize (A) the AT&amp;T Transactions (as hereinafter defined),</w:t>
      </w:r>
    </w:p>
    <w:p>
      <w:pPr>
        <w:spacing w:after="0" w:line="2" w:lineRule="exact"/>
        <w:rPr>
          <w:rFonts w:ascii="Courier New" w:cs="Courier New" w:eastAsia="Courier New" w:hAnsi="Courier New"/>
          <w:sz w:val="15"/>
          <w:szCs w:val="15"/>
          <w:color w:val="auto"/>
        </w:rPr>
      </w:pPr>
    </w:p>
    <w:p>
      <w:pPr>
        <w:ind w:right="2719"/>
        <w:spacing w:after="0" w:line="256" w:lineRule="auto"/>
        <w:tabs>
          <w:tab w:leader="none" w:pos="375"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the supplemental indentures effecting the proposed amendments described in the Exchange Offer Material (the "Supplemental AT&amp;T Indentures"), (C) in the case of MediaOne, TCI and Broadband, the execution and delivery of the indenture pursuant to which the New Broadband Notes and the Guarantees will be issued and in which the Guarantees will be contained (the "New Broadband Indenture") as described in the Exchange Offer Material and (D) the execution, delivery and performance of this Agreement.</w:t>
      </w:r>
    </w:p>
    <w:p>
      <w:pPr>
        <w:spacing w:after="0" w:line="173" w:lineRule="exact"/>
        <w:rPr>
          <w:rFonts w:ascii="Courier New" w:cs="Courier New" w:eastAsia="Courier New" w:hAnsi="Courier New"/>
          <w:sz w:val="15"/>
          <w:szCs w:val="15"/>
          <w:color w:val="auto"/>
        </w:rPr>
      </w:pPr>
    </w:p>
    <w:p>
      <w:pPr>
        <w:ind w:right="2719" w:firstLine="844"/>
        <w:spacing w:after="0" w:line="255" w:lineRule="auto"/>
        <w:tabs>
          <w:tab w:leader="none" w:pos="1406" w:val="left"/>
        </w:tabs>
        <w:numPr>
          <w:ilvl w:val="1"/>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on behalf of each of the AT&amp;T Parties and, assuming the due authorization, execution and delivery of this Agreement by the other parties hereto, this Agreement is the legal, valid and binding obligation of each of the AT&amp;T Parties enforceable against them in accordance with its terms, except as enforceability thereof may be limited by bankruptcy, insolvency, fraudulent transfer, reorganization, moratorium and other similar laws now or hereafter in effect relating to creditors' rights generally and general principles of equity.</w:t>
      </w:r>
    </w:p>
    <w:p>
      <w:pPr>
        <w:spacing w:after="0" w:line="178" w:lineRule="exact"/>
        <w:rPr>
          <w:rFonts w:ascii="Courier New" w:cs="Courier New" w:eastAsia="Courier New" w:hAnsi="Courier New"/>
          <w:sz w:val="15"/>
          <w:szCs w:val="15"/>
          <w:color w:val="auto"/>
        </w:rPr>
      </w:pPr>
    </w:p>
    <w:p>
      <w:pPr>
        <w:ind w:right="2719" w:firstLine="844"/>
        <w:spacing w:after="0" w:line="255" w:lineRule="auto"/>
        <w:tabs>
          <w:tab w:leader="none" w:pos="1313" w:val="left"/>
        </w:tabs>
        <w:numPr>
          <w:ilvl w:val="1"/>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that are AT&amp;T Parties have filed the Registration Statement with the Commission. The Exchange Offer Material (other than (1) the filings and other materials of the Comcast Parties incorporated by reference in the Prospectus, (2) the statements in the Prospectus under the captions "Selected Financial Data of Comcast," "Selected Financial Data of Comcast Cable," "Description of the New Broadband Notes and the Cable Guarantees" and "Other Indebtedness and the Cross-Guarantees", (3) the statements in the Prospectus under the caption "Risk Factors -- Risks Relating to the Business of AT&amp;T Comcast" except for the statements under the subheading " -- AT&amp;T Comcast, through Comcast, and Broadband face risks arising from their and AT&amp;T's relationship with At Home Corporation and US Airways Group Inc." other than the fourth paragraph under such subheading, (4) the statements relating to the Comcast Parties under the captions "Ratios of Earnings to Fixed Charges" and "Pro Forma Ratio of Earnings to Fixed Charges", (5) the financial statements included in the Prospectus relating to the Comcast Parties, including the "Historical Comcast" and "Pro Forma Adjustments" information included in the pro forma information of AT&amp;T Comcast, and (6) any other materials primarily related to the Comcast Parties (collectively, the "Comcast Material")) as of its date and the date hereof, complied or complies, as the case may be, in all material respects with the applicable requirements of the Securities Act, the Exchange Act, the Trust Indenture Act and any Other Agency and the applicable rules and regulations of the Commission thereunder. Each part of the Registration Statement (including the material incorporated by reference therein but excluding the Comcast Material) when such part became effective, did not contain any untrue statement of a material fact or omit to state a material fact (other than with respect to the Comcast Parties) required to be stated therein or necessary to make</w:t>
      </w:r>
    </w:p>
    <w:p>
      <w:pPr>
        <w:spacing w:after="0" w:line="35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379"/>
          </w:cols>
          <w:pgMar w:left="1080" w:top="478" w:right="1440" w:bottom="1440" w:gutter="0" w:footer="0" w:header="0"/>
        </w:sectPr>
      </w:pPr>
    </w:p>
    <w:bookmarkStart w:id="383" w:name="page384"/>
    <w:bookmarkEnd w:id="383"/>
    <w:p>
      <w:pPr>
        <w:ind w:right="2719"/>
        <w:spacing w:after="0" w:line="238" w:lineRule="auto"/>
        <w:rPr>
          <w:sz w:val="20"/>
          <w:szCs w:val="20"/>
          <w:color w:val="auto"/>
        </w:rPr>
      </w:pPr>
      <w:r>
        <w:rPr>
          <w:rFonts w:ascii="Courier New" w:cs="Courier New" w:eastAsia="Courier New" w:hAnsi="Courier New"/>
          <w:sz w:val="16"/>
          <w:szCs w:val="16"/>
          <w:color w:val="auto"/>
        </w:rPr>
        <w:t>the statements therein not misleading and as of the commencement and the consummation of the Exchange Offer, none of the Exchange Offer Material (other than the Comcast Material), as such Exchange Offer Material has been amended or supplemented to such date, will contain any untrue statement of a material fact or will omit to state a material fact (other than with respect to the Comcast Parties) required to be stated therein or necessary to make the statements made therein, in the light of the circumstances under which they are made, not misleading; provided, however, that no representation is made with respect to (x) any statements contained in, or any matter omitted from, the Exchange Offer Material in reliance upon and in conformity with information furnished or confirmed in writing by you to the Registrants expressly for use therein or (y) to that part of the Registration Statement that constitutes the Statements of Eligibility and Qualification (Form T-1) under the Trust Indenture Act. The AT&amp;T Parties acknowledge that the only information furnished by or on behalf of the Dealer Managers is the name, address and telephone number of the Dealer Managers.</w:t>
      </w:r>
    </w:p>
    <w:p>
      <w:pPr>
        <w:spacing w:after="0" w:line="192" w:lineRule="exact"/>
        <w:rPr>
          <w:sz w:val="20"/>
          <w:szCs w:val="20"/>
          <w:color w:val="auto"/>
        </w:rPr>
      </w:pPr>
    </w:p>
    <w:p>
      <w:pPr>
        <w:ind w:right="2719" w:firstLine="844"/>
        <w:spacing w:after="0" w:line="254" w:lineRule="auto"/>
        <w:tabs>
          <w:tab w:leader="none" w:pos="1219" w:val="left"/>
        </w:tabs>
        <w:numPr>
          <w:ilvl w:val="1"/>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and consummation of the Exchange Offer, the exchange of the Broadband Eligible Notes for the Broadband Exchange Notes, the exchange of the Broadband Exchange Notes for the New Broadband Notes, the exchange of the AT&amp;T Eligible Notes for the New AT&amp;T Notes, the execution and delivery of the Supplemental AT&amp;T Indentures and the New Broadband Indenture pursuant to the Exchange Offer and the execution, delivery and performance of this Agreement, in each case, only to the extent involving actions by the AT&amp;T Parties (collectively, the "AT&amp;T Transactions") by each of the AT&amp;T Parties, assuming compliance by the Comcast Parties with their obligations under this Agreement, complied or complies, as the case may be, in all material respects with all applicable requirements of federal, state, local and foreign law, including, without limitation, any applicable regulations of the Commission any Other Agency, the rules and regulations of the Exchanges and all applicable judgments, orders or decrees; and no consent, authorization, approval, order, exemption, registration, qualification or other action of, or filing with or notice to, the Commission, any Other Agency or any Exchange is required in connection with the execution, delivery and performance, as applicable, of the AT&amp;T Transactions by the AT&amp;T Parties, other than</w:t>
      </w:r>
    </w:p>
    <w:p>
      <w:pPr>
        <w:spacing w:after="0" w:line="10" w:lineRule="exact"/>
        <w:rPr>
          <w:rFonts w:ascii="Courier New" w:cs="Courier New" w:eastAsia="Courier New" w:hAnsi="Courier New"/>
          <w:sz w:val="15"/>
          <w:szCs w:val="15"/>
          <w:color w:val="auto"/>
        </w:rPr>
      </w:pPr>
    </w:p>
    <w:p>
      <w:pPr>
        <w:ind w:right="2719"/>
        <w:spacing w:after="0" w:line="238" w:lineRule="auto"/>
        <w:tabs>
          <w:tab w:leader="none" w:pos="375"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as may be required by the Securities Act, the Exchange Act or the Trust Indenture Act and as may be required by the securities or Blue Sky laws of the various states or the securities laws of non-U.S. jurisdictions in connection with the AT&amp;T Transactions, (ii) any such consent, authorization, approval, order, exemption, registration, qualification or other action or filing or notification as have already been obtained or made or (iii) where the failure to obtain such consent, authorization, approval, order, exemption, registration, qualification or other action or filing or notification would not materially adversely affect the ability of the AT&amp;T Parties to execute, deliver and perform this Agreement or to commence and consummate the AT&amp;T Transactions in accordance with their terms.</w:t>
      </w:r>
    </w:p>
    <w:p>
      <w:pPr>
        <w:spacing w:after="0" w:line="36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379"/>
          </w:cols>
          <w:pgMar w:left="1080" w:top="478" w:right="1440" w:bottom="1440" w:gutter="0" w:footer="0" w:header="0"/>
        </w:sectPr>
      </w:pPr>
    </w:p>
    <w:bookmarkStart w:id="384" w:name="page385"/>
    <w:bookmarkEnd w:id="384"/>
    <w:p>
      <w:pPr>
        <w:ind w:left="-360" w:right="2719" w:firstLine="844"/>
        <w:spacing w:after="0" w:line="238" w:lineRule="auto"/>
        <w:tabs>
          <w:tab w:leader="none" w:pos="953"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Transactions do not and will not (i) conflict with or result in a violation of any of the provisions of the certificate of incorporation or by-laws or equivalent organizational documents of any of the AT&amp;T Parties, (ii) conflict with or violate in any material respect any law, rule, regulation, order, judgment or decree applicable to the AT&amp;T Parties or by which any property or asset of any of the AT&amp;T Parties or any of their subsidiaries is or may be bound or (iii) result in a breach of any of the terms or provisions of, or constitute a default (with or without due notice and/or lapse of time) under, any material loan or credit agreement, indenture, mortgage, note or other agreement or instrument to which any of the AT&amp;T Parties or any of their subsidiaries is a party or by which any of them or any of their respective properties or assets is or may be bound.</w:t>
      </w:r>
    </w:p>
    <w:p>
      <w:pPr>
        <w:spacing w:after="0" w:line="189" w:lineRule="exact"/>
        <w:rPr>
          <w:rFonts w:ascii="Courier New" w:cs="Courier New" w:eastAsia="Courier New" w:hAnsi="Courier New"/>
          <w:sz w:val="16"/>
          <w:szCs w:val="16"/>
          <w:color w:val="auto"/>
        </w:rPr>
      </w:pPr>
    </w:p>
    <w:p>
      <w:pPr>
        <w:ind w:left="-360" w:right="2719" w:firstLine="844"/>
        <w:spacing w:after="0" w:line="256" w:lineRule="auto"/>
        <w:tabs>
          <w:tab w:leader="none" w:pos="1047"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stop order suspending the effectiveness of the Registration Statement has been issued and no proceedings for that purpose are pending or, to the knowledge of the AT&amp;T Parties, threatened by the Commission and no injunction suspending the offer, issuance, delivery or exchange of the New Notes pursuant to the Exchange Offer has been issued and no proceedings for that purpose are pending or, to the knowledge of the AT&amp;T Parties, have been threatened.</w:t>
      </w:r>
    </w:p>
    <w:p>
      <w:pPr>
        <w:spacing w:after="0" w:line="174" w:lineRule="exact"/>
        <w:rPr>
          <w:rFonts w:ascii="Courier New" w:cs="Courier New" w:eastAsia="Courier New" w:hAnsi="Courier New"/>
          <w:sz w:val="15"/>
          <w:szCs w:val="15"/>
          <w:color w:val="auto"/>
        </w:rPr>
      </w:pPr>
    </w:p>
    <w:p>
      <w:pPr>
        <w:ind w:left="-360" w:right="2819" w:firstLine="844"/>
        <w:spacing w:after="0" w:line="237" w:lineRule="auto"/>
        <w:tabs>
          <w:tab w:leader="none" w:pos="1141"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respective dates as of which information is given in the Exchange Offer Material (other than with respect to Comcast Material), there has not been any material adverse change, financial or otherwise, in the condition of the AT&amp;T Parties from that set forth in such Exchange Offer Material (other than with respect to Comcast Material).</w:t>
      </w:r>
    </w:p>
    <w:p>
      <w:pPr>
        <w:spacing w:after="0" w:line="188" w:lineRule="exact"/>
        <w:rPr>
          <w:rFonts w:ascii="Courier New" w:cs="Courier New" w:eastAsia="Courier New" w:hAnsi="Courier New"/>
          <w:sz w:val="16"/>
          <w:szCs w:val="16"/>
          <w:color w:val="auto"/>
        </w:rPr>
      </w:pPr>
    </w:p>
    <w:p>
      <w:pPr>
        <w:ind w:left="-360" w:right="2819" w:firstLine="844"/>
        <w:spacing w:after="0" w:line="237" w:lineRule="auto"/>
        <w:tabs>
          <w:tab w:leader="none" w:pos="953"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KPMG LLP and PricewaterhouseCoopers LLP, the accountants who have certified, as the case may be, the financial statements and supporting schedules of the AT&amp;T Parties included or incorporated by reference in the Exchange Offer Material, are independent public accountants with respect to the AT&amp;T Parties and their subsidiaries as required by the Securities Act.</w:t>
      </w:r>
    </w:p>
    <w:p>
      <w:pPr>
        <w:spacing w:after="0" w:line="188" w:lineRule="exact"/>
        <w:rPr>
          <w:rFonts w:ascii="Courier New" w:cs="Courier New" w:eastAsia="Courier New" w:hAnsi="Courier New"/>
          <w:sz w:val="16"/>
          <w:szCs w:val="16"/>
          <w:color w:val="auto"/>
        </w:rPr>
      </w:pPr>
    </w:p>
    <w:p>
      <w:pPr>
        <w:ind w:left="-360" w:right="2719" w:firstLine="844"/>
        <w:spacing w:after="0" w:line="238" w:lineRule="auto"/>
        <w:tabs>
          <w:tab w:leader="none" w:pos="859"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together with the related schedules and notes of the AT&amp;T Parties, included or incorporated by reference in the Exchange Offer Material, present fairly in all material respects the combined financial position, results of operations and changes in financial position of the AT&amp;T Parties and their subsidiaries on the basis stated in the Exchange Offer Material or incorporated therein by reference as of the respective dates indicated and for the respective periods specified; except as otherwise stated therein, said financial statements and related schedules and notes have been prepared in conformity with generally accepted accounting principles applied on a consistent basis; and the other financial and statistical information and data of the AT&amp;T Parties included or incorporated by reference in the Exchange Offer Material is, in all material respects, fairly presented and prepared on a basis consistent with such financial statements and derived from books and records of the AT&amp;T Parties, as applicable.</w:t>
      </w:r>
    </w:p>
    <w:p>
      <w:pPr>
        <w:spacing w:after="0" w:line="366"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478" w:right="1440" w:bottom="1440" w:gutter="0" w:footer="0" w:header="0"/>
        </w:sectPr>
      </w:pPr>
    </w:p>
    <w:bookmarkStart w:id="385" w:name="page386"/>
    <w:bookmarkEnd w:id="385"/>
    <w:p>
      <w:pPr>
        <w:ind w:left="-360" w:right="2719" w:firstLine="844"/>
        <w:spacing w:after="0" w:line="238" w:lineRule="auto"/>
        <w:tabs>
          <w:tab w:leader="none" w:pos="953"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Exchange Notes, when executed, authenticated and delivered in accordance with the terms of the AT&amp;T Indenture, will be the legal, valid and binding obligations of AT&amp;T and Broadband entitled to the benefits of the AT&amp;T Indenture and enforceable against AT&amp;T and Broadband in accordance with their terms except as enforceability thereof may be limited by bankruptcy, insolvency, reorganization, moratorium and other similar laws now or hereafter in effect relating to creditors' rights generally and general principles of equity.</w:t>
      </w:r>
    </w:p>
    <w:p>
      <w:pPr>
        <w:spacing w:after="0" w:line="186" w:lineRule="exact"/>
        <w:rPr>
          <w:rFonts w:ascii="Courier New" w:cs="Courier New" w:eastAsia="Courier New" w:hAnsi="Courier New"/>
          <w:sz w:val="16"/>
          <w:szCs w:val="16"/>
          <w:color w:val="auto"/>
        </w:rPr>
      </w:pPr>
    </w:p>
    <w:p>
      <w:pPr>
        <w:ind w:left="-360" w:right="2819" w:firstLine="844"/>
        <w:spacing w:after="0" w:line="238" w:lineRule="auto"/>
        <w:tabs>
          <w:tab w:leader="none" w:pos="1047"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Broadband Notes, when executed, authenticated and delivered in accordance with the terms of the New Broadband Indenture, will be the legal, valid and binding obligations of Broadband entitled to the benefits of the New Broadband Indenture and enforceable against Broadband in accordance with their terms except as enforceability thereof may be limited by bankruptcy, insolvency, fraudulent transfer, reorganization, moratorium and other similar laws now or hereafter in effect relating to creditors' rights generally and general principles of equity.</w:t>
      </w:r>
    </w:p>
    <w:p>
      <w:pPr>
        <w:spacing w:after="0" w:line="186" w:lineRule="exact"/>
        <w:rPr>
          <w:rFonts w:ascii="Courier New" w:cs="Courier New" w:eastAsia="Courier New" w:hAnsi="Courier New"/>
          <w:sz w:val="16"/>
          <w:szCs w:val="16"/>
          <w:color w:val="auto"/>
        </w:rPr>
      </w:pPr>
    </w:p>
    <w:p>
      <w:pPr>
        <w:ind w:left="-360" w:right="2719" w:firstLine="844"/>
        <w:spacing w:after="0" w:line="238" w:lineRule="auto"/>
        <w:tabs>
          <w:tab w:leader="none" w:pos="1141"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New Broadband Notes have been duly executed, authenticated and delivered in accordance with the terms of the New Broadband Indenture, the Guarantees will be the legal, valid and binding obligations of the AT&amp;T Parties that are Guarantors entitled to the benefits of the New Broadband Indenture and enforceable against them in accordance with their terms except as enforceability thereof may be limited by bankruptcy, insolvency, fraudulent transfer, reorganization, moratorium and other similar laws now or hereafter in effect relating to creditors' rights generally and general principles of equity.</w:t>
      </w:r>
    </w:p>
    <w:p>
      <w:pPr>
        <w:spacing w:after="0" w:line="186" w:lineRule="exact"/>
        <w:rPr>
          <w:rFonts w:ascii="Courier New" w:cs="Courier New" w:eastAsia="Courier New" w:hAnsi="Courier New"/>
          <w:sz w:val="16"/>
          <w:szCs w:val="16"/>
          <w:color w:val="auto"/>
        </w:rPr>
      </w:pPr>
    </w:p>
    <w:p>
      <w:pPr>
        <w:ind w:left="-360" w:right="2719" w:firstLine="844"/>
        <w:spacing w:after="0" w:line="256" w:lineRule="auto"/>
        <w:tabs>
          <w:tab w:leader="none" w:pos="1047"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AT&amp;T Notes, when executed, authenticated and delivered in accordance with the terms of the AT&amp;T Indenture will be the legal, valid and binding obligations of AT&amp;T entitled to the benefits of the AT&amp;T Indenture and enforceable against AT&amp;T in accordance with their terms except as enforceability thereof may be limited by bankruptcy, insolvency, fraudulent transfer, reorganization, moratorium and other similar laws now or hereafter in effect relating to creditors' rights generally and general principles of equity.</w:t>
      </w:r>
    </w:p>
    <w:p>
      <w:pPr>
        <w:spacing w:after="0" w:line="173" w:lineRule="exact"/>
        <w:rPr>
          <w:rFonts w:ascii="Courier New" w:cs="Courier New" w:eastAsia="Courier New" w:hAnsi="Courier New"/>
          <w:sz w:val="15"/>
          <w:szCs w:val="15"/>
          <w:color w:val="auto"/>
        </w:rPr>
      </w:pPr>
    </w:p>
    <w:p>
      <w:pPr>
        <w:ind w:left="-360" w:right="2719" w:firstLine="844"/>
        <w:spacing w:after="0" w:line="238" w:lineRule="auto"/>
        <w:tabs>
          <w:tab w:leader="none" w:pos="953"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Supplemental AT&amp;T Indentures have been duly authorized and, when executed and delivered by AT&amp;T and Broadband, as applicable, will be legal, valid and binding agreements of AT&amp;T and Broadband, as applicable, enforceable against them in accordance with their terms except as enforceability thereof may be limited by bankruptcy, insolvency, reorganization, moratorium and other similar laws now or hereafter in effect relating to creditors' rights generally and general principles of equity. The form of the Supplemental AT&amp;T Indentures conform in all material respects to the requirements of, and when filed in definitive form with the Commission will be qualified under, the Trust Indenture Act.</w:t>
      </w:r>
    </w:p>
    <w:p>
      <w:pPr>
        <w:spacing w:after="0" w:line="36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478" w:right="1440" w:bottom="1440" w:gutter="0" w:footer="0" w:header="0"/>
        </w:sectPr>
      </w:pPr>
    </w:p>
    <w:bookmarkStart w:id="386" w:name="page387"/>
    <w:bookmarkEnd w:id="386"/>
    <w:p>
      <w:pPr>
        <w:ind w:right="2719" w:firstLine="844"/>
        <w:spacing w:after="0" w:line="238" w:lineRule="auto"/>
        <w:tabs>
          <w:tab w:leader="none" w:pos="1406" w:val="left"/>
        </w:tabs>
        <w:numPr>
          <w:ilvl w:val="1"/>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Broadband Indenture has been duly authorized and, when executed and delivered by Broadband and the AT&amp;T Parties that are Guarantors, will be a legal, valid and binding agreement of Broadband and such Guarantors enforceable against them in accordance with its terms except as enforceability thereof may be limited by bankruptcy, insolvency, reorganization, moratorium and other similar laws now or hereafter in effect relating to creditors' rights generally and general principles of equity. The form of the New Broadband Indenture conforms in all material respects to the requirements of, and when filed in definitive form with the Commission will be qualified under the Trust Indenture Act.</w:t>
      </w:r>
    </w:p>
    <w:p>
      <w:pPr>
        <w:spacing w:after="0" w:line="187" w:lineRule="exact"/>
        <w:rPr>
          <w:rFonts w:ascii="Courier New" w:cs="Courier New" w:eastAsia="Courier New" w:hAnsi="Courier New"/>
          <w:sz w:val="16"/>
          <w:szCs w:val="16"/>
          <w:color w:val="auto"/>
        </w:rPr>
      </w:pPr>
    </w:p>
    <w:p>
      <w:pPr>
        <w:ind w:right="2899" w:firstLine="844"/>
        <w:spacing w:after="0" w:line="238" w:lineRule="auto"/>
        <w:tabs>
          <w:tab w:leader="none" w:pos="1500" w:val="left"/>
        </w:tabs>
        <w:numPr>
          <w:ilvl w:val="1"/>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Prospectus under the captions "Description of the Note Amendment", "Description of the Broadband Exchange Notes", and "Comparison of the New Broadband Notes and the Broadband Exchange Notes" insofar as such statements constitute a summary of the legal matters or documents referred to therein, fairly present the information called for with respect to such legal matters and documents</w:t>
      </w:r>
    </w:p>
    <w:p>
      <w:pPr>
        <w:spacing w:after="0" w:line="184" w:lineRule="exact"/>
        <w:rPr>
          <w:rFonts w:ascii="Courier New" w:cs="Courier New" w:eastAsia="Courier New" w:hAnsi="Courier New"/>
          <w:sz w:val="16"/>
          <w:szCs w:val="16"/>
          <w:color w:val="auto"/>
        </w:rPr>
      </w:pPr>
    </w:p>
    <w:p>
      <w:pPr>
        <w:ind w:left="840" w:right="2999" w:hanging="840"/>
        <w:spacing w:after="0" w:line="236" w:lineRule="auto"/>
        <w:tabs>
          <w:tab w:leader="none" w:pos="840"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represents and warrants to, and agrees with, you as follows:</w:t>
      </w:r>
    </w:p>
    <w:p>
      <w:pPr>
        <w:spacing w:after="0" w:line="184" w:lineRule="exact"/>
        <w:rPr>
          <w:rFonts w:ascii="Courier New" w:cs="Courier New" w:eastAsia="Courier New" w:hAnsi="Courier New"/>
          <w:sz w:val="16"/>
          <w:szCs w:val="16"/>
          <w:color w:val="auto"/>
        </w:rPr>
      </w:pPr>
    </w:p>
    <w:p>
      <w:pPr>
        <w:ind w:right="2719" w:firstLine="844"/>
        <w:spacing w:after="0" w:line="238" w:lineRule="auto"/>
        <w:tabs>
          <w:tab w:leader="none" w:pos="1219" w:val="left"/>
        </w:tabs>
        <w:numPr>
          <w:ilvl w:val="1"/>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Comcast, AT&amp;T Comcast (but excluding Broadband and its subsidiaries) and Comcast Cable (collectively, the "Comcast Parties") is a corporation duly incorporated, validly existing and in good standing under the laws of the jurisdiction of its incorporation, with corporate power and authority to own, lease and operate its properties and to conduct its business as described in the Prospectus or, in the case of Comcast, in its reports filed with the Commission pursuant to Section 13(a) of the Exchange Act; and each of the Comcast Parties is duly qualified to transact business and is in good standing in each jurisdiction in which the conduct of its business or the ownership or leasing of property requires such qualification, except to the extent that the failure to be so qualified or to be in good standing would not have a material adverse effect on the business or financial condition of Comcast and all of its subsidiaries taken as a whole.</w:t>
      </w:r>
    </w:p>
    <w:p>
      <w:pPr>
        <w:spacing w:after="0" w:line="189" w:lineRule="exact"/>
        <w:rPr>
          <w:rFonts w:ascii="Courier New" w:cs="Courier New" w:eastAsia="Courier New" w:hAnsi="Courier New"/>
          <w:sz w:val="16"/>
          <w:szCs w:val="16"/>
          <w:color w:val="auto"/>
        </w:rPr>
      </w:pPr>
    </w:p>
    <w:p>
      <w:pPr>
        <w:ind w:right="2719" w:firstLine="844"/>
        <w:spacing w:after="0" w:line="256" w:lineRule="auto"/>
        <w:tabs>
          <w:tab w:leader="none" w:pos="1313" w:val="left"/>
        </w:tabs>
        <w:numPr>
          <w:ilvl w:val="1"/>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Comcast Parties, as the case may be, has full corporate power and authority to take and has duly taken all necessary corporate action to authorize (A) the Comcast Transactions (as hereinafter defined) and (B) the execution and delivery of the New Broadband Indenture and (C) the execution, delivery and performance of this Agreement, in each case, by the applicable Comcast Parties.</w:t>
      </w:r>
    </w:p>
    <w:p>
      <w:pPr>
        <w:spacing w:after="0" w:line="175" w:lineRule="exact"/>
        <w:rPr>
          <w:rFonts w:ascii="Courier New" w:cs="Courier New" w:eastAsia="Courier New" w:hAnsi="Courier New"/>
          <w:sz w:val="15"/>
          <w:szCs w:val="15"/>
          <w:color w:val="auto"/>
        </w:rPr>
      </w:pPr>
    </w:p>
    <w:p>
      <w:pPr>
        <w:ind w:right="2719" w:firstLine="844"/>
        <w:spacing w:after="0" w:line="238" w:lineRule="auto"/>
        <w:tabs>
          <w:tab w:leader="none" w:pos="1406" w:val="left"/>
        </w:tabs>
        <w:numPr>
          <w:ilvl w:val="1"/>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on behalf of the Comcast Parties and, assuming the due authorization, execution and delivery of this Agreement by the other parties hereto, this Agreement is the legal, valid and binding obligation of the Comcast Parties enforceable against them in accordance with its terms, except as enforceability thereof may be limited by bankruptcy, insolvency, fraudulent transfer, reorganization, moratorium and</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79"/>
          </w:cols>
          <w:pgMar w:left="1080" w:top="478" w:right="1440" w:bottom="1440" w:gutter="0" w:footer="0" w:header="0"/>
        </w:sectPr>
      </w:pPr>
    </w:p>
    <w:bookmarkStart w:id="387" w:name="page388"/>
    <w:bookmarkEnd w:id="387"/>
    <w:p>
      <w:pPr>
        <w:ind w:right="2999"/>
        <w:spacing w:after="0" w:line="236" w:lineRule="auto"/>
        <w:rPr>
          <w:sz w:val="20"/>
          <w:szCs w:val="20"/>
          <w:color w:val="auto"/>
        </w:rPr>
      </w:pPr>
      <w:r>
        <w:rPr>
          <w:rFonts w:ascii="Courier New" w:cs="Courier New" w:eastAsia="Courier New" w:hAnsi="Courier New"/>
          <w:sz w:val="16"/>
          <w:szCs w:val="16"/>
          <w:color w:val="auto"/>
        </w:rPr>
        <w:t>other similar laws now or hereafter in effect relating to creditors' rights generally and general principles of equity.</w:t>
      </w:r>
    </w:p>
    <w:p>
      <w:pPr>
        <w:spacing w:after="0" w:line="365" w:lineRule="exact"/>
        <w:rPr>
          <w:sz w:val="20"/>
          <w:szCs w:val="20"/>
          <w:color w:val="auto"/>
        </w:rPr>
      </w:pPr>
    </w:p>
    <w:p>
      <w:pPr>
        <w:ind w:right="2719" w:firstLine="844"/>
        <w:spacing w:after="0" w:line="254" w:lineRule="auto"/>
        <w:tabs>
          <w:tab w:leader="none" w:pos="1313"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that are Comcast Parties have filed the Registration Statement with the Commission. The Exchange Offer Material (other than (1) the filings and other materials of the AT&amp;T Parties incorporated by reference in the Prospectus, (2) the statements in the Prospectus under the captions "Selected Financial Data of AT&amp;T," "Summary Pro Forma Combined Condensed Financial Information of AT&amp;T," "Selected Financial Data of AT&amp;T Broadband Group," "Selected Financial Data of Broadband," "Markets and Market Prices," "Risk Factors -- Risks for AT&amp;T Relating to the AT&amp;T Comcast Transaction," "Risk Factors -- Risk Relating to the Business of AT&amp;T Comcast -- AT&amp;T Comcast, through Comcast, and Broadband face risks arising from their and AT&amp;T's relationship with At Home Corporation and US Airways Group Inc." (other than the fourth paragraph under such subheading), "Risk Factors -- Risks Relating to the Businesses of AT&amp;T Consumer Services Group and AT&amp;T Business Services Group," "Description of the Note Amendment" and "Description of the Broadband Exchange Notes", (3) the statements relating to the AT&amp;T Parties under the captions "Ratios of Earnings to Fixed Charges" and "Pro Forma Ratio of Earnings to Fixed Charges", (4) the financial statements included in the Prospectus relating to the AT&amp;T Parties, including the "Historical AT&amp;T Broadband" information included in the pro forma information of AT&amp;T Comcast, and (5) any other materials primarily related to the AT&amp;T Parties (collectively, the "AT&amp;T Material")), as of its date and the date hereof, complied or complies, as the case may be, in all material respects with the applicable requirements of the Securities Act, the Exchange Act, the Trust Indenture Act and any Other Agency and the applicable rules and regulations of the Commission thereunder. Each part of the Registration Statement (including the material incorporated by reference therein but excluding the AT&amp;T Material) when such part became effective, did not contain any untrue statement of a material fact or omit to state a material fact (other than with respect to the AT&amp;T Parties) required to be stated therein or necessary to make the statements therein not misleading and as of the commencement and the consummation of the Exchange Offer, none of the Exchange Offer Material (other than the AT&amp;T Material), as such Exchange Offer Material has been amended or supplemented to such date, will contain any untrue statement of a material fact or will omit to state a material fact (other than with respect to the AT&amp;T Parties) required to be stated therein or necessary to make the statements made therein, in the light of the circumstances under which they are made, not misleading; provided, however, that no representation is made with respect to any (x) statements contained in, or any matter omitted from, the Exchange Offer Material in reliance upon and in conformity with information furnished or confirmed in writing by you to the Registrants expressly for use therein or (y) to that part of the Registration Statement that constitutes the Statements of Eligibility and Qualification (Form T-1) under the Trust Indenture Act. The Comcast Parties acknowledge that the only information furnished by or on behalf of the Dealer Managers is the name, address and telephone number of the Dealer Managers.</w:t>
      </w:r>
    </w:p>
    <w:p>
      <w:pPr>
        <w:spacing w:after="0" w:line="200" w:lineRule="exact"/>
        <w:rPr>
          <w:sz w:val="20"/>
          <w:szCs w:val="20"/>
          <w:color w:val="auto"/>
        </w:rPr>
      </w:pPr>
    </w:p>
    <w:p>
      <w:pPr>
        <w:spacing w:after="0" w:line="36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79"/>
          </w:cols>
          <w:pgMar w:left="1080" w:top="478" w:right="1440" w:bottom="1440" w:gutter="0" w:footer="0" w:header="0"/>
        </w:sectPr>
      </w:pPr>
    </w:p>
    <w:bookmarkStart w:id="388" w:name="page389"/>
    <w:bookmarkEnd w:id="388"/>
    <w:p>
      <w:pPr>
        <w:ind w:right="2719" w:firstLine="469"/>
        <w:spacing w:after="0" w:line="254" w:lineRule="auto"/>
        <w:tabs>
          <w:tab w:leader="none" w:pos="844" w:val="left"/>
        </w:tabs>
        <w:numPr>
          <w:ilvl w:val="1"/>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and consummation of the Exchange Offer and the mandatory exchange of Broadband Exchange Notes into the New Broadband Notes, the execution and delivery of the New Broadband Indenture and the execution, delivery and performance of this Agreement, in each case, only to the extent involving actions by the Comcast Parties (collectively, the "Comcast Transactions") by the Comcast Parties, as the case may be, assuming compliance by the AT&amp;T Parties with their obligations under this Agreement, complied or complies, as the case may be, in all material respects with all applicable requirements of federal, state, local and foreign law, including, without limitation, any applicable regulations of the Commission, any Other Agency, the rules and regulations of the Exchanges and all applicable judgments, orders or decrees; and no consent, authorization, approval, order, exemption, registration, qualification or other action of, or filing with or notice to, the Commission, any Other Agency or any Exchange is required in connection with the execution, delivery and performance, as applicable, of the Comcast Transactions by the Comcast Parties, other than (i) such as may be required by the Securities Act, the Exchange Act or the Trust Indenture Act and as may be required by the securities or Blue Sky laws of the various states or the securities laws of non-U.S. jurisdictions in connection with the Comcast Transactions,</w:t>
      </w:r>
    </w:p>
    <w:p>
      <w:pPr>
        <w:spacing w:after="0" w:line="11" w:lineRule="exact"/>
        <w:rPr>
          <w:rFonts w:ascii="Courier New" w:cs="Courier New" w:eastAsia="Courier New" w:hAnsi="Courier New"/>
          <w:sz w:val="15"/>
          <w:szCs w:val="15"/>
          <w:color w:val="auto"/>
        </w:rPr>
      </w:pPr>
    </w:p>
    <w:p>
      <w:pPr>
        <w:ind w:right="2719"/>
        <w:spacing w:after="0" w:line="256" w:lineRule="auto"/>
        <w:tabs>
          <w:tab w:leader="none" w:pos="469"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consent, authorization, approval, order, exemption, registration, qualification or other action or filing or notification as have already been obtained or made or (iii) where the failure to obtain such consent, authorization, approval, order, exemption, registration, qualification or other action or filing or notification would not materially adversely affect the ability of the Comcast Parties to execute, deliver and perform this Agreement or to commence and consummate the Comcast Transactions in accordance with their terms.</w:t>
      </w:r>
    </w:p>
    <w:p>
      <w:pPr>
        <w:spacing w:after="0" w:line="173" w:lineRule="exact"/>
        <w:rPr>
          <w:rFonts w:ascii="Courier New" w:cs="Courier New" w:eastAsia="Courier New" w:hAnsi="Courier New"/>
          <w:sz w:val="15"/>
          <w:szCs w:val="15"/>
          <w:color w:val="auto"/>
        </w:rPr>
      </w:pPr>
    </w:p>
    <w:p>
      <w:pPr>
        <w:ind w:right="2719" w:firstLine="844"/>
        <w:spacing w:after="0" w:line="254" w:lineRule="auto"/>
        <w:tabs>
          <w:tab w:leader="none" w:pos="1313" w:val="left"/>
        </w:tabs>
        <w:numPr>
          <w:ilvl w:val="2"/>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Transactions do not and will not (i) conflict with or result in a violation of any of the provisions of the certificate of incorporation or by-laws of any of the Comcast Parties,</w:t>
      </w:r>
    </w:p>
    <w:p>
      <w:pPr>
        <w:spacing w:after="0" w:line="1" w:lineRule="exact"/>
        <w:rPr>
          <w:rFonts w:ascii="Courier New" w:cs="Courier New" w:eastAsia="Courier New" w:hAnsi="Courier New"/>
          <w:sz w:val="15"/>
          <w:szCs w:val="15"/>
          <w:color w:val="auto"/>
        </w:rPr>
      </w:pPr>
    </w:p>
    <w:p>
      <w:pPr>
        <w:ind w:right="2719"/>
        <w:spacing w:after="0" w:line="238" w:lineRule="auto"/>
        <w:tabs>
          <w:tab w:leader="none" w:pos="469"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result in the acceleration of any obligation under or in a breach of, or constitute a default under, any of the provisions of any indenture, agreement or undertaking to which any of the Comcast Parties or any of their subsidiaries is a party or by which any of them is bound or to which any of their property or assets is subject or (iii) contravene any federal, state or local law, rule or regulation applicable to any of the Comcast Parties or any of their subsidiaries, or any order applicable to any of them of any court or any other governmental agency or instrumentality having jurisdiction over it or any of their property.</w:t>
      </w:r>
    </w:p>
    <w:p>
      <w:pPr>
        <w:spacing w:after="0" w:line="186" w:lineRule="exact"/>
        <w:rPr>
          <w:rFonts w:ascii="Courier New" w:cs="Courier New" w:eastAsia="Courier New" w:hAnsi="Courier New"/>
          <w:sz w:val="16"/>
          <w:szCs w:val="16"/>
          <w:color w:val="auto"/>
        </w:rPr>
      </w:pPr>
    </w:p>
    <w:p>
      <w:pPr>
        <w:ind w:right="2819" w:firstLine="469"/>
        <w:spacing w:after="0" w:line="238" w:lineRule="auto"/>
        <w:tabs>
          <w:tab w:leader="none" w:pos="1031" w:val="left"/>
        </w:tabs>
        <w:numPr>
          <w:ilvl w:val="1"/>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stop order suspending the effectiveness of the Registration Statement has been issued and no proceedings for that purpose are pending or, to the knowledge of the Comcast Parties, threatened by the Commission and no injunction suspending the offer, issuance, delivery or exchange of the New Notes pursuant to the Exchange Offer has been issued and no proceedings for that purpose are pending or, to the knowledge of the Comcast Parties, have been threatened</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379"/>
          </w:cols>
          <w:pgMar w:left="1080" w:top="659" w:right="1440" w:bottom="1440" w:gutter="0" w:footer="0" w:header="0"/>
        </w:sectPr>
      </w:pPr>
    </w:p>
    <w:bookmarkStart w:id="389" w:name="page390"/>
    <w:bookmarkEnd w:id="389"/>
    <w:p>
      <w:pPr>
        <w:ind w:left="-360" w:right="2719" w:firstLine="469"/>
        <w:spacing w:after="0" w:line="238" w:lineRule="auto"/>
        <w:tabs>
          <w:tab w:leader="none" w:pos="765"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respective dates as of which information is given in the Exchange Offer Material (other than AT&amp;T Material), there has not been any material adverse change, financial or otherwise, in the condition of the Comcast Parties from that set forth in the Exchange Offer Material (other than with respect to AT&amp;T Material) or in Comcast's reports filed with the Commission pursuant to Section 13(a) of the Exchange Act.</w:t>
      </w:r>
    </w:p>
    <w:p>
      <w:pPr>
        <w:spacing w:after="0" w:line="184" w:lineRule="exact"/>
        <w:rPr>
          <w:rFonts w:ascii="Courier New" w:cs="Courier New" w:eastAsia="Courier New" w:hAnsi="Courier New"/>
          <w:sz w:val="16"/>
          <w:szCs w:val="16"/>
          <w:color w:val="auto"/>
        </w:rPr>
      </w:pPr>
    </w:p>
    <w:p>
      <w:pPr>
        <w:ind w:left="-360" w:right="2719" w:firstLine="469"/>
        <w:spacing w:after="0" w:line="256" w:lineRule="auto"/>
        <w:tabs>
          <w:tab w:leader="none" w:pos="578"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Deloitte &amp; Touche LLP, the accountants who have certified the financial statements and supporting schedules of the Comcast Parties included or incorporated by reference in the Exchange Offer Material, are independent public accountants with respect to the Comcast Parties and their subsidiaries as required by the Securities Act.</w:t>
      </w:r>
    </w:p>
    <w:p>
      <w:pPr>
        <w:spacing w:after="0" w:line="356" w:lineRule="exact"/>
        <w:rPr>
          <w:rFonts w:ascii="Courier New" w:cs="Courier New" w:eastAsia="Courier New" w:hAnsi="Courier New"/>
          <w:sz w:val="15"/>
          <w:szCs w:val="15"/>
          <w:color w:val="auto"/>
        </w:rPr>
      </w:pPr>
    </w:p>
    <w:p>
      <w:pPr>
        <w:ind w:left="-360" w:right="2719" w:firstLine="469"/>
        <w:spacing w:after="0" w:line="238" w:lineRule="auto"/>
        <w:tabs>
          <w:tab w:leader="none" w:pos="484"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together with the related schedules and notes of the Comcast Parties, included or incorporated by reference in the Exchange Offer Material, present fairly in all material respects the combined financial position, results of operations and changes in financial position of the Comcast Parties and their subsidiaries on the basis stated in the Exchange Offer Material or incorporated therein by reference as of the respective dates indicated and for the respective periods specified; except as otherwise stated therein, said financial statements and related schedules and notes have been prepared in conformity with generally accepted accounting principles applied on a consistent basis; and the other financial and statistical information and data of the Comcast Parties included or incorporated by reference in the Exchange Offer Material is, in all material respects, fairly presented and prepared on a basis consistent with such financial statements and derived from books and records of the Comcast Parties, as applicable.</w:t>
      </w:r>
    </w:p>
    <w:p>
      <w:pPr>
        <w:spacing w:after="0" w:line="370" w:lineRule="exact"/>
        <w:rPr>
          <w:rFonts w:ascii="Courier New" w:cs="Courier New" w:eastAsia="Courier New" w:hAnsi="Courier New"/>
          <w:sz w:val="16"/>
          <w:szCs w:val="16"/>
          <w:color w:val="auto"/>
        </w:rPr>
      </w:pPr>
    </w:p>
    <w:p>
      <w:pPr>
        <w:ind w:left="-360" w:right="2719" w:firstLine="469"/>
        <w:spacing w:after="0" w:line="238" w:lineRule="auto"/>
        <w:tabs>
          <w:tab w:leader="none" w:pos="578"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Guarantees have been duly authorized and, when the New Broadband Notes have been duly executed, authenticated and delivered in accordance with the terms of the New Broadband Indenture, will be the legal, valid and binding obligations of the Comcast Parties (other than Comcast) entitled to the benefits of the New Broadband Indenture and enforceable against them in accordance with their terms except as enforceability thereof may be limited by bankruptcy, insolvency, fraudulent transfer, reorganization, moratorium and other similar laws now or hereafter in effect relating to creditors' rights generally and general principles of equity.</w:t>
      </w:r>
    </w:p>
    <w:p>
      <w:pPr>
        <w:spacing w:after="0" w:line="186" w:lineRule="exact"/>
        <w:rPr>
          <w:rFonts w:ascii="Courier New" w:cs="Courier New" w:eastAsia="Courier New" w:hAnsi="Courier New"/>
          <w:sz w:val="16"/>
          <w:szCs w:val="16"/>
          <w:color w:val="auto"/>
        </w:rPr>
      </w:pPr>
    </w:p>
    <w:p>
      <w:pPr>
        <w:ind w:left="-360" w:right="2719" w:firstLine="469"/>
        <w:spacing w:after="0" w:line="255" w:lineRule="auto"/>
        <w:tabs>
          <w:tab w:leader="none" w:pos="672"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Broadband Indenture has been duly authorized and, when executed and delivered by the Comcast Parties (other than Comcast), will be a legal, valid and binding agreement of Comcast Parties (other than Comcast) enforceable against them in accordance with its terms except as enforceability thereof may be limited by bankruptcy, insolvency, fraudulent transfer, reorganization, moratorium and other similar laws now or hereafter in effect relating to creditors' rights generally and general principles of equity. The form of the New Broadband Indenture conforms in all material respects to the</w:t>
      </w:r>
    </w:p>
    <w:p>
      <w:pPr>
        <w:spacing w:after="0" w:line="354"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478" w:right="1440" w:bottom="1440" w:gutter="0" w:footer="0" w:header="0"/>
        </w:sectPr>
      </w:pPr>
    </w:p>
    <w:bookmarkStart w:id="390" w:name="page391"/>
    <w:bookmarkEnd w:id="390"/>
    <w:p>
      <w:pPr>
        <w:ind w:left="844" w:right="2819"/>
        <w:spacing w:after="0" w:line="236" w:lineRule="auto"/>
        <w:rPr>
          <w:sz w:val="20"/>
          <w:szCs w:val="20"/>
          <w:color w:val="auto"/>
        </w:rPr>
      </w:pPr>
      <w:r>
        <w:rPr>
          <w:rFonts w:ascii="Courier New" w:cs="Courier New" w:eastAsia="Courier New" w:hAnsi="Courier New"/>
          <w:sz w:val="16"/>
          <w:szCs w:val="16"/>
          <w:color w:val="auto"/>
        </w:rPr>
        <w:t>requirements of, and when filed in definitive form with the Commission will be qualified under, the Trust Indenture Act.</w:t>
      </w:r>
    </w:p>
    <w:p>
      <w:pPr>
        <w:spacing w:after="0" w:line="185" w:lineRule="exact"/>
        <w:rPr>
          <w:sz w:val="20"/>
          <w:szCs w:val="20"/>
          <w:color w:val="auto"/>
        </w:rPr>
      </w:pPr>
    </w:p>
    <w:p>
      <w:pPr>
        <w:ind w:left="844" w:right="2819" w:firstLine="469"/>
        <w:spacing w:after="0" w:line="237" w:lineRule="auto"/>
        <w:tabs>
          <w:tab w:leader="none" w:pos="1969" w:val="left"/>
        </w:tabs>
        <w:numPr>
          <w:ilvl w:val="2"/>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Prospectus under "Description of the New Broadband Notes and the Cable Guarantees" and "Comparison of the New Broadband Notes and the Broadband Exchange Notes", insofar as such statements constitute a summary of the legal matters or documents referred to therein, fairly present the information called for with respect to such legal matters and documents.</w:t>
      </w:r>
    </w:p>
    <w:p>
      <w:pPr>
        <w:spacing w:after="0" w:line="188" w:lineRule="exact"/>
        <w:rPr>
          <w:rFonts w:ascii="Courier New" w:cs="Courier New" w:eastAsia="Courier New" w:hAnsi="Courier New"/>
          <w:sz w:val="16"/>
          <w:szCs w:val="16"/>
          <w:color w:val="auto"/>
        </w:rPr>
      </w:pPr>
    </w:p>
    <w:p>
      <w:pPr>
        <w:ind w:left="844" w:right="2719" w:hanging="844"/>
        <w:spacing w:after="0" w:line="256" w:lineRule="auto"/>
        <w:tabs>
          <w:tab w:leader="none" w:pos="844"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Obligations of the Dealer Managers. Your obligations to render services pursuant to this Agreement shall at all times be subject, in your discretion, to the following conditions, it being understood that each Dealer Manager may determine in its sole discretion whether such conditions have been satisfied and may exercise any rights or remedies with respect thereto without regard to whether the other Dealer Managers have exercised their rights or remedies:</w:t>
      </w:r>
    </w:p>
    <w:p>
      <w:pPr>
        <w:spacing w:after="0" w:line="174" w:lineRule="exact"/>
        <w:rPr>
          <w:rFonts w:ascii="Courier New" w:cs="Courier New" w:eastAsia="Courier New" w:hAnsi="Courier New"/>
          <w:sz w:val="15"/>
          <w:szCs w:val="15"/>
          <w:color w:val="auto"/>
        </w:rPr>
      </w:pPr>
    </w:p>
    <w:p>
      <w:pPr>
        <w:ind w:left="1304" w:right="2819" w:hanging="460"/>
        <w:spacing w:after="0" w:line="237" w:lineRule="auto"/>
        <w:tabs>
          <w:tab w:leader="none" w:pos="1304" w:val="left"/>
        </w:tabs>
        <w:numPr>
          <w:ilvl w:val="1"/>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Registrants at all times shall have performed in all material respects all of its obligations hereunder theretofore to be performed.</w:t>
      </w:r>
    </w:p>
    <w:p>
      <w:pPr>
        <w:spacing w:after="0" w:line="184" w:lineRule="exact"/>
        <w:rPr>
          <w:rFonts w:ascii="Courier New" w:cs="Courier New" w:eastAsia="Courier New" w:hAnsi="Courier New"/>
          <w:sz w:val="16"/>
          <w:szCs w:val="16"/>
          <w:color w:val="auto"/>
        </w:rPr>
      </w:pPr>
    </w:p>
    <w:p>
      <w:pPr>
        <w:ind w:left="1304" w:right="2719" w:hanging="460"/>
        <w:spacing w:after="0" w:line="237" w:lineRule="auto"/>
        <w:tabs>
          <w:tab w:leader="none" w:pos="1304" w:val="left"/>
        </w:tabs>
        <w:numPr>
          <w:ilvl w:val="1"/>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representations, warranties, covenants and other statements of the Companies contained in this Agreement are now, at the commencement of the Exchange Offer, and at all times during the continuance and upon the consummation of the Exchange Offer, shall be, true and correct in all material respects.</w:t>
      </w:r>
    </w:p>
    <w:p>
      <w:pPr>
        <w:spacing w:after="0" w:line="187" w:lineRule="exact"/>
        <w:rPr>
          <w:rFonts w:ascii="Courier New" w:cs="Courier New" w:eastAsia="Courier New" w:hAnsi="Courier New"/>
          <w:sz w:val="16"/>
          <w:szCs w:val="16"/>
          <w:color w:val="auto"/>
        </w:rPr>
      </w:pPr>
    </w:p>
    <w:p>
      <w:pPr>
        <w:ind w:left="1304" w:right="2719" w:hanging="460"/>
        <w:spacing w:after="0" w:line="254" w:lineRule="auto"/>
        <w:tabs>
          <w:tab w:leader="none" w:pos="1304" w:val="left"/>
        </w:tabs>
        <w:numPr>
          <w:ilvl w:val="1"/>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dates indicated in the exhibits referred to below, you shall have received (i) an opinion addressed to you and dated such date of Wachtell, Lipton, Rosen &amp; Katz, with respect to the matters set forth in Exhibit A, (ii) an opinion addressed to you and dated such date of Robert S. Feit, Vice President- Law and Secretary of AT&amp;T, with respect to matters set forth in Exhibit B,</w:t>
      </w:r>
    </w:p>
    <w:p>
      <w:pPr>
        <w:spacing w:after="0" w:line="3" w:lineRule="exact"/>
        <w:rPr>
          <w:rFonts w:ascii="Courier New" w:cs="Courier New" w:eastAsia="Courier New" w:hAnsi="Courier New"/>
          <w:sz w:val="15"/>
          <w:szCs w:val="15"/>
          <w:color w:val="auto"/>
        </w:rPr>
      </w:pPr>
    </w:p>
    <w:p>
      <w:pPr>
        <w:ind w:left="1304" w:right="2719" w:firstLine="9"/>
        <w:spacing w:after="0" w:line="238" w:lineRule="auto"/>
        <w:tabs>
          <w:tab w:leader="none" w:pos="1866" w:val="left"/>
        </w:tabs>
        <w:numPr>
          <w:ilvl w:val="2"/>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addressed to you and dated such date of James N. Zerefos, Associate General Counsel of AT&amp;T Broadband, with respect to the matters set forth in Exhibit C, (iv) an opinion addressed to you and dated such date of Arthur R. Block, Senior Vice President and General Counsel of Comcast, with respect to the matters set forth in Exhibit D, (v) an opinion addressed to you and dated such date of Davis Polk &amp; Wardwell, with respect to the matters set forth in Exhibit E, (vi) an opinion addressed to you and dated such date of Dow, Lohnes and Albertson, with respect to the matters set forth in Exhibit F and (vii) an opinion addressed to you and dated such date of Simpson Thacher &amp; Bartlett in the form satisfactory to you.</w:t>
      </w:r>
    </w:p>
    <w:p>
      <w:pPr>
        <w:spacing w:after="0" w:line="187" w:lineRule="exact"/>
        <w:rPr>
          <w:rFonts w:ascii="Courier New" w:cs="Courier New" w:eastAsia="Courier New" w:hAnsi="Courier New"/>
          <w:sz w:val="16"/>
          <w:szCs w:val="16"/>
          <w:color w:val="auto"/>
        </w:rPr>
      </w:pPr>
    </w:p>
    <w:p>
      <w:pPr>
        <w:ind w:left="1304" w:right="2819" w:hanging="460"/>
        <w:spacing w:after="0" w:line="237" w:lineRule="auto"/>
        <w:tabs>
          <w:tab w:leader="none" w:pos="1304" w:val="left"/>
        </w:tabs>
        <w:numPr>
          <w:ilvl w:val="1"/>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commencement of the Exchange Offer and on the date of the consummation of the Exchange Offer, you shall have received initial and bring-down letters, satisfactory in form and substance to you and your counsel, dated as of the date of delivery thereof and addressed to you, of (i)</w:t>
      </w:r>
    </w:p>
    <w:p>
      <w:pPr>
        <w:spacing w:after="0" w:line="36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478" w:right="1440" w:bottom="1440" w:gutter="0" w:footer="0" w:header="0"/>
        </w:sectPr>
      </w:pPr>
    </w:p>
    <w:bookmarkStart w:id="391" w:name="page392"/>
    <w:bookmarkEnd w:id="391"/>
    <w:p>
      <w:pPr>
        <w:ind w:left="1304" w:right="2719"/>
        <w:spacing w:after="0" w:line="238" w:lineRule="auto"/>
        <w:rPr>
          <w:sz w:val="20"/>
          <w:szCs w:val="20"/>
          <w:color w:val="auto"/>
        </w:rPr>
      </w:pPr>
      <w:r>
        <w:rPr>
          <w:rFonts w:ascii="Courier New" w:cs="Courier New" w:eastAsia="Courier New" w:hAnsi="Courier New"/>
          <w:sz w:val="16"/>
          <w:szCs w:val="16"/>
          <w:color w:val="auto"/>
        </w:rPr>
        <w:t>PricewaterhouseCoopers LLP, independent certified public accountants for AT&amp;T and Broadband, containing statements and information of the type ordinarily included in accountants' comfort letters with respect to the financial statements and certain financial information of AT&amp;T and Broadband contained in the Exchange Offer Material, (ii) KMPG LLP, independent public accountants, to Liberty Media Corporation and AT&amp;T Canada, Inc. containing statements and information of the type ordinarily included in accountants' comfort letters with respect to the financial statements and certain financial information of such companies contained in the Exchange Offer Material and (iii) Deloitte &amp; Touche LLP, independent certified public accountants for Comcast, AT&amp;T Comcast and Comcast Cable, containing statements and information of the type ordinarily included in accountants' comfort letters with respect to the financial statements and certain financial information of such companies contained in the Exchange Offer Material.</w:t>
      </w:r>
    </w:p>
    <w:p>
      <w:pPr>
        <w:spacing w:after="0" w:line="372" w:lineRule="exact"/>
        <w:rPr>
          <w:sz w:val="20"/>
          <w:szCs w:val="20"/>
          <w:color w:val="auto"/>
        </w:rPr>
      </w:pPr>
    </w:p>
    <w:p>
      <w:pPr>
        <w:ind w:left="1304" w:right="2719" w:hanging="460"/>
        <w:spacing w:after="0" w:line="255" w:lineRule="auto"/>
        <w:tabs>
          <w:tab w:leader="none" w:pos="1304" w:val="left"/>
        </w:tabs>
        <w:numPr>
          <w:ilvl w:val="1"/>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commencement of the Exchange Offer and on the date of the consummation of the Exchange Offer, you shall have received a certificate signed by a Vice President or the Treasurer of AT&amp;T with respect to the AT&amp;T Parties and a certificate signed by a Vice President or the Treasurer of Comcast with respect to the Comcast Parties that state, in each case, that (i) except as reflected in or contemplated by the Registration Statement and the Prospectus, since the respective dates as of which information is given in the Registration Statement and the Prospectus there shall not have been, at the time of such certificate, any material adverse change, financial or otherwise, in the condition of the AT&amp;T Parties or the Comcast Parties, as the case may be, from that set forth in the Registration Statement and the Prospectus or, with respect to the Comcast Parties, Comcast's reports filed with the Commission pursuant to Section 13(a) of the Exchange Act, (ii) the representations and warranties of the AT&amp;T Parties or the Comcast Parties, as the case may be, herein shall be true at the date of such certificate, (iii) the AT&amp;T Parties or the Comcast Parties, as the case may be, shall not have failed, at or prior to the time of such certificate, as applicable, to have performed all agreements herein contained which should have been performed by the AT&amp;T Parties or the Comcast Parties, as the case may be, at or prior to such time.</w:t>
      </w:r>
    </w:p>
    <w:p>
      <w:pPr>
        <w:spacing w:after="0" w:line="176" w:lineRule="exact"/>
        <w:rPr>
          <w:rFonts w:ascii="Courier New" w:cs="Courier New" w:eastAsia="Courier New" w:hAnsi="Courier New"/>
          <w:sz w:val="15"/>
          <w:szCs w:val="15"/>
          <w:color w:val="auto"/>
        </w:rPr>
      </w:pPr>
    </w:p>
    <w:p>
      <w:pPr>
        <w:ind w:left="1304" w:right="2999" w:hanging="460"/>
        <w:spacing w:after="0" w:line="259" w:lineRule="auto"/>
        <w:tabs>
          <w:tab w:leader="none" w:pos="1304" w:val="left"/>
        </w:tabs>
        <w:numPr>
          <w:ilvl w:val="1"/>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not have become unlawful under any law or regulation, federal, state or local, for you to render services pursuant to this Agreement, or to continue so to act, as the case may be.</w:t>
      </w:r>
    </w:p>
    <w:p>
      <w:pPr>
        <w:spacing w:after="0" w:line="166" w:lineRule="exact"/>
        <w:rPr>
          <w:rFonts w:ascii="Courier New" w:cs="Courier New" w:eastAsia="Courier New" w:hAnsi="Courier New"/>
          <w:sz w:val="15"/>
          <w:szCs w:val="15"/>
          <w:color w:val="auto"/>
        </w:rPr>
      </w:pPr>
    </w:p>
    <w:p>
      <w:pPr>
        <w:ind w:left="844" w:hanging="844"/>
        <w:spacing w:after="0"/>
        <w:tabs>
          <w:tab w:leader="none" w:pos="844" w:val="left"/>
        </w:tabs>
        <w:numPr>
          <w:ilvl w:val="0"/>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The indemnity provisions are set forth in Exhibit G.</w:t>
      </w:r>
    </w:p>
    <w:p>
      <w:pPr>
        <w:spacing w:after="0" w:line="184" w:lineRule="exact"/>
        <w:rPr>
          <w:rFonts w:ascii="Courier New" w:cs="Courier New" w:eastAsia="Courier New" w:hAnsi="Courier New"/>
          <w:sz w:val="16"/>
          <w:szCs w:val="16"/>
          <w:color w:val="auto"/>
        </w:rPr>
      </w:pPr>
    </w:p>
    <w:p>
      <w:pPr>
        <w:ind w:left="844" w:right="2719" w:hanging="844"/>
        <w:spacing w:after="0" w:line="256" w:lineRule="auto"/>
        <w:tabs>
          <w:tab w:leader="none" w:pos="844"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Dealer Managers. The Registrants agree that any reference to you or your affiliates in any Exchange Offer Material, or any other release, publication or communication to any party outside of the Registrants, is subject to your prior approval (such approval not to be unreasonably withheld). If you resign or are terminated prior to the dissemination of any Exchange Offer Material or any other</w:t>
      </w:r>
    </w:p>
    <w:p>
      <w:pPr>
        <w:spacing w:after="0" w:line="35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3"/>
          </w:cols>
          <w:pgMar w:left="236" w:top="1019" w:right="1440" w:bottom="1440" w:gutter="0" w:footer="0" w:header="0"/>
        </w:sectPr>
      </w:pPr>
    </w:p>
    <w:bookmarkStart w:id="392" w:name="page393"/>
    <w:bookmarkEnd w:id="392"/>
    <w:p>
      <w:pPr>
        <w:ind w:left="844" w:right="3099"/>
        <w:spacing w:after="0" w:line="237" w:lineRule="auto"/>
        <w:rPr>
          <w:sz w:val="20"/>
          <w:szCs w:val="20"/>
          <w:color w:val="auto"/>
        </w:rPr>
      </w:pPr>
      <w:r>
        <w:rPr>
          <w:rFonts w:ascii="Courier New" w:cs="Courier New" w:eastAsia="Courier New" w:hAnsi="Courier New"/>
          <w:sz w:val="16"/>
          <w:szCs w:val="16"/>
          <w:color w:val="auto"/>
        </w:rPr>
        <w:t>release or communication, no reference shall be made therein to you without your prior written permission (such permission not to be unreasonably withheld).</w:t>
      </w:r>
    </w:p>
    <w:p>
      <w:pPr>
        <w:spacing w:after="0" w:line="185" w:lineRule="exact"/>
        <w:rPr>
          <w:sz w:val="20"/>
          <w:szCs w:val="20"/>
          <w:color w:val="auto"/>
        </w:rPr>
      </w:pPr>
    </w:p>
    <w:p>
      <w:pPr>
        <w:ind w:left="844" w:right="2819" w:hanging="844"/>
        <w:spacing w:after="0" w:line="255" w:lineRule="auto"/>
        <w:tabs>
          <w:tab w:leader="none" w:pos="844"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Information. In connection with your activities hereunder, the Registrants agree to furnish you and your counsel with all information concerning the Registrants that you reasonably deem appropriate and agree to provide you with reasonable access to the Companies' officers, directors, accountants, counsel, consultants and other appropriate agents and representatives, it being understood that you will be entitled to rely upon such information supplied by the Companies' and such persons without assuming any responsibility for independent investigation or verification thereof. No investigation made or information obtained by you pursuant to this Section 13 shall serve to limit the Participant's liability for any breach of its representations, warranties or agreements hereunder.</w:t>
      </w:r>
    </w:p>
    <w:p>
      <w:pPr>
        <w:spacing w:after="0" w:line="178" w:lineRule="exact"/>
        <w:rPr>
          <w:rFonts w:ascii="Courier New" w:cs="Courier New" w:eastAsia="Courier New" w:hAnsi="Courier New"/>
          <w:sz w:val="15"/>
          <w:szCs w:val="15"/>
          <w:color w:val="auto"/>
        </w:rPr>
      </w:pPr>
    </w:p>
    <w:p>
      <w:pPr>
        <w:ind w:left="844" w:right="2719" w:hanging="844"/>
        <w:spacing w:after="0" w:line="237" w:lineRule="auto"/>
        <w:tabs>
          <w:tab w:leader="none" w:pos="844"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terminate upon the expiration, termination or withdrawal of the Exchange Offer or, with respect to any Dealer Manager, upon withdrawal by such Dealer Manager pursuant to Section 4 hereof, it being understood that Sections 3, 5, 6, 8, 9, 11, 14, 18, 19, 20, 21 and 22 hereof shall survive any termination of this Agreement.</w:t>
      </w:r>
    </w:p>
    <w:p>
      <w:pPr>
        <w:spacing w:after="0" w:line="188" w:lineRule="exact"/>
        <w:rPr>
          <w:rFonts w:ascii="Courier New" w:cs="Courier New" w:eastAsia="Courier New" w:hAnsi="Courier New"/>
          <w:sz w:val="16"/>
          <w:szCs w:val="16"/>
          <w:color w:val="auto"/>
        </w:rPr>
      </w:pPr>
    </w:p>
    <w:p>
      <w:pPr>
        <w:ind w:left="844" w:right="2819" w:hanging="844"/>
        <w:spacing w:after="0" w:line="237" w:lineRule="auto"/>
        <w:tabs>
          <w:tab w:leader="none" w:pos="844"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required or permitted to be given under this Agreement shall be in writing and shall be given (and shall be deemed to have been given upon receipt) by delivery in person, by cable, by telecopy, by telegram, by telex or by registered or certified mail (postage prepaid, return receipt requested) to the applicable party at the addresses indicated below:</w:t>
      </w:r>
    </w:p>
    <w:p>
      <w:pPr>
        <w:spacing w:after="0" w:line="183" w:lineRule="exact"/>
        <w:rPr>
          <w:rFonts w:ascii="Courier New" w:cs="Courier New" w:eastAsia="Courier New" w:hAnsi="Courier New"/>
          <w:sz w:val="16"/>
          <w:szCs w:val="16"/>
          <w:color w:val="auto"/>
        </w:rPr>
      </w:pPr>
    </w:p>
    <w:p>
      <w:pPr>
        <w:ind w:left="1304" w:hanging="460"/>
        <w:spacing w:after="0"/>
        <w:tabs>
          <w:tab w:leader="none" w:pos="1304" w:val="left"/>
        </w:tabs>
        <w:numPr>
          <w:ilvl w:val="1"/>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you:</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CREDIT SUISSE FIRST BOSTON CORPORATION</w:t>
      </w:r>
    </w:p>
    <w:p>
      <w:pPr>
        <w:ind w:left="844"/>
        <w:spacing w:after="0"/>
        <w:rPr>
          <w:sz w:val="20"/>
          <w:szCs w:val="20"/>
          <w:color w:val="auto"/>
        </w:rPr>
      </w:pPr>
      <w:r>
        <w:rPr>
          <w:rFonts w:ascii="Courier New" w:cs="Courier New" w:eastAsia="Courier New" w:hAnsi="Courier New"/>
          <w:sz w:val="16"/>
          <w:szCs w:val="16"/>
          <w:color w:val="auto"/>
        </w:rPr>
        <w:t>11 Madison Avenue</w:t>
      </w:r>
    </w:p>
    <w:p>
      <w:pPr>
        <w:ind w:left="844"/>
        <w:spacing w:after="0" w:line="237" w:lineRule="auto"/>
        <w:rPr>
          <w:sz w:val="20"/>
          <w:szCs w:val="20"/>
          <w:color w:val="auto"/>
        </w:rPr>
      </w:pPr>
      <w:r>
        <w:rPr>
          <w:rFonts w:ascii="Courier New" w:cs="Courier New" w:eastAsia="Courier New" w:hAnsi="Courier New"/>
          <w:sz w:val="16"/>
          <w:szCs w:val="16"/>
          <w:color w:val="auto"/>
        </w:rPr>
        <w:t>New York, New York 10010</w:t>
      </w:r>
    </w:p>
    <w:p>
      <w:pPr>
        <w:ind w:left="844"/>
        <w:spacing w:after="0"/>
        <w:tabs>
          <w:tab w:leader="none" w:pos="2223"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212-743-5655</w:t>
      </w:r>
    </w:p>
    <w:p>
      <w:pPr>
        <w:ind w:left="844"/>
        <w:spacing w:after="0" w:line="238" w:lineRule="auto"/>
        <w:tabs>
          <w:tab w:leader="none" w:pos="1943" w:val="left"/>
        </w:tabs>
        <w:rPr>
          <w:sz w:val="20"/>
          <w:szCs w:val="20"/>
          <w:color w:val="auto"/>
        </w:rPr>
      </w:pPr>
      <w:r>
        <w:rPr>
          <w:rFonts w:ascii="Courier New" w:cs="Courier New" w:eastAsia="Courier New" w:hAnsi="Courier New"/>
          <w:sz w:val="16"/>
          <w:szCs w:val="16"/>
          <w:color w:val="auto"/>
        </w:rPr>
        <w:t>Attention:</w:t>
        <w:tab/>
        <w:t>Liability Management Group</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DEUTSCHE BANK SECURITIES INC.</w:t>
      </w:r>
    </w:p>
    <w:p>
      <w:pPr>
        <w:ind w:left="844"/>
        <w:spacing w:after="0"/>
        <w:rPr>
          <w:sz w:val="20"/>
          <w:szCs w:val="20"/>
          <w:color w:val="auto"/>
        </w:rPr>
      </w:pPr>
      <w:r>
        <w:rPr>
          <w:rFonts w:ascii="Courier New" w:cs="Courier New" w:eastAsia="Courier New" w:hAnsi="Courier New"/>
          <w:sz w:val="16"/>
          <w:szCs w:val="16"/>
          <w:color w:val="auto"/>
        </w:rPr>
        <w:t>31 West 52nd Street</w:t>
      </w:r>
    </w:p>
    <w:p>
      <w:pPr>
        <w:ind w:left="844"/>
        <w:spacing w:after="0" w:line="237" w:lineRule="auto"/>
        <w:rPr>
          <w:sz w:val="20"/>
          <w:szCs w:val="20"/>
          <w:color w:val="auto"/>
        </w:rPr>
      </w:pPr>
      <w:r>
        <w:rPr>
          <w:rFonts w:ascii="Courier New" w:cs="Courier New" w:eastAsia="Courier New" w:hAnsi="Courier New"/>
          <w:sz w:val="16"/>
          <w:szCs w:val="16"/>
          <w:color w:val="auto"/>
        </w:rPr>
        <w:t>New York, New York 10019</w:t>
      </w:r>
    </w:p>
    <w:p>
      <w:pPr>
        <w:ind w:left="844"/>
        <w:spacing w:after="0"/>
        <w:tabs>
          <w:tab w:leader="none" w:pos="2223"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 469-8651</w:t>
      </w:r>
    </w:p>
    <w:p>
      <w:pPr>
        <w:ind w:left="844"/>
        <w:spacing w:after="0" w:line="238" w:lineRule="auto"/>
        <w:tabs>
          <w:tab w:leader="none" w:pos="1943" w:val="left"/>
        </w:tabs>
        <w:rPr>
          <w:sz w:val="20"/>
          <w:szCs w:val="20"/>
          <w:color w:val="auto"/>
        </w:rPr>
      </w:pPr>
      <w:r>
        <w:rPr>
          <w:rFonts w:ascii="Courier New" w:cs="Courier New" w:eastAsia="Courier New" w:hAnsi="Courier New"/>
          <w:sz w:val="16"/>
          <w:szCs w:val="16"/>
          <w:color w:val="auto"/>
        </w:rPr>
        <w:t>Attention:</w:t>
        <w:tab/>
        <w:t>Liability Management Group</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GOLDMAN, SACHS &amp; CO.</w:t>
      </w:r>
    </w:p>
    <w:p>
      <w:pPr>
        <w:ind w:left="844"/>
        <w:spacing w:after="0"/>
        <w:rPr>
          <w:sz w:val="20"/>
          <w:szCs w:val="20"/>
          <w:color w:val="auto"/>
        </w:rPr>
      </w:pPr>
      <w:r>
        <w:rPr>
          <w:rFonts w:ascii="Courier New" w:cs="Courier New" w:eastAsia="Courier New" w:hAnsi="Courier New"/>
          <w:sz w:val="16"/>
          <w:szCs w:val="16"/>
          <w:color w:val="auto"/>
        </w:rPr>
        <w:t>85 Broad Street</w:t>
      </w:r>
    </w:p>
    <w:p>
      <w:pPr>
        <w:ind w:left="844"/>
        <w:spacing w:after="0" w:line="237" w:lineRule="auto"/>
        <w:rPr>
          <w:sz w:val="20"/>
          <w:szCs w:val="20"/>
          <w:color w:val="auto"/>
        </w:rPr>
      </w:pPr>
      <w:r>
        <w:rPr>
          <w:rFonts w:ascii="Courier New" w:cs="Courier New" w:eastAsia="Courier New" w:hAnsi="Courier New"/>
          <w:sz w:val="16"/>
          <w:szCs w:val="16"/>
          <w:color w:val="auto"/>
        </w:rPr>
        <w:t>New York, New York 10004</w:t>
      </w:r>
    </w:p>
    <w:p>
      <w:pPr>
        <w:ind w:left="844"/>
        <w:spacing w:after="0"/>
        <w:tabs>
          <w:tab w:leader="none" w:pos="2223"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212-902-3000</w:t>
      </w:r>
    </w:p>
    <w:p>
      <w:pPr>
        <w:ind w:left="844"/>
        <w:spacing w:after="0" w:line="238" w:lineRule="auto"/>
        <w:tabs>
          <w:tab w:leader="none" w:pos="1943" w:val="left"/>
        </w:tabs>
        <w:rPr>
          <w:sz w:val="20"/>
          <w:szCs w:val="20"/>
          <w:color w:val="auto"/>
        </w:rPr>
      </w:pPr>
      <w:r>
        <w:rPr>
          <w:rFonts w:ascii="Courier New" w:cs="Courier New" w:eastAsia="Courier New" w:hAnsi="Courier New"/>
          <w:sz w:val="16"/>
          <w:szCs w:val="16"/>
          <w:color w:val="auto"/>
        </w:rPr>
        <w:t>Attention:</w:t>
        <w:tab/>
        <w:t>Liability Management Group</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478" w:right="1440" w:bottom="1440" w:gutter="0" w:footer="0" w:header="0"/>
        </w:sectPr>
      </w:pPr>
    </w:p>
    <w:bookmarkStart w:id="393" w:name="page394"/>
    <w:bookmarkEnd w:id="393"/>
    <w:p>
      <w:pPr>
        <w:spacing w:after="0"/>
        <w:rPr>
          <w:sz w:val="20"/>
          <w:szCs w:val="20"/>
          <w:color w:val="auto"/>
        </w:rPr>
      </w:pPr>
      <w:r>
        <w:rPr>
          <w:rFonts w:ascii="Courier New" w:cs="Courier New" w:eastAsia="Courier New" w:hAnsi="Courier New"/>
          <w:sz w:val="16"/>
          <w:szCs w:val="16"/>
          <w:color w:val="auto"/>
        </w:rPr>
        <w:t>J.P. MORGAN SECURITIES INC.</w:t>
      </w:r>
    </w:p>
    <w:p>
      <w:pPr>
        <w:spacing w:after="0"/>
        <w:rPr>
          <w:sz w:val="20"/>
          <w:szCs w:val="20"/>
          <w:color w:val="auto"/>
        </w:rPr>
      </w:pPr>
      <w:r>
        <w:rPr>
          <w:rFonts w:ascii="Courier New" w:cs="Courier New" w:eastAsia="Courier New" w:hAnsi="Courier New"/>
          <w:sz w:val="16"/>
          <w:szCs w:val="16"/>
          <w:color w:val="auto"/>
        </w:rPr>
        <w:t>270 Park Avenue</w:t>
      </w:r>
    </w:p>
    <w:p>
      <w:pPr>
        <w:spacing w:after="0" w:line="237" w:lineRule="auto"/>
        <w:rPr>
          <w:sz w:val="20"/>
          <w:szCs w:val="20"/>
          <w:color w:val="auto"/>
        </w:rPr>
      </w:pPr>
      <w:r>
        <w:rPr>
          <w:rFonts w:ascii="Courier New" w:cs="Courier New" w:eastAsia="Courier New" w:hAnsi="Courier New"/>
          <w:sz w:val="16"/>
          <w:szCs w:val="16"/>
          <w:color w:val="auto"/>
        </w:rPr>
        <w:t>New York, New York 10017</w:t>
      </w:r>
    </w:p>
    <w:p>
      <w:pPr>
        <w:spacing w:after="0"/>
        <w:tabs>
          <w:tab w:leader="none" w:pos="138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 834-6170</w:t>
      </w:r>
    </w:p>
    <w:p>
      <w:pPr>
        <w:spacing w:after="0" w:line="238" w:lineRule="auto"/>
        <w:tabs>
          <w:tab w:leader="none" w:pos="1100" w:val="left"/>
        </w:tabs>
        <w:rPr>
          <w:sz w:val="20"/>
          <w:szCs w:val="20"/>
          <w:color w:val="auto"/>
        </w:rPr>
      </w:pPr>
      <w:r>
        <w:rPr>
          <w:rFonts w:ascii="Courier New" w:cs="Courier New" w:eastAsia="Courier New" w:hAnsi="Courier New"/>
          <w:sz w:val="16"/>
          <w:szCs w:val="16"/>
          <w:color w:val="auto"/>
        </w:rPr>
        <w:t>Attention:</w:t>
        <w:tab/>
        <w:t>Liability Management Group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 FENNER &amp; SMITH INCORPORATED</w:t>
      </w:r>
    </w:p>
    <w:p>
      <w:pPr>
        <w:spacing w:after="0"/>
        <w:rPr>
          <w:sz w:val="20"/>
          <w:szCs w:val="20"/>
          <w:color w:val="auto"/>
        </w:rPr>
      </w:pPr>
      <w:r>
        <w:rPr>
          <w:rFonts w:ascii="Courier New" w:cs="Courier New" w:eastAsia="Courier New" w:hAnsi="Courier New"/>
          <w:sz w:val="16"/>
          <w:szCs w:val="16"/>
          <w:color w:val="auto"/>
        </w:rPr>
        <w:t>Four World Financial Center</w:t>
      </w:r>
    </w:p>
    <w:p>
      <w:pPr>
        <w:spacing w:after="0" w:line="237" w:lineRule="auto"/>
        <w:rPr>
          <w:sz w:val="20"/>
          <w:szCs w:val="20"/>
          <w:color w:val="auto"/>
        </w:rPr>
      </w:pPr>
      <w:r>
        <w:rPr>
          <w:rFonts w:ascii="Courier New" w:cs="Courier New" w:eastAsia="Courier New" w:hAnsi="Courier New"/>
          <w:sz w:val="16"/>
          <w:szCs w:val="16"/>
          <w:color w:val="auto"/>
        </w:rPr>
        <w:t>New York, New York 10080</w:t>
      </w:r>
    </w:p>
    <w:p>
      <w:pPr>
        <w:spacing w:after="0"/>
        <w:tabs>
          <w:tab w:leader="none" w:pos="138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212-449-4914</w:t>
      </w:r>
    </w:p>
    <w:p>
      <w:pPr>
        <w:spacing w:after="0" w:line="238" w:lineRule="auto"/>
        <w:tabs>
          <w:tab w:leader="none" w:pos="1100" w:val="left"/>
        </w:tabs>
        <w:rPr>
          <w:sz w:val="20"/>
          <w:szCs w:val="20"/>
          <w:color w:val="auto"/>
        </w:rPr>
      </w:pPr>
      <w:r>
        <w:rPr>
          <w:rFonts w:ascii="Courier New" w:cs="Courier New" w:eastAsia="Courier New" w:hAnsi="Courier New"/>
          <w:sz w:val="16"/>
          <w:szCs w:val="16"/>
          <w:color w:val="auto"/>
        </w:rPr>
        <w:t>Attention:</w:t>
        <w:tab/>
        <w:t>Liability Management Group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&amp; CO. INCORPORATED</w:t>
      </w:r>
    </w:p>
    <w:p>
      <w:pPr>
        <w:spacing w:after="0"/>
        <w:rPr>
          <w:sz w:val="20"/>
          <w:szCs w:val="20"/>
          <w:color w:val="auto"/>
        </w:rPr>
      </w:pPr>
      <w:r>
        <w:rPr>
          <w:rFonts w:ascii="Courier New" w:cs="Courier New" w:eastAsia="Courier New" w:hAnsi="Courier New"/>
          <w:sz w:val="16"/>
          <w:szCs w:val="16"/>
          <w:color w:val="auto"/>
        </w:rPr>
        <w:t>1585 Broadway</w:t>
      </w:r>
    </w:p>
    <w:p>
      <w:pPr>
        <w:spacing w:after="0" w:line="237" w:lineRule="auto"/>
        <w:rPr>
          <w:sz w:val="20"/>
          <w:szCs w:val="20"/>
          <w:color w:val="auto"/>
        </w:rPr>
      </w:pPr>
      <w:r>
        <w:rPr>
          <w:rFonts w:ascii="Courier New" w:cs="Courier New" w:eastAsia="Courier New" w:hAnsi="Courier New"/>
          <w:sz w:val="16"/>
          <w:szCs w:val="16"/>
          <w:color w:val="auto"/>
        </w:rPr>
        <w:t>New York, New York 10036</w:t>
      </w:r>
    </w:p>
    <w:p>
      <w:pPr>
        <w:spacing w:after="0"/>
        <w:tabs>
          <w:tab w:leader="none" w:pos="138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212-761-0588</w:t>
      </w:r>
    </w:p>
    <w:p>
      <w:pPr>
        <w:spacing w:after="0" w:line="238" w:lineRule="auto"/>
        <w:tabs>
          <w:tab w:leader="none" w:pos="1100" w:val="left"/>
        </w:tabs>
        <w:rPr>
          <w:sz w:val="20"/>
          <w:szCs w:val="20"/>
          <w:color w:val="auto"/>
        </w:rPr>
      </w:pPr>
      <w:r>
        <w:rPr>
          <w:rFonts w:ascii="Courier New" w:cs="Courier New" w:eastAsia="Courier New" w:hAnsi="Courier New"/>
          <w:sz w:val="16"/>
          <w:szCs w:val="16"/>
          <w:color w:val="auto"/>
        </w:rPr>
        <w:t>Attention:</w:t>
        <w:tab/>
        <w:t>Liability Management Group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SIMPSON THACHER &amp; BARTLETT</w:t>
      </w:r>
    </w:p>
    <w:p>
      <w:pPr>
        <w:spacing w:after="0"/>
        <w:rPr>
          <w:sz w:val="20"/>
          <w:szCs w:val="20"/>
          <w:color w:val="auto"/>
        </w:rPr>
      </w:pPr>
      <w:r>
        <w:rPr>
          <w:rFonts w:ascii="Courier New" w:cs="Courier New" w:eastAsia="Courier New" w:hAnsi="Courier New"/>
          <w:sz w:val="16"/>
          <w:szCs w:val="16"/>
          <w:color w:val="auto"/>
        </w:rPr>
        <w:t>425 Lexington Avenue</w:t>
      </w:r>
    </w:p>
    <w:p>
      <w:pPr>
        <w:spacing w:after="0" w:line="237" w:lineRule="auto"/>
        <w:rPr>
          <w:sz w:val="20"/>
          <w:szCs w:val="20"/>
          <w:color w:val="auto"/>
        </w:rPr>
      </w:pPr>
      <w:r>
        <w:rPr>
          <w:rFonts w:ascii="Courier New" w:cs="Courier New" w:eastAsia="Courier New" w:hAnsi="Courier New"/>
          <w:sz w:val="16"/>
          <w:szCs w:val="16"/>
          <w:color w:val="auto"/>
        </w:rPr>
        <w:t>New York, New York 10017</w:t>
      </w:r>
    </w:p>
    <w:p>
      <w:pPr>
        <w:spacing w:after="0"/>
        <w:rPr>
          <w:sz w:val="20"/>
          <w:szCs w:val="20"/>
          <w:color w:val="auto"/>
        </w:rPr>
      </w:pPr>
      <w:r>
        <w:rPr>
          <w:rFonts w:ascii="Courier New" w:cs="Courier New" w:eastAsia="Courier New" w:hAnsi="Courier New"/>
          <w:sz w:val="16"/>
          <w:szCs w:val="16"/>
          <w:color w:val="auto"/>
        </w:rPr>
        <w:t>Telecopy No.: 212-455-2502</w:t>
      </w:r>
    </w:p>
    <w:p>
      <w:pPr>
        <w:spacing w:after="0" w:line="238" w:lineRule="auto"/>
        <w:rPr>
          <w:sz w:val="20"/>
          <w:szCs w:val="20"/>
          <w:color w:val="auto"/>
        </w:rPr>
      </w:pPr>
      <w:r>
        <w:rPr>
          <w:rFonts w:ascii="Courier New" w:cs="Courier New" w:eastAsia="Courier New" w:hAnsi="Courier New"/>
          <w:sz w:val="16"/>
          <w:szCs w:val="16"/>
          <w:color w:val="auto"/>
        </w:rPr>
        <w:t>Attention: Rise B. Norman, Esq.</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if to the Registrants: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CORPORATION</w:t>
      </w:r>
    </w:p>
    <w:p>
      <w:pPr>
        <w:spacing w:after="0"/>
        <w:rPr>
          <w:sz w:val="20"/>
          <w:szCs w:val="20"/>
          <w:color w:val="auto"/>
        </w:rPr>
      </w:pPr>
      <w:r>
        <w:rPr>
          <w:rFonts w:ascii="Courier New" w:cs="Courier New" w:eastAsia="Courier New" w:hAnsi="Courier New"/>
          <w:sz w:val="16"/>
          <w:szCs w:val="16"/>
          <w:color w:val="auto"/>
        </w:rPr>
        <w:t>900 Routes 202/206 North</w:t>
      </w:r>
    </w:p>
    <w:p>
      <w:pPr>
        <w:spacing w:after="0" w:line="237" w:lineRule="auto"/>
        <w:rPr>
          <w:sz w:val="20"/>
          <w:szCs w:val="20"/>
          <w:color w:val="auto"/>
        </w:rPr>
      </w:pPr>
      <w:r>
        <w:rPr>
          <w:rFonts w:ascii="Courier New" w:cs="Courier New" w:eastAsia="Courier New" w:hAnsi="Courier New"/>
          <w:sz w:val="16"/>
          <w:szCs w:val="16"/>
          <w:color w:val="auto"/>
        </w:rPr>
        <w:t>Bedminster, New Jersey 07921</w:t>
      </w:r>
    </w:p>
    <w:p>
      <w:pPr>
        <w:spacing w:after="0"/>
        <w:rPr>
          <w:sz w:val="20"/>
          <w:szCs w:val="20"/>
          <w:color w:val="auto"/>
        </w:rPr>
      </w:pPr>
      <w:r>
        <w:rPr>
          <w:rFonts w:ascii="Courier New" w:cs="Courier New" w:eastAsia="Courier New" w:hAnsi="Courier New"/>
          <w:sz w:val="16"/>
          <w:szCs w:val="16"/>
          <w:color w:val="auto"/>
        </w:rPr>
        <w:t>Telecopy No.: 908-221-4408</w:t>
      </w:r>
    </w:p>
    <w:p>
      <w:pPr>
        <w:spacing w:after="0" w:line="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5"/>
          <w:szCs w:val="15"/>
          <w:color w:val="auto"/>
        </w:rPr>
        <w:t>Attention:</w:t>
        <w:tab/>
        <w:t>Robert S. Feit, Vice President - Law and Secretary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CORP.</w:t>
      </w:r>
    </w:p>
    <w:p>
      <w:pPr>
        <w:spacing w:after="0"/>
        <w:rPr>
          <w:sz w:val="20"/>
          <w:szCs w:val="20"/>
          <w:color w:val="auto"/>
        </w:rPr>
      </w:pPr>
      <w:r>
        <w:rPr>
          <w:rFonts w:ascii="Courier New" w:cs="Courier New" w:eastAsia="Courier New" w:hAnsi="Courier New"/>
          <w:sz w:val="16"/>
          <w:szCs w:val="16"/>
          <w:color w:val="auto"/>
        </w:rPr>
        <w:t>c/o AT&amp;T Corp.</w:t>
      </w:r>
    </w:p>
    <w:p>
      <w:pPr>
        <w:spacing w:after="0" w:line="237" w:lineRule="auto"/>
        <w:rPr>
          <w:sz w:val="20"/>
          <w:szCs w:val="20"/>
          <w:color w:val="auto"/>
        </w:rPr>
      </w:pPr>
      <w:r>
        <w:rPr>
          <w:rFonts w:ascii="Courier New" w:cs="Courier New" w:eastAsia="Courier New" w:hAnsi="Courier New"/>
          <w:sz w:val="16"/>
          <w:szCs w:val="16"/>
          <w:color w:val="auto"/>
        </w:rPr>
        <w:t>900 Routes 202/206 North</w:t>
      </w:r>
    </w:p>
    <w:p>
      <w:pPr>
        <w:spacing w:after="0"/>
        <w:tabs>
          <w:tab w:leader="none" w:pos="2240" w:val="left"/>
        </w:tabs>
        <w:rPr>
          <w:sz w:val="20"/>
          <w:szCs w:val="20"/>
          <w:color w:val="auto"/>
        </w:rPr>
      </w:pPr>
      <w:r>
        <w:rPr>
          <w:rFonts w:ascii="Courier New" w:cs="Courier New" w:eastAsia="Courier New" w:hAnsi="Courier New"/>
          <w:sz w:val="16"/>
          <w:szCs w:val="16"/>
          <w:color w:val="auto"/>
        </w:rPr>
        <w:t>Bedminster, New Jersey</w:t>
      </w:r>
      <w:r>
        <w:rPr>
          <w:sz w:val="20"/>
          <w:szCs w:val="20"/>
          <w:color w:val="auto"/>
        </w:rPr>
        <w:tab/>
      </w:r>
      <w:r>
        <w:rPr>
          <w:rFonts w:ascii="Courier New" w:cs="Courier New" w:eastAsia="Courier New" w:hAnsi="Courier New"/>
          <w:sz w:val="15"/>
          <w:szCs w:val="15"/>
          <w:color w:val="auto"/>
        </w:rPr>
        <w:t>07921</w:t>
      </w:r>
    </w:p>
    <w:p>
      <w:pPr>
        <w:spacing w:after="0"/>
        <w:tabs>
          <w:tab w:leader="none" w:pos="138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908-221-4408</w:t>
      </w:r>
    </w:p>
    <w:p>
      <w:pPr>
        <w:spacing w:after="0" w:line="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5"/>
          <w:szCs w:val="15"/>
          <w:color w:val="auto"/>
        </w:rPr>
        <w:t>Attention:</w:t>
        <w:tab/>
        <w:t>Robert S. Feit, Vice President - Law and Secretary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GROUP, INC.</w:t>
      </w:r>
    </w:p>
    <w:p>
      <w:pPr>
        <w:spacing w:after="0"/>
        <w:rPr>
          <w:sz w:val="20"/>
          <w:szCs w:val="20"/>
          <w:color w:val="auto"/>
        </w:rPr>
      </w:pPr>
      <w:r>
        <w:rPr>
          <w:rFonts w:ascii="Courier New" w:cs="Courier New" w:eastAsia="Courier New" w:hAnsi="Courier New"/>
          <w:sz w:val="16"/>
          <w:szCs w:val="16"/>
          <w:color w:val="auto"/>
        </w:rPr>
        <w:t>c/o AT&amp;T Corp.</w:t>
      </w:r>
    </w:p>
    <w:p>
      <w:pPr>
        <w:spacing w:after="0" w:line="237" w:lineRule="auto"/>
        <w:rPr>
          <w:sz w:val="20"/>
          <w:szCs w:val="20"/>
          <w:color w:val="auto"/>
        </w:rPr>
      </w:pPr>
      <w:r>
        <w:rPr>
          <w:rFonts w:ascii="Courier New" w:cs="Courier New" w:eastAsia="Courier New" w:hAnsi="Courier New"/>
          <w:sz w:val="16"/>
          <w:szCs w:val="16"/>
          <w:color w:val="auto"/>
        </w:rPr>
        <w:t>900 Routes 202/206 North</w:t>
      </w:r>
    </w:p>
    <w:p>
      <w:pPr>
        <w:spacing w:after="0"/>
        <w:tabs>
          <w:tab w:leader="none" w:pos="2240" w:val="left"/>
        </w:tabs>
        <w:rPr>
          <w:sz w:val="20"/>
          <w:szCs w:val="20"/>
          <w:color w:val="auto"/>
        </w:rPr>
      </w:pPr>
      <w:r>
        <w:rPr>
          <w:rFonts w:ascii="Courier New" w:cs="Courier New" w:eastAsia="Courier New" w:hAnsi="Courier New"/>
          <w:sz w:val="16"/>
          <w:szCs w:val="16"/>
          <w:color w:val="auto"/>
        </w:rPr>
        <w:t>Bedminster, New Jersey</w:t>
      </w:r>
      <w:r>
        <w:rPr>
          <w:sz w:val="20"/>
          <w:szCs w:val="20"/>
          <w:color w:val="auto"/>
        </w:rPr>
        <w:tab/>
      </w:r>
      <w:r>
        <w:rPr>
          <w:rFonts w:ascii="Courier New" w:cs="Courier New" w:eastAsia="Courier New" w:hAnsi="Courier New"/>
          <w:sz w:val="15"/>
          <w:szCs w:val="15"/>
          <w:color w:val="auto"/>
        </w:rPr>
        <w:t>07921</w:t>
      </w:r>
    </w:p>
    <w:p>
      <w:pPr>
        <w:spacing w:after="0"/>
        <w:tabs>
          <w:tab w:leader="none" w:pos="138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908-221-4408</w:t>
      </w:r>
    </w:p>
    <w:p>
      <w:pPr>
        <w:jc w:val="center"/>
        <w:ind w:right="3559"/>
        <w:spacing w:after="0"/>
        <w:tabs>
          <w:tab w:leader="none" w:pos="160" w:val="left"/>
        </w:tabs>
        <w:rPr>
          <w:sz w:val="20"/>
          <w:szCs w:val="20"/>
          <w:color w:val="auto"/>
        </w:rPr>
      </w:pPr>
      <w:r>
        <w:rPr>
          <w:rFonts w:ascii="Courier New" w:cs="Courier New" w:eastAsia="Courier New" w:hAnsi="Courier New"/>
          <w:sz w:val="16"/>
          <w:szCs w:val="16"/>
          <w:color w:val="auto"/>
        </w:rPr>
        <w:t>Attention:</w:t>
        <w:tab/>
        <w:t>Robert S. Feit, Vice President - Law and Secretary</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379"/>
          </w:cols>
          <w:pgMar w:left="1080" w:top="654" w:right="1440" w:bottom="1440" w:gutter="0" w:footer="0" w:header="0"/>
        </w:sectPr>
      </w:pPr>
    </w:p>
    <w:bookmarkStart w:id="394" w:name="page395"/>
    <w:bookmarkEnd w:id="394"/>
    <w:p>
      <w:pPr>
        <w:ind w:left="844"/>
        <w:spacing w:after="0"/>
        <w:rPr>
          <w:sz w:val="20"/>
          <w:szCs w:val="20"/>
          <w:color w:val="auto"/>
        </w:rPr>
      </w:pPr>
      <w:r>
        <w:rPr>
          <w:rFonts w:ascii="Courier New" w:cs="Courier New" w:eastAsia="Courier New" w:hAnsi="Courier New"/>
          <w:sz w:val="16"/>
          <w:szCs w:val="16"/>
          <w:color w:val="auto"/>
        </w:rPr>
        <w:t>AT&amp;T BROADBAND, LLC</w:t>
      </w:r>
    </w:p>
    <w:p>
      <w:pPr>
        <w:ind w:left="844"/>
        <w:spacing w:after="0"/>
        <w:rPr>
          <w:sz w:val="20"/>
          <w:szCs w:val="20"/>
          <w:color w:val="auto"/>
        </w:rPr>
      </w:pPr>
      <w:r>
        <w:rPr>
          <w:rFonts w:ascii="Courier New" w:cs="Courier New" w:eastAsia="Courier New" w:hAnsi="Courier New"/>
          <w:sz w:val="16"/>
          <w:szCs w:val="16"/>
          <w:color w:val="auto"/>
        </w:rPr>
        <w:t>c/o AT&amp;T Corp.</w:t>
      </w:r>
    </w:p>
    <w:p>
      <w:pPr>
        <w:ind w:left="844"/>
        <w:spacing w:after="0" w:line="237" w:lineRule="auto"/>
        <w:rPr>
          <w:sz w:val="20"/>
          <w:szCs w:val="20"/>
          <w:color w:val="auto"/>
        </w:rPr>
      </w:pPr>
      <w:r>
        <w:rPr>
          <w:rFonts w:ascii="Courier New" w:cs="Courier New" w:eastAsia="Courier New" w:hAnsi="Courier New"/>
          <w:sz w:val="16"/>
          <w:szCs w:val="16"/>
          <w:color w:val="auto"/>
        </w:rPr>
        <w:t>900 Routes 202/206 North</w:t>
      </w:r>
    </w:p>
    <w:p>
      <w:pPr>
        <w:ind w:left="844"/>
        <w:spacing w:after="0"/>
        <w:tabs>
          <w:tab w:leader="none" w:pos="3083" w:val="left"/>
        </w:tabs>
        <w:rPr>
          <w:sz w:val="20"/>
          <w:szCs w:val="20"/>
          <w:color w:val="auto"/>
        </w:rPr>
      </w:pPr>
      <w:r>
        <w:rPr>
          <w:rFonts w:ascii="Courier New" w:cs="Courier New" w:eastAsia="Courier New" w:hAnsi="Courier New"/>
          <w:sz w:val="16"/>
          <w:szCs w:val="16"/>
          <w:color w:val="auto"/>
        </w:rPr>
        <w:t>Bedminster, New Jersey</w:t>
      </w:r>
      <w:r>
        <w:rPr>
          <w:sz w:val="20"/>
          <w:szCs w:val="20"/>
          <w:color w:val="auto"/>
        </w:rPr>
        <w:tab/>
      </w:r>
      <w:r>
        <w:rPr>
          <w:rFonts w:ascii="Courier New" w:cs="Courier New" w:eastAsia="Courier New" w:hAnsi="Courier New"/>
          <w:sz w:val="15"/>
          <w:szCs w:val="15"/>
          <w:color w:val="auto"/>
        </w:rPr>
        <w:t>07921</w:t>
      </w:r>
    </w:p>
    <w:p>
      <w:pPr>
        <w:ind w:left="844"/>
        <w:spacing w:after="0"/>
        <w:tabs>
          <w:tab w:leader="none" w:pos="2223"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908-221-4408</w:t>
      </w:r>
    </w:p>
    <w:p>
      <w:pPr>
        <w:ind w:left="844"/>
        <w:spacing w:after="0"/>
        <w:tabs>
          <w:tab w:leader="none" w:pos="1943" w:val="left"/>
        </w:tabs>
        <w:rPr>
          <w:sz w:val="20"/>
          <w:szCs w:val="20"/>
          <w:color w:val="auto"/>
        </w:rPr>
      </w:pPr>
      <w:r>
        <w:rPr>
          <w:rFonts w:ascii="Courier New" w:cs="Courier New" w:eastAsia="Courier New" w:hAnsi="Courier New"/>
          <w:sz w:val="16"/>
          <w:szCs w:val="16"/>
          <w:color w:val="auto"/>
        </w:rPr>
        <w:t>Attention:</w:t>
        <w:tab/>
        <w:t>Robert S. Feit, Vice President - Law and Secretary</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AT&amp;T COMCAST CORPORATION</w:t>
      </w:r>
    </w:p>
    <w:p>
      <w:pPr>
        <w:ind w:left="844"/>
        <w:spacing w:after="0"/>
        <w:rPr>
          <w:sz w:val="20"/>
          <w:szCs w:val="20"/>
          <w:color w:val="auto"/>
        </w:rPr>
      </w:pPr>
      <w:r>
        <w:rPr>
          <w:rFonts w:ascii="Courier New" w:cs="Courier New" w:eastAsia="Courier New" w:hAnsi="Courier New"/>
          <w:sz w:val="16"/>
          <w:szCs w:val="16"/>
          <w:color w:val="auto"/>
        </w:rPr>
        <w:t>1500 Market Street</w:t>
      </w:r>
    </w:p>
    <w:p>
      <w:pPr>
        <w:ind w:left="844"/>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ind w:left="844"/>
        <w:spacing w:after="0"/>
        <w:tabs>
          <w:tab w:leader="none" w:pos="2223"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215-981-7794</w:t>
      </w:r>
    </w:p>
    <w:p>
      <w:pPr>
        <w:ind w:left="844"/>
        <w:spacing w:after="0" w:line="238" w:lineRule="auto"/>
        <w:tabs>
          <w:tab w:leader="none" w:pos="1943" w:val="left"/>
        </w:tabs>
        <w:rPr>
          <w:sz w:val="20"/>
          <w:szCs w:val="20"/>
          <w:color w:val="auto"/>
        </w:rPr>
      </w:pPr>
      <w:r>
        <w:rPr>
          <w:rFonts w:ascii="Courier New" w:cs="Courier New" w:eastAsia="Courier New" w:hAnsi="Courier New"/>
          <w:sz w:val="16"/>
          <w:szCs w:val="16"/>
          <w:color w:val="auto"/>
        </w:rPr>
        <w:t>Attention:</w:t>
        <w:tab/>
        <w:t>Arthur R. Block, Esq.</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COMCAST CORPORATION</w:t>
      </w:r>
    </w:p>
    <w:p>
      <w:pPr>
        <w:ind w:left="844"/>
        <w:spacing w:after="0"/>
        <w:rPr>
          <w:sz w:val="20"/>
          <w:szCs w:val="20"/>
          <w:color w:val="auto"/>
        </w:rPr>
      </w:pPr>
      <w:r>
        <w:rPr>
          <w:rFonts w:ascii="Courier New" w:cs="Courier New" w:eastAsia="Courier New" w:hAnsi="Courier New"/>
          <w:sz w:val="16"/>
          <w:szCs w:val="16"/>
          <w:color w:val="auto"/>
        </w:rPr>
        <w:t>1500 Market Street</w:t>
      </w:r>
    </w:p>
    <w:p>
      <w:pPr>
        <w:ind w:left="844"/>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ind w:left="844"/>
        <w:spacing w:after="0"/>
        <w:tabs>
          <w:tab w:leader="none" w:pos="2223"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215-981-7794</w:t>
      </w:r>
    </w:p>
    <w:p>
      <w:pPr>
        <w:ind w:left="844"/>
        <w:spacing w:after="0" w:line="238" w:lineRule="auto"/>
        <w:tabs>
          <w:tab w:leader="none" w:pos="1943" w:val="left"/>
        </w:tabs>
        <w:rPr>
          <w:sz w:val="20"/>
          <w:szCs w:val="20"/>
          <w:color w:val="auto"/>
        </w:rPr>
      </w:pPr>
      <w:r>
        <w:rPr>
          <w:rFonts w:ascii="Courier New" w:cs="Courier New" w:eastAsia="Courier New" w:hAnsi="Courier New"/>
          <w:sz w:val="16"/>
          <w:szCs w:val="16"/>
          <w:color w:val="auto"/>
        </w:rPr>
        <w:t>Attention:</w:t>
        <w:tab/>
        <w:t>Arthur R. Block, Esq.</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COMCAST CABLE COMMUNICATIONS, INC.</w:t>
      </w:r>
    </w:p>
    <w:p>
      <w:pPr>
        <w:ind w:left="844"/>
        <w:spacing w:after="0"/>
        <w:rPr>
          <w:sz w:val="20"/>
          <w:szCs w:val="20"/>
          <w:color w:val="auto"/>
        </w:rPr>
      </w:pPr>
      <w:r>
        <w:rPr>
          <w:rFonts w:ascii="Courier New" w:cs="Courier New" w:eastAsia="Courier New" w:hAnsi="Courier New"/>
          <w:sz w:val="16"/>
          <w:szCs w:val="16"/>
          <w:color w:val="auto"/>
        </w:rPr>
        <w:t>1500 Market Street</w:t>
      </w:r>
    </w:p>
    <w:p>
      <w:pPr>
        <w:ind w:left="844"/>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ind w:left="844"/>
        <w:spacing w:after="0"/>
        <w:tabs>
          <w:tab w:leader="none" w:pos="2223"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215-981-7794</w:t>
      </w:r>
    </w:p>
    <w:p>
      <w:pPr>
        <w:ind w:left="844"/>
        <w:spacing w:after="0" w:line="238" w:lineRule="auto"/>
        <w:tabs>
          <w:tab w:leader="none" w:pos="1943" w:val="left"/>
        </w:tabs>
        <w:rPr>
          <w:sz w:val="20"/>
          <w:szCs w:val="20"/>
          <w:color w:val="auto"/>
        </w:rPr>
      </w:pPr>
      <w:r>
        <w:rPr>
          <w:rFonts w:ascii="Courier New" w:cs="Courier New" w:eastAsia="Courier New" w:hAnsi="Courier New"/>
          <w:sz w:val="16"/>
          <w:szCs w:val="16"/>
          <w:color w:val="auto"/>
        </w:rPr>
        <w:t>Attention:</w:t>
        <w:tab/>
        <w:t>Stanley L. Wang, Executive Vice President</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with a copy to:</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WACHTELL, LIPTON, ROSEN &amp; KATZ</w:t>
      </w:r>
    </w:p>
    <w:p>
      <w:pPr>
        <w:ind w:left="844"/>
        <w:spacing w:after="0"/>
        <w:rPr>
          <w:sz w:val="20"/>
          <w:szCs w:val="20"/>
          <w:color w:val="auto"/>
        </w:rPr>
      </w:pPr>
      <w:r>
        <w:rPr>
          <w:rFonts w:ascii="Courier New" w:cs="Courier New" w:eastAsia="Courier New" w:hAnsi="Courier New"/>
          <w:sz w:val="16"/>
          <w:szCs w:val="16"/>
          <w:color w:val="auto"/>
        </w:rPr>
        <w:t>51 West 52nd Street</w:t>
      </w:r>
    </w:p>
    <w:p>
      <w:pPr>
        <w:ind w:left="844"/>
        <w:spacing w:after="0"/>
        <w:tabs>
          <w:tab w:leader="none" w:pos="2703" w:val="left"/>
        </w:tabs>
        <w:rPr>
          <w:sz w:val="20"/>
          <w:szCs w:val="20"/>
          <w:color w:val="auto"/>
        </w:rPr>
      </w:pPr>
      <w:r>
        <w:rPr>
          <w:rFonts w:ascii="Courier New" w:cs="Courier New" w:eastAsia="Courier New" w:hAnsi="Courier New"/>
          <w:sz w:val="16"/>
          <w:szCs w:val="16"/>
          <w:color w:val="auto"/>
        </w:rPr>
        <w:t>New York, New York</w:t>
      </w:r>
      <w:r>
        <w:rPr>
          <w:sz w:val="20"/>
          <w:szCs w:val="20"/>
          <w:color w:val="auto"/>
        </w:rPr>
        <w:tab/>
      </w:r>
      <w:r>
        <w:rPr>
          <w:rFonts w:ascii="Courier New" w:cs="Courier New" w:eastAsia="Courier New" w:hAnsi="Courier New"/>
          <w:sz w:val="15"/>
          <w:szCs w:val="15"/>
          <w:color w:val="auto"/>
        </w:rPr>
        <w:t>10019</w:t>
      </w:r>
    </w:p>
    <w:p>
      <w:pPr>
        <w:ind w:left="844"/>
        <w:spacing w:after="0"/>
        <w:tabs>
          <w:tab w:leader="none" w:pos="2223"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212-403-2000</w:t>
      </w:r>
    </w:p>
    <w:p>
      <w:pPr>
        <w:ind w:left="844"/>
        <w:spacing w:after="0" w:line="238" w:lineRule="auto"/>
        <w:tabs>
          <w:tab w:leader="none" w:pos="1943" w:val="left"/>
        </w:tabs>
        <w:rPr>
          <w:sz w:val="20"/>
          <w:szCs w:val="20"/>
          <w:color w:val="auto"/>
        </w:rPr>
      </w:pPr>
      <w:r>
        <w:rPr>
          <w:rFonts w:ascii="Courier New" w:cs="Courier New" w:eastAsia="Courier New" w:hAnsi="Courier New"/>
          <w:sz w:val="16"/>
          <w:szCs w:val="16"/>
          <w:color w:val="auto"/>
        </w:rPr>
        <w:t>Attention:</w:t>
        <w:tab/>
        <w:t>Steven A. Rosenblum, Esq.</w:t>
      </w:r>
    </w:p>
    <w:p>
      <w:pPr>
        <w:ind w:left="1964"/>
        <w:spacing w:after="0"/>
        <w:rPr>
          <w:sz w:val="20"/>
          <w:szCs w:val="20"/>
          <w:color w:val="auto"/>
        </w:rPr>
      </w:pPr>
      <w:r>
        <w:rPr>
          <w:rFonts w:ascii="Courier New" w:cs="Courier New" w:eastAsia="Courier New" w:hAnsi="Courier New"/>
          <w:sz w:val="16"/>
          <w:szCs w:val="16"/>
          <w:color w:val="auto"/>
        </w:rPr>
        <w:t>Stephanie J. Seligman, Esq.</w:t>
      </w:r>
    </w:p>
    <w:p>
      <w:pPr>
        <w:ind w:left="844"/>
        <w:spacing w:after="0" w:line="238" w:lineRule="auto"/>
        <w:rPr>
          <w:sz w:val="20"/>
          <w:szCs w:val="20"/>
          <w:color w:val="auto"/>
        </w:rPr>
      </w:pPr>
      <w:r>
        <w:rPr>
          <w:rFonts w:ascii="Courier New" w:cs="Courier New" w:eastAsia="Courier New" w:hAnsi="Courier New"/>
          <w:sz w:val="16"/>
          <w:szCs w:val="16"/>
          <w:color w:val="auto"/>
        </w:rPr>
        <w:t>and</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DAVIS POLK &amp; WARDWELL</w:t>
      </w:r>
    </w:p>
    <w:p>
      <w:pPr>
        <w:ind w:left="844"/>
        <w:spacing w:after="0"/>
        <w:rPr>
          <w:sz w:val="20"/>
          <w:szCs w:val="20"/>
          <w:color w:val="auto"/>
        </w:rPr>
      </w:pPr>
      <w:r>
        <w:rPr>
          <w:rFonts w:ascii="Courier New" w:cs="Courier New" w:eastAsia="Courier New" w:hAnsi="Courier New"/>
          <w:sz w:val="16"/>
          <w:szCs w:val="16"/>
          <w:color w:val="auto"/>
        </w:rPr>
        <w:t>1600 El Camino Real</w:t>
      </w:r>
    </w:p>
    <w:p>
      <w:pPr>
        <w:ind w:left="844"/>
        <w:spacing w:after="0" w:line="237" w:lineRule="auto"/>
        <w:rPr>
          <w:sz w:val="20"/>
          <w:szCs w:val="20"/>
          <w:color w:val="auto"/>
        </w:rPr>
      </w:pPr>
      <w:r>
        <w:rPr>
          <w:rFonts w:ascii="Courier New" w:cs="Courier New" w:eastAsia="Courier New" w:hAnsi="Courier New"/>
          <w:sz w:val="16"/>
          <w:szCs w:val="16"/>
          <w:color w:val="auto"/>
        </w:rPr>
        <w:t>Menlo Park, California 94025</w:t>
      </w:r>
    </w:p>
    <w:p>
      <w:pPr>
        <w:ind w:left="844"/>
        <w:spacing w:after="0"/>
        <w:rPr>
          <w:sz w:val="20"/>
          <w:szCs w:val="20"/>
          <w:color w:val="auto"/>
        </w:rPr>
      </w:pPr>
      <w:r>
        <w:rPr>
          <w:rFonts w:ascii="Courier New" w:cs="Courier New" w:eastAsia="Courier New" w:hAnsi="Courier New"/>
          <w:sz w:val="16"/>
          <w:szCs w:val="16"/>
          <w:color w:val="auto"/>
        </w:rPr>
        <w:t>Telecopy No.: 650-752-2111</w:t>
      </w:r>
    </w:p>
    <w:p>
      <w:pPr>
        <w:ind w:left="844"/>
        <w:spacing w:after="0" w:line="238" w:lineRule="auto"/>
        <w:tabs>
          <w:tab w:leader="none" w:pos="1943" w:val="left"/>
        </w:tabs>
        <w:rPr>
          <w:sz w:val="20"/>
          <w:szCs w:val="20"/>
          <w:color w:val="auto"/>
        </w:rPr>
      </w:pPr>
      <w:r>
        <w:rPr>
          <w:rFonts w:ascii="Courier New" w:cs="Courier New" w:eastAsia="Courier New" w:hAnsi="Courier New"/>
          <w:sz w:val="16"/>
          <w:szCs w:val="16"/>
          <w:color w:val="auto"/>
        </w:rPr>
        <w:t>Attention:</w:t>
        <w:tab/>
        <w:t>Bruce K. Dallas, Esq.</w:t>
      </w:r>
    </w:p>
    <w:p>
      <w:pPr>
        <w:spacing w:after="0" w:line="185" w:lineRule="exact"/>
        <w:rPr>
          <w:sz w:val="20"/>
          <w:szCs w:val="20"/>
          <w:color w:val="auto"/>
        </w:rPr>
      </w:pPr>
    </w:p>
    <w:p>
      <w:pPr>
        <w:ind w:left="844" w:right="2819" w:hanging="844"/>
        <w:spacing w:after="0" w:line="237" w:lineRule="auto"/>
        <w:tabs>
          <w:tab w:leader="none" w:pos="844"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and the Fee Side Letters constitute the entire agreement between the Companies, on the one hand, and the Dealer Managers, on the other hand, with respect to the subject matter hereof and supersedes all prior agreements and undertakings, both written and oral, among the parties, or any of them, with respect to the subject matter hereof.</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654" w:right="1440" w:bottom="1440" w:gutter="0" w:footer="0" w:header="0"/>
        </w:sectPr>
      </w:pPr>
    </w:p>
    <w:bookmarkStart w:id="395" w:name="page396"/>
    <w:bookmarkEnd w:id="395"/>
    <w:p>
      <w:pPr>
        <w:ind w:left="844" w:right="2899" w:hanging="844"/>
        <w:spacing w:after="0" w:line="236" w:lineRule="auto"/>
        <w:tabs>
          <w:tab w:leader="none" w:pos="844"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This Agreement may not be amended except in writing signed by each party to be bound thereby.</w:t>
      </w:r>
    </w:p>
    <w:p>
      <w:pPr>
        <w:spacing w:after="0" w:line="184" w:lineRule="exact"/>
        <w:rPr>
          <w:rFonts w:ascii="Courier New" w:cs="Courier New" w:eastAsia="Courier New" w:hAnsi="Courier New"/>
          <w:sz w:val="16"/>
          <w:szCs w:val="16"/>
          <w:color w:val="auto"/>
        </w:rPr>
      </w:pPr>
    </w:p>
    <w:p>
      <w:pPr>
        <w:ind w:left="844" w:right="2719" w:hanging="844"/>
        <w:spacing w:after="0" w:line="237" w:lineRule="auto"/>
        <w:tabs>
          <w:tab w:leader="none" w:pos="844"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The validity and interpretation of this Agreement shall be governed by, and construed and enforced in accordance with, the laws of the State of New York.</w:t>
      </w:r>
    </w:p>
    <w:p>
      <w:pPr>
        <w:spacing w:after="0" w:line="184" w:lineRule="exact"/>
        <w:rPr>
          <w:rFonts w:ascii="Courier New" w:cs="Courier New" w:eastAsia="Courier New" w:hAnsi="Courier New"/>
          <w:sz w:val="16"/>
          <w:szCs w:val="16"/>
          <w:color w:val="auto"/>
        </w:rPr>
      </w:pPr>
    </w:p>
    <w:p>
      <w:pPr>
        <w:ind w:left="844" w:right="2719" w:hanging="844"/>
        <w:spacing w:after="0" w:line="237" w:lineRule="auto"/>
        <w:tabs>
          <w:tab w:leader="none" w:pos="844"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Jury Trial. EACH OF THE COMPANIES HEREBY AGREES ON ITS OWN BEHALF AND, TO THE EXTENT PERMITTED BY APPLICABLE LAW, ON BEHALF OF ITS SECURITY HOLDERS, TO WAIVE ANY RIGHT TO A TRIAL BY JURY WITH RESPECT TO ANY CLAIM, COUNTER-CLAIM OR ACTION ARISING OUT OF OR IN CONNECTION WITH THIS AGREEMENT OR THE TRANSACTIONS CONTEMPLATED HEREBY (INCLUDING, WITHOUT LIMITATION, THE EXCHANGE OFFER).</w:t>
      </w:r>
    </w:p>
    <w:p>
      <w:pPr>
        <w:spacing w:after="0" w:line="188" w:lineRule="exact"/>
        <w:rPr>
          <w:rFonts w:ascii="Courier New" w:cs="Courier New" w:eastAsia="Courier New" w:hAnsi="Courier New"/>
          <w:sz w:val="16"/>
          <w:szCs w:val="16"/>
          <w:color w:val="auto"/>
        </w:rPr>
      </w:pPr>
    </w:p>
    <w:p>
      <w:pPr>
        <w:ind w:left="844" w:right="2719" w:hanging="844"/>
        <w:spacing w:after="0" w:line="238" w:lineRule="auto"/>
        <w:tabs>
          <w:tab w:leader="none" w:pos="844"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Severability. This Agreement may be executed in two or more separate counterparts, each of which shall be deemed an original, but all of which together shall constitute one and the same instrument. Any term or provision of this Agreement which is invalid or unenforceable in any jurisdiction, by any rule of law, or public policy,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Upon such determination that any term or provision is invalid, illegal or unenforceable, the parties hereto shall negotiate in good faith to modify this Agreement so as to effect the original intent of the parties as closely as possible in a mutually acceptable manner in order that the agreements contained herein may be performed as originally contemplated to the fullest extent possible.</w:t>
      </w:r>
    </w:p>
    <w:p>
      <w:pPr>
        <w:spacing w:after="0" w:line="190" w:lineRule="exact"/>
        <w:rPr>
          <w:rFonts w:ascii="Courier New" w:cs="Courier New" w:eastAsia="Courier New" w:hAnsi="Courier New"/>
          <w:sz w:val="16"/>
          <w:szCs w:val="16"/>
          <w:color w:val="auto"/>
        </w:rPr>
      </w:pPr>
    </w:p>
    <w:p>
      <w:pPr>
        <w:ind w:left="844" w:right="2819" w:hanging="844"/>
        <w:spacing w:after="0" w:line="256" w:lineRule="auto"/>
        <w:tabs>
          <w:tab w:leader="none" w:pos="844"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This Agreement, including rights to indemnity and contribution hereunder, shall be binding upon and inure solely to the benefit of each party hereto, any person indemnified under Section 11 hereof and their respective successors, heirs and assigns, and nothing in this Agreement, express or implied, is intended to or shall confer upon any other person any right, benefit or remedy of any nature whatsoever under or by reason of this Agreement.</w:t>
      </w:r>
    </w:p>
    <w:p>
      <w:pPr>
        <w:spacing w:after="0" w:line="174" w:lineRule="exact"/>
        <w:rPr>
          <w:rFonts w:ascii="Courier New" w:cs="Courier New" w:eastAsia="Courier New" w:hAnsi="Courier New"/>
          <w:sz w:val="15"/>
          <w:szCs w:val="15"/>
          <w:color w:val="auto"/>
        </w:rPr>
      </w:pPr>
    </w:p>
    <w:p>
      <w:pPr>
        <w:ind w:left="844" w:right="2719" w:hanging="844"/>
        <w:spacing w:after="0" w:line="237" w:lineRule="auto"/>
        <w:tabs>
          <w:tab w:leader="none" w:pos="844"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Tombstone. The Companies acknowledge that each of the Dealer Managers may at its own expense place an announcement in such newspapers and periodicals as it may choose (in addition to the announcement specified in Section 6(c)), stating that such Dealer Manager has acted or is acting as Dealer Manager and financial advisor to the Companies in connection with the Exchange Offer.</w:t>
      </w:r>
    </w:p>
    <w:p>
      <w:pPr>
        <w:spacing w:after="0" w:line="188" w:lineRule="exact"/>
        <w:rPr>
          <w:rFonts w:ascii="Courier New" w:cs="Courier New" w:eastAsia="Courier New" w:hAnsi="Courier New"/>
          <w:sz w:val="16"/>
          <w:szCs w:val="16"/>
          <w:color w:val="auto"/>
        </w:rPr>
      </w:pPr>
    </w:p>
    <w:p>
      <w:pPr>
        <w:ind w:left="844" w:right="2719" w:hanging="844"/>
        <w:spacing w:after="0" w:line="237" w:lineRule="auto"/>
        <w:tabs>
          <w:tab w:leader="none" w:pos="844"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Trading Activities. Each of the Companies acknowledges that, at any given time, each of the Dealer Managers may trade the Securities, the New Notes or other securities of any of the Companies for their own account or for the accounts of their customers, and accordingly may hold a long or short position in the Securities, the New Notes or other securities of the Companies.</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659" w:right="1440" w:bottom="1440" w:gutter="0" w:footer="0" w:header="0"/>
        </w:sectPr>
      </w:pPr>
    </w:p>
    <w:bookmarkStart w:id="396" w:name="page397"/>
    <w:bookmarkEnd w:id="396"/>
    <w:p>
      <w:pPr>
        <w:ind w:left="844" w:right="2719" w:hanging="844"/>
        <w:spacing w:after="0" w:line="238" w:lineRule="auto"/>
        <w:tabs>
          <w:tab w:leader="none" w:pos="844"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The Dealer Managers do not provide accounting, tax or legal advice. The Companies are authorized, subject to applicable law, to disclose any and all aspects of the transactions contemplated by this Agreement that are necessary to support any U.S. federal income tax benefits expected to be claimed with respect to the Exchange Offer, and all materials of any kind (including tax opinions and other tax analyses) related to those benefits, without the Dealer Managers imposing any limitation of any kind.</w:t>
      </w:r>
    </w:p>
    <w:p>
      <w:pPr>
        <w:spacing w:after="0" w:line="180"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[Signature page follows]</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3"/>
          </w:cols>
          <w:pgMar w:left="236" w:top="659" w:right="1440" w:bottom="1440" w:gutter="0" w:footer="0" w:header="0"/>
        </w:sectPr>
      </w:pPr>
    </w:p>
    <w:bookmarkStart w:id="397" w:name="page398"/>
    <w:bookmarkEnd w:id="397"/>
    <w:p>
      <w:pPr>
        <w:ind w:right="2999" w:firstLine="844"/>
        <w:spacing w:after="0" w:line="237" w:lineRule="auto"/>
        <w:rPr>
          <w:sz w:val="20"/>
          <w:szCs w:val="20"/>
          <w:color w:val="auto"/>
        </w:rPr>
      </w:pPr>
      <w:r>
        <w:rPr>
          <w:rFonts w:ascii="Courier New" w:cs="Courier New" w:eastAsia="Courier New" w:hAnsi="Courier New"/>
          <w:sz w:val="16"/>
          <w:szCs w:val="16"/>
          <w:color w:val="auto"/>
        </w:rPr>
        <w:t>Please indicate your willingness to act as a Dealer Manager and your acceptance of the foregoing provisions by signing in the space provided below for that purpose and returning to us a copy of this Agreement so signed, whereupon this Agreement and your acceptance shall constitute a binding agreement between us.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AT&amp;T CORP.</w:t>
      </w:r>
    </w:p>
    <w:p>
      <w:pPr>
        <w:spacing w:after="0" w:line="200" w:lineRule="exact"/>
        <w:rPr>
          <w:sz w:val="20"/>
          <w:szCs w:val="20"/>
          <w:color w:val="auto"/>
        </w:rPr>
      </w:pPr>
    </w:p>
    <w:p>
      <w:pPr>
        <w:spacing w:after="0" w:line="34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Name:</w:t>
      </w:r>
    </w:p>
    <w:p>
      <w:pPr>
        <w:ind w:left="450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4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Name:</w:t>
      </w:r>
    </w:p>
    <w:p>
      <w:pPr>
        <w:ind w:left="450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AT&amp;T BROADBAND CORP.</w:t>
      </w:r>
    </w:p>
    <w:p>
      <w:pPr>
        <w:spacing w:after="0" w:line="36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Name:</w:t>
      </w:r>
    </w:p>
    <w:p>
      <w:pPr>
        <w:ind w:left="450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MEDIAONE GROUP, INC.</w:t>
      </w:r>
    </w:p>
    <w:p>
      <w:pPr>
        <w:spacing w:after="0" w:line="200" w:lineRule="exact"/>
        <w:rPr>
          <w:sz w:val="20"/>
          <w:szCs w:val="20"/>
          <w:color w:val="auto"/>
        </w:rPr>
      </w:pPr>
    </w:p>
    <w:p>
      <w:pPr>
        <w:spacing w:after="0" w:line="34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Name:</w:t>
      </w:r>
    </w:p>
    <w:p>
      <w:pPr>
        <w:ind w:left="450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478" w:right="1440" w:bottom="1440" w:gutter="0" w:footer="0" w:header="0"/>
        </w:sectPr>
      </w:pPr>
    </w:p>
    <w:bookmarkStart w:id="398" w:name="page399"/>
    <w:bookmarkEnd w:id="398"/>
    <w:p>
      <w:pPr>
        <w:ind w:left="2920"/>
        <w:spacing w:after="0"/>
        <w:rPr>
          <w:sz w:val="20"/>
          <w:szCs w:val="20"/>
          <w:color w:val="auto"/>
        </w:rPr>
      </w:pPr>
      <w:r>
        <w:rPr>
          <w:rFonts w:ascii="Courier New" w:cs="Courier New" w:eastAsia="Courier New" w:hAnsi="Courier New"/>
          <w:sz w:val="16"/>
          <w:szCs w:val="16"/>
          <w:color w:val="auto"/>
        </w:rPr>
        <w:t>AT&amp;T BROADBAND, LLC</w:t>
      </w:r>
    </w:p>
    <w:p>
      <w:pPr>
        <w:spacing w:after="0" w:line="200" w:lineRule="exact"/>
        <w:rPr>
          <w:sz w:val="20"/>
          <w:szCs w:val="20"/>
          <w:color w:val="auto"/>
        </w:rPr>
      </w:pPr>
    </w:p>
    <w:p>
      <w:pPr>
        <w:spacing w:after="0" w:line="340"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Name:</w:t>
      </w:r>
    </w:p>
    <w:p>
      <w:pPr>
        <w:ind w:left="330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39"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AT&amp;T COMCAST CORPORATION</w:t>
      </w:r>
    </w:p>
    <w:p>
      <w:pPr>
        <w:spacing w:after="0" w:line="200" w:lineRule="exact"/>
        <w:rPr>
          <w:sz w:val="20"/>
          <w:szCs w:val="20"/>
          <w:color w:val="auto"/>
        </w:rPr>
      </w:pPr>
    </w:p>
    <w:p>
      <w:pPr>
        <w:spacing w:after="0" w:line="340"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Name:</w:t>
      </w:r>
    </w:p>
    <w:p>
      <w:pPr>
        <w:ind w:left="330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39"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COMCAST CABLE COMMUNICATIONS, INC.</w:t>
      </w:r>
    </w:p>
    <w:p>
      <w:pPr>
        <w:spacing w:after="0" w:line="200" w:lineRule="exact"/>
        <w:rPr>
          <w:sz w:val="20"/>
          <w:szCs w:val="20"/>
          <w:color w:val="auto"/>
        </w:rPr>
      </w:pPr>
    </w:p>
    <w:p>
      <w:pPr>
        <w:spacing w:after="0" w:line="340"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Name:</w:t>
      </w:r>
    </w:p>
    <w:p>
      <w:pPr>
        <w:ind w:left="330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019"/>
          </w:cols>
          <w:pgMar w:left="1440" w:top="654" w:right="1440" w:bottom="1440" w:gutter="0" w:footer="0" w:header="0"/>
        </w:sectPr>
      </w:pPr>
    </w:p>
    <w:bookmarkStart w:id="399" w:name="page400"/>
    <w:bookmarkEnd w:id="399"/>
    <w:p>
      <w:pPr>
        <w:spacing w:after="0"/>
        <w:rPr>
          <w:sz w:val="20"/>
          <w:szCs w:val="20"/>
          <w:color w:val="auto"/>
        </w:rPr>
      </w:pPr>
      <w:r>
        <w:rPr>
          <w:rFonts w:ascii="Courier New" w:cs="Courier New" w:eastAsia="Courier New" w:hAnsi="Courier New"/>
          <w:sz w:val="15"/>
          <w:szCs w:val="15"/>
          <w:color w:val="auto"/>
        </w:rPr>
        <w:t>Accepted to and agreed as of the date first above written: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 CORPORATION</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Name:</w:t>
      </w:r>
    </w:p>
    <w:p>
      <w:pPr>
        <w:ind w:left="38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 SECURITIES INC.</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Name:</w:t>
      </w:r>
    </w:p>
    <w:p>
      <w:pPr>
        <w:ind w:left="380"/>
        <w:spacing w:after="0"/>
        <w:rPr>
          <w:sz w:val="20"/>
          <w:szCs w:val="20"/>
          <w:color w:val="auto"/>
        </w:rPr>
      </w:pPr>
      <w:r>
        <w:rPr>
          <w:rFonts w:ascii="Courier New" w:cs="Courier New" w:eastAsia="Courier New" w:hAnsi="Courier New"/>
          <w:sz w:val="16"/>
          <w:szCs w:val="16"/>
          <w:color w:val="auto"/>
        </w:rPr>
        <w:t>Title:</w:t>
      </w:r>
    </w:p>
    <w:p>
      <w:pPr>
        <w:spacing w:after="0" w:line="35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Name:</w:t>
      </w:r>
    </w:p>
    <w:p>
      <w:pPr>
        <w:ind w:left="38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Name:</w:t>
      </w:r>
    </w:p>
    <w:p>
      <w:pPr>
        <w:ind w:left="38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Name:</w:t>
      </w:r>
    </w:p>
    <w:p>
      <w:pPr>
        <w:ind w:left="38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&amp; CO. INCORPORATED</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Name:</w:t>
      </w:r>
    </w:p>
    <w:p>
      <w:pPr>
        <w:ind w:left="38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 FENNER &amp; SMITH INCORPORATED</w:t>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Name:</w:t>
      </w:r>
    </w:p>
    <w:p>
      <w:pPr>
        <w:ind w:left="3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59" w:right="1440" w:bottom="1440" w:gutter="0" w:footer="0" w:header="0"/>
        </w:sectPr>
      </w:pPr>
    </w:p>
    <w:bookmarkStart w:id="400" w:name="page401"/>
    <w:bookmarkEnd w:id="400"/>
    <w:p>
      <w:pPr>
        <w:jc w:val="right"/>
        <w:ind w:right="2719"/>
        <w:spacing w:after="0"/>
        <w:rPr>
          <w:sz w:val="20"/>
          <w:szCs w:val="20"/>
          <w:color w:val="auto"/>
        </w:rPr>
      </w:pPr>
      <w:r>
        <w:rPr>
          <w:rFonts w:ascii="Courier New" w:cs="Courier New" w:eastAsia="Courier New" w:hAnsi="Courier New"/>
          <w:sz w:val="16"/>
          <w:szCs w:val="16"/>
          <w:color w:val="auto"/>
        </w:rPr>
        <w:t>Schedule I</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List of the Securities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Broadband Eligible Notes</w:t>
      </w: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7.00% Notes due May 15, 2005</w:t>
      </w:r>
    </w:p>
    <w:p>
      <w:pPr>
        <w:spacing w:after="0"/>
        <w:rPr>
          <w:sz w:val="20"/>
          <w:szCs w:val="20"/>
          <w:color w:val="auto"/>
        </w:rPr>
      </w:pPr>
      <w:r>
        <w:rPr>
          <w:rFonts w:ascii="Courier New" w:cs="Courier New" w:eastAsia="Courier New" w:hAnsi="Courier New"/>
          <w:sz w:val="16"/>
          <w:szCs w:val="16"/>
          <w:color w:val="auto"/>
        </w:rPr>
        <w:t>7.50% Notes due 2006</w:t>
      </w:r>
    </w:p>
    <w:p>
      <w:pPr>
        <w:spacing w:after="0" w:line="237" w:lineRule="auto"/>
        <w:rPr>
          <w:sz w:val="20"/>
          <w:szCs w:val="20"/>
          <w:color w:val="auto"/>
        </w:rPr>
      </w:pPr>
      <w:r>
        <w:rPr>
          <w:rFonts w:ascii="Courier New" w:cs="Courier New" w:eastAsia="Courier New" w:hAnsi="Courier New"/>
          <w:sz w:val="16"/>
          <w:szCs w:val="16"/>
          <w:color w:val="auto"/>
        </w:rPr>
        <w:t>7.75% Notes due March 1, 2007</w:t>
      </w:r>
    </w:p>
    <w:p>
      <w:pPr>
        <w:spacing w:after="0"/>
        <w:rPr>
          <w:sz w:val="20"/>
          <w:szCs w:val="20"/>
          <w:color w:val="auto"/>
        </w:rPr>
      </w:pPr>
      <w:r>
        <w:rPr>
          <w:rFonts w:ascii="Courier New" w:cs="Courier New" w:eastAsia="Courier New" w:hAnsi="Courier New"/>
          <w:sz w:val="16"/>
          <w:szCs w:val="16"/>
          <w:color w:val="auto"/>
        </w:rPr>
        <w:t>6.00% Notes due 2009</w:t>
      </w:r>
    </w:p>
    <w:p>
      <w:pPr>
        <w:spacing w:after="0" w:line="238" w:lineRule="auto"/>
        <w:rPr>
          <w:sz w:val="20"/>
          <w:szCs w:val="20"/>
          <w:color w:val="auto"/>
        </w:rPr>
      </w:pPr>
      <w:r>
        <w:rPr>
          <w:rFonts w:ascii="Courier New" w:cs="Courier New" w:eastAsia="Courier New" w:hAnsi="Courier New"/>
          <w:sz w:val="16"/>
          <w:szCs w:val="16"/>
          <w:color w:val="auto"/>
        </w:rPr>
        <w:t>8.125% Debentures due January 15, 2022</w:t>
      </w:r>
    </w:p>
    <w:p>
      <w:pPr>
        <w:spacing w:after="0"/>
        <w:rPr>
          <w:sz w:val="20"/>
          <w:szCs w:val="20"/>
          <w:color w:val="auto"/>
        </w:rPr>
      </w:pPr>
      <w:r>
        <w:rPr>
          <w:rFonts w:ascii="Courier New" w:cs="Courier New" w:eastAsia="Courier New" w:hAnsi="Courier New"/>
          <w:sz w:val="16"/>
          <w:szCs w:val="16"/>
          <w:color w:val="auto"/>
        </w:rPr>
        <w:t>8.125% Debentures due July 15, 2024</w:t>
      </w:r>
    </w:p>
    <w:p>
      <w:pPr>
        <w:spacing w:after="0" w:line="238" w:lineRule="auto"/>
        <w:rPr>
          <w:sz w:val="20"/>
          <w:szCs w:val="20"/>
          <w:color w:val="auto"/>
        </w:rPr>
      </w:pPr>
      <w:r>
        <w:rPr>
          <w:rFonts w:ascii="Courier New" w:cs="Courier New" w:eastAsia="Courier New" w:hAnsi="Courier New"/>
          <w:sz w:val="16"/>
          <w:szCs w:val="16"/>
          <w:color w:val="auto"/>
        </w:rPr>
        <w:t>8.35% Debentures due 2025</w:t>
      </w:r>
    </w:p>
    <w:p>
      <w:pPr>
        <w:spacing w:after="0"/>
        <w:rPr>
          <w:sz w:val="20"/>
          <w:szCs w:val="20"/>
          <w:color w:val="auto"/>
        </w:rPr>
      </w:pPr>
      <w:r>
        <w:rPr>
          <w:rFonts w:ascii="Courier New" w:cs="Courier New" w:eastAsia="Courier New" w:hAnsi="Courier New"/>
          <w:sz w:val="16"/>
          <w:szCs w:val="16"/>
          <w:color w:val="auto"/>
        </w:rPr>
        <w:t>8.625% Debentures due December 1, 2031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Eligible Notes</w:t>
      </w: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5.625% Notes due 2004</w:t>
      </w:r>
    </w:p>
    <w:p>
      <w:pPr>
        <w:spacing w:after="0"/>
        <w:rPr>
          <w:sz w:val="20"/>
          <w:szCs w:val="20"/>
          <w:color w:val="auto"/>
        </w:rPr>
      </w:pPr>
      <w:r>
        <w:rPr>
          <w:rFonts w:ascii="Courier New" w:cs="Courier New" w:eastAsia="Courier New" w:hAnsi="Courier New"/>
          <w:sz w:val="16"/>
          <w:szCs w:val="16"/>
          <w:color w:val="auto"/>
        </w:rPr>
        <w:t>6.75% Notes Due 2004</w:t>
      </w:r>
    </w:p>
    <w:p>
      <w:pPr>
        <w:spacing w:after="0" w:line="237" w:lineRule="auto"/>
        <w:rPr>
          <w:sz w:val="20"/>
          <w:szCs w:val="20"/>
          <w:color w:val="auto"/>
        </w:rPr>
      </w:pPr>
      <w:r>
        <w:rPr>
          <w:rFonts w:ascii="Courier New" w:cs="Courier New" w:eastAsia="Courier New" w:hAnsi="Courier New"/>
          <w:sz w:val="16"/>
          <w:szCs w:val="16"/>
          <w:color w:val="auto"/>
        </w:rPr>
        <w:t>7.75% Medium-Term Notes, Series A Due May 15, 2025</w:t>
      </w:r>
    </w:p>
    <w:p>
      <w:pPr>
        <w:spacing w:after="0"/>
        <w:rPr>
          <w:sz w:val="20"/>
          <w:szCs w:val="20"/>
          <w:color w:val="auto"/>
        </w:rPr>
      </w:pPr>
      <w:r>
        <w:rPr>
          <w:rFonts w:ascii="Courier New" w:cs="Courier New" w:eastAsia="Courier New" w:hAnsi="Courier New"/>
          <w:sz w:val="16"/>
          <w:szCs w:val="16"/>
          <w:color w:val="auto"/>
        </w:rPr>
        <w:t>8.00% Medium-Term Notes, Series A Due May 15, 2025</w:t>
      </w:r>
    </w:p>
    <w:p>
      <w:pPr>
        <w:spacing w:after="0" w:line="238" w:lineRule="auto"/>
        <w:rPr>
          <w:sz w:val="20"/>
          <w:szCs w:val="20"/>
          <w:color w:val="auto"/>
        </w:rPr>
      </w:pPr>
      <w:r>
        <w:rPr>
          <w:rFonts w:ascii="Courier New" w:cs="Courier New" w:eastAsia="Courier New" w:hAnsi="Courier New"/>
          <w:sz w:val="16"/>
          <w:szCs w:val="16"/>
          <w:color w:val="auto"/>
        </w:rPr>
        <w:t>6.50% Notes due 2029</w:t>
      </w:r>
    </w:p>
    <w:p>
      <w:pPr>
        <w:spacing w:after="0"/>
        <w:rPr>
          <w:sz w:val="20"/>
          <w:szCs w:val="20"/>
          <w:color w:val="auto"/>
        </w:rPr>
      </w:pPr>
      <w:r>
        <w:rPr>
          <w:rFonts w:ascii="Courier New" w:cs="Courier New" w:eastAsia="Courier New" w:hAnsi="Courier New"/>
          <w:sz w:val="16"/>
          <w:szCs w:val="16"/>
          <w:color w:val="auto"/>
        </w:rPr>
        <w:t>FRN Medium-Term Notes, Series A Due 2054</w:t>
      </w:r>
    </w:p>
    <w:p>
      <w:pPr>
        <w:sectPr>
          <w:pgSz w:w="11900" w:h="16838" w:orient="portrait"/>
          <w:cols w:equalWidth="0" w:num="1">
            <w:col w:w="10219"/>
          </w:cols>
          <w:pgMar w:left="240" w:top="473" w:right="1440" w:bottom="1440" w:gutter="0" w:footer="0" w:header="0"/>
        </w:sectPr>
      </w:pPr>
    </w:p>
    <w:bookmarkStart w:id="401" w:name="page402"/>
    <w:bookmarkEnd w:id="401"/>
    <w:p>
      <w:pPr>
        <w:jc w:val="right"/>
        <w:ind w:right="2719"/>
        <w:spacing w:after="0"/>
        <w:rPr>
          <w:sz w:val="20"/>
          <w:szCs w:val="20"/>
          <w:color w:val="auto"/>
        </w:rPr>
      </w:pPr>
      <w:r>
        <w:rPr>
          <w:rFonts w:ascii="Courier New" w:cs="Courier New" w:eastAsia="Courier New" w:hAnsi="Courier New"/>
          <w:sz w:val="16"/>
          <w:szCs w:val="16"/>
          <w:color w:val="auto"/>
        </w:rPr>
        <w:t>EXHIBIT 5.1</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[COMPANY LETTERHEAD]</w:t>
      </w:r>
    </w:p>
    <w:p>
      <w:pPr>
        <w:spacing w:after="0" w:line="36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October 4, 2002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rPr>
          <w:sz w:val="20"/>
          <w:szCs w:val="20"/>
          <w:color w:val="auto"/>
        </w:rPr>
      </w:pPr>
      <w:r>
        <w:rPr>
          <w:rFonts w:ascii="Courier New" w:cs="Courier New" w:eastAsia="Courier New" w:hAnsi="Courier New"/>
          <w:sz w:val="16"/>
          <w:szCs w:val="16"/>
          <w:color w:val="auto"/>
        </w:rPr>
        <w:t>900 Routes 202/206 North</w:t>
      </w:r>
    </w:p>
    <w:p>
      <w:pPr>
        <w:spacing w:after="0"/>
        <w:tabs>
          <w:tab w:leader="none" w:pos="1480" w:val="left"/>
        </w:tabs>
        <w:rPr>
          <w:sz w:val="20"/>
          <w:szCs w:val="20"/>
          <w:color w:val="auto"/>
        </w:rPr>
      </w:pPr>
      <w:r>
        <w:rPr>
          <w:rFonts w:ascii="Courier New" w:cs="Courier New" w:eastAsia="Courier New" w:hAnsi="Courier New"/>
          <w:sz w:val="16"/>
          <w:szCs w:val="16"/>
          <w:color w:val="auto"/>
        </w:rPr>
        <w:t>Bedminster, NJ</w:t>
      </w:r>
      <w:r>
        <w:rPr>
          <w:sz w:val="20"/>
          <w:szCs w:val="20"/>
          <w:color w:val="auto"/>
        </w:rPr>
        <w:tab/>
      </w:r>
      <w:r>
        <w:rPr>
          <w:rFonts w:ascii="Courier New" w:cs="Courier New" w:eastAsia="Courier New" w:hAnsi="Courier New"/>
          <w:sz w:val="15"/>
          <w:szCs w:val="15"/>
          <w:color w:val="auto"/>
        </w:rPr>
        <w:t>07921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5" w:lineRule="exact"/>
        <w:rPr>
          <w:sz w:val="20"/>
          <w:szCs w:val="20"/>
          <w:color w:val="auto"/>
        </w:rPr>
      </w:pPr>
    </w:p>
    <w:p>
      <w:pPr>
        <w:ind w:right="2719" w:firstLine="844"/>
        <w:spacing w:after="0" w:line="254" w:lineRule="auto"/>
        <w:rPr>
          <w:sz w:val="20"/>
          <w:szCs w:val="20"/>
          <w:color w:val="auto"/>
        </w:rPr>
      </w:pPr>
      <w:r>
        <w:rPr>
          <w:rFonts w:ascii="Courier New" w:cs="Courier New" w:eastAsia="Courier New" w:hAnsi="Courier New"/>
          <w:sz w:val="15"/>
          <w:szCs w:val="15"/>
          <w:color w:val="auto"/>
        </w:rPr>
        <w:t>I am Vice President -- Law and Secretary of AT&amp;T Corp. (the "Company") and am acting as attorney to the Company in connection with the preparation of a registration statement on Form S-4 (the "Registration Statement") that the Company has filed with the Securities and Exchange Commission under the Securities Act of 1933, as amended, relating to (a) the following series of notes (the "Broadband Exchange Notes") upon which the Company and AT&amp;T Broadband Corp., a wholly owned subsidiary of AT&amp;T ("AT&amp;T Broadband"), are co-obligors:</w:t>
      </w:r>
    </w:p>
    <w:p>
      <w:pPr>
        <w:spacing w:after="0" w:line="4"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7.00% Notes Due May 15, 2005, 7.50% Notes Due 2006, 7.75% Notes Due March 1, 2007, 6.00% Notes Due 2009, 8.125% Debentures Due January 15, 2022, 8.125% Debentures Due July 15, 2024, 8.35% Debentures Due 2025, 8.625% Debentures Due December 1, 2031; and (b) the following series of notes (the "New AT&amp;T Notes") upon which the Company is sole obligor: 5.625% Notes Due March 15, 2004, 6.75% Notes Due April 1, 2004, 7.75% Medium-Term Notes, Series A Due May 15, 2025,</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8.00% Medium-Term Notes, Series A Due May 15, 2025, 6.50% Notes Due March 15, 2029 and FRN Medium-Term Notes, Series A Due 2054. The Broadband Exchange Notes and the New AT&amp;T Notes will each be issued pursuant to the indenture, dated September 7, 1990, between the Company and the Bank of New York, as trustee, as amended by the First Supplemental Indenture, dated October 30, 1992, between the Company and the trustee, a Second Supplemental Indenture to be executed between the Company and the trustee, and a Third Supplemental Indenture to be executed between the Company, AT&amp;T Broadband and the trustee (collectively referred to as the "Indenture"). The Broadband Exchange Notes and the New AT&amp;T Notes are being issued in connection with an exchange offer for currently outstanding notes of the Company.</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In furnishing this opinion, I or attorneys under my supervision have examined such documents, legal opinions and precedents, corporate and other records of the Company and certificates of public officials and officers of the Company as I have deemed necessary or appropriate to provide a basis for the opinions set forth below. In such examination, I have assumed the genuineness of all signatures, the authenticity of all documents submitted to me as original documents and conformity to original documents of all documents submitted to me as certified or photostatic copies.</w:t>
      </w:r>
    </w:p>
    <w:p>
      <w:pPr>
        <w:sectPr>
          <w:pgSz w:w="11900" w:h="16838" w:orient="portrait"/>
          <w:cols w:equalWidth="0" w:num="1">
            <w:col w:w="10219"/>
          </w:cols>
          <w:pgMar w:left="240" w:top="678" w:right="1440" w:bottom="1440" w:gutter="0" w:footer="0" w:header="0"/>
        </w:sectPr>
      </w:pPr>
    </w:p>
    <w:bookmarkStart w:id="402" w:name="page403"/>
    <w:bookmarkEnd w:id="402"/>
    <w:p>
      <w:pPr>
        <w:ind w:left="840"/>
        <w:spacing w:after="0"/>
        <w:rPr>
          <w:sz w:val="20"/>
          <w:szCs w:val="20"/>
          <w:color w:val="auto"/>
        </w:rPr>
      </w:pPr>
      <w:r>
        <w:rPr>
          <w:rFonts w:ascii="Courier New" w:cs="Courier New" w:eastAsia="Courier New" w:hAnsi="Courier New"/>
          <w:sz w:val="16"/>
          <w:szCs w:val="16"/>
          <w:color w:val="auto"/>
        </w:rPr>
        <w:t>On the basis of the foregoing, I am of the opinion that:</w:t>
      </w:r>
    </w:p>
    <w:p>
      <w:pPr>
        <w:spacing w:after="0" w:line="185" w:lineRule="exact"/>
        <w:rPr>
          <w:sz w:val="20"/>
          <w:szCs w:val="20"/>
          <w:color w:val="auto"/>
        </w:rPr>
      </w:pPr>
    </w:p>
    <w:p>
      <w:pPr>
        <w:ind w:left="1680" w:right="2819" w:hanging="840"/>
        <w:spacing w:after="0" w:line="237" w:lineRule="auto"/>
        <w:tabs>
          <w:tab w:leader="none" w:pos="1680"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the Broadband Exchange Notes and the New AT&amp;T Notes has been duly authorized by the Board of Directors of the Company; and</w:t>
      </w:r>
    </w:p>
    <w:p>
      <w:pPr>
        <w:spacing w:after="0" w:line="184" w:lineRule="exact"/>
        <w:rPr>
          <w:rFonts w:ascii="Courier New" w:cs="Courier New" w:eastAsia="Courier New" w:hAnsi="Courier New"/>
          <w:sz w:val="16"/>
          <w:szCs w:val="16"/>
          <w:color w:val="auto"/>
        </w:rPr>
      </w:pPr>
    </w:p>
    <w:p>
      <w:pPr>
        <w:ind w:left="1680" w:right="2719" w:hanging="840"/>
        <w:spacing w:after="0" w:line="255" w:lineRule="auto"/>
        <w:tabs>
          <w:tab w:leader="none" w:pos="168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issued in accordance with the terms of the Company's restated certificate of incorporation, as amended, the resolutions of the Board of Directors of the Company relating to the issuance the New AT&amp;T Notes and the Broadband Exchange Notes and the Indenture, the New AT&amp;T Notes and the Broadband Exchange Notes will be validly authorized, issued and delivered by the Company in accordance with the terms of the Indenture, and will constitute the legally binding obligations of the Company (subject, as to enforcement of remedies, to applicable bankruptcy, reorganization, insolvency, moratorium or other similar laws affecting creditors' rights generally from time to time in effect and to general equity principles).</w:t>
      </w:r>
    </w:p>
    <w:p>
      <w:pPr>
        <w:spacing w:after="0" w:line="178"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In connection with the opinions expressed above, I have assumed that at or prior to the delivery of the New AT&amp;T Notes and the Broadband Exchange Notes there shall not have occurred any change in law affecting the validity or enforceability of the New AT&amp;T Notes or the Broadband Exchange Notes, and that none of the terms of the New AT&amp;T Notes or the Broadband Exchange Notes, the issuance and delivery of the New AT&amp;T Notes or the Broadband Exchange Notes, nor the compliance by the Company with the terms of the New AT&amp;T Notes or the Broadband Exchange Notes will violate any applicable law or will result in a violation of any provision of any instrument or agreement then binding upon the Company, or any restriction imposed by any court or governmental body having jurisdiction over the Company.</w:t>
      </w:r>
    </w:p>
    <w:p>
      <w:pPr>
        <w:spacing w:after="0" w:line="187"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 hereby consent to the filing of this opinion with the Securities and Exchange Commission in connection with the filing of the Registration Statement. I also consent to the making of the statement with respect to me in the Registration Statement under the heading "Legal Matters."</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Very truly yours,</w:t>
      </w:r>
    </w:p>
    <w:p>
      <w:pPr>
        <w:spacing w:after="0" w:line="36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Robert S. Feit</w:t>
      </w:r>
    </w:p>
    <w:p>
      <w:pPr>
        <w:ind w:left="3840"/>
        <w:spacing w:after="0"/>
        <w:rPr>
          <w:sz w:val="20"/>
          <w:szCs w:val="20"/>
          <w:color w:val="auto"/>
        </w:rPr>
      </w:pPr>
      <w:r>
        <w:rPr>
          <w:rFonts w:ascii="Courier New" w:cs="Courier New" w:eastAsia="Courier New" w:hAnsi="Courier New"/>
          <w:sz w:val="16"/>
          <w:szCs w:val="16"/>
          <w:color w:val="auto"/>
        </w:rPr>
        <w:t>-------------------------------------</w:t>
      </w:r>
    </w:p>
    <w:p>
      <w:pPr>
        <w:ind w:left="4780"/>
        <w:spacing w:after="0" w:line="237" w:lineRule="auto"/>
        <w:rPr>
          <w:sz w:val="20"/>
          <w:szCs w:val="20"/>
          <w:color w:val="auto"/>
        </w:rPr>
      </w:pPr>
      <w:r>
        <w:rPr>
          <w:rFonts w:ascii="Courier New" w:cs="Courier New" w:eastAsia="Courier New" w:hAnsi="Courier New"/>
          <w:sz w:val="16"/>
          <w:szCs w:val="16"/>
          <w:color w:val="auto"/>
        </w:rPr>
        <w:t>Robert S. Feit</w:t>
      </w:r>
    </w:p>
    <w:p>
      <w:pPr>
        <w:ind w:left="4020"/>
        <w:spacing w:after="0"/>
        <w:rPr>
          <w:sz w:val="20"/>
          <w:szCs w:val="20"/>
          <w:color w:val="auto"/>
        </w:rPr>
      </w:pPr>
      <w:r>
        <w:rPr>
          <w:rFonts w:ascii="Courier New" w:cs="Courier New" w:eastAsia="Courier New" w:hAnsi="Courier New"/>
          <w:sz w:val="16"/>
          <w:szCs w:val="16"/>
          <w:color w:val="auto"/>
        </w:rPr>
        <w:t>Vice President -- Law and Secretary</w:t>
      </w:r>
    </w:p>
    <w:p>
      <w:pPr>
        <w:sectPr>
          <w:pgSz w:w="11900" w:h="16838" w:orient="portrait"/>
          <w:cols w:equalWidth="0" w:num="1">
            <w:col w:w="10219"/>
          </w:cols>
          <w:pgMar w:left="240" w:top="473" w:right="1440" w:bottom="1440" w:gutter="0" w:footer="0" w:header="0"/>
        </w:sectPr>
      </w:pPr>
    </w:p>
    <w:bookmarkStart w:id="403" w:name="page404"/>
    <w:bookmarkEnd w:id="403"/>
    <w:p>
      <w:pPr>
        <w:jc w:val="right"/>
        <w:ind w:right="2719"/>
        <w:spacing w:after="0"/>
        <w:rPr>
          <w:sz w:val="20"/>
          <w:szCs w:val="20"/>
          <w:color w:val="auto"/>
        </w:rPr>
      </w:pPr>
      <w:r>
        <w:rPr>
          <w:rFonts w:ascii="Courier New" w:cs="Courier New" w:eastAsia="Courier New" w:hAnsi="Courier New"/>
          <w:sz w:val="16"/>
          <w:szCs w:val="16"/>
          <w:color w:val="auto"/>
        </w:rPr>
        <w:t>EXHIBIT 5.2</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[COMPANY LETTERHEAD]</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October 4, 2002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Corp.</w:t>
      </w:r>
    </w:p>
    <w:p>
      <w:pPr>
        <w:spacing w:after="0"/>
        <w:rPr>
          <w:sz w:val="20"/>
          <w:szCs w:val="20"/>
          <w:color w:val="auto"/>
        </w:rPr>
      </w:pPr>
      <w:r>
        <w:rPr>
          <w:rFonts w:ascii="Courier New" w:cs="Courier New" w:eastAsia="Courier New" w:hAnsi="Courier New"/>
          <w:sz w:val="16"/>
          <w:szCs w:val="16"/>
          <w:color w:val="auto"/>
        </w:rPr>
        <w:t>188 Inverness Drive West</w:t>
      </w:r>
    </w:p>
    <w:p>
      <w:pPr>
        <w:spacing w:after="0" w:line="237" w:lineRule="auto"/>
        <w:tabs>
          <w:tab w:leader="none" w:pos="1380" w:val="left"/>
        </w:tabs>
        <w:rPr>
          <w:sz w:val="20"/>
          <w:szCs w:val="20"/>
          <w:color w:val="auto"/>
        </w:rPr>
      </w:pPr>
      <w:r>
        <w:rPr>
          <w:rFonts w:ascii="Courier New" w:cs="Courier New" w:eastAsia="Courier New" w:hAnsi="Courier New"/>
          <w:sz w:val="16"/>
          <w:szCs w:val="16"/>
          <w:color w:val="auto"/>
        </w:rPr>
        <w:t>Englewood, CO</w:t>
        <w:tab/>
        <w:t>80112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I am acting as attorney to AT&amp;T Broadband Corp. (the "Company") in connection with the preparation of a registration statement on Form S-4 (the "Registration Statement") that AT&amp;T Corp. ("AT&amp;T"), the Company and other registrants have filed with the Securities and Exchange Commission under the Securities Act of 1933, as amended, relating to (a) the following series of notes (the "Broadband Exchange Notes") upon which AT&amp;T and the Company are co-obligors: 7.00% Notes Due May 15, 2005, 7.50% Notes Due 2006, 7.75% Notes Due March 1, 2007, 6.00% Notes Due 2009, 8.125% Debentures Due January 15, 2022, 8.125% Debentures Due July 15, 2024, 8.35% Debentures Due 2025, 8.625% Debentures Due December 1, 2031. The Broadband Exchange Notes are being issued pursuant to the indenture, dated September 7, 1990, between AT&amp;T and the Bank of New York, as trustee, as amended by the First Supplemental Indenture, dated October 30, 1992, between AT&amp;T and the trustee, a Second Supplemental Indenture to be executed between AT&amp;T and the trustee, and a Third Supplemental Indenture to be executed between the Company, AT&amp;T and the trustee (collectively referred to as the "Indenture"). The Broadband Exchange Notes are being issued in connection with an exchange offer for currently outstanding notes of AT&amp;T.</w:t>
      </w:r>
    </w:p>
    <w:p>
      <w:pPr>
        <w:spacing w:after="0" w:line="178"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In furnishing this opinion, I or attorneys under my supervision have examined such documents, legal opinions and precedents, corporate and other records of the Company and certificates of public officials and officers of the Company as I have deemed necessary or appropriate to provide a basis for the opinions set forth below. In such examination, I have assumed the genuineness of all signatures, the authenticity of all documents submitted to me as original documents and conformity to original documents of all documents submitted to me as certified or photostatic copies.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On the basis of the foregoing, I am of the opinion that:</w:t>
      </w:r>
    </w:p>
    <w:p>
      <w:pPr>
        <w:spacing w:after="0" w:line="185" w:lineRule="exact"/>
        <w:rPr>
          <w:sz w:val="20"/>
          <w:szCs w:val="20"/>
          <w:color w:val="auto"/>
        </w:rPr>
      </w:pPr>
    </w:p>
    <w:p>
      <w:pPr>
        <w:ind w:left="1680" w:right="3099" w:hanging="840"/>
        <w:spacing w:after="0" w:line="263" w:lineRule="auto"/>
        <w:tabs>
          <w:tab w:leader="none" w:pos="168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the Broadband Exchange Notes has been duly authorized by the Board of Directors of the Company; and</w:t>
      </w:r>
    </w:p>
    <w:p>
      <w:pPr>
        <w:sectPr>
          <w:pgSz w:w="11900" w:h="16838" w:orient="portrait"/>
          <w:cols w:equalWidth="0" w:num="1">
            <w:col w:w="10219"/>
          </w:cols>
          <w:pgMar w:left="240" w:top="1038" w:right="1440" w:bottom="1440" w:gutter="0" w:footer="0" w:header="0"/>
        </w:sectPr>
      </w:pPr>
    </w:p>
    <w:bookmarkStart w:id="404" w:name="page405"/>
    <w:bookmarkEnd w:id="404"/>
    <w:p>
      <w:pPr>
        <w:ind w:left="1680" w:right="2719" w:hanging="840"/>
        <w:spacing w:after="0" w:line="255" w:lineRule="auto"/>
        <w:tabs>
          <w:tab w:leader="none" w:pos="168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issued in accordance with the terms of the Company's certificate of incorporation, the resolutions of the Board of Directors of the Company relating to the issuance of Broadband Exchange Notes and the Indenture, the Broadband Exchange Notes will be validly authorized, issued and delivered by the Company in accordance with the terms of the Indenture, and will constitute the legally binding obligations of the Company (subject, as to enforcement of remedies, to applicable bankruptcy, reorganization, insolvency, moratorium or other similar laws affecting creditors' rights generally from time to time in effect and to general equity principles).</w:t>
      </w:r>
    </w:p>
    <w:p>
      <w:pPr>
        <w:spacing w:after="0" w:line="179"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In connection with the opinions expressed above, I have assumed that at or prior to the delivery of the Broadband Exchange Notes there shall not have occurred any change in law affecting the validity or enforceability of the Broadband Exchange Notes, and that none of the terms of the Broadband Exchange Notes, the issuance and delivery of the Broadband Exchange Notes, nor the compliance by the Company with the terms of the Broadband Exchange Notes will violate any applicable law or will result in a violation of any provision of any instrument or agreement then binding upon the Company, or any restriction imposed by any court or governmental body having jurisdiction over the Company.</w:t>
      </w:r>
    </w:p>
    <w:p>
      <w:pPr>
        <w:spacing w:after="0" w:line="179"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 hereby consent to the filing of this opinion with the Securities and Exchange Commission in connection with the filing of the Registration Statement. I also consent to the making of the statement with respect to me in the Registration Statement under the heading "Legal Matters."</w:t>
      </w:r>
    </w:p>
    <w:p>
      <w:pPr>
        <w:spacing w:after="0" w:line="181"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Very truly yours,</w:t>
      </w:r>
    </w:p>
    <w:p>
      <w:pPr>
        <w:spacing w:after="0" w:line="360" w:lineRule="exact"/>
        <w:rPr>
          <w:sz w:val="20"/>
          <w:szCs w:val="20"/>
          <w:color w:val="auto"/>
        </w:rPr>
      </w:pPr>
    </w:p>
    <w:p>
      <w:pPr>
        <w:ind w:left="4780"/>
        <w:spacing w:after="0"/>
        <w:tabs>
          <w:tab w:leader="none" w:pos="5220" w:val="left"/>
        </w:tabs>
        <w:rPr>
          <w:sz w:val="20"/>
          <w:szCs w:val="20"/>
          <w:color w:val="auto"/>
        </w:rPr>
      </w:pPr>
      <w:r>
        <w:rPr>
          <w:rFonts w:ascii="Courier New" w:cs="Courier New" w:eastAsia="Courier New" w:hAnsi="Courier New"/>
          <w:sz w:val="16"/>
          <w:szCs w:val="16"/>
          <w:color w:val="auto"/>
        </w:rPr>
        <w:t>/s/</w:t>
        <w:tab/>
        <w:t>James N. Zerefos</w:t>
      </w:r>
    </w:p>
    <w:p>
      <w:pPr>
        <w:ind w:left="4780"/>
        <w:spacing w:after="0"/>
        <w:rPr>
          <w:sz w:val="20"/>
          <w:szCs w:val="20"/>
          <w:color w:val="auto"/>
        </w:rPr>
      </w:pPr>
      <w:r>
        <w:rPr>
          <w:rFonts w:ascii="Courier New" w:cs="Courier New" w:eastAsia="Courier New" w:hAnsi="Courier New"/>
          <w:sz w:val="16"/>
          <w:szCs w:val="16"/>
          <w:color w:val="auto"/>
        </w:rPr>
        <w:t>---------------------------</w:t>
      </w:r>
    </w:p>
    <w:p>
      <w:pPr>
        <w:ind w:left="5240"/>
        <w:spacing w:after="0" w:line="237" w:lineRule="auto"/>
        <w:rPr>
          <w:sz w:val="20"/>
          <w:szCs w:val="20"/>
          <w:color w:val="auto"/>
        </w:rPr>
      </w:pPr>
      <w:r>
        <w:rPr>
          <w:rFonts w:ascii="Courier New" w:cs="Courier New" w:eastAsia="Courier New" w:hAnsi="Courier New"/>
          <w:sz w:val="16"/>
          <w:szCs w:val="16"/>
          <w:color w:val="auto"/>
        </w:rPr>
        <w:t>James N. Zerefos</w:t>
      </w:r>
    </w:p>
    <w:p>
      <w:pPr>
        <w:ind w:left="4960"/>
        <w:spacing w:after="0"/>
        <w:rPr>
          <w:sz w:val="20"/>
          <w:szCs w:val="20"/>
          <w:color w:val="auto"/>
        </w:rPr>
      </w:pPr>
      <w:r>
        <w:rPr>
          <w:rFonts w:ascii="Courier New" w:cs="Courier New" w:eastAsia="Courier New" w:hAnsi="Courier New"/>
          <w:sz w:val="16"/>
          <w:szCs w:val="16"/>
          <w:color w:val="auto"/>
        </w:rPr>
        <w:t>Associate General Counsel</w:t>
      </w:r>
    </w:p>
    <w:p>
      <w:pPr>
        <w:sectPr>
          <w:pgSz w:w="11900" w:h="16838" w:orient="portrait"/>
          <w:cols w:equalWidth="0" w:num="1">
            <w:col w:w="10219"/>
          </w:cols>
          <w:pgMar w:left="240" w:top="478" w:right="1440" w:bottom="1440" w:gutter="0" w:footer="0" w:header="0"/>
        </w:sectPr>
      </w:pPr>
    </w:p>
    <w:bookmarkStart w:id="405" w:name="page406"/>
    <w:bookmarkEnd w:id="405"/>
    <w:p>
      <w:pPr>
        <w:ind w:left="1880"/>
        <w:spacing w:after="0"/>
        <w:rPr>
          <w:sz w:val="20"/>
          <w:szCs w:val="20"/>
          <w:color w:val="auto"/>
        </w:rPr>
      </w:pPr>
      <w:r>
        <w:rPr>
          <w:rFonts w:ascii="Courier New" w:cs="Courier New" w:eastAsia="Courier New" w:hAnsi="Courier New"/>
          <w:sz w:val="16"/>
          <w:szCs w:val="16"/>
          <w:color w:val="auto"/>
        </w:rPr>
        <w:t>[Letterhead of Davis Polk &amp; Wardwell]</w:t>
      </w:r>
    </w:p>
    <w:p>
      <w:pPr>
        <w:spacing w:after="0" w:line="360" w:lineRule="exact"/>
        <w:rPr>
          <w:sz w:val="20"/>
          <w:szCs w:val="20"/>
          <w:color w:val="auto"/>
        </w:rPr>
      </w:pPr>
    </w:p>
    <w:p>
      <w:pPr>
        <w:ind w:left="6380"/>
        <w:spacing w:after="0"/>
        <w:rPr>
          <w:sz w:val="20"/>
          <w:szCs w:val="20"/>
          <w:color w:val="auto"/>
        </w:rPr>
      </w:pPr>
      <w:r>
        <w:rPr>
          <w:rFonts w:ascii="Courier New" w:cs="Courier New" w:eastAsia="Courier New" w:hAnsi="Courier New"/>
          <w:sz w:val="16"/>
          <w:szCs w:val="16"/>
          <w:color w:val="auto"/>
        </w:rPr>
        <w:t>Exhibit 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October 4, 2002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rPr>
          <w:sz w:val="20"/>
          <w:szCs w:val="20"/>
          <w:color w:val="auto"/>
        </w:rPr>
      </w:pPr>
      <w:r>
        <w:rPr>
          <w:rFonts w:ascii="Courier New" w:cs="Courier New" w:eastAsia="Courier New" w:hAnsi="Courier New"/>
          <w:sz w:val="16"/>
          <w:szCs w:val="16"/>
          <w:color w:val="auto"/>
        </w:rPr>
        <w:t>1500 Market Street</w:t>
      </w:r>
    </w:p>
    <w:p>
      <w:pPr>
        <w:spacing w:after="0" w:line="237" w:lineRule="auto"/>
        <w:tabs>
          <w:tab w:leader="none" w:pos="2600" w:val="left"/>
        </w:tabs>
        <w:rPr>
          <w:sz w:val="20"/>
          <w:szCs w:val="20"/>
          <w:color w:val="auto"/>
        </w:rPr>
      </w:pPr>
      <w:r>
        <w:rPr>
          <w:rFonts w:ascii="Courier New" w:cs="Courier New" w:eastAsia="Courier New" w:hAnsi="Courier New"/>
          <w:sz w:val="16"/>
          <w:szCs w:val="16"/>
          <w:color w:val="auto"/>
        </w:rPr>
        <w:t>Philadelphia, Pennsylvania</w:t>
        <w:tab/>
        <w:t>19102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We have acted as counsel to Comcast Corporation, a Pennsylvania corporation ("Comcast") and AT&amp;T Comcast Corporation, a Pennsylvania corporation ("AT&amp;T Comcast") in connection with the Registration Statement on Form S-4, as amended (the "Registration Statement") (File No. 333-97953) filed with the Securities and Exchange Commission pursuant to the Securities Act of 1933, as amended, by AT&amp;T Corp., a New York corporation ("AT&amp;T") and AT&amp;T Broadband Corp., a Delaware corporation ("Broadband"), as well as by AT&amp;T Comcast, MediaOne Group, Inc., a Delaware corporation, AT&amp;T Broadband, LLC, a Delaware limited liability corporation, and Comcast Cable Communications, Inc., a Delaware corporation (the "Guarantors").</w:t>
      </w:r>
    </w:p>
    <w:p>
      <w:pPr>
        <w:spacing w:after="0" w:line="187" w:lineRule="exact"/>
        <w:rPr>
          <w:sz w:val="20"/>
          <w:szCs w:val="20"/>
          <w:color w:val="auto"/>
        </w:rPr>
      </w:pPr>
    </w:p>
    <w:p>
      <w:pPr>
        <w:ind w:right="2719" w:firstLine="844"/>
        <w:spacing w:after="0" w:line="254" w:lineRule="auto"/>
        <w:rPr>
          <w:sz w:val="20"/>
          <w:szCs w:val="20"/>
          <w:color w:val="auto"/>
        </w:rPr>
      </w:pPr>
      <w:r>
        <w:rPr>
          <w:rFonts w:ascii="Courier New" w:cs="Courier New" w:eastAsia="Courier New" w:hAnsi="Courier New"/>
          <w:sz w:val="15"/>
          <w:szCs w:val="15"/>
          <w:color w:val="auto"/>
        </w:rPr>
        <w:t>The Registration Statement relates, among other things, to AT&amp;T's offer to exchange (the "Exchange Offer") its 7.00% Notes Due May 15, 2005, 7.50% Notes Due 2006, 7.75% Notes Due March 1, 2007, 6.00% Notes Due 2009, 8.125% Debentures Due January 15, 2022, 8.125% Debentures Due July 15, 2024, 8.35% Debentures Due 2025 and 8.625% Debentures Due December 1, 2031 (the "Broadband Eligible Notes"), subject to proration, for 7.00% Broadband Exchange Notes Due May 15, 2005, 7.50% Broadband Exchange Notes Due June 1, 2006, 7.75% Broadband Exchange Notes Due March 1, 2007, 6.00% Broadband Exchange Notes Due March 15, 2009,</w:t>
      </w:r>
    </w:p>
    <w:p>
      <w:pPr>
        <w:spacing w:after="0" w:line="4"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8.125% Broadband Exchange Notes Due January 15, 2022, 8.125% Broadband Exchange Notes Due July 15, 2024, 8.35% Broadband Exchange Notes Due January 15, 2025 and 8.625% Broadband Exchange Notes Due December 1, 2031, respectively, of AT&amp;T and Broadband (the "Broadband Exchange Notes"). The Broadband Exchange Notes will, upon and subject to completion of the combination of Comcast with the AT&amp;T broadband business (the "AT&amp;T Comcast Transaction," as defined in the Registration Statement), be mandatorily exchanged, at an exchange ratio for each series of Broadband Exchange Notes calculated as</w:t>
      </w:r>
    </w:p>
    <w:p>
      <w:pPr>
        <w:sectPr>
          <w:pgSz w:w="11900" w:h="16838" w:orient="portrait"/>
          <w:cols w:equalWidth="0" w:num="1">
            <w:col w:w="10219"/>
          </w:cols>
          <w:pgMar w:left="240" w:top="678" w:right="1440" w:bottom="1440" w:gutter="0" w:footer="0" w:header="0"/>
        </w:sectPr>
      </w:pPr>
    </w:p>
    <w:bookmarkStart w:id="406" w:name="page407"/>
    <w:bookmarkEnd w:id="406"/>
    <w:p>
      <w:pPr>
        <w:spacing w:after="0"/>
        <w:tabs>
          <w:tab w:leader="none" w:pos="3640" w:val="left"/>
          <w:tab w:leader="none" w:pos="6080" w:val="left"/>
        </w:tabs>
        <w:rPr>
          <w:sz w:val="20"/>
          <w:szCs w:val="20"/>
          <w:color w:val="auto"/>
        </w:rPr>
      </w:pPr>
      <w:r>
        <w:rPr>
          <w:rFonts w:ascii="Courier New" w:cs="Courier New" w:eastAsia="Courier New" w:hAnsi="Courier New"/>
          <w:sz w:val="16"/>
          <w:szCs w:val="16"/>
          <w:color w:val="auto"/>
        </w:rPr>
        <w:t>AT&amp;T Comcast Corporation</w:t>
      </w:r>
      <w:r>
        <w:rPr>
          <w:sz w:val="20"/>
          <w:szCs w:val="20"/>
          <w:color w:val="auto"/>
        </w:rPr>
        <w:tab/>
      </w: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5"/>
          <w:szCs w:val="15"/>
          <w:color w:val="auto"/>
        </w:rPr>
        <w:t>October 4, 2002</w:t>
      </w:r>
    </w:p>
    <w:p>
      <w:pPr>
        <w:spacing w:after="0" w:line="365"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5"/>
          <w:szCs w:val="15"/>
          <w:color w:val="auto"/>
        </w:rPr>
        <w:t>described in the Registration Statement, for __% Notes Due 2013 (with respect to the 7.00% Notes Due May 15, 2005, 7.50% Notes Due 2006, 7.75% Notes Due March 1, 2007 and 6.00% Notes Due 2009) and for __% Notes Due 2022 (with respect to the 8.125% Debentures Due January 15, 2022, 8.125% Debentures Due July 15, 2024,</w:t>
      </w:r>
    </w:p>
    <w:p>
      <w:pPr>
        <w:spacing w:after="0" w:line="2"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8.35% Debentures Due 2025 and 8.625% Debentures Due December 1, 2031) of Broadband (the "New Broadband Notes"). The New Broadband Notes will be fully and unconditionally guaranteed (the "Guarantees") by the Guarantors.</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Broadband Eligible Notes were issued under an Indenture, dated as of September 7, 1990, between AT&amp;T and The Bank of New York, as trustee (the "Trustee"), as amended by the First Supplemental Indenture, dated as of October 30, 1992, between AT&amp;T and the Trustee (the "1990 Indenture"). Broadband Exchange Notes will be issued under the 1990 Indenture, as amended by a Second Supplemental Indenture, relating to a note consent effected by the Exchange Offer, and by a Third Supplemental Indenture, relating to the Broadband Exchange Notes (together, the "Broadband Supplemental Indentures"). The New Broadband Notes will be issued under an Indenture between Broadband and the Trustee (the "New Broadband Indenture").</w:t>
      </w:r>
    </w:p>
    <w:p>
      <w:pPr>
        <w:spacing w:after="0" w:line="187"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8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On the basis of the foregoing, we are of the opinion that:</w:t>
      </w:r>
    </w:p>
    <w:p>
      <w:pPr>
        <w:spacing w:after="0" w:line="185" w:lineRule="exact"/>
        <w:rPr>
          <w:sz w:val="20"/>
          <w:szCs w:val="20"/>
          <w:color w:val="auto"/>
        </w:rPr>
      </w:pPr>
    </w:p>
    <w:p>
      <w:pPr>
        <w:ind w:left="840" w:right="2719" w:firstLine="844"/>
        <w:spacing w:after="0" w:line="237" w:lineRule="auto"/>
        <w:tabs>
          <w:tab w:leader="none" w:pos="2059"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due authorization, execution, authentication, issuance and delivery of the New Broadband Notes in accordance with the terms of the Broadband Exchange Notes and the New Broadband Indenture, the New Broadband Notes will be valid and binding obligations of Broadband; and</w:t>
      </w:r>
    </w:p>
    <w:p>
      <w:pPr>
        <w:spacing w:after="0" w:line="187" w:lineRule="exact"/>
        <w:rPr>
          <w:rFonts w:ascii="Courier New" w:cs="Courier New" w:eastAsia="Courier New" w:hAnsi="Courier New"/>
          <w:sz w:val="16"/>
          <w:szCs w:val="16"/>
          <w:color w:val="auto"/>
        </w:rPr>
      </w:pPr>
    </w:p>
    <w:p>
      <w:pPr>
        <w:ind w:left="840" w:right="2719" w:firstLine="844"/>
        <w:spacing w:after="0" w:line="257" w:lineRule="auto"/>
        <w:tabs>
          <w:tab w:leader="none" w:pos="2059"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due authorization, execution, authentication, issuance and delivery of the New Broadband Notes in accordance with the terms of the Broadband Exchange Notes and the New Broadband Indenture, the Guarantees will be valid and binding obligations of the Guarantors.</w:t>
      </w:r>
    </w:p>
    <w:p>
      <w:pPr>
        <w:spacing w:after="0" w:line="174"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In connection with the opinions expressed above, we have assumed (a) the due authorization, execution and delivery of the Broadband Supplemental Indentures in accordance with the terms of the 1990 Indenture, (b) the due authorization, execution, authentication, issuance and delivery of the Broadband Exchange Notes in accordance with the terms of the 1990 Indenture as amended by the Broadband Supplemental Indentures, (c) the due authorization, execution</w:t>
      </w:r>
    </w:p>
    <w:p>
      <w:pPr>
        <w:sectPr>
          <w:pgSz w:w="11900" w:h="16838" w:orient="portrait"/>
          <w:cols w:equalWidth="0" w:num="1">
            <w:col w:w="10219"/>
          </w:cols>
          <w:pgMar w:left="240" w:top="473" w:right="1440" w:bottom="1440" w:gutter="0" w:footer="0" w:header="0"/>
        </w:sectPr>
      </w:pPr>
    </w:p>
    <w:bookmarkStart w:id="407" w:name="page408"/>
    <w:bookmarkEnd w:id="407"/>
    <w:p>
      <w:pPr>
        <w:spacing w:after="0"/>
        <w:tabs>
          <w:tab w:leader="none" w:pos="3640" w:val="left"/>
          <w:tab w:leader="none" w:pos="6080" w:val="left"/>
        </w:tabs>
        <w:rPr>
          <w:sz w:val="20"/>
          <w:szCs w:val="20"/>
          <w:color w:val="auto"/>
        </w:rPr>
      </w:pPr>
      <w:r>
        <w:rPr>
          <w:rFonts w:ascii="Courier New" w:cs="Courier New" w:eastAsia="Courier New" w:hAnsi="Courier New"/>
          <w:sz w:val="16"/>
          <w:szCs w:val="16"/>
          <w:color w:val="auto"/>
        </w:rPr>
        <w:t>AT&amp;T Comcast Corporation</w:t>
      </w:r>
      <w:r>
        <w:rPr>
          <w:sz w:val="20"/>
          <w:szCs w:val="20"/>
          <w:color w:val="auto"/>
        </w:rPr>
        <w:tab/>
      </w: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5"/>
          <w:szCs w:val="15"/>
          <w:color w:val="auto"/>
        </w:rPr>
        <w:t>October 4, 2002</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and delivery of the New Broadband Indenture by Broadband, the Guarantors and the Trustee thereto, (d) the New Broadband Indenture shall have been qualified under the Trust Indenture Act of 1939, as amended, (e) there will not have occurred any change in law affecting the validity or enforceability of the New Broadband Notes or the Guarantees and (f) none of the terms of the New Broadband Notes, the issuance and delivery of the New Broadband Notes, nor the compliance by Broadband and the Guarantors with the terms of the New Broadband Notes will violate any applicable law or will result in a violation of any provision of any instrument or agreement then binding upon Broadband or any Guarantor, or any restriction imposed by any court or governmental body having jurisdiction over Broadband or any Guarantor.</w:t>
      </w:r>
    </w:p>
    <w:p>
      <w:pPr>
        <w:spacing w:after="0" w:line="187"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We are members of the Bar of the State of New York and the foregoing opinion is limited to the laws of the State of New York and the federal laws of the United States of America.</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We consent to the use of this opinion as an exhibit to the Registration Statement and to the reference to Davis Polk &amp; Wardwell under the caption "Legal Matters" in the prospectus incorporated by reference therein.</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/s/ Davis Polk &amp; Wardwell</w:t>
      </w:r>
    </w:p>
    <w:p>
      <w:pPr>
        <w:sectPr>
          <w:pgSz w:w="11900" w:h="16838" w:orient="portrait"/>
          <w:cols w:equalWidth="0" w:num="1">
            <w:col w:w="10219"/>
          </w:cols>
          <w:pgMar w:left="240" w:top="473" w:right="1440" w:bottom="1440" w:gutter="0" w:footer="0" w:header="0"/>
        </w:sectPr>
      </w:pPr>
    </w:p>
    <w:bookmarkStart w:id="408" w:name="page409"/>
    <w:bookmarkEnd w:id="408"/>
    <w:p>
      <w:pPr>
        <w:jc w:val="right"/>
        <w:ind w:right="2719"/>
        <w:spacing w:after="0"/>
        <w:rPr>
          <w:sz w:val="20"/>
          <w:szCs w:val="20"/>
          <w:color w:val="auto"/>
        </w:rPr>
      </w:pPr>
      <w:r>
        <w:rPr>
          <w:rFonts w:ascii="Courier New" w:cs="Courier New" w:eastAsia="Courier New" w:hAnsi="Courier New"/>
          <w:sz w:val="16"/>
          <w:szCs w:val="16"/>
          <w:color w:val="auto"/>
        </w:rPr>
        <w:t>Exhibit 23.1</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200" w:lineRule="exact"/>
        <w:rPr>
          <w:sz w:val="20"/>
          <w:szCs w:val="20"/>
          <w:color w:val="auto"/>
        </w:rPr>
      </w:pPr>
    </w:p>
    <w:p>
      <w:pPr>
        <w:spacing w:after="0" w:line="34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consent to the use in this Amendment No. 2 to Registration Statement No. 333-97953 of AT&amp;T Corp. on Form S-4 of our report dated April 29, 2002 related to the balance sheet of AT&amp;T Comcast Corporation as of December 31, 2001, appearing in the Prospectus, which is a part of this Registration Statement, and to the reference to us under the heading "Experts" in such Prospectus.</w:t>
      </w:r>
    </w:p>
    <w:p>
      <w:pPr>
        <w:spacing w:after="0" w:line="200" w:lineRule="exact"/>
        <w:rPr>
          <w:sz w:val="20"/>
          <w:szCs w:val="20"/>
          <w:color w:val="auto"/>
        </w:rPr>
      </w:pPr>
    </w:p>
    <w:p>
      <w:pPr>
        <w:spacing w:after="0" w:line="343"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October 3, 2002</w:t>
      </w:r>
    </w:p>
    <w:p>
      <w:pPr>
        <w:sectPr>
          <w:pgSz w:w="11900" w:h="16838" w:orient="portrait"/>
          <w:cols w:equalWidth="0" w:num="1">
            <w:col w:w="10219"/>
          </w:cols>
          <w:pgMar w:left="240" w:top="317" w:right="1440" w:bottom="1440" w:gutter="0" w:footer="0" w:header="0"/>
        </w:sectPr>
      </w:pPr>
    </w:p>
    <w:bookmarkStart w:id="409" w:name="page410"/>
    <w:bookmarkEnd w:id="409"/>
    <w:p>
      <w:pPr>
        <w:jc w:val="right"/>
        <w:ind w:right="2719"/>
        <w:spacing w:after="0"/>
        <w:rPr>
          <w:sz w:val="20"/>
          <w:szCs w:val="20"/>
          <w:color w:val="auto"/>
        </w:rPr>
      </w:pPr>
      <w:r>
        <w:rPr>
          <w:rFonts w:ascii="Courier New" w:cs="Courier New" w:eastAsia="Courier New" w:hAnsi="Courier New"/>
          <w:sz w:val="16"/>
          <w:szCs w:val="16"/>
          <w:color w:val="auto"/>
        </w:rPr>
        <w:t>Exhibit 23.2</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200" w:lineRule="exact"/>
        <w:rPr>
          <w:sz w:val="20"/>
          <w:szCs w:val="20"/>
          <w:color w:val="auto"/>
        </w:rPr>
      </w:pPr>
    </w:p>
    <w:p>
      <w:pPr>
        <w:spacing w:after="0" w:line="34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Amendment No. 2 to Registration Statement No. 333-97953 of AT&amp;T Corp. on Form S-4 of our reports dated February 5, 2002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appearing in the Annual Report on Form 10-K of Comcast Cable Communications, Inc. (a wholly owned subsidiary of Comcast Corporation) for the year ended December 31, 2001 and to the reference to us under the heading "Experts" in the Prospectus, which is part of this Registration Statement.</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October 3, 2002</w:t>
      </w:r>
    </w:p>
    <w:p>
      <w:pPr>
        <w:sectPr>
          <w:pgSz w:w="11900" w:h="16838" w:orient="portrait"/>
          <w:cols w:equalWidth="0" w:num="1">
            <w:col w:w="10219"/>
          </w:cols>
          <w:pgMar w:left="240" w:top="317" w:right="1440" w:bottom="1440" w:gutter="0" w:footer="0" w:header="0"/>
        </w:sectPr>
      </w:pPr>
    </w:p>
    <w:bookmarkStart w:id="410" w:name="page411"/>
    <w:bookmarkEnd w:id="410"/>
    <w:p>
      <w:pPr>
        <w:jc w:val="right"/>
        <w:ind w:right="2719"/>
        <w:spacing w:after="0"/>
        <w:rPr>
          <w:sz w:val="20"/>
          <w:szCs w:val="20"/>
          <w:color w:val="auto"/>
        </w:rPr>
      </w:pPr>
      <w:r>
        <w:rPr>
          <w:rFonts w:ascii="Courier New" w:cs="Courier New" w:eastAsia="Courier New" w:hAnsi="Courier New"/>
          <w:sz w:val="16"/>
          <w:szCs w:val="16"/>
          <w:color w:val="auto"/>
        </w:rPr>
        <w:t>Exhibit 23.3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consent to the use in this Amendment No. 2 to Registration Statement</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No. 333-97953 of AT&amp;T Corp. on Form S-4 of our report dated February 5, 2002 (July 30, 2002 as to Note 14) (which report expresses an unqualified opinion and includes an explanatory paragraph related to the adoption of Statement of Financial Accounting Standards No. 133, "Accounting for Derivative Instruments and Hedging Activities," as amended, effective January 1, 2001) related to the financial statements of Comcast Corporation, appearing in the Prospectus, which is part of this Registration Statement and to the reference to us under the heading "Experts" in such Prospectus.</w:t>
      </w:r>
    </w:p>
    <w:p>
      <w:pPr>
        <w:spacing w:after="0" w:line="36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DELOITTE &amp; TOUCHE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3, 2002</w:t>
      </w:r>
    </w:p>
    <w:p>
      <w:pPr>
        <w:sectPr>
          <w:pgSz w:w="11900" w:h="16838" w:orient="portrait"/>
          <w:cols w:equalWidth="0" w:num="1">
            <w:col w:w="10219"/>
          </w:cols>
          <w:pgMar w:left="240" w:top="317" w:right="1440" w:bottom="1440" w:gutter="0" w:footer="0" w:header="0"/>
        </w:sectPr>
      </w:pPr>
    </w:p>
    <w:bookmarkStart w:id="411" w:name="page412"/>
    <w:bookmarkEnd w:id="411"/>
    <w:p>
      <w:pPr>
        <w:jc w:val="right"/>
        <w:ind w:right="2719"/>
        <w:spacing w:after="0"/>
        <w:rPr>
          <w:sz w:val="20"/>
          <w:szCs w:val="20"/>
          <w:color w:val="auto"/>
        </w:rPr>
      </w:pPr>
      <w:r>
        <w:rPr>
          <w:rFonts w:ascii="Courier New" w:cs="Courier New" w:eastAsia="Courier New" w:hAnsi="Courier New"/>
          <w:sz w:val="16"/>
          <w:szCs w:val="16"/>
          <w:color w:val="auto"/>
        </w:rPr>
        <w:t>Exhibit 23.4</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Amendment No. 2 to Form S-4 of AT&amp;T Corp. of our report dated March 25, 2002 relating to the consolidated financial statements of AT&amp;T Corp., which appears in AT&amp;T Corp.'s Annual Report on Form 10-K/A for the year ended December 31, 2001. We also consent to the incorporation by reference of our report dated March 25, 2002 relating to the consolidated financial statement schedule, which appears in AT&amp;T Corp.'s Annual Report on Form 10-K for the year ended December 31, 2001. We also consent to the reference to us under the heading "Experts" in such Registration Statement.</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October 3, 2002</w:t>
      </w:r>
    </w:p>
    <w:p>
      <w:pPr>
        <w:sectPr>
          <w:pgSz w:w="11900" w:h="16838" w:orient="portrait"/>
          <w:cols w:equalWidth="0" w:num="1">
            <w:col w:w="10219"/>
          </w:cols>
          <w:pgMar w:left="240" w:top="317" w:right="1440" w:bottom="1440" w:gutter="0" w:footer="0" w:header="0"/>
        </w:sectPr>
      </w:pPr>
    </w:p>
    <w:bookmarkStart w:id="412" w:name="page413"/>
    <w:bookmarkEnd w:id="412"/>
    <w:p>
      <w:pPr>
        <w:jc w:val="right"/>
        <w:ind w:right="2719"/>
        <w:spacing w:after="0"/>
        <w:rPr>
          <w:sz w:val="20"/>
          <w:szCs w:val="20"/>
          <w:color w:val="auto"/>
        </w:rPr>
      </w:pPr>
      <w:r>
        <w:rPr>
          <w:rFonts w:ascii="Courier New" w:cs="Courier New" w:eastAsia="Courier New" w:hAnsi="Courier New"/>
          <w:sz w:val="16"/>
          <w:szCs w:val="16"/>
          <w:color w:val="auto"/>
        </w:rPr>
        <w:t>Exhibit 23.5</w:t>
      </w: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hereby consent to the use in this Registration Statement on Amendment No. 2 to Form S-4 of AT&amp;T Corp. of our report dated July 29, 2002 relating to the balance sheet of AT&amp;T Broadband Corp.,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October 3, 2002</w:t>
      </w:r>
    </w:p>
    <w:p>
      <w:pPr>
        <w:sectPr>
          <w:pgSz w:w="11900" w:h="16838" w:orient="portrait"/>
          <w:cols w:equalWidth="0" w:num="1">
            <w:col w:w="10219"/>
          </w:cols>
          <w:pgMar w:left="240" w:top="317" w:right="1440" w:bottom="1440" w:gutter="0" w:footer="0" w:header="0"/>
        </w:sectPr>
      </w:pPr>
    </w:p>
    <w:bookmarkStart w:id="413" w:name="page414"/>
    <w:bookmarkEnd w:id="413"/>
    <w:p>
      <w:pPr>
        <w:jc w:val="right"/>
        <w:ind w:right="2719"/>
        <w:spacing w:after="0"/>
        <w:rPr>
          <w:sz w:val="20"/>
          <w:szCs w:val="20"/>
          <w:color w:val="auto"/>
        </w:rPr>
      </w:pPr>
      <w:r>
        <w:rPr>
          <w:rFonts w:ascii="Courier New" w:cs="Courier New" w:eastAsia="Courier New" w:hAnsi="Courier New"/>
          <w:sz w:val="16"/>
          <w:szCs w:val="16"/>
          <w:color w:val="auto"/>
        </w:rPr>
        <w:t>Exhibit 23.6</w:t>
      </w: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hereby consent to the use in this Registration Statement on Amendment No. 2 to Form S-4 of AT&amp;T Corp. of our report dated March 25, 2002 relating to the combined financial statements of AT&amp;T Broadband Group,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October 3, 2002</w:t>
      </w:r>
    </w:p>
    <w:p>
      <w:pPr>
        <w:sectPr>
          <w:pgSz w:w="11900" w:h="16838" w:orient="portrait"/>
          <w:cols w:equalWidth="0" w:num="1">
            <w:col w:w="10219"/>
          </w:cols>
          <w:pgMar w:left="240" w:top="317" w:right="1440" w:bottom="1440" w:gutter="0" w:footer="0" w:header="0"/>
        </w:sectPr>
      </w:pPr>
    </w:p>
    <w:bookmarkStart w:id="414" w:name="page415"/>
    <w:bookmarkEnd w:id="414"/>
    <w:p>
      <w:pPr>
        <w:jc w:val="right"/>
        <w:ind w:right="2719"/>
        <w:spacing w:after="0"/>
        <w:rPr>
          <w:sz w:val="20"/>
          <w:szCs w:val="20"/>
          <w:color w:val="auto"/>
        </w:rPr>
      </w:pPr>
      <w:r>
        <w:rPr>
          <w:rFonts w:ascii="Courier New" w:cs="Courier New" w:eastAsia="Courier New" w:hAnsi="Courier New"/>
          <w:sz w:val="16"/>
          <w:szCs w:val="16"/>
          <w:color w:val="auto"/>
        </w:rPr>
        <w:t>Exhibit 23.7</w:t>
      </w: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Amendment No. 2 to Form S-4 of AT&amp;T Corp. of our report dated May 1, 2002 relating to the consolidated financial statements of Concert B.V., which appears in AT&amp;T Corp.'s Annual Report on Form 10-K/A for the year ended December 31, 2001. We also consent to the reference to us under the heading "Experts" in such Registration Statement.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McLean, Virginia</w:t>
      </w:r>
    </w:p>
    <w:p>
      <w:pPr>
        <w:spacing w:after="0" w:line="237" w:lineRule="auto"/>
        <w:rPr>
          <w:sz w:val="20"/>
          <w:szCs w:val="20"/>
          <w:color w:val="auto"/>
        </w:rPr>
      </w:pPr>
      <w:r>
        <w:rPr>
          <w:rFonts w:ascii="Courier New" w:cs="Courier New" w:eastAsia="Courier New" w:hAnsi="Courier New"/>
          <w:sz w:val="16"/>
          <w:szCs w:val="16"/>
          <w:color w:val="auto"/>
        </w:rPr>
        <w:t>October 3, 2002</w:t>
      </w:r>
    </w:p>
    <w:p>
      <w:pPr>
        <w:sectPr>
          <w:pgSz w:w="11900" w:h="16838" w:orient="portrait"/>
          <w:cols w:equalWidth="0" w:num="1">
            <w:col w:w="10219"/>
          </w:cols>
          <w:pgMar w:left="240" w:top="317" w:right="1440" w:bottom="1440" w:gutter="0" w:footer="0" w:header="0"/>
        </w:sectPr>
      </w:pPr>
    </w:p>
    <w:bookmarkStart w:id="415" w:name="page416"/>
    <w:bookmarkEnd w:id="415"/>
    <w:p>
      <w:pPr>
        <w:jc w:val="right"/>
        <w:ind w:right="2719"/>
        <w:spacing w:after="0"/>
        <w:rPr>
          <w:sz w:val="20"/>
          <w:szCs w:val="20"/>
          <w:color w:val="auto"/>
        </w:rPr>
      </w:pPr>
      <w:r>
        <w:rPr>
          <w:rFonts w:ascii="Courier New" w:cs="Courier New" w:eastAsia="Courier New" w:hAnsi="Courier New"/>
          <w:sz w:val="16"/>
          <w:szCs w:val="16"/>
          <w:color w:val="auto"/>
        </w:rPr>
        <w:t>Exhibit 23.8</w:t>
      </w:r>
    </w:p>
    <w:p>
      <w:pPr>
        <w:ind w:left="234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rPr>
          <w:sz w:val="20"/>
          <w:szCs w:val="20"/>
          <w:color w:val="auto"/>
        </w:rPr>
      </w:pPr>
      <w:r>
        <w:rPr>
          <w:rFonts w:ascii="Courier New" w:cs="Courier New" w:eastAsia="Courier New" w:hAnsi="Courier New"/>
          <w:sz w:val="16"/>
          <w:szCs w:val="16"/>
          <w:color w:val="auto"/>
        </w:rPr>
        <w:t>AT&amp;T Canada Inc.:</w:t>
      </w:r>
    </w:p>
    <w:p>
      <w:pPr>
        <w:spacing w:after="0" w:line="36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Amendment No. 2 to Form S-4 of AT&amp;T Corp. of our report dated February 1, 2002, except as to note 2, which is as of March 14, 2002, as to note 5, which is as of February 20, 2002 and as to note 9(h), which is as of May 1, 2002, relating to the consolidated balance sheets of AT&amp;T Canada Inc. ("the Company") as of December 31, 2001 and 2000, and the related consolidated statements of operations and deficit and cash flows for each of the years in the three-year period ended December 31, 2001, which report appears as an exhibit in the annual report on Form 10-K/A of AT&amp;T Corp., and to the reference to our firm under the heading "Experts" in the registration statement.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report dated February 1, 2002, except as to note 2,</w:t>
      </w:r>
    </w:p>
    <w:p>
      <w:pPr>
        <w:spacing w:after="0" w:line="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which is as of March 14, 2002, as to note 5, which is as of February 20, 2002 and as to note 9(h), which is as of May 1, 2002, contains Comments by the Auditors for U.S. Readers on Canada -- U.S. Reporting Differences which states that in the United States, reporting standards for auditors require the addition of an explanatory paragraph (following the opinion paragraph) when the financial statements are affected by conditions and events that cast substantial doubt on the Company's ability to continue as a going concern such as those described in note 2 to the consolidated financial statements. Our report to the shareholders is expressed in accordance with Canadian reporting standards, which do not permit a reference to such conditions and events in the auditors' report when these are adequately disclosed in the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Toronto, Canada</w:t>
      </w:r>
    </w:p>
    <w:p>
      <w:pPr>
        <w:spacing w:after="0"/>
        <w:rPr>
          <w:sz w:val="20"/>
          <w:szCs w:val="20"/>
          <w:color w:val="auto"/>
        </w:rPr>
      </w:pPr>
      <w:r>
        <w:rPr>
          <w:rFonts w:ascii="Courier New" w:cs="Courier New" w:eastAsia="Courier New" w:hAnsi="Courier New"/>
          <w:sz w:val="16"/>
          <w:szCs w:val="16"/>
          <w:color w:val="auto"/>
        </w:rPr>
        <w:t>October 2, 2002</w:t>
      </w:r>
    </w:p>
    <w:p>
      <w:pPr>
        <w:sectPr>
          <w:pgSz w:w="11900" w:h="16838" w:orient="portrait"/>
          <w:cols w:equalWidth="0" w:num="1">
            <w:col w:w="10219"/>
          </w:cols>
          <w:pgMar w:left="240" w:top="317" w:right="1440" w:bottom="1440" w:gutter="0" w:footer="0" w:header="0"/>
        </w:sectPr>
      </w:pPr>
    </w:p>
    <w:bookmarkStart w:id="416" w:name="page417"/>
    <w:bookmarkEnd w:id="416"/>
    <w:p>
      <w:pPr>
        <w:jc w:val="right"/>
        <w:ind w:right="2719"/>
        <w:spacing w:after="0"/>
        <w:rPr>
          <w:sz w:val="20"/>
          <w:szCs w:val="20"/>
          <w:color w:val="auto"/>
        </w:rPr>
      </w:pPr>
      <w:r>
        <w:rPr>
          <w:rFonts w:ascii="Courier New" w:cs="Courier New" w:eastAsia="Courier New" w:hAnsi="Courier New"/>
          <w:sz w:val="16"/>
          <w:szCs w:val="16"/>
          <w:color w:val="auto"/>
        </w:rPr>
        <w:t>Exhibit 23.9</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rPr>
          <w:sz w:val="20"/>
          <w:szCs w:val="20"/>
          <w:color w:val="auto"/>
        </w:rPr>
      </w:pPr>
      <w:r>
        <w:rPr>
          <w:rFonts w:ascii="Courier New" w:cs="Courier New" w:eastAsia="Courier New" w:hAnsi="Courier New"/>
          <w:sz w:val="16"/>
          <w:szCs w:val="16"/>
          <w:color w:val="auto"/>
        </w:rPr>
        <w:t>Liberty Media Corporation:</w:t>
      </w:r>
    </w:p>
    <w:p>
      <w:pPr>
        <w:spacing w:after="0" w:line="36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on Amendment No. 2 to Form S-4 of AT&amp;T Corp. of our report dated March 8, 2002, relating to 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report appears as an exhibit in the annual report on Form 10-K/A of AT&amp;T Corp., and to the reference to our firm under the heading "Experts" in the registration statement.</w:t>
      </w:r>
    </w:p>
    <w:p>
      <w:pPr>
        <w:spacing w:after="0" w:line="368" w:lineRule="exact"/>
        <w:rPr>
          <w:sz w:val="20"/>
          <w:szCs w:val="20"/>
          <w:color w:val="auto"/>
        </w:rPr>
      </w:pPr>
    </w:p>
    <w:p>
      <w:pPr>
        <w:jc w:val="both"/>
        <w:ind w:right="3279"/>
        <w:spacing w:after="0" w:line="237" w:lineRule="auto"/>
        <w:rPr>
          <w:sz w:val="20"/>
          <w:szCs w:val="20"/>
          <w:color w:val="auto"/>
        </w:rPr>
      </w:pPr>
      <w:r>
        <w:rPr>
          <w:rFonts w:ascii="Courier New" w:cs="Courier New" w:eastAsia="Courier New" w:hAnsi="Courier New"/>
          <w:sz w:val="16"/>
          <w:szCs w:val="16"/>
          <w:color w:val="auto"/>
        </w:rPr>
        <w:t>As discussed in notes 3 and 8 to the aforementioned consolidated financial statements, Liberty Media Corporation changed its method of accounting for derivative instruments and hedging activities in 2001.</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As discussed in note 1 to the aforementioned consolidated financial statements,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169"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KPMG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w:t>
      </w:r>
    </w:p>
    <w:p>
      <w:pPr>
        <w:spacing w:after="0"/>
        <w:rPr>
          <w:sz w:val="20"/>
          <w:szCs w:val="20"/>
          <w:color w:val="auto"/>
        </w:rPr>
      </w:pPr>
      <w:r>
        <w:rPr>
          <w:rFonts w:ascii="Courier New" w:cs="Courier New" w:eastAsia="Courier New" w:hAnsi="Courier New"/>
          <w:sz w:val="16"/>
          <w:szCs w:val="16"/>
          <w:color w:val="auto"/>
        </w:rPr>
        <w:t>October 2, 2002</w:t>
      </w:r>
    </w:p>
    <w:sectPr>
      <w:pgSz w:w="11900" w:h="16838" w:orient="portrait"/>
      <w:cols w:equalWidth="0" w:num="1">
        <w:col w:w="10219"/>
      </w:cols>
      <w:pgMar w:left="240" w:top="3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534A82"/>
    <w:multiLevelType w:val="hybridMultilevel"/>
    <w:lvl w:ilvl="0">
      <w:lvlJc w:val="left"/>
      <w:lvlText w:val="-"/>
      <w:numFmt w:val="bullet"/>
      <w:start w:val="1"/>
    </w:lvl>
  </w:abstractNum>
  <w:abstractNum w:abstractNumId="1">
    <w:nsid w:val="26F2D364"/>
    <w:multiLevelType w:val="hybridMultilevel"/>
    <w:lvl w:ilvl="0">
      <w:lvlJc w:val="left"/>
      <w:lvlText w:val="-"/>
      <w:numFmt w:val="bullet"/>
      <w:start w:val="1"/>
    </w:lvl>
    <w:lvl w:ilvl="1">
      <w:lvlJc w:val="left"/>
      <w:lvlText w:val="----"/>
      <w:numFmt w:val="bullet"/>
      <w:start w:val="1"/>
    </w:lvl>
  </w:abstractNum>
  <w:abstractNum w:abstractNumId="2">
    <w:nsid w:val="71C1AF98"/>
    <w:multiLevelType w:val="hybridMultilevel"/>
    <w:lvl w:ilvl="0">
      <w:lvlJc w:val="left"/>
      <w:lvlText w:val="-"/>
      <w:numFmt w:val="bullet"/>
      <w:start w:val="1"/>
    </w:lvl>
    <w:lvl w:ilvl="1">
      <w:lvlJc w:val="left"/>
      <w:lvlText w:val="----"/>
      <w:numFmt w:val="bullet"/>
      <w:start w:val="1"/>
    </w:lvl>
  </w:abstractNum>
  <w:abstractNum w:abstractNumId="3">
    <w:nsid w:val="3D00B9D9"/>
    <w:multiLevelType w:val="hybridMultilevel"/>
    <w:lvl w:ilvl="0">
      <w:lvlJc w:val="left"/>
      <w:lvlText w:val="-"/>
      <w:numFmt w:val="bullet"/>
      <w:start w:val="1"/>
    </w:lvl>
    <w:lvl w:ilvl="1">
      <w:lvlJc w:val="left"/>
      <w:lvlText w:val="----"/>
      <w:numFmt w:val="bullet"/>
      <w:start w:val="1"/>
    </w:lvl>
  </w:abstractNum>
  <w:abstractNum w:abstractNumId="4">
    <w:nsid w:val="15BCABA8"/>
    <w:multiLevelType w:val="hybridMultilevel"/>
    <w:lvl w:ilvl="0">
      <w:lvlJc w:val="left"/>
      <w:lvlText w:val="-"/>
      <w:numFmt w:val="bullet"/>
      <w:start w:val="1"/>
    </w:lvl>
  </w:abstractNum>
  <w:abstractNum w:abstractNumId="5">
    <w:nsid w:val="4E0B9A87"/>
    <w:multiLevelType w:val="hybridMultilevel"/>
    <w:lvl w:ilvl="0">
      <w:lvlJc w:val="left"/>
      <w:lvlText w:val="-"/>
      <w:numFmt w:val="bullet"/>
      <w:start w:val="1"/>
    </w:lvl>
  </w:abstractNum>
  <w:abstractNum w:abstractNumId="6">
    <w:nsid w:val="434BAE75"/>
    <w:multiLevelType w:val="hybridMultilevel"/>
    <w:lvl w:ilvl="0">
      <w:lvlJc w:val="left"/>
      <w:lvlText w:val="-"/>
      <w:numFmt w:val="bullet"/>
      <w:start w:val="1"/>
    </w:lvl>
    <w:lvl w:ilvl="1">
      <w:lvlJc w:val="left"/>
      <w:lvlText w:val="----"/>
      <w:numFmt w:val="bullet"/>
      <w:start w:val="1"/>
    </w:lvl>
  </w:abstractNum>
  <w:abstractNum w:abstractNumId="7">
    <w:nsid w:val="4F38F265"/>
    <w:multiLevelType w:val="hybridMultilevel"/>
    <w:lvl w:ilvl="0">
      <w:lvlJc w:val="left"/>
      <w:lvlText w:val="-"/>
      <w:numFmt w:val="bullet"/>
      <w:start w:val="1"/>
    </w:lvl>
    <w:lvl w:ilvl="1">
      <w:lvlJc w:val="left"/>
      <w:lvlText w:val="----"/>
      <w:numFmt w:val="bullet"/>
      <w:start w:val="1"/>
    </w:lvl>
  </w:abstractNum>
  <w:abstractNum w:abstractNumId="8">
    <w:nsid w:val="4C502870"/>
    <w:multiLevelType w:val="hybridMultilevel"/>
    <w:lvl w:ilvl="0">
      <w:lvlJc w:val="left"/>
      <w:lvlText w:val="(%1)"/>
      <w:numFmt w:val="decimal"/>
      <w:start w:val="1"/>
    </w:lvl>
  </w:abstractNum>
  <w:abstractNum w:abstractNumId="9">
    <w:nsid w:val="1DE8725A"/>
    <w:multiLevelType w:val="hybridMultilevel"/>
    <w:lvl w:ilvl="0">
      <w:lvlJc w:val="left"/>
      <w:lvlText w:val="(%1)"/>
      <w:numFmt w:val="decimal"/>
      <w:start w:val="4"/>
    </w:lvl>
  </w:abstractNum>
  <w:abstractNum w:abstractNumId="10">
    <w:nsid w:val="6A37288A"/>
    <w:multiLevelType w:val="hybridMultilevel"/>
    <w:lvl w:ilvl="0">
      <w:lvlJc w:val="left"/>
      <w:lvlText w:val="-"/>
      <w:numFmt w:val="bullet"/>
      <w:start w:val="1"/>
    </w:lvl>
  </w:abstractNum>
  <w:abstractNum w:abstractNumId="11">
    <w:nsid w:val="8F8B73F"/>
    <w:multiLevelType w:val="hybridMultilevel"/>
    <w:lvl w:ilvl="0">
      <w:lvlJc w:val="left"/>
      <w:lvlText w:val="-"/>
      <w:numFmt w:val="bullet"/>
      <w:start w:val="1"/>
    </w:lvl>
  </w:abstractNum>
  <w:abstractNum w:abstractNumId="12">
    <w:nsid w:val="CA6B462"/>
    <w:multiLevelType w:val="hybridMultilevel"/>
    <w:lvl w:ilvl="0">
      <w:lvlJc w:val="left"/>
      <w:lvlText w:val="-"/>
      <w:numFmt w:val="bullet"/>
      <w:start w:val="1"/>
    </w:lvl>
  </w:abstractNum>
  <w:abstractNum w:abstractNumId="13">
    <w:nsid w:val="763CB680"/>
    <w:multiLevelType w:val="hybridMultilevel"/>
    <w:lvl w:ilvl="0">
      <w:lvlJc w:val="left"/>
      <w:lvlText w:val="-"/>
      <w:numFmt w:val="bullet"/>
      <w:start w:val="1"/>
    </w:lvl>
  </w:abstractNum>
  <w:abstractNum w:abstractNumId="14">
    <w:nsid w:val="15B71329"/>
    <w:multiLevelType w:val="hybridMultilevel"/>
    <w:lvl w:ilvl="0">
      <w:lvlJc w:val="left"/>
      <w:lvlText w:val="-"/>
      <w:numFmt w:val="bullet"/>
      <w:start w:val="1"/>
    </w:lvl>
  </w:abstractNum>
  <w:abstractNum w:abstractNumId="15">
    <w:nsid w:val="3DA97044"/>
    <w:multiLevelType w:val="hybridMultilevel"/>
    <w:lvl w:ilvl="0">
      <w:lvlJc w:val="left"/>
      <w:lvlText w:val="-"/>
      <w:numFmt w:val="bullet"/>
      <w:start w:val="1"/>
    </w:lvl>
  </w:abstractNum>
  <w:abstractNum w:abstractNumId="16">
    <w:nsid w:val="1CDCE2DE"/>
    <w:multiLevelType w:val="hybridMultilevel"/>
    <w:lvl w:ilvl="0">
      <w:lvlJc w:val="left"/>
      <w:lvlText w:val="-"/>
      <w:numFmt w:val="bullet"/>
      <w:start w:val="1"/>
    </w:lvl>
  </w:abstractNum>
  <w:abstractNum w:abstractNumId="17">
    <w:nsid w:val="69D3947C"/>
    <w:multiLevelType w:val="hybridMultilevel"/>
    <w:lvl w:ilvl="0">
      <w:lvlJc w:val="left"/>
      <w:lvlText w:val="-"/>
      <w:numFmt w:val="bullet"/>
      <w:start w:val="1"/>
    </w:lvl>
  </w:abstractNum>
  <w:abstractNum w:abstractNumId="18">
    <w:nsid w:val="2539DFA5"/>
    <w:multiLevelType w:val="hybridMultilevel"/>
    <w:lvl w:ilvl="0">
      <w:lvlJc w:val="left"/>
      <w:lvlText w:val="-"/>
      <w:numFmt w:val="bullet"/>
      <w:start w:val="1"/>
    </w:lvl>
  </w:abstractNum>
  <w:abstractNum w:abstractNumId="19">
    <w:nsid w:val="2DB88089"/>
    <w:multiLevelType w:val="hybridMultilevel"/>
    <w:lvl w:ilvl="0">
      <w:lvlJc w:val="left"/>
      <w:lvlText w:val="(%1)"/>
      <w:numFmt w:val="decimal"/>
      <w:start w:val="908"/>
    </w:lvl>
  </w:abstractNum>
  <w:abstractNum w:abstractNumId="20">
    <w:nsid w:val="706B674E"/>
    <w:multiLevelType w:val="hybridMultilevel"/>
    <w:lvl w:ilvl="0">
      <w:lvlJc w:val="left"/>
      <w:lvlText w:val="%"/>
      <w:numFmt w:val="bullet"/>
      <w:start w:val="1"/>
    </w:lvl>
  </w:abstractNum>
  <w:abstractNum w:abstractNumId="21">
    <w:nsid w:val="2C106A57"/>
    <w:multiLevelType w:val="hybridMultilevel"/>
    <w:lvl w:ilvl="0">
      <w:lvlJc w:val="left"/>
      <w:lvlText w:val="-"/>
      <w:numFmt w:val="bullet"/>
      <w:start w:val="1"/>
    </w:lvl>
    <w:lvl w:ilvl="1">
      <w:lvlJc w:val="left"/>
      <w:lvlText w:val="*"/>
      <w:numFmt w:val="bullet"/>
      <w:start w:val="1"/>
    </w:lvl>
  </w:abstractNum>
  <w:abstractNum w:abstractNumId="22">
    <w:nsid w:val="684EED59"/>
    <w:multiLevelType w:val="hybridMultilevel"/>
    <w:lvl w:ilvl="0">
      <w:lvlJc w:val="left"/>
      <w:lvlText w:val="-"/>
      <w:numFmt w:val="bullet"/>
      <w:start w:val="1"/>
    </w:lvl>
    <w:lvl w:ilvl="1">
      <w:lvlJc w:val="left"/>
      <w:lvlText w:val="**"/>
      <w:numFmt w:val="bullet"/>
      <w:start w:val="1"/>
    </w:lvl>
  </w:abstractNum>
  <w:abstractNum w:abstractNumId="23">
    <w:nsid w:val="545EE5D3"/>
    <w:multiLevelType w:val="hybridMultilevel"/>
    <w:lvl w:ilvl="0">
      <w:lvlJc w:val="left"/>
      <w:lvlText w:val="-"/>
      <w:numFmt w:val="bullet"/>
      <w:start w:val="1"/>
    </w:lvl>
  </w:abstractNum>
  <w:abstractNum w:abstractNumId="24">
    <w:nsid w:val="4A66051"/>
    <w:multiLevelType w:val="hybridMultilevel"/>
    <w:lvl w:ilvl="0">
      <w:lvlJc w:val="left"/>
      <w:lvlText w:val="-"/>
      <w:numFmt w:val="bullet"/>
      <w:start w:val="1"/>
    </w:lvl>
  </w:abstractNum>
  <w:abstractNum w:abstractNumId="25">
    <w:nsid w:val="20F4BDAD"/>
    <w:multiLevelType w:val="hybridMultilevel"/>
    <w:lvl w:ilvl="0">
      <w:lvlJc w:val="left"/>
      <w:lvlText w:val="-"/>
      <w:numFmt w:val="bullet"/>
      <w:start w:val="1"/>
    </w:lvl>
  </w:abstractNum>
  <w:abstractNum w:abstractNumId="26">
    <w:nsid w:val="639DEFAC"/>
    <w:multiLevelType w:val="hybridMultilevel"/>
    <w:lvl w:ilvl="0">
      <w:lvlJc w:val="left"/>
      <w:lvlText w:val="-"/>
      <w:numFmt w:val="bullet"/>
      <w:start w:val="1"/>
    </w:lvl>
  </w:abstractNum>
  <w:abstractNum w:abstractNumId="27">
    <w:nsid w:val="501F9786"/>
    <w:multiLevelType w:val="hybridMultilevel"/>
    <w:lvl w:ilvl="0">
      <w:lvlJc w:val="left"/>
      <w:lvlText w:val="-"/>
      <w:numFmt w:val="bullet"/>
      <w:start w:val="1"/>
    </w:lvl>
  </w:abstractNum>
  <w:abstractNum w:abstractNumId="28">
    <w:nsid w:val="6B057295"/>
    <w:multiLevelType w:val="hybridMultilevel"/>
    <w:lvl w:ilvl="0">
      <w:lvlJc w:val="left"/>
      <w:lvlText w:val="-"/>
      <w:numFmt w:val="bullet"/>
      <w:start w:val="1"/>
    </w:lvl>
    <w:lvl w:ilvl="1">
      <w:lvlJc w:val="left"/>
      <w:lvlText w:val="-"/>
      <w:numFmt w:val="bullet"/>
      <w:start w:val="1"/>
    </w:lvl>
  </w:abstractNum>
  <w:abstractNum w:abstractNumId="29">
    <w:nsid w:val="2771AC80"/>
    <w:multiLevelType w:val="hybridMultilevel"/>
    <w:lvl w:ilvl="0">
      <w:lvlJc w:val="left"/>
      <w:lvlText w:val="-"/>
      <w:numFmt w:val="bullet"/>
      <w:start w:val="1"/>
    </w:lvl>
  </w:abstractNum>
  <w:abstractNum w:abstractNumId="30">
    <w:nsid w:val="1C4A08EC"/>
    <w:multiLevelType w:val="hybridMultilevel"/>
    <w:lvl w:ilvl="0">
      <w:lvlJc w:val="left"/>
      <w:lvlText w:val="---"/>
      <w:numFmt w:val="bullet"/>
      <w:start w:val="1"/>
    </w:lvl>
  </w:abstractNum>
  <w:abstractNum w:abstractNumId="31">
    <w:nsid w:val="1958BD17"/>
    <w:multiLevelType w:val="hybridMultilevel"/>
    <w:lvl w:ilvl="0">
      <w:lvlJc w:val="left"/>
      <w:lvlText w:val="(%1)"/>
      <w:numFmt w:val="decimal"/>
      <w:start w:val="1"/>
    </w:lvl>
  </w:abstractNum>
  <w:abstractNum w:abstractNumId="32">
    <w:nsid w:val="4E647FE4"/>
    <w:multiLevelType w:val="hybridMultilevel"/>
    <w:lvl w:ilvl="0">
      <w:lvlJc w:val="left"/>
      <w:lvlText w:val="(%1)"/>
      <w:numFmt w:val="decimal"/>
      <w:start w:val="4"/>
    </w:lvl>
  </w:abstractNum>
  <w:abstractNum w:abstractNumId="33">
    <w:nsid w:val="E0BB885"/>
    <w:multiLevelType w:val="hybridMultilevel"/>
    <w:lvl w:ilvl="0">
      <w:lvlJc w:val="left"/>
      <w:lvlText w:val="---"/>
      <w:numFmt w:val="bullet"/>
      <w:start w:val="1"/>
    </w:lvl>
  </w:abstractNum>
  <w:abstractNum w:abstractNumId="34">
    <w:nsid w:val="565976F1"/>
    <w:multiLevelType w:val="hybridMultilevel"/>
    <w:lvl w:ilvl="0">
      <w:lvlJc w:val="left"/>
      <w:lvlText w:val="-----"/>
      <w:numFmt w:val="bullet"/>
      <w:start w:val="1"/>
    </w:lvl>
  </w:abstractNum>
  <w:abstractNum w:abstractNumId="35">
    <w:nsid w:val="64212B8C"/>
    <w:multiLevelType w:val="hybridMultilevel"/>
    <w:lvl w:ilvl="0">
      <w:lvlJc w:val="left"/>
      <w:lvlText w:val="-"/>
      <w:numFmt w:val="bullet"/>
      <w:start w:val="1"/>
    </w:lvl>
  </w:abstractNum>
  <w:abstractNum w:abstractNumId="36">
    <w:nsid w:val="5C17530C"/>
    <w:multiLevelType w:val="hybridMultilevel"/>
    <w:lvl w:ilvl="0">
      <w:lvlJc w:val="left"/>
      <w:lvlText w:val="----"/>
      <w:numFmt w:val="bullet"/>
      <w:start w:val="1"/>
    </w:lvl>
  </w:abstractNum>
  <w:abstractNum w:abstractNumId="37">
    <w:nsid w:val="19A52566"/>
    <w:multiLevelType w:val="hybridMultilevel"/>
    <w:lvl w:ilvl="0">
      <w:lvlJc w:val="left"/>
      <w:lvlText w:val="-----"/>
      <w:numFmt w:val="bullet"/>
      <w:start w:val="1"/>
    </w:lvl>
  </w:abstractNum>
  <w:abstractNum w:abstractNumId="38">
    <w:nsid w:val="335A1DF1"/>
    <w:multiLevelType w:val="hybridMultilevel"/>
    <w:lvl w:ilvl="0">
      <w:lvlJc w:val="left"/>
      <w:lvlText w:val="-"/>
      <w:numFmt w:val="bullet"/>
      <w:start w:val="1"/>
    </w:lvl>
    <w:lvl w:ilvl="1">
      <w:lvlJc w:val="left"/>
      <w:lvlText w:val="*"/>
      <w:numFmt w:val="bullet"/>
      <w:start w:val="1"/>
    </w:lvl>
  </w:abstractNum>
  <w:abstractNum w:abstractNumId="39">
    <w:nsid w:val="28677B7C"/>
    <w:multiLevelType w:val="hybridMultilevel"/>
    <w:lvl w:ilvl="0">
      <w:lvlJc w:val="left"/>
      <w:lvlText w:val="(%1)"/>
      <w:numFmt w:val="decimal"/>
      <w:start w:val="1"/>
    </w:lvl>
  </w:abstractNum>
  <w:abstractNum w:abstractNumId="40">
    <w:nsid w:val="378D97C0"/>
    <w:multiLevelType w:val="hybridMultilevel"/>
    <w:lvl w:ilvl="0">
      <w:lvlJc w:val="left"/>
      <w:lvlText w:val="-"/>
      <w:numFmt w:val="bullet"/>
      <w:start w:val="1"/>
    </w:lvl>
  </w:abstractNum>
  <w:abstractNum w:abstractNumId="41">
    <w:nsid w:val="1D91467C"/>
    <w:multiLevelType w:val="hybridMultilevel"/>
    <w:lvl w:ilvl="0">
      <w:lvlJc w:val="left"/>
      <w:lvlText w:val="(%1)"/>
      <w:numFmt w:val="decimal"/>
      <w:start w:val="1"/>
    </w:lvl>
  </w:abstractNum>
  <w:abstractNum w:abstractNumId="42">
    <w:nsid w:val="316032BB"/>
    <w:multiLevelType w:val="hybridMultilevel"/>
    <w:lvl w:ilvl="0">
      <w:lvlJc w:val="left"/>
      <w:lvlText w:val="-"/>
      <w:numFmt w:val="bullet"/>
      <w:start w:val="1"/>
    </w:lvl>
  </w:abstractNum>
  <w:abstractNum w:abstractNumId="43">
    <w:nsid w:val="44344C22"/>
    <w:multiLevelType w:val="hybridMultilevel"/>
    <w:lvl w:ilvl="0">
      <w:lvlJc w:val="left"/>
      <w:lvlText w:val="(%1)"/>
      <w:numFmt w:val="decimal"/>
      <w:start w:val="1"/>
    </w:lvl>
  </w:abstractNum>
  <w:abstractNum w:abstractNumId="44">
    <w:nsid w:val="13CDFCFC"/>
    <w:multiLevelType w:val="hybridMultilevel"/>
    <w:lvl w:ilvl="0">
      <w:lvlJc w:val="left"/>
      <w:lvlText w:val="-"/>
      <w:numFmt w:val="bullet"/>
      <w:start w:val="1"/>
    </w:lvl>
  </w:abstractNum>
  <w:abstractNum w:abstractNumId="45">
    <w:nsid w:val="471745E4"/>
    <w:multiLevelType w:val="hybridMultilevel"/>
    <w:lvl w:ilvl="0">
      <w:lvlJc w:val="left"/>
      <w:lvlText w:val="-"/>
      <w:numFmt w:val="bullet"/>
      <w:start w:val="1"/>
    </w:lvl>
  </w:abstractNum>
  <w:abstractNum w:abstractNumId="46">
    <w:nsid w:val="1DDBC66"/>
    <w:multiLevelType w:val="hybridMultilevel"/>
    <w:lvl w:ilvl="0">
      <w:lvlJc w:val="left"/>
      <w:lvlText w:val="(%1)"/>
      <w:numFmt w:val="lowerLetter"/>
      <w:start w:val="1"/>
    </w:lvl>
  </w:abstractNum>
  <w:abstractNum w:abstractNumId="47">
    <w:nsid w:val="30AADFDA"/>
    <w:multiLevelType w:val="hybridMultilevel"/>
    <w:lvl w:ilvl="0">
      <w:lvlJc w:val="left"/>
      <w:lvlText w:val="(%1)"/>
      <w:numFmt w:val="lowerLetter"/>
      <w:start w:val="3"/>
    </w:lvl>
  </w:abstractNum>
  <w:abstractNum w:abstractNumId="48">
    <w:nsid w:val="30EADA61"/>
    <w:multiLevelType w:val="hybridMultilevel"/>
    <w:lvl w:ilvl="0">
      <w:lvlJc w:val="left"/>
      <w:lvlText w:val="---"/>
      <w:numFmt w:val="bullet"/>
      <w:start w:val="1"/>
    </w:lvl>
  </w:abstractNum>
  <w:abstractNum w:abstractNumId="49">
    <w:nsid w:val="27179C0B"/>
    <w:multiLevelType w:val="hybridMultilevel"/>
    <w:lvl w:ilvl="0">
      <w:lvlJc w:val="left"/>
      <w:lvlText w:val="-"/>
      <w:numFmt w:val="bullet"/>
      <w:start w:val="1"/>
    </w:lvl>
  </w:abstractNum>
  <w:abstractNum w:abstractNumId="50">
    <w:nsid w:val="5E636063"/>
    <w:multiLevelType w:val="hybridMultilevel"/>
    <w:lvl w:ilvl="0">
      <w:lvlJc w:val="left"/>
      <w:lvlText w:val="$"/>
      <w:numFmt w:val="bullet"/>
      <w:start w:val="1"/>
    </w:lvl>
  </w:abstractNum>
  <w:abstractNum w:abstractNumId="51">
    <w:nsid w:val="215641AF"/>
    <w:multiLevelType w:val="hybridMultilevel"/>
    <w:lvl w:ilvl="0">
      <w:lvlJc w:val="left"/>
      <w:lvlText w:val="(%1)"/>
      <w:numFmt w:val="lowerLetter"/>
      <w:start w:val="1"/>
    </w:lvl>
    <w:lvl w:ilvl="1">
      <w:lvlJc w:val="left"/>
      <w:lvlText w:val="(%2)"/>
      <w:numFmt w:val="lowerLetter"/>
      <w:start w:val="7"/>
    </w:lvl>
  </w:abstractNum>
  <w:abstractNum w:abstractNumId="52">
    <w:nsid w:val="53280662"/>
    <w:multiLevelType w:val="hybridMultilevel"/>
    <w:lvl w:ilvl="0">
      <w:lvlJc w:val="left"/>
      <w:lvlText w:val="(%1)"/>
      <w:numFmt w:val="lowerLetter"/>
      <w:start w:val="12"/>
    </w:lvl>
  </w:abstractNum>
  <w:abstractNum w:abstractNumId="53">
    <w:nsid w:val="46B24DBC"/>
    <w:multiLevelType w:val="hybridMultilevel"/>
    <w:lvl w:ilvl="0">
      <w:lvlJc w:val="left"/>
      <w:lvlText w:val="(%1)"/>
      <w:numFmt w:val="lowerLetter"/>
      <w:start w:val="13"/>
    </w:lvl>
  </w:abstractNum>
  <w:abstractNum w:abstractNumId="54">
    <w:nsid w:val="75B52783"/>
    <w:multiLevelType w:val="hybridMultilevel"/>
    <w:lvl w:ilvl="0">
      <w:lvlJc w:val="left"/>
      <w:lvlText w:val="----"/>
      <w:numFmt w:val="bullet"/>
      <w:start w:val="1"/>
    </w:lvl>
  </w:abstractNum>
  <w:abstractNum w:abstractNumId="55">
    <w:nsid w:val="57CE66B4"/>
    <w:multiLevelType w:val="hybridMultilevel"/>
    <w:lvl w:ilvl="0">
      <w:lvlJc w:val="left"/>
      <w:lvlText w:val="$"/>
      <w:numFmt w:val="bullet"/>
      <w:start w:val="1"/>
    </w:lvl>
  </w:abstractNum>
  <w:abstractNum w:abstractNumId="56">
    <w:nsid w:val="67A70B69"/>
    <w:multiLevelType w:val="hybridMultilevel"/>
    <w:lvl w:ilvl="0">
      <w:lvlJc w:val="left"/>
      <w:lvlText w:val="$"/>
      <w:numFmt w:val="bullet"/>
      <w:start w:val="1"/>
    </w:lvl>
  </w:abstractNum>
  <w:abstractNum w:abstractNumId="57">
    <w:nsid w:val="5953172F"/>
    <w:multiLevelType w:val="hybridMultilevel"/>
    <w:lvl w:ilvl="0">
      <w:lvlJc w:val="left"/>
      <w:lvlText w:val="-"/>
      <w:numFmt w:val="bullet"/>
      <w:start w:val="1"/>
    </w:lvl>
    <w:lvl w:ilvl="1">
      <w:lvlJc w:val="left"/>
      <w:lvlText w:val="-----"/>
      <w:numFmt w:val="bullet"/>
      <w:start w:val="1"/>
    </w:lvl>
  </w:abstractNum>
  <w:abstractNum w:abstractNumId="58">
    <w:nsid w:val="27EDFE3A"/>
    <w:multiLevelType w:val="hybridMultilevel"/>
    <w:lvl w:ilvl="0">
      <w:lvlJc w:val="left"/>
      <w:lvlText w:val="$"/>
      <w:numFmt w:val="bullet"/>
      <w:start w:val="1"/>
    </w:lvl>
  </w:abstractNum>
  <w:abstractNum w:abstractNumId="59">
    <w:nsid w:val="52AC7DFF"/>
    <w:multiLevelType w:val="hybridMultilevel"/>
    <w:lvl w:ilvl="0">
      <w:lvlJc w:val="left"/>
      <w:lvlText w:val="(%1)"/>
      <w:numFmt w:val="decimal"/>
      <w:start w:val="1"/>
    </w:lvl>
  </w:abstractNum>
  <w:abstractNum w:abstractNumId="60">
    <w:nsid w:val="C4C3AF"/>
    <w:multiLevelType w:val="hybridMultilevel"/>
    <w:lvl w:ilvl="0">
      <w:lvlJc w:val="left"/>
      <w:lvlText w:val="$"/>
      <w:numFmt w:val="bullet"/>
      <w:start w:val="1"/>
    </w:lvl>
  </w:abstractNum>
  <w:abstractNum w:abstractNumId="61">
    <w:nsid w:val="44380727"/>
    <w:multiLevelType w:val="hybridMultilevel"/>
    <w:lvl w:ilvl="0">
      <w:lvlJc w:val="left"/>
      <w:lvlText w:val="$"/>
      <w:numFmt w:val="bullet"/>
      <w:start w:val="1"/>
    </w:lvl>
  </w:abstractNum>
  <w:abstractNum w:abstractNumId="62">
    <w:nsid w:val="6C053B16"/>
    <w:multiLevelType w:val="hybridMultilevel"/>
    <w:lvl w:ilvl="0">
      <w:lvlJc w:val="left"/>
      <w:lvlText w:val="$"/>
      <w:numFmt w:val="bullet"/>
      <w:start w:val="1"/>
    </w:lvl>
  </w:abstractNum>
  <w:abstractNum w:abstractNumId="63">
    <w:nsid w:val="4F294393"/>
    <w:multiLevelType w:val="hybridMultilevel"/>
    <w:lvl w:ilvl="0">
      <w:lvlJc w:val="left"/>
      <w:lvlText w:val="$"/>
      <w:numFmt w:val="bullet"/>
      <w:start w:val="1"/>
    </w:lvl>
  </w:abstractNum>
  <w:abstractNum w:abstractNumId="64">
    <w:nsid w:val="5243BFAC"/>
    <w:multiLevelType w:val="hybridMultilevel"/>
    <w:lvl w:ilvl="0">
      <w:lvlJc w:val="left"/>
      <w:lvlText w:val="(%1)"/>
      <w:numFmt w:val="decimal"/>
      <w:start w:val="1"/>
    </w:lvl>
  </w:abstractNum>
  <w:abstractNum w:abstractNumId="65">
    <w:nsid w:val="425EB207"/>
    <w:multiLevelType w:val="hybridMultilevel"/>
    <w:lvl w:ilvl="0">
      <w:lvlJc w:val="left"/>
      <w:lvlText w:val="(%1)"/>
      <w:numFmt w:val="decimal"/>
      <w:start w:val="3"/>
    </w:lvl>
  </w:abstractNum>
  <w:abstractNum w:abstractNumId="66">
    <w:nsid w:val="334A6F1F"/>
    <w:multiLevelType w:val="hybridMultilevel"/>
    <w:lvl w:ilvl="0">
      <w:lvlJc w:val="left"/>
      <w:lvlText w:val="(%1)"/>
      <w:numFmt w:val="decimal"/>
      <w:start w:val="4"/>
    </w:lvl>
  </w:abstractNum>
  <w:abstractNum w:abstractNumId="67">
    <w:nsid w:val="2E5B12B8"/>
    <w:multiLevelType w:val="hybridMultilevel"/>
    <w:lvl w:ilvl="0">
      <w:lvlJc w:val="left"/>
      <w:lvlText w:val="(%1)"/>
      <w:numFmt w:val="lowerLetter"/>
      <w:start w:val="3"/>
    </w:lvl>
  </w:abstractNum>
  <w:abstractNum w:abstractNumId="68">
    <w:nsid w:val="5C03D76D"/>
    <w:multiLevelType w:val="hybridMultilevel"/>
    <w:lvl w:ilvl="0">
      <w:lvlJc w:val="left"/>
      <w:lvlText w:val="(%1)"/>
      <w:numFmt w:val="lowerLetter"/>
      <w:start w:val="1"/>
    </w:lvl>
  </w:abstractNum>
  <w:abstractNum w:abstractNumId="69">
    <w:nsid w:val="66A48D11"/>
    <w:multiLevelType w:val="hybridMultilevel"/>
    <w:lvl w:ilvl="0">
      <w:lvlJc w:val="left"/>
      <w:lvlText w:val="(%1)"/>
      <w:numFmt w:val="lowerLetter"/>
      <w:start w:val="11"/>
    </w:lvl>
  </w:abstractNum>
  <w:abstractNum w:abstractNumId="70">
    <w:nsid w:val="56C28E34"/>
    <w:multiLevelType w:val="hybridMultilevel"/>
    <w:lvl w:ilvl="0">
      <w:lvlJc w:val="left"/>
      <w:lvlText w:val="-"/>
      <w:numFmt w:val="bullet"/>
      <w:start w:val="1"/>
    </w:lvl>
  </w:abstractNum>
  <w:abstractNum w:abstractNumId="71">
    <w:nsid w:val="13916F2D"/>
    <w:multiLevelType w:val="hybridMultilevel"/>
    <w:lvl w:ilvl="0">
      <w:lvlJc w:val="left"/>
      <w:lvlText w:val="-"/>
      <w:numFmt w:val="bullet"/>
      <w:start w:val="1"/>
    </w:lvl>
  </w:abstractNum>
  <w:abstractNum w:abstractNumId="72">
    <w:nsid w:val="435D38D"/>
    <w:multiLevelType w:val="hybridMultilevel"/>
    <w:lvl w:ilvl="0">
      <w:lvlJc w:val="left"/>
      <w:lvlText w:val="-"/>
      <w:numFmt w:val="bullet"/>
      <w:start w:val="1"/>
    </w:lvl>
  </w:abstractNum>
  <w:abstractNum w:abstractNumId="73">
    <w:nsid w:val="822C0EF"/>
    <w:multiLevelType w:val="hybridMultilevel"/>
    <w:lvl w:ilvl="0">
      <w:lvlJc w:val="left"/>
      <w:lvlText w:val="-"/>
      <w:numFmt w:val="bullet"/>
      <w:start w:val="1"/>
    </w:lvl>
  </w:abstractNum>
  <w:abstractNum w:abstractNumId="74">
    <w:nsid w:val="57C5BB4F"/>
    <w:multiLevelType w:val="hybridMultilevel"/>
    <w:lvl w:ilvl="0">
      <w:lvlJc w:val="left"/>
      <w:lvlText w:val="-"/>
      <w:numFmt w:val="bullet"/>
      <w:start w:val="1"/>
    </w:lvl>
  </w:abstractNum>
  <w:abstractNum w:abstractNumId="75">
    <w:nsid w:val="1803D089"/>
    <w:multiLevelType w:val="hybridMultilevel"/>
    <w:lvl w:ilvl="0">
      <w:lvlJc w:val="left"/>
      <w:lvlText w:val="-"/>
      <w:numFmt w:val="bullet"/>
      <w:start w:val="1"/>
    </w:lvl>
  </w:abstractNum>
  <w:abstractNum w:abstractNumId="76">
    <w:nsid w:val="4F3A06D4"/>
    <w:multiLevelType w:val="hybridMultilevel"/>
    <w:lvl w:ilvl="0">
      <w:lvlJc w:val="left"/>
      <w:lvlText w:val="-"/>
      <w:numFmt w:val="bullet"/>
      <w:start w:val="1"/>
    </w:lvl>
  </w:abstractNum>
  <w:abstractNum w:abstractNumId="77">
    <w:nsid w:val="59A377B6"/>
    <w:multiLevelType w:val="hybridMultilevel"/>
    <w:lvl w:ilvl="0">
      <w:lvlJc w:val="left"/>
      <w:lvlText w:val="-"/>
      <w:numFmt w:val="bullet"/>
      <w:start w:val="1"/>
    </w:lvl>
  </w:abstractNum>
  <w:abstractNum w:abstractNumId="78">
    <w:nsid w:val="48AEB063"/>
    <w:multiLevelType w:val="hybridMultilevel"/>
    <w:lvl w:ilvl="0">
      <w:lvlJc w:val="left"/>
      <w:lvlText w:val="-"/>
      <w:numFmt w:val="bullet"/>
      <w:start w:val="1"/>
    </w:lvl>
  </w:abstractNum>
  <w:abstractNum w:abstractNumId="79">
    <w:nsid w:val="24E135"/>
    <w:multiLevelType w:val="hybridMultilevel"/>
    <w:lvl w:ilvl="0">
      <w:lvlJc w:val="left"/>
      <w:lvlText w:val="-"/>
      <w:numFmt w:val="bullet"/>
      <w:start w:val="1"/>
    </w:lvl>
  </w:abstractNum>
  <w:abstractNum w:abstractNumId="80">
    <w:nsid w:val="BB13C1"/>
    <w:multiLevelType w:val="hybridMultilevel"/>
    <w:lvl w:ilvl="0">
      <w:lvlJc w:val="left"/>
      <w:lvlText w:val="-"/>
      <w:numFmt w:val="bullet"/>
      <w:start w:val="1"/>
    </w:lvl>
  </w:abstractNum>
  <w:abstractNum w:abstractNumId="81">
    <w:nsid w:val="271210C7"/>
    <w:multiLevelType w:val="hybridMultilevel"/>
    <w:lvl w:ilvl="0">
      <w:lvlJc w:val="left"/>
      <w:lvlText w:val="-"/>
      <w:numFmt w:val="bullet"/>
      <w:start w:val="1"/>
    </w:lvl>
  </w:abstractNum>
  <w:abstractNum w:abstractNumId="82">
    <w:nsid w:val="217B22E4"/>
    <w:multiLevelType w:val="hybridMultilevel"/>
    <w:lvl w:ilvl="0">
      <w:lvlJc w:val="left"/>
      <w:lvlText w:val="N"/>
      <w:numFmt w:val="bullet"/>
      <w:start w:val="1"/>
    </w:lvl>
  </w:abstractNum>
  <w:abstractNum w:abstractNumId="83">
    <w:nsid w:val="53E31A24"/>
    <w:multiLevelType w:val="hybridMultilevel"/>
    <w:lvl w:ilvl="0">
      <w:lvlJc w:val="left"/>
      <w:lvlText w:val="N"/>
      <w:numFmt w:val="bullet"/>
      <w:start w:val="1"/>
    </w:lvl>
  </w:abstractNum>
  <w:abstractNum w:abstractNumId="84">
    <w:nsid w:val="6DC45E83"/>
    <w:multiLevelType w:val="hybridMultilevel"/>
    <w:lvl w:ilvl="0">
      <w:lvlJc w:val="left"/>
      <w:lvlText w:val="---"/>
      <w:numFmt w:val="bullet"/>
      <w:start w:val="1"/>
    </w:lvl>
  </w:abstractNum>
  <w:abstractNum w:abstractNumId="85">
    <w:nsid w:val="17304A67"/>
    <w:multiLevelType w:val="hybridMultilevel"/>
    <w:lvl w:ilvl="0">
      <w:lvlJc w:val="left"/>
      <w:lvlText w:val="---"/>
      <w:numFmt w:val="bullet"/>
      <w:start w:val="1"/>
    </w:lvl>
    <w:lvl w:ilvl="1">
      <w:lvlJc w:val="left"/>
      <w:lvlText w:val="---"/>
      <w:numFmt w:val="bullet"/>
      <w:start w:val="1"/>
    </w:lvl>
  </w:abstractNum>
  <w:abstractNum w:abstractNumId="86">
    <w:nsid w:val="2BB180D8"/>
    <w:multiLevelType w:val="hybridMultilevel"/>
    <w:lvl w:ilvl="0">
      <w:lvlJc w:val="left"/>
      <w:lvlText w:val="-"/>
      <w:numFmt w:val="bullet"/>
      <w:start w:val="1"/>
    </w:lvl>
  </w:abstractNum>
  <w:abstractNum w:abstractNumId="87">
    <w:nsid w:val="556B69ED"/>
    <w:multiLevelType w:val="hybridMultilevel"/>
    <w:lvl w:ilvl="0">
      <w:lvlJc w:val="left"/>
      <w:lvlText w:val="-"/>
      <w:numFmt w:val="bullet"/>
      <w:start w:val="1"/>
    </w:lvl>
  </w:abstractNum>
  <w:abstractNum w:abstractNumId="88">
    <w:nsid w:val="70836196"/>
    <w:multiLevelType w:val="hybridMultilevel"/>
    <w:lvl w:ilvl="0">
      <w:lvlJc w:val="left"/>
      <w:lvlText w:val="-"/>
      <w:numFmt w:val="bullet"/>
      <w:start w:val="1"/>
    </w:lvl>
  </w:abstractNum>
  <w:abstractNum w:abstractNumId="89">
    <w:nsid w:val="539F7F12"/>
    <w:multiLevelType w:val="hybridMultilevel"/>
    <w:lvl w:ilvl="0">
      <w:lvlJc w:val="left"/>
      <w:lvlText w:val="(%1)"/>
      <w:numFmt w:val="decimal"/>
      <w:start w:val="1"/>
    </w:lvl>
  </w:abstractNum>
  <w:abstractNum w:abstractNumId="90">
    <w:nsid w:val="2817E7EC"/>
    <w:multiLevelType w:val="hybridMultilevel"/>
    <w:lvl w:ilvl="0">
      <w:lvlJc w:val="left"/>
      <w:lvlText w:val="(%1)"/>
      <w:numFmt w:val="decimal"/>
      <w:start w:val="1"/>
    </w:lvl>
  </w:abstractNum>
  <w:abstractNum w:abstractNumId="91">
    <w:nsid w:val="71482545"/>
    <w:multiLevelType w:val="hybridMultilevel"/>
    <w:lvl w:ilvl="0">
      <w:lvlJc w:val="left"/>
      <w:lvlText w:val="(%1)"/>
      <w:numFmt w:val="decimal"/>
      <w:start w:val="1"/>
    </w:lvl>
  </w:abstractNum>
  <w:abstractNum w:abstractNumId="92">
    <w:nsid w:val="17D78639"/>
    <w:multiLevelType w:val="hybridMultilevel"/>
    <w:lvl w:ilvl="0">
      <w:lvlJc w:val="left"/>
      <w:lvlText w:val="-"/>
      <w:numFmt w:val="bullet"/>
      <w:start w:val="1"/>
    </w:lvl>
  </w:abstractNum>
  <w:abstractNum w:abstractNumId="93">
    <w:nsid w:val="141D2302"/>
    <w:multiLevelType w:val="hybridMultilevel"/>
    <w:lvl w:ilvl="0">
      <w:lvlJc w:val="left"/>
      <w:lvlText w:val="(%1)"/>
      <w:numFmt w:val="decimal"/>
      <w:start w:val="3"/>
    </w:lvl>
  </w:abstractNum>
  <w:abstractNum w:abstractNumId="94">
    <w:nsid w:val="407168D8"/>
    <w:multiLevelType w:val="hybridMultilevel"/>
    <w:lvl w:ilvl="0">
      <w:lvlJc w:val="left"/>
      <w:lvlText w:val="-"/>
      <w:numFmt w:val="bullet"/>
      <w:start w:val="1"/>
    </w:lvl>
  </w:abstractNum>
  <w:abstractNum w:abstractNumId="95">
    <w:nsid w:val="6A1B45E5"/>
    <w:multiLevelType w:val="hybridMultilevel"/>
    <w:lvl w:ilvl="0">
      <w:lvlJc w:val="left"/>
      <w:lvlText w:val="-"/>
      <w:numFmt w:val="bullet"/>
      <w:start w:val="1"/>
    </w:lvl>
  </w:abstractNum>
  <w:abstractNum w:abstractNumId="96">
    <w:nsid w:val="567BD50A"/>
    <w:multiLevelType w:val="hybridMultilevel"/>
    <w:lvl w:ilvl="0">
      <w:lvlJc w:val="left"/>
      <w:lvlText w:val="-"/>
      <w:numFmt w:val="bullet"/>
      <w:start w:val="1"/>
    </w:lvl>
  </w:abstractNum>
  <w:abstractNum w:abstractNumId="97">
    <w:nsid w:val="73BBD7F8"/>
    <w:multiLevelType w:val="hybridMultilevel"/>
    <w:lvl w:ilvl="0">
      <w:lvlJc w:val="left"/>
      <w:lvlText w:val="-"/>
      <w:numFmt w:val="bullet"/>
      <w:start w:val="1"/>
    </w:lvl>
  </w:abstractNum>
  <w:abstractNum w:abstractNumId="98">
    <w:nsid w:val="1876589D"/>
    <w:multiLevelType w:val="hybridMultilevel"/>
    <w:lvl w:ilvl="0">
      <w:lvlJc w:val="left"/>
      <w:lvlText w:val="-"/>
      <w:numFmt w:val="bullet"/>
      <w:start w:val="1"/>
    </w:lvl>
  </w:abstractNum>
  <w:abstractNum w:abstractNumId="99">
    <w:nsid w:val="327FAC77"/>
    <w:multiLevelType w:val="hybridMultilevel"/>
    <w:lvl w:ilvl="0">
      <w:lvlJc w:val="left"/>
      <w:lvlText w:val="-"/>
      <w:numFmt w:val="bullet"/>
      <w:start w:val="1"/>
    </w:lvl>
  </w:abstractNum>
  <w:abstractNum w:abstractNumId="100">
    <w:nsid w:val="5A606509"/>
    <w:multiLevelType w:val="hybridMultilevel"/>
    <w:lvl w:ilvl="0">
      <w:lvlJc w:val="left"/>
      <w:lvlText w:val="(%1)"/>
      <w:numFmt w:val="decimal"/>
      <w:start w:val="2"/>
    </w:lvl>
  </w:abstractNum>
  <w:abstractNum w:abstractNumId="101">
    <w:nsid w:val="6F38E6D1"/>
    <w:multiLevelType w:val="hybridMultilevel"/>
    <w:lvl w:ilvl="0">
      <w:lvlJc w:val="left"/>
      <w:lvlText w:val="-"/>
      <w:numFmt w:val="bullet"/>
      <w:start w:val="1"/>
    </w:lvl>
  </w:abstractNum>
  <w:abstractNum w:abstractNumId="102">
    <w:nsid w:val="46111BA5"/>
    <w:multiLevelType w:val="hybridMultilevel"/>
    <w:lvl w:ilvl="0">
      <w:lvlJc w:val="left"/>
      <w:lvlText w:val="-"/>
      <w:numFmt w:val="bullet"/>
      <w:start w:val="1"/>
    </w:lvl>
  </w:abstractNum>
  <w:abstractNum w:abstractNumId="103">
    <w:nsid w:val="5E963896"/>
    <w:multiLevelType w:val="hybridMultilevel"/>
    <w:lvl w:ilvl="0">
      <w:lvlJc w:val="left"/>
      <w:lvlText w:val="-"/>
      <w:numFmt w:val="bullet"/>
      <w:start w:val="1"/>
    </w:lvl>
  </w:abstractNum>
  <w:abstractNum w:abstractNumId="104">
    <w:nsid w:val="775BA7C1"/>
    <w:multiLevelType w:val="hybridMultilevel"/>
    <w:lvl w:ilvl="0">
      <w:lvlJc w:val="left"/>
      <w:lvlText w:val="-"/>
      <w:numFmt w:val="bullet"/>
      <w:start w:val="1"/>
    </w:lvl>
  </w:abstractNum>
  <w:abstractNum w:abstractNumId="105">
    <w:nsid w:val="1DD6D6F4"/>
    <w:multiLevelType w:val="hybridMultilevel"/>
    <w:lvl w:ilvl="0">
      <w:lvlJc w:val="left"/>
      <w:lvlText w:val="-"/>
      <w:numFmt w:val="bullet"/>
      <w:start w:val="1"/>
    </w:lvl>
  </w:abstractNum>
  <w:abstractNum w:abstractNumId="106">
    <w:nsid w:val="769A091F"/>
    <w:multiLevelType w:val="hybridMultilevel"/>
    <w:lvl w:ilvl="0">
      <w:lvlJc w:val="left"/>
      <w:lvlText w:val="-"/>
      <w:numFmt w:val="bullet"/>
      <w:start w:val="1"/>
    </w:lvl>
  </w:abstractNum>
  <w:abstractNum w:abstractNumId="107">
    <w:nsid w:val="4695AE95"/>
    <w:multiLevelType w:val="hybridMultilevel"/>
    <w:lvl w:ilvl="0">
      <w:lvlJc w:val="left"/>
      <w:lvlText w:val="-"/>
      <w:numFmt w:val="bullet"/>
      <w:start w:val="1"/>
    </w:lvl>
  </w:abstractNum>
  <w:abstractNum w:abstractNumId="108">
    <w:nsid w:val="777A4EAA"/>
    <w:multiLevelType w:val="hybridMultilevel"/>
    <w:lvl w:ilvl="0">
      <w:lvlJc w:val="left"/>
      <w:lvlText w:val="-"/>
      <w:numFmt w:val="bullet"/>
      <w:start w:val="1"/>
    </w:lvl>
  </w:abstractNum>
  <w:abstractNum w:abstractNumId="109">
    <w:nsid w:val="3F48B982"/>
    <w:multiLevelType w:val="hybridMultilevel"/>
    <w:lvl w:ilvl="0">
      <w:lvlJc w:val="left"/>
      <w:lvlText w:val="-"/>
      <w:numFmt w:val="bullet"/>
      <w:start w:val="1"/>
    </w:lvl>
  </w:abstractNum>
  <w:abstractNum w:abstractNumId="110">
    <w:nsid w:val="46BA8FCA"/>
    <w:multiLevelType w:val="hybridMultilevel"/>
    <w:lvl w:ilvl="0">
      <w:lvlJc w:val="left"/>
      <w:lvlText w:val="%1."/>
      <w:numFmt w:val="decimal"/>
      <w:start w:val="1"/>
    </w:lvl>
  </w:abstractNum>
  <w:abstractNum w:abstractNumId="111">
    <w:nsid w:val="7835626C"/>
    <w:multiLevelType w:val="hybridMultilevel"/>
    <w:lvl w:ilvl="0">
      <w:lvlJc w:val="left"/>
      <w:lvlText w:val="%1"/>
      <w:numFmt w:val="decimal"/>
      <w:start w:val="1"/>
    </w:lvl>
    <w:lvl w:ilvl="1">
      <w:lvlJc w:val="left"/>
      <w:lvlText w:val="(%2)"/>
      <w:numFmt w:val="lowerLetter"/>
      <w:start w:val="1"/>
    </w:lvl>
  </w:abstractNum>
  <w:abstractNum w:abstractNumId="112">
    <w:nsid w:val="665ACA49"/>
    <w:multiLevelType w:val="hybridMultilevel"/>
    <w:lvl w:ilvl="0">
      <w:lvlJc w:val="left"/>
      <w:lvlText w:val="%1."/>
      <w:numFmt w:val="decimal"/>
      <w:start w:val="2"/>
    </w:lvl>
    <w:lvl w:ilvl="1">
      <w:lvlJc w:val="left"/>
      <w:lvlText w:val="%2"/>
      <w:numFmt w:val="lowerLetter"/>
      <w:start w:val="1"/>
    </w:lvl>
  </w:abstractNum>
  <w:abstractNum w:abstractNumId="113">
    <w:nsid w:val="6835B2AE"/>
    <w:multiLevelType w:val="hybridMultilevel"/>
    <w:lvl w:ilvl="0">
      <w:lvlJc w:val="left"/>
      <w:lvlText w:val="(%1)"/>
      <w:numFmt w:val="lowerLetter"/>
      <w:start w:val="2"/>
    </w:lvl>
  </w:abstractNum>
  <w:abstractNum w:abstractNumId="114">
    <w:nsid w:val="4C187C90"/>
    <w:multiLevelType w:val="hybridMultilevel"/>
    <w:lvl w:ilvl="0">
      <w:lvlJc w:val="left"/>
      <w:lvlText w:val="(%1)"/>
      <w:numFmt w:val="decimal"/>
      <w:start w:val="1"/>
    </w:lvl>
  </w:abstractNum>
  <w:abstractNum w:abstractNumId="115">
    <w:nsid w:val="541F28CD"/>
    <w:multiLevelType w:val="hybridMultilevel"/>
    <w:lvl w:ilvl="0">
      <w:lvlJc w:val="left"/>
      <w:lvlText w:val="(%1)"/>
      <w:numFmt w:val="decimal"/>
      <w:start w:val="2"/>
    </w:lvl>
  </w:abstractNum>
  <w:abstractNum w:abstractNumId="116">
    <w:nsid w:val="7F65FD16"/>
    <w:multiLevelType w:val="hybridMultilevel"/>
    <w:lvl w:ilvl="0">
      <w:lvlJc w:val="left"/>
      <w:lvlText w:val="-"/>
      <w:numFmt w:val="bullet"/>
      <w:start w:val="1"/>
    </w:lvl>
  </w:abstractNum>
  <w:abstractNum w:abstractNumId="117">
    <w:nsid w:val="77C9FD68"/>
    <w:multiLevelType w:val="hybridMultilevel"/>
    <w:lvl w:ilvl="0">
      <w:lvlJc w:val="left"/>
      <w:lvlText w:val="-"/>
      <w:numFmt w:val="bullet"/>
      <w:start w:val="1"/>
    </w:lvl>
  </w:abstractNum>
  <w:abstractNum w:abstractNumId="118">
    <w:nsid w:val="298A92BA"/>
    <w:multiLevelType w:val="hybridMultilevel"/>
    <w:lvl w:ilvl="0">
      <w:lvlJc w:val="left"/>
      <w:lvlText w:val="-"/>
      <w:numFmt w:val="bullet"/>
      <w:start w:val="1"/>
    </w:lvl>
  </w:abstractNum>
  <w:abstractNum w:abstractNumId="119">
    <w:nsid w:val="6FE95EAC"/>
    <w:multiLevelType w:val="hybridMultilevel"/>
    <w:lvl w:ilvl="0">
      <w:lvlJc w:val="left"/>
      <w:lvlText w:val="-"/>
      <w:numFmt w:val="bullet"/>
      <w:start w:val="1"/>
    </w:lvl>
  </w:abstractNum>
  <w:abstractNum w:abstractNumId="120">
    <w:nsid w:val="4B697C7A"/>
    <w:multiLevelType w:val="hybridMultilevel"/>
    <w:lvl w:ilvl="0">
      <w:lvlJc w:val="left"/>
      <w:lvlText w:val="-"/>
      <w:numFmt w:val="bullet"/>
      <w:start w:val="1"/>
    </w:lvl>
  </w:abstractNum>
  <w:abstractNum w:abstractNumId="121">
    <w:nsid w:val="51A27AA6"/>
    <w:multiLevelType w:val="hybridMultilevel"/>
    <w:lvl w:ilvl="0">
      <w:lvlJc w:val="left"/>
      <w:lvlText w:val="-"/>
      <w:numFmt w:val="bullet"/>
      <w:start w:val="1"/>
    </w:lvl>
  </w:abstractNum>
  <w:abstractNum w:abstractNumId="122">
    <w:nsid w:val="613183F2"/>
    <w:multiLevelType w:val="hybridMultilevel"/>
    <w:lvl w:ilvl="0">
      <w:lvlJc w:val="left"/>
      <w:lvlText w:val="-"/>
      <w:numFmt w:val="bullet"/>
      <w:start w:val="1"/>
    </w:lvl>
  </w:abstractNum>
  <w:abstractNum w:abstractNumId="123">
    <w:nsid w:val="634102B4"/>
    <w:multiLevelType w:val="hybridMultilevel"/>
    <w:lvl w:ilvl="0">
      <w:lvlJc w:val="left"/>
      <w:lvlText w:val="(%1)"/>
      <w:numFmt w:val="lowerLetter"/>
      <w:start w:val="2"/>
    </w:lvl>
  </w:abstractNum>
  <w:abstractNum w:abstractNumId="124">
    <w:nsid w:val="65BF9DA8"/>
    <w:multiLevelType w:val="hybridMultilevel"/>
    <w:lvl w:ilvl="0">
      <w:lvlJc w:val="left"/>
      <w:lvlText w:val="-"/>
      <w:numFmt w:val="bullet"/>
      <w:start w:val="1"/>
    </w:lvl>
  </w:abstractNum>
  <w:abstractNum w:abstractNumId="125">
    <w:nsid w:val="21A2ECCA"/>
    <w:multiLevelType w:val="hybridMultilevel"/>
    <w:lvl w:ilvl="0">
      <w:lvlJc w:val="left"/>
      <w:lvlText w:val="-"/>
      <w:numFmt w:val="bullet"/>
      <w:start w:val="1"/>
    </w:lvl>
  </w:abstractNum>
  <w:abstractNum w:abstractNumId="126">
    <w:nsid w:val="4D5C4899"/>
    <w:multiLevelType w:val="hybridMultilevel"/>
    <w:lvl w:ilvl="0">
      <w:lvlJc w:val="left"/>
      <w:lvlText w:val="-"/>
      <w:numFmt w:val="bullet"/>
      <w:start w:val="1"/>
    </w:lvl>
  </w:abstractNum>
  <w:abstractNum w:abstractNumId="127">
    <w:nsid w:val="3C3B72B2"/>
    <w:multiLevelType w:val="hybridMultilevel"/>
    <w:lvl w:ilvl="0">
      <w:lvlJc w:val="left"/>
      <w:lvlText w:val="-"/>
      <w:numFmt w:val="bullet"/>
      <w:start w:val="1"/>
    </w:lvl>
  </w:abstractNum>
  <w:abstractNum w:abstractNumId="128">
    <w:nsid w:val="155EC4C2"/>
    <w:multiLevelType w:val="hybridMultilevel"/>
    <w:lvl w:ilvl="0">
      <w:lvlJc w:val="left"/>
      <w:lvlText w:val="-"/>
      <w:numFmt w:val="bullet"/>
      <w:start w:val="1"/>
    </w:lvl>
  </w:abstractNum>
  <w:abstractNum w:abstractNumId="129">
    <w:nsid w:val="65D2A137"/>
    <w:multiLevelType w:val="hybridMultilevel"/>
    <w:lvl w:ilvl="0">
      <w:lvlJc w:val="left"/>
      <w:lvlText w:val="-"/>
      <w:numFmt w:val="bullet"/>
      <w:start w:val="1"/>
    </w:lvl>
  </w:abstractNum>
  <w:abstractNum w:abstractNumId="130">
    <w:nsid w:val="6EBB1F2A"/>
    <w:multiLevelType w:val="hybridMultilevel"/>
    <w:lvl w:ilvl="0">
      <w:lvlJc w:val="left"/>
      <w:lvlText w:val="-"/>
      <w:numFmt w:val="bullet"/>
      <w:start w:val="1"/>
    </w:lvl>
  </w:abstractNum>
  <w:abstractNum w:abstractNumId="131">
    <w:nsid w:val="6FBF29CB"/>
    <w:multiLevelType w:val="hybridMultilevel"/>
    <w:lvl w:ilvl="0">
      <w:lvlJc w:val="left"/>
      <w:lvlText w:val="-"/>
      <w:numFmt w:val="bullet"/>
      <w:start w:val="1"/>
    </w:lvl>
  </w:abstractNum>
  <w:abstractNum w:abstractNumId="132">
    <w:nsid w:val="550B8808"/>
    <w:multiLevelType w:val="hybridMultilevel"/>
    <w:lvl w:ilvl="0">
      <w:lvlJc w:val="left"/>
      <w:lvlText w:val="-"/>
      <w:numFmt w:val="bullet"/>
      <w:start w:val="1"/>
    </w:lvl>
  </w:abstractNum>
  <w:abstractNum w:abstractNumId="133">
    <w:nsid w:val="34CC3ACF"/>
    <w:multiLevelType w:val="hybridMultilevel"/>
    <w:lvl w:ilvl="0">
      <w:lvlJc w:val="left"/>
      <w:lvlText w:val="-"/>
      <w:numFmt w:val="bullet"/>
      <w:start w:val="1"/>
    </w:lvl>
  </w:abstractNum>
  <w:abstractNum w:abstractNumId="134">
    <w:nsid w:val="4E556261"/>
    <w:multiLevelType w:val="hybridMultilevel"/>
    <w:lvl w:ilvl="0">
      <w:lvlJc w:val="left"/>
      <w:lvlText w:val="-"/>
      <w:numFmt w:val="bullet"/>
      <w:start w:val="1"/>
    </w:lvl>
  </w:abstractNum>
  <w:abstractNum w:abstractNumId="135">
    <w:nsid w:val="4C672FC9"/>
    <w:multiLevelType w:val="hybridMultilevel"/>
    <w:lvl w:ilvl="0">
      <w:lvlJc w:val="left"/>
      <w:lvlText w:val="(%1)"/>
      <w:numFmt w:val="decimal"/>
      <w:start w:val="1"/>
    </w:lvl>
  </w:abstractNum>
  <w:abstractNum w:abstractNumId="136">
    <w:nsid w:val="52A311C3"/>
    <w:multiLevelType w:val="hybridMultilevel"/>
    <w:lvl w:ilvl="0">
      <w:lvlJc w:val="left"/>
      <w:lvlText w:val="-"/>
      <w:numFmt w:val="bullet"/>
      <w:start w:val="1"/>
    </w:lvl>
  </w:abstractNum>
  <w:abstractNum w:abstractNumId="137">
    <w:nsid w:val="44EF6B80"/>
    <w:multiLevelType w:val="hybridMultilevel"/>
    <w:lvl w:ilvl="0">
      <w:lvlJc w:val="left"/>
      <w:lvlText w:val="-"/>
      <w:numFmt w:val="bullet"/>
      <w:start w:val="1"/>
    </w:lvl>
  </w:abstractNum>
  <w:abstractNum w:abstractNumId="138">
    <w:nsid w:val="12FCDE5E"/>
    <w:multiLevelType w:val="hybridMultilevel"/>
    <w:lvl w:ilvl="0">
      <w:lvlJc w:val="left"/>
      <w:lvlText w:val="-"/>
      <w:numFmt w:val="bullet"/>
      <w:start w:val="1"/>
    </w:lvl>
  </w:abstractNum>
  <w:abstractNum w:abstractNumId="139">
    <w:nsid w:val="4A1D606E"/>
    <w:multiLevelType w:val="hybridMultilevel"/>
    <w:lvl w:ilvl="0">
      <w:lvlJc w:val="left"/>
      <w:lvlText w:val="(%1)"/>
      <w:numFmt w:val="decimal"/>
      <w:start w:val="5"/>
    </w:lvl>
  </w:abstractNum>
  <w:abstractNum w:abstractNumId="140">
    <w:nsid w:val="4382503"/>
    <w:multiLevelType w:val="hybridMultilevel"/>
    <w:lvl w:ilvl="0">
      <w:lvlJc w:val="left"/>
      <w:lvlText w:val="-"/>
      <w:numFmt w:val="bullet"/>
      <w:start w:val="1"/>
    </w:lvl>
  </w:abstractNum>
  <w:abstractNum w:abstractNumId="141">
    <w:nsid w:val="59B76E28"/>
    <w:multiLevelType w:val="hybridMultilevel"/>
    <w:lvl w:ilvl="0">
      <w:lvlJc w:val="left"/>
      <w:lvlText w:val="-"/>
      <w:numFmt w:val="bullet"/>
      <w:start w:val="1"/>
    </w:lvl>
  </w:abstractNum>
  <w:abstractNum w:abstractNumId="142">
    <w:nsid w:val="4252C2DA"/>
    <w:multiLevelType w:val="hybridMultilevel"/>
    <w:lvl w:ilvl="0">
      <w:lvlJc w:val="left"/>
      <w:lvlText w:val="-"/>
      <w:numFmt w:val="bullet"/>
      <w:start w:val="1"/>
    </w:lvl>
  </w:abstractNum>
  <w:abstractNum w:abstractNumId="143">
    <w:nsid w:val="6A92EF4C"/>
    <w:multiLevelType w:val="hybridMultilevel"/>
    <w:lvl w:ilvl="0">
      <w:lvlJc w:val="left"/>
      <w:lvlText w:val="-"/>
      <w:numFmt w:val="bullet"/>
      <w:start w:val="1"/>
    </w:lvl>
  </w:abstractNum>
  <w:abstractNum w:abstractNumId="144">
    <w:nsid w:val="41ED20D7"/>
    <w:multiLevelType w:val="hybridMultilevel"/>
    <w:lvl w:ilvl="0">
      <w:lvlJc w:val="left"/>
      <w:lvlText w:val="-"/>
      <w:numFmt w:val="bullet"/>
      <w:start w:val="1"/>
    </w:lvl>
  </w:abstractNum>
  <w:abstractNum w:abstractNumId="145">
    <w:nsid w:val="E6B3F6A"/>
    <w:multiLevelType w:val="hybridMultilevel"/>
    <w:lvl w:ilvl="0">
      <w:lvlJc w:val="left"/>
      <w:lvlText w:val="(%1)"/>
      <w:numFmt w:val="decimal"/>
      <w:start w:val="1"/>
    </w:lvl>
  </w:abstractNum>
  <w:abstractNum w:abstractNumId="146">
    <w:nsid w:val="3EB21819"/>
    <w:multiLevelType w:val="hybridMultilevel"/>
    <w:lvl w:ilvl="0">
      <w:lvlJc w:val="left"/>
      <w:lvlText w:val="-"/>
      <w:numFmt w:val="bullet"/>
      <w:start w:val="1"/>
    </w:lvl>
  </w:abstractNum>
  <w:abstractNum w:abstractNumId="147">
    <w:nsid w:val="41531DED"/>
    <w:multiLevelType w:val="hybridMultilevel"/>
    <w:lvl w:ilvl="0">
      <w:lvlJc w:val="left"/>
      <w:lvlText w:val="-"/>
      <w:numFmt w:val="bullet"/>
      <w:start w:val="1"/>
    </w:lvl>
  </w:abstractNum>
  <w:abstractNum w:abstractNumId="148">
    <w:nsid w:val="6353CD2"/>
    <w:multiLevelType w:val="hybridMultilevel"/>
    <w:lvl w:ilvl="0">
      <w:lvlJc w:val="left"/>
      <w:lvlText w:val="-"/>
      <w:numFmt w:val="bullet"/>
      <w:start w:val="1"/>
    </w:lvl>
  </w:abstractNum>
  <w:abstractNum w:abstractNumId="149">
    <w:nsid w:val="683CAAD3"/>
    <w:multiLevelType w:val="hybridMultilevel"/>
    <w:lvl w:ilvl="0">
      <w:lvlJc w:val="left"/>
      <w:lvlText w:val="-"/>
      <w:numFmt w:val="bullet"/>
      <w:start w:val="1"/>
    </w:lvl>
  </w:abstractNum>
  <w:abstractNum w:abstractNumId="150">
    <w:nsid w:val="313C7C99"/>
    <w:multiLevelType w:val="hybridMultilevel"/>
    <w:lvl w:ilvl="0">
      <w:lvlJc w:val="left"/>
      <w:lvlText w:val="(%1)"/>
      <w:numFmt w:val="lowerLetter"/>
      <w:start w:val="1"/>
    </w:lvl>
    <w:lvl w:ilvl="1">
      <w:lvlJc w:val="left"/>
      <w:lvlText w:val="-"/>
      <w:numFmt w:val="bullet"/>
      <w:start w:val="1"/>
    </w:lvl>
  </w:abstractNum>
  <w:abstractNum w:abstractNumId="151">
    <w:nsid w:val="519EB94C"/>
    <w:multiLevelType w:val="hybridMultilevel"/>
    <w:lvl w:ilvl="0">
      <w:lvlJc w:val="left"/>
      <w:lvlText w:val="-"/>
      <w:numFmt w:val="bullet"/>
      <w:start w:val="1"/>
    </w:lvl>
  </w:abstractNum>
  <w:abstractNum w:abstractNumId="152">
    <w:nsid w:val="39DF2579"/>
    <w:multiLevelType w:val="hybridMultilevel"/>
    <w:lvl w:ilvl="0">
      <w:lvlJc w:val="left"/>
      <w:lvlText w:val="-"/>
      <w:numFmt w:val="bullet"/>
      <w:start w:val="1"/>
    </w:lvl>
  </w:abstractNum>
  <w:abstractNum w:abstractNumId="153">
    <w:nsid w:val="126E008B"/>
    <w:multiLevelType w:val="hybridMultilevel"/>
    <w:lvl w:ilvl="0">
      <w:lvlJc w:val="left"/>
      <w:lvlText w:val="-"/>
      <w:numFmt w:val="bullet"/>
      <w:start w:val="1"/>
    </w:lvl>
  </w:abstractNum>
  <w:abstractNum w:abstractNumId="154">
    <w:nsid w:val="34DFBC00"/>
    <w:multiLevelType w:val="hybridMultilevel"/>
    <w:lvl w:ilvl="0">
      <w:lvlJc w:val="left"/>
      <w:lvlText w:val="-"/>
      <w:numFmt w:val="bullet"/>
      <w:start w:val="1"/>
    </w:lvl>
  </w:abstractNum>
  <w:abstractNum w:abstractNumId="155">
    <w:nsid w:val="1F9EC322"/>
    <w:multiLevelType w:val="hybridMultilevel"/>
    <w:lvl w:ilvl="0">
      <w:lvlJc w:val="left"/>
      <w:lvlText w:val="-"/>
      <w:numFmt w:val="bullet"/>
      <w:start w:val="1"/>
    </w:lvl>
  </w:abstractNum>
  <w:abstractNum w:abstractNumId="156">
    <w:nsid w:val="3410ED56"/>
    <w:multiLevelType w:val="hybridMultilevel"/>
    <w:lvl w:ilvl="0">
      <w:lvlJc w:val="left"/>
      <w:lvlText w:val="(%1)"/>
      <w:numFmt w:val="lowerRoman"/>
      <w:start w:val="3"/>
    </w:lvl>
  </w:abstractNum>
  <w:abstractNum w:abstractNumId="157">
    <w:nsid w:val="23C049A"/>
    <w:multiLevelType w:val="hybridMultilevel"/>
    <w:lvl w:ilvl="0">
      <w:lvlJc w:val="left"/>
      <w:lvlText w:val="(%1)"/>
      <w:numFmt w:val="decimal"/>
      <w:start w:val="1"/>
    </w:lvl>
    <w:lvl w:ilvl="1">
      <w:lvlJc w:val="left"/>
      <w:lvlText w:val="(%2)"/>
      <w:numFmt w:val="lowerLetter"/>
      <w:start w:val="1"/>
    </w:lvl>
  </w:abstractNum>
  <w:abstractNum w:abstractNumId="158">
    <w:nsid w:val="5BDA35D4"/>
    <w:multiLevelType w:val="hybridMultilevel"/>
    <w:lvl w:ilvl="0">
      <w:lvlJc w:val="left"/>
      <w:lvlText w:val="(%1)"/>
      <w:numFmt w:val="decimal"/>
      <w:start w:val="3"/>
    </w:lvl>
  </w:abstractNum>
  <w:abstractNum w:abstractNumId="159">
    <w:nsid w:val="496FB218"/>
    <w:multiLevelType w:val="hybridMultilevel"/>
    <w:lvl w:ilvl="0">
      <w:lvlJc w:val="left"/>
      <w:lvlText w:val="-"/>
      <w:numFmt w:val="bullet"/>
      <w:start w:val="1"/>
    </w:lvl>
    <w:lvl w:ilvl="1">
      <w:lvlJc w:val="left"/>
      <w:lvlText w:val="(%2)"/>
      <w:numFmt w:val="decimal"/>
      <w:start w:val="1"/>
    </w:lvl>
  </w:abstractNum>
  <w:abstractNum w:abstractNumId="160">
    <w:nsid w:val="680EA5D1"/>
    <w:multiLevelType w:val="hybridMultilevel"/>
    <w:lvl w:ilvl="0">
      <w:lvlJc w:val="left"/>
      <w:lvlText w:val="-"/>
      <w:numFmt w:val="bullet"/>
      <w:start w:val="1"/>
    </w:lvl>
  </w:abstractNum>
  <w:abstractNum w:abstractNumId="161">
    <w:nsid w:val="4A9554FE"/>
    <w:multiLevelType w:val="hybridMultilevel"/>
    <w:lvl w:ilvl="0">
      <w:lvlJc w:val="left"/>
      <w:lvlText w:val="-"/>
      <w:numFmt w:val="bullet"/>
      <w:start w:val="1"/>
    </w:lvl>
  </w:abstractNum>
  <w:abstractNum w:abstractNumId="162">
    <w:nsid w:val="392EDBE4"/>
    <w:multiLevelType w:val="hybridMultilevel"/>
    <w:lvl w:ilvl="0">
      <w:lvlJc w:val="left"/>
      <w:lvlText w:val="-"/>
      <w:numFmt w:val="bullet"/>
      <w:start w:val="1"/>
    </w:lvl>
  </w:abstractNum>
  <w:abstractNum w:abstractNumId="163">
    <w:nsid w:val="3D1A2DD9"/>
    <w:multiLevelType w:val="hybridMultilevel"/>
    <w:lvl w:ilvl="0">
      <w:lvlJc w:val="left"/>
      <w:lvlText w:val="-"/>
      <w:numFmt w:val="bullet"/>
      <w:start w:val="1"/>
    </w:lvl>
  </w:abstractNum>
  <w:abstractNum w:abstractNumId="164">
    <w:nsid w:val="7F618FCD"/>
    <w:multiLevelType w:val="hybridMultilevel"/>
    <w:lvl w:ilvl="0">
      <w:lvlJc w:val="left"/>
      <w:lvlText w:val="-"/>
      <w:numFmt w:val="bullet"/>
      <w:start w:val="1"/>
    </w:lvl>
  </w:abstractNum>
  <w:abstractNum w:abstractNumId="165">
    <w:nsid w:val="7843E45"/>
    <w:multiLevelType w:val="hybridMultilevel"/>
    <w:lvl w:ilvl="0">
      <w:lvlJc w:val="left"/>
      <w:lvlText w:val="-"/>
      <w:numFmt w:val="bullet"/>
      <w:start w:val="1"/>
    </w:lvl>
  </w:abstractNum>
  <w:abstractNum w:abstractNumId="166">
    <w:nsid w:val="9815DA3"/>
    <w:multiLevelType w:val="hybridMultilevel"/>
    <w:lvl w:ilvl="0">
      <w:lvlJc w:val="left"/>
      <w:lvlText w:val="-"/>
      <w:numFmt w:val="bullet"/>
      <w:start w:val="1"/>
    </w:lvl>
  </w:abstractNum>
  <w:abstractNum w:abstractNumId="167">
    <w:nsid w:val="5204A191"/>
    <w:multiLevelType w:val="hybridMultilevel"/>
    <w:lvl w:ilvl="0">
      <w:lvlJc w:val="left"/>
      <w:lvlText w:val="-"/>
      <w:numFmt w:val="bullet"/>
      <w:start w:val="1"/>
    </w:lvl>
  </w:abstractNum>
  <w:abstractNum w:abstractNumId="168">
    <w:nsid w:val="4C73A9C6"/>
    <w:multiLevelType w:val="hybridMultilevel"/>
    <w:lvl w:ilvl="0">
      <w:lvlJc w:val="left"/>
      <w:lvlText w:val="-"/>
      <w:numFmt w:val="bullet"/>
      <w:start w:val="1"/>
    </w:lvl>
  </w:abstractNum>
  <w:abstractNum w:abstractNumId="169">
    <w:nsid w:val="1C7E3C01"/>
    <w:multiLevelType w:val="hybridMultilevel"/>
    <w:lvl w:ilvl="0">
      <w:lvlJc w:val="left"/>
      <w:lvlText w:val="-"/>
      <w:numFmt w:val="bullet"/>
      <w:start w:val="1"/>
    </w:lvl>
  </w:abstractNum>
  <w:abstractNum w:abstractNumId="170">
    <w:nsid w:val="1C2201FF"/>
    <w:multiLevelType w:val="hybridMultilevel"/>
    <w:lvl w:ilvl="0">
      <w:lvlJc w:val="left"/>
      <w:lvlText w:val="-"/>
      <w:numFmt w:val="bullet"/>
      <w:start w:val="1"/>
    </w:lvl>
  </w:abstractNum>
  <w:abstractNum w:abstractNumId="171">
    <w:nsid w:val="50ABCEC9"/>
    <w:multiLevelType w:val="hybridMultilevel"/>
    <w:lvl w:ilvl="0">
      <w:lvlJc w:val="left"/>
      <w:lvlText w:val="-"/>
      <w:numFmt w:val="bullet"/>
      <w:start w:val="1"/>
    </w:lvl>
  </w:abstractNum>
  <w:abstractNum w:abstractNumId="172">
    <w:nsid w:val="7635AA2A"/>
    <w:multiLevelType w:val="hybridMultilevel"/>
    <w:lvl w:ilvl="0">
      <w:lvlJc w:val="left"/>
      <w:lvlText w:val="-"/>
      <w:numFmt w:val="bullet"/>
      <w:start w:val="1"/>
    </w:lvl>
  </w:abstractNum>
  <w:abstractNum w:abstractNumId="173">
    <w:nsid w:val="5E74C4D9"/>
    <w:multiLevelType w:val="hybridMultilevel"/>
    <w:lvl w:ilvl="0">
      <w:lvlJc w:val="left"/>
      <w:lvlText w:val="-"/>
      <w:numFmt w:val="bullet"/>
      <w:start w:val="1"/>
    </w:lvl>
  </w:abstractNum>
  <w:abstractNum w:abstractNumId="174">
    <w:nsid w:val="3B3EBE15"/>
    <w:multiLevelType w:val="hybridMultilevel"/>
    <w:lvl w:ilvl="0">
      <w:lvlJc w:val="left"/>
      <w:lvlText w:val="-"/>
      <w:numFmt w:val="bullet"/>
      <w:start w:val="1"/>
    </w:lvl>
  </w:abstractNum>
  <w:abstractNum w:abstractNumId="175">
    <w:nsid w:val="3822CB01"/>
    <w:multiLevelType w:val="hybridMultilevel"/>
    <w:lvl w:ilvl="0">
      <w:lvlJc w:val="left"/>
      <w:lvlText w:val="-"/>
      <w:numFmt w:val="bullet"/>
      <w:start w:val="1"/>
    </w:lvl>
  </w:abstractNum>
  <w:abstractNum w:abstractNumId="176">
    <w:nsid w:val="6CE00443"/>
    <w:multiLevelType w:val="hybridMultilevel"/>
    <w:lvl w:ilvl="0">
      <w:lvlJc w:val="left"/>
      <w:lvlText w:val="-"/>
      <w:numFmt w:val="bullet"/>
      <w:start w:val="1"/>
    </w:lvl>
  </w:abstractNum>
  <w:abstractNum w:abstractNumId="177">
    <w:nsid w:val="79F0D62F"/>
    <w:multiLevelType w:val="hybridMultilevel"/>
    <w:lvl w:ilvl="0">
      <w:lvlJc w:val="left"/>
      <w:lvlText w:val="-"/>
      <w:numFmt w:val="bullet"/>
      <w:start w:val="1"/>
    </w:lvl>
  </w:abstractNum>
  <w:abstractNum w:abstractNumId="178">
    <w:nsid w:val="7975E8EE"/>
    <w:multiLevelType w:val="hybridMultilevel"/>
    <w:lvl w:ilvl="0">
      <w:lvlJc w:val="left"/>
      <w:lvlText w:val="-"/>
      <w:numFmt w:val="bullet"/>
      <w:start w:val="1"/>
    </w:lvl>
  </w:abstractNum>
  <w:abstractNum w:abstractNumId="179">
    <w:nsid w:val="73154115"/>
    <w:multiLevelType w:val="hybridMultilevel"/>
    <w:lvl w:ilvl="0">
      <w:lvlJc w:val="left"/>
      <w:lvlText w:val="-"/>
      <w:numFmt w:val="bullet"/>
      <w:start w:val="1"/>
    </w:lvl>
  </w:abstractNum>
  <w:abstractNum w:abstractNumId="180">
    <w:nsid w:val="622D8102"/>
    <w:multiLevelType w:val="hybridMultilevel"/>
    <w:lvl w:ilvl="0">
      <w:lvlJc w:val="left"/>
      <w:lvlText w:val="-"/>
      <w:numFmt w:val="bullet"/>
      <w:start w:val="1"/>
    </w:lvl>
  </w:abstractNum>
  <w:abstractNum w:abstractNumId="181">
    <w:nsid w:val="2AB26587"/>
    <w:multiLevelType w:val="hybridMultilevel"/>
    <w:lvl w:ilvl="0">
      <w:lvlJc w:val="left"/>
      <w:lvlText w:val="-"/>
      <w:numFmt w:val="bullet"/>
      <w:start w:val="1"/>
    </w:lvl>
  </w:abstractNum>
  <w:abstractNum w:abstractNumId="182">
    <w:nsid w:val="44B3FA61"/>
    <w:multiLevelType w:val="hybridMultilevel"/>
    <w:lvl w:ilvl="0">
      <w:lvlJc w:val="left"/>
      <w:lvlText w:val="(%1)"/>
      <w:numFmt w:val="decimal"/>
      <w:start w:val="4"/>
    </w:lvl>
  </w:abstractNum>
  <w:abstractNum w:abstractNumId="183">
    <w:nsid w:val="1C0CA67C"/>
    <w:multiLevelType w:val="hybridMultilevel"/>
    <w:lvl w:ilvl="0">
      <w:lvlJc w:val="left"/>
      <w:lvlText w:val="-"/>
      <w:numFmt w:val="bullet"/>
      <w:start w:val="1"/>
    </w:lvl>
  </w:abstractNum>
  <w:abstractNum w:abstractNumId="184">
    <w:nsid w:val="3D206613"/>
    <w:multiLevelType w:val="hybridMultilevel"/>
    <w:lvl w:ilvl="0">
      <w:lvlJc w:val="left"/>
      <w:lvlText w:val="-"/>
      <w:numFmt w:val="bullet"/>
      <w:start w:val="1"/>
    </w:lvl>
    <w:lvl w:ilvl="1">
      <w:lvlJc w:val="left"/>
      <w:lvlText w:val="---"/>
      <w:numFmt w:val="bullet"/>
      <w:start w:val="1"/>
    </w:lvl>
  </w:abstractNum>
  <w:abstractNum w:abstractNumId="185">
    <w:nsid w:val="7993B662"/>
    <w:multiLevelType w:val="hybridMultilevel"/>
    <w:lvl w:ilvl="0">
      <w:lvlJc w:val="left"/>
      <w:lvlText w:val="-"/>
      <w:numFmt w:val="bullet"/>
      <w:start w:val="1"/>
    </w:lvl>
    <w:lvl w:ilvl="1">
      <w:lvlJc w:val="left"/>
      <w:lvlText w:val="---"/>
      <w:numFmt w:val="bullet"/>
      <w:start w:val="1"/>
    </w:lvl>
  </w:abstractNum>
  <w:abstractNum w:abstractNumId="186">
    <w:nsid w:val="3BAB699E"/>
    <w:multiLevelType w:val="hybridMultilevel"/>
    <w:lvl w:ilvl="0">
      <w:lvlJc w:val="left"/>
      <w:lvlText w:val="-"/>
      <w:numFmt w:val="bullet"/>
      <w:start w:val="1"/>
    </w:lvl>
    <w:lvl w:ilvl="1">
      <w:lvlJc w:val="left"/>
      <w:lvlText w:val="---"/>
      <w:numFmt w:val="bullet"/>
      <w:start w:val="1"/>
    </w:lvl>
  </w:abstractNum>
  <w:abstractNum w:abstractNumId="187">
    <w:nsid w:val="71315369"/>
    <w:multiLevelType w:val="hybridMultilevel"/>
    <w:lvl w:ilvl="0">
      <w:lvlJc w:val="left"/>
      <w:lvlText w:val="-"/>
      <w:numFmt w:val="bullet"/>
      <w:start w:val="1"/>
    </w:lvl>
  </w:abstractNum>
  <w:abstractNum w:abstractNumId="188">
    <w:nsid w:val="7BCFBAFC"/>
    <w:multiLevelType w:val="hybridMultilevel"/>
    <w:lvl w:ilvl="0">
      <w:lvlJc w:val="left"/>
      <w:lvlText w:val="(%1)"/>
      <w:numFmt w:val="lowerLetter"/>
    </w:lvl>
    <w:lvl w:ilvl="1">
      <w:lvlJc w:val="left"/>
      <w:lvlText w:val="$"/>
      <w:numFmt w:val="bullet"/>
      <w:start w:val="1"/>
    </w:lvl>
  </w:abstractNum>
  <w:abstractNum w:abstractNumId="189">
    <w:nsid w:val="17859F72"/>
    <w:multiLevelType w:val="hybridMultilevel"/>
    <w:lvl w:ilvl="0">
      <w:lvlJc w:val="left"/>
      <w:lvlText w:val="&amp;"/>
      <w:numFmt w:val="bullet"/>
      <w:start w:val="1"/>
    </w:lvl>
  </w:abstractNum>
  <w:abstractNum w:abstractNumId="190">
    <w:nsid w:val="3AA10581"/>
    <w:multiLevelType w:val="hybridMultilevel"/>
    <w:lvl w:ilvl="0">
      <w:lvlJc w:val="left"/>
      <w:lvlText w:val="-"/>
      <w:numFmt w:val="bullet"/>
      <w:start w:val="1"/>
    </w:lvl>
  </w:abstractNum>
  <w:abstractNum w:abstractNumId="191">
    <w:nsid w:val="63DE60CD"/>
    <w:multiLevelType w:val="hybridMultilevel"/>
    <w:lvl w:ilvl="0">
      <w:lvlJc w:val="left"/>
      <w:lvlText w:val="-"/>
      <w:numFmt w:val="bullet"/>
      <w:start w:val="1"/>
    </w:lvl>
  </w:abstractNum>
  <w:abstractNum w:abstractNumId="192">
    <w:nsid w:val="621AF471"/>
    <w:multiLevelType w:val="hybridMultilevel"/>
    <w:lvl w:ilvl="0">
      <w:lvlJc w:val="left"/>
      <w:lvlText w:val="-"/>
      <w:numFmt w:val="bullet"/>
      <w:start w:val="1"/>
    </w:lvl>
  </w:abstractNum>
  <w:abstractNum w:abstractNumId="193">
    <w:nsid w:val="73CFE165"/>
    <w:multiLevelType w:val="hybridMultilevel"/>
    <w:lvl w:ilvl="0">
      <w:lvlJc w:val="left"/>
      <w:lvlText w:val="-"/>
      <w:numFmt w:val="bullet"/>
      <w:start w:val="1"/>
    </w:lvl>
  </w:abstractNum>
  <w:abstractNum w:abstractNumId="194">
    <w:nsid w:val="20F88EA6"/>
    <w:multiLevelType w:val="hybridMultilevel"/>
    <w:lvl w:ilvl="0">
      <w:lvlJc w:val="left"/>
      <w:lvlText w:val="-"/>
      <w:numFmt w:val="bullet"/>
      <w:start w:val="1"/>
    </w:lvl>
  </w:abstractNum>
  <w:abstractNum w:abstractNumId="195">
    <w:nsid w:val="617C843E"/>
    <w:multiLevelType w:val="hybridMultilevel"/>
    <w:lvl w:ilvl="0">
      <w:lvlJc w:val="left"/>
      <w:lvlText w:val="-"/>
      <w:numFmt w:val="bullet"/>
      <w:start w:val="1"/>
    </w:lvl>
  </w:abstractNum>
  <w:abstractNum w:abstractNumId="196">
    <w:nsid w:val="7B541FAB"/>
    <w:multiLevelType w:val="hybridMultilevel"/>
    <w:lvl w:ilvl="0">
      <w:lvlJc w:val="left"/>
      <w:lvlText w:val="-"/>
      <w:numFmt w:val="bullet"/>
      <w:start w:val="1"/>
    </w:lvl>
  </w:abstractNum>
  <w:abstractNum w:abstractNumId="197">
    <w:nsid w:val="2A79EC49"/>
    <w:multiLevelType w:val="hybridMultilevel"/>
    <w:lvl w:ilvl="0">
      <w:lvlJc w:val="left"/>
      <w:lvlText w:val="$"/>
      <w:numFmt w:val="bullet"/>
      <w:start w:val="1"/>
    </w:lvl>
  </w:abstractNum>
  <w:abstractNum w:abstractNumId="198">
    <w:nsid w:val="338125CF"/>
    <w:multiLevelType w:val="hybridMultilevel"/>
    <w:lvl w:ilvl="0">
      <w:lvlJc w:val="left"/>
      <w:lvlText w:val="(%1)"/>
      <w:numFmt w:val="decimal"/>
      <w:start w:val="732"/>
    </w:lvl>
  </w:abstractNum>
  <w:abstractNum w:abstractNumId="199">
    <w:nsid w:val="47C7C971"/>
    <w:multiLevelType w:val="hybridMultilevel"/>
    <w:lvl w:ilvl="0">
      <w:lvlJc w:val="left"/>
      <w:lvlText w:val="--"/>
      <w:numFmt w:val="bullet"/>
      <w:start w:val="1"/>
    </w:lvl>
  </w:abstractNum>
  <w:abstractNum w:abstractNumId="200">
    <w:nsid w:val="46F8284B"/>
    <w:multiLevelType w:val="hybridMultilevel"/>
    <w:lvl w:ilvl="0">
      <w:lvlJc w:val="left"/>
      <w:lvlText w:val="-"/>
      <w:numFmt w:val="bullet"/>
      <w:start w:val="1"/>
    </w:lvl>
  </w:abstractNum>
  <w:abstractNum w:abstractNumId="201">
    <w:nsid w:val="4FA327CE"/>
    <w:multiLevelType w:val="hybridMultilevel"/>
    <w:lvl w:ilvl="0">
      <w:lvlJc w:val="left"/>
      <w:lvlText w:val="--"/>
      <w:numFmt w:val="bullet"/>
      <w:start w:val="1"/>
    </w:lvl>
    <w:lvl w:ilvl="1">
      <w:lvlJc w:val="left"/>
      <w:lvlText w:val="---"/>
      <w:numFmt w:val="bullet"/>
      <w:start w:val="1"/>
    </w:lvl>
  </w:abstractNum>
  <w:abstractNum w:abstractNumId="202">
    <w:nsid w:val="1873983A"/>
    <w:multiLevelType w:val="hybridMultilevel"/>
    <w:lvl w:ilvl="0">
      <w:lvlJc w:val="left"/>
      <w:lvlText w:val="-"/>
      <w:numFmt w:val="bullet"/>
      <w:start w:val="1"/>
    </w:lvl>
    <w:lvl w:ilvl="1">
      <w:lvlJc w:val="left"/>
      <w:lvlText w:val="--"/>
      <w:numFmt w:val="bullet"/>
      <w:start w:val="1"/>
    </w:lvl>
  </w:abstractNum>
  <w:abstractNum w:abstractNumId="203">
    <w:nsid w:val="3D2DD275"/>
    <w:multiLevelType w:val="hybridMultilevel"/>
    <w:lvl w:ilvl="0">
      <w:lvlJc w:val="left"/>
      <w:lvlText w:val="(%1)"/>
      <w:numFmt w:val="decimal"/>
      <w:start w:val="51"/>
    </w:lvl>
  </w:abstractNum>
  <w:abstractNum w:abstractNumId="204">
    <w:nsid w:val="2E17ECA7"/>
    <w:multiLevelType w:val="hybridMultilevel"/>
    <w:lvl w:ilvl="0">
      <w:lvlJc w:val="left"/>
      <w:lvlText w:val="---"/>
      <w:numFmt w:val="bullet"/>
      <w:start w:val="1"/>
    </w:lvl>
    <w:lvl w:ilvl="1">
      <w:lvlJc w:val="left"/>
      <w:lvlText w:val="--"/>
      <w:numFmt w:val="bullet"/>
      <w:start w:val="1"/>
    </w:lvl>
  </w:abstractNum>
  <w:abstractNum w:abstractNumId="205">
    <w:nsid w:val="53B2564F"/>
    <w:multiLevelType w:val="hybridMultilevel"/>
    <w:lvl w:ilvl="0">
      <w:lvlJc w:val="left"/>
      <w:lvlText w:val="-"/>
      <w:numFmt w:val="bullet"/>
      <w:start w:val="1"/>
    </w:lvl>
  </w:abstractNum>
  <w:abstractNum w:abstractNumId="206">
    <w:nsid w:val="75509D76"/>
    <w:multiLevelType w:val="hybridMultilevel"/>
    <w:lvl w:ilvl="0">
      <w:lvlJc w:val="left"/>
      <w:lvlText w:val="(%1)"/>
      <w:numFmt w:val="decimal"/>
      <w:start w:val="791"/>
    </w:lvl>
  </w:abstractNum>
  <w:abstractNum w:abstractNumId="207">
    <w:nsid w:val="1AF7F0EA"/>
    <w:multiLevelType w:val="hybridMultilevel"/>
    <w:lvl w:ilvl="0">
      <w:lvlJc w:val="left"/>
      <w:lvlText w:val="--"/>
      <w:numFmt w:val="bullet"/>
      <w:start w:val="1"/>
    </w:lvl>
  </w:abstractNum>
  <w:abstractNum w:abstractNumId="208">
    <w:nsid w:val="4DA32C7E"/>
    <w:multiLevelType w:val="hybridMultilevel"/>
    <w:lvl w:ilvl="0">
      <w:lvlJc w:val="left"/>
      <w:lvlText w:val="===="/>
      <w:numFmt w:val="bullet"/>
      <w:start w:val="1"/>
    </w:lvl>
    <w:lvl w:ilvl="1">
      <w:lvlJc w:val="left"/>
      <w:lvlText w:val="(%2)"/>
      <w:numFmt w:val="decimal"/>
      <w:start w:val="602"/>
    </w:lvl>
  </w:abstractNum>
  <w:abstractNum w:abstractNumId="209">
    <w:nsid w:val="6EC68664"/>
    <w:multiLevelType w:val="hybridMultilevel"/>
    <w:lvl w:ilvl="0">
      <w:lvlJc w:val="left"/>
      <w:lvlText w:val="-"/>
      <w:numFmt w:val="bullet"/>
      <w:start w:val="1"/>
    </w:lvl>
    <w:lvl w:ilvl="1">
      <w:lvlJc w:val="left"/>
      <w:lvlText w:val="--"/>
      <w:numFmt w:val="bullet"/>
      <w:start w:val="1"/>
    </w:lvl>
  </w:abstractNum>
  <w:abstractNum w:abstractNumId="210">
    <w:nsid w:val="E0D31FF"/>
    <w:multiLevelType w:val="hybridMultilevel"/>
    <w:lvl w:ilvl="0">
      <w:lvlJc w:val="left"/>
      <w:lvlText w:val="(%1)"/>
      <w:numFmt w:val="decimal"/>
      <w:start w:val="1"/>
    </w:lvl>
  </w:abstractNum>
  <w:abstractNum w:abstractNumId="211">
    <w:nsid w:val="2FD0AD81"/>
    <w:multiLevelType w:val="hybridMultilevel"/>
    <w:lvl w:ilvl="0">
      <w:lvlJc w:val="left"/>
      <w:lvlText w:val="-"/>
      <w:numFmt w:val="bullet"/>
      <w:start w:val="1"/>
    </w:lvl>
  </w:abstractNum>
  <w:abstractNum w:abstractNumId="212">
    <w:nsid w:val="1978EBEB"/>
    <w:multiLevelType w:val="hybridMultilevel"/>
    <w:lvl w:ilvl="0">
      <w:lvlJc w:val="left"/>
      <w:lvlText w:val="-"/>
      <w:numFmt w:val="bullet"/>
      <w:start w:val="1"/>
    </w:lvl>
  </w:abstractNum>
  <w:abstractNum w:abstractNumId="213">
    <w:nsid w:val="52C12C61"/>
    <w:multiLevelType w:val="hybridMultilevel"/>
    <w:lvl w:ilvl="0">
      <w:lvlJc w:val="left"/>
      <w:lvlText w:val="$"/>
      <w:numFmt w:val="bullet"/>
      <w:start w:val="1"/>
    </w:lvl>
  </w:abstractNum>
  <w:abstractNum w:abstractNumId="214">
    <w:nsid w:val="4BDD53FD"/>
    <w:multiLevelType w:val="hybridMultilevel"/>
    <w:lvl w:ilvl="0">
      <w:lvlJc w:val="left"/>
      <w:lvlText w:val="$"/>
      <w:numFmt w:val="bullet"/>
      <w:start w:val="1"/>
    </w:lvl>
  </w:abstractNum>
  <w:abstractNum w:abstractNumId="215">
    <w:nsid w:val="569951FE"/>
    <w:multiLevelType w:val="hybridMultilevel"/>
    <w:lvl w:ilvl="0">
      <w:lvlJc w:val="left"/>
      <w:lvlText w:val="-"/>
      <w:numFmt w:val="bullet"/>
      <w:start w:val="1"/>
    </w:lvl>
    <w:lvl w:ilvl="1">
      <w:lvlJc w:val="left"/>
      <w:lvlText w:val="--"/>
      <w:numFmt w:val="bullet"/>
      <w:start w:val="1"/>
    </w:lvl>
  </w:abstractNum>
  <w:abstractNum w:abstractNumId="216">
    <w:nsid w:val="4C54E2C3"/>
    <w:multiLevelType w:val="hybridMultilevel"/>
    <w:lvl w:ilvl="0">
      <w:lvlJc w:val="left"/>
      <w:lvlText w:val="-"/>
      <w:numFmt w:val="bullet"/>
      <w:start w:val="1"/>
    </w:lvl>
  </w:abstractNum>
  <w:abstractNum w:abstractNumId="217">
    <w:nsid w:val="788BD9B"/>
    <w:multiLevelType w:val="hybridMultilevel"/>
    <w:lvl w:ilvl="0">
      <w:lvlJc w:val="left"/>
      <w:lvlText w:val="--"/>
      <w:numFmt w:val="bullet"/>
      <w:start w:val="1"/>
    </w:lvl>
  </w:abstractNum>
  <w:abstractNum w:abstractNumId="218">
    <w:nsid w:val="47CAA567"/>
    <w:multiLevelType w:val="hybridMultilevel"/>
    <w:lvl w:ilvl="0">
      <w:lvlJc w:val="left"/>
      <w:lvlText w:val="$"/>
      <w:numFmt w:val="bullet"/>
      <w:start w:val="1"/>
    </w:lvl>
  </w:abstractNum>
  <w:abstractNum w:abstractNumId="219">
    <w:nsid w:val="48249DBF"/>
    <w:multiLevelType w:val="hybridMultilevel"/>
    <w:lvl w:ilvl="0">
      <w:lvlJc w:val="left"/>
      <w:lvlText w:val="(%1)"/>
      <w:numFmt w:val="lowerLetter"/>
      <w:start w:val="1"/>
    </w:lvl>
  </w:abstractNum>
  <w:abstractNum w:abstractNumId="220">
    <w:nsid w:val="1F0E5D0D"/>
    <w:multiLevelType w:val="hybridMultilevel"/>
    <w:lvl w:ilvl="0">
      <w:lvlJc w:val="left"/>
      <w:lvlText w:val="(%1)"/>
      <w:numFmt w:val="lowerLetter"/>
      <w:start w:val="4"/>
    </w:lvl>
  </w:abstractNum>
  <w:abstractNum w:abstractNumId="221">
    <w:nsid w:val="26BAAE9"/>
    <w:multiLevelType w:val="hybridMultilevel"/>
    <w:lvl w:ilvl="0">
      <w:lvlJc w:val="left"/>
      <w:lvlText w:val="(%1)"/>
      <w:numFmt w:val="lowerLetter"/>
      <w:start w:val="5"/>
    </w:lvl>
  </w:abstractNum>
  <w:abstractNum w:abstractNumId="222">
    <w:nsid w:val="2C02FE8C"/>
    <w:multiLevelType w:val="hybridMultilevel"/>
    <w:lvl w:ilvl="0">
      <w:lvlJc w:val="left"/>
      <w:lvlText w:val="(%1)"/>
      <w:numFmt w:val="lowerLetter"/>
      <w:start w:val="10"/>
    </w:lvl>
  </w:abstractNum>
  <w:abstractNum w:abstractNumId="223">
    <w:nsid w:val="129517E"/>
    <w:multiLevelType w:val="hybridMultilevel"/>
    <w:lvl w:ilvl="0">
      <w:lvlJc w:val="left"/>
      <w:lvlText w:val="$"/>
      <w:numFmt w:val="bullet"/>
      <w:start w:val="1"/>
    </w:lvl>
  </w:abstractNum>
  <w:abstractNum w:abstractNumId="224">
    <w:nsid w:val="763B8C4E"/>
    <w:multiLevelType w:val="hybridMultilevel"/>
    <w:lvl w:ilvl="0">
      <w:lvlJc w:val="left"/>
      <w:lvlText w:val="(%1)"/>
      <w:numFmt w:val="decimal"/>
      <w:start w:val="597"/>
    </w:lvl>
  </w:abstractNum>
  <w:abstractNum w:abstractNumId="225">
    <w:nsid w:val="4CFB8D32"/>
    <w:multiLevelType w:val="hybridMultilevel"/>
    <w:lvl w:ilvl="0">
      <w:lvlJc w:val="left"/>
      <w:lvlText w:val="(%1)"/>
      <w:numFmt w:val="decimal"/>
      <w:start w:val="268"/>
    </w:lvl>
  </w:abstractNum>
  <w:abstractNum w:abstractNumId="226">
    <w:nsid w:val="62A5D5BD"/>
    <w:multiLevelType w:val="hybridMultilevel"/>
    <w:lvl w:ilvl="0">
      <w:lvlJc w:val="left"/>
      <w:lvlText w:val="----"/>
      <w:numFmt w:val="bullet"/>
      <w:start w:val="1"/>
    </w:lvl>
  </w:abstractNum>
  <w:abstractNum w:abstractNumId="227">
    <w:nsid w:val="718FABF9"/>
    <w:multiLevelType w:val="hybridMultilevel"/>
    <w:lvl w:ilvl="0">
      <w:lvlJc w:val="left"/>
      <w:lvlText w:val="*"/>
      <w:numFmt w:val="bullet"/>
      <w:start w:val="1"/>
    </w:lvl>
  </w:abstractNum>
  <w:abstractNum w:abstractNumId="228">
    <w:nsid w:val="7775797C"/>
    <w:multiLevelType w:val="hybridMultilevel"/>
    <w:lvl w:ilvl="0">
      <w:lvlJc w:val="left"/>
      <w:lvlText w:val="-"/>
      <w:numFmt w:val="bullet"/>
      <w:start w:val="1"/>
    </w:lvl>
  </w:abstractNum>
  <w:abstractNum w:abstractNumId="229">
    <w:nsid w:val="1626FB8C"/>
    <w:multiLevelType w:val="hybridMultilevel"/>
    <w:lvl w:ilvl="0">
      <w:lvlJc w:val="left"/>
      <w:lvlText w:val="(%1)"/>
      <w:numFmt w:val="decimal"/>
      <w:start w:val="3"/>
    </w:lvl>
    <w:lvl w:ilvl="1">
      <w:lvlJc w:val="left"/>
      <w:lvlText w:val="--"/>
      <w:numFmt w:val="bullet"/>
      <w:start w:val="1"/>
    </w:lvl>
  </w:abstractNum>
  <w:abstractNum w:abstractNumId="230">
    <w:nsid w:val="3957756A"/>
    <w:multiLevelType w:val="hybridMultilevel"/>
    <w:lvl w:ilvl="0">
      <w:lvlJc w:val="left"/>
      <w:lvlText w:val="-"/>
      <w:numFmt w:val="bullet"/>
      <w:start w:val="1"/>
    </w:lvl>
  </w:abstractNum>
  <w:abstractNum w:abstractNumId="231">
    <w:nsid w:val="3E6DA1C7"/>
    <w:multiLevelType w:val="hybridMultilevel"/>
    <w:lvl w:ilvl="0">
      <w:lvlJc w:val="left"/>
      <w:lvlText w:val="(%1)"/>
      <w:numFmt w:val="decimal"/>
      <w:start w:val="229"/>
    </w:lvl>
  </w:abstractNum>
  <w:abstractNum w:abstractNumId="232">
    <w:nsid w:val="65CA235B"/>
    <w:multiLevelType w:val="hybridMultilevel"/>
    <w:lvl w:ilvl="0">
      <w:lvlJc w:val="left"/>
      <w:lvlText w:val="(%1)"/>
      <w:numFmt w:val="decimal"/>
      <w:start w:val="2"/>
    </w:lvl>
  </w:abstractNum>
  <w:abstractNum w:abstractNumId="233">
    <w:nsid w:val="51CB0DA4"/>
    <w:multiLevelType w:val="hybridMultilevel"/>
    <w:lvl w:ilvl="0">
      <w:lvlJc w:val="left"/>
      <w:lvlText w:val="(%1)"/>
      <w:numFmt w:val="decimal"/>
      <w:start w:val="3"/>
    </w:lvl>
  </w:abstractNum>
  <w:abstractNum w:abstractNumId="234">
    <w:nsid w:val="7B9B743C"/>
    <w:multiLevelType w:val="hybridMultilevel"/>
    <w:lvl w:ilvl="0">
      <w:lvlJc w:val="left"/>
      <w:lvlText w:val="--"/>
      <w:numFmt w:val="bullet"/>
      <w:start w:val="1"/>
    </w:lvl>
    <w:lvl w:ilvl="1">
      <w:lvlJc w:val="left"/>
      <w:lvlText w:val="---"/>
      <w:numFmt w:val="bullet"/>
      <w:start w:val="1"/>
    </w:lvl>
  </w:abstractNum>
  <w:abstractNum w:abstractNumId="235">
    <w:nsid w:val="13E21002"/>
    <w:multiLevelType w:val="hybridMultilevel"/>
    <w:lvl w:ilvl="0">
      <w:lvlJc w:val="left"/>
      <w:lvlText w:val="*"/>
      <w:numFmt w:val="bullet"/>
      <w:start w:val="1"/>
    </w:lvl>
  </w:abstractNum>
  <w:abstractNum w:abstractNumId="236">
    <w:nsid w:val="257D63F4"/>
    <w:multiLevelType w:val="hybridMultilevel"/>
    <w:lvl w:ilvl="0">
      <w:lvlJc w:val="left"/>
      <w:lvlText w:val="--"/>
      <w:numFmt w:val="bullet"/>
      <w:start w:val="1"/>
    </w:lvl>
  </w:abstractNum>
  <w:abstractNum w:abstractNumId="237">
    <w:nsid w:val="70EC11B2"/>
    <w:multiLevelType w:val="hybridMultilevel"/>
    <w:lvl w:ilvl="0">
      <w:lvlJc w:val="left"/>
      <w:lvlText w:val="(%1)"/>
      <w:numFmt w:val="lowerLetter"/>
      <w:start w:val="1"/>
    </w:lvl>
  </w:abstractNum>
  <w:abstractNum w:abstractNumId="238">
    <w:nsid w:val="2EDA00ED"/>
    <w:multiLevelType w:val="hybridMultilevel"/>
    <w:lvl w:ilvl="0">
      <w:lvlJc w:val="left"/>
      <w:lvlText w:val="$"/>
      <w:numFmt w:val="bullet"/>
      <w:start w:val="1"/>
    </w:lvl>
  </w:abstractNum>
  <w:abstractNum w:abstractNumId="239">
    <w:nsid w:val="73209072"/>
    <w:multiLevelType w:val="hybridMultilevel"/>
    <w:lvl w:ilvl="0">
      <w:lvlJc w:val="left"/>
      <w:lvlText w:val="(%1)"/>
      <w:numFmt w:val="decimal"/>
      <w:start w:val="4"/>
    </w:lvl>
  </w:abstractNum>
  <w:abstractNum w:abstractNumId="240">
    <w:nsid w:val="5FB29816"/>
    <w:multiLevelType w:val="hybridMultilevel"/>
    <w:lvl w:ilvl="0">
      <w:lvlJc w:val="left"/>
      <w:lvlText w:val="(%1)"/>
      <w:numFmt w:val="lowerLetter"/>
      <w:start w:val="1"/>
    </w:lvl>
  </w:abstractNum>
  <w:abstractNum w:abstractNumId="241">
    <w:nsid w:val="3CE732EC"/>
    <w:multiLevelType w:val="hybridMultilevel"/>
    <w:lvl w:ilvl="0">
      <w:lvlJc w:val="left"/>
      <w:lvlText w:val="(%1)"/>
      <w:numFmt w:val="decimal"/>
      <w:start w:val="7"/>
    </w:lvl>
  </w:abstractNum>
  <w:abstractNum w:abstractNumId="242">
    <w:nsid w:val="22F13DF3"/>
    <w:multiLevelType w:val="hybridMultilevel"/>
    <w:lvl w:ilvl="0">
      <w:lvlJc w:val="left"/>
      <w:lvlText w:val="(%1)"/>
      <w:numFmt w:val="lowerLetter"/>
      <w:start w:val="1"/>
    </w:lvl>
  </w:abstractNum>
  <w:abstractNum w:abstractNumId="243">
    <w:nsid w:val="792B8401"/>
    <w:multiLevelType w:val="hybridMultilevel"/>
    <w:lvl w:ilvl="0">
      <w:lvlJc w:val="left"/>
      <w:lvlText w:val="(%1)"/>
      <w:numFmt w:val="lowerRoman"/>
      <w:start w:val="3"/>
    </w:lvl>
  </w:abstractNum>
  <w:abstractNum w:abstractNumId="244">
    <w:nsid w:val="FA85F4D"/>
    <w:multiLevelType w:val="hybridMultilevel"/>
    <w:lvl w:ilvl="0">
      <w:lvlJc w:val="left"/>
      <w:lvlText w:val="(%1)"/>
      <w:numFmt w:val="lowerLetter"/>
      <w:start w:val="35"/>
    </w:lvl>
    <w:lvl w:ilvl="1">
      <w:lvlJc w:val="left"/>
      <w:lvlText w:val="(%2)"/>
      <w:numFmt w:val="lowerLetter"/>
      <w:start w:val="1"/>
    </w:lvl>
  </w:abstractNum>
  <w:abstractNum w:abstractNumId="245">
    <w:nsid w:val="6ECE91F0"/>
    <w:multiLevelType w:val="hybridMultilevel"/>
    <w:lvl w:ilvl="0">
      <w:lvlJc w:val="left"/>
      <w:lvlText w:val="(%1)"/>
      <w:numFmt w:val="lowerLetter"/>
      <w:start w:val="1"/>
    </w:lvl>
  </w:abstractNum>
  <w:abstractNum w:abstractNumId="246">
    <w:nsid w:val="4FC4D600"/>
    <w:multiLevelType w:val="hybridMultilevel"/>
    <w:lvl w:ilvl="0">
      <w:lvlJc w:val="left"/>
      <w:lvlText w:val="(%1)"/>
      <w:numFmt w:val="lowerLetter"/>
      <w:start w:val="2"/>
    </w:lvl>
  </w:abstractNum>
  <w:abstractNum w:abstractNumId="247">
    <w:nsid w:val="5BFD4210"/>
    <w:multiLevelType w:val="hybridMultilevel"/>
    <w:lvl w:ilvl="0">
      <w:lvlJc w:val="left"/>
      <w:lvlText w:val="(%1)"/>
      <w:numFmt w:val="lowerLetter"/>
      <w:start w:val="1"/>
    </w:lvl>
  </w:abstractNum>
  <w:abstractNum w:abstractNumId="248">
    <w:nsid w:val="76574F8B"/>
    <w:multiLevelType w:val="hybridMultilevel"/>
    <w:lvl w:ilvl="0">
      <w:lvlJc w:val="left"/>
      <w:lvlText w:val="(%1)"/>
      <w:numFmt w:val="lowerLetter"/>
      <w:start w:val="1"/>
    </w:lvl>
  </w:abstractNum>
  <w:abstractNum w:abstractNumId="249">
    <w:nsid w:val="178F7B67"/>
    <w:multiLevelType w:val="hybridMultilevel"/>
    <w:lvl w:ilvl="0">
      <w:lvlJc w:val="left"/>
      <w:lvlText w:val="(%1)"/>
      <w:numFmt w:val="lowerLetter"/>
      <w:start w:val="1"/>
    </w:lvl>
  </w:abstractNum>
  <w:abstractNum w:abstractNumId="250">
    <w:nsid w:val="2421DFCF"/>
    <w:multiLevelType w:val="hybridMultilevel"/>
    <w:lvl w:ilvl="0">
      <w:lvlJc w:val="left"/>
      <w:lvlText w:val="(%1)"/>
      <w:numFmt w:val="lowerLetter"/>
      <w:start w:val="1"/>
    </w:lvl>
  </w:abstractNum>
  <w:abstractNum w:abstractNumId="251">
    <w:nsid w:val="1565AC99"/>
    <w:multiLevelType w:val="hybridMultilevel"/>
    <w:lvl w:ilvl="0">
      <w:lvlJc w:val="left"/>
      <w:lvlText w:val="$"/>
      <w:numFmt w:val="bullet"/>
      <w:start w:val="1"/>
    </w:lvl>
  </w:abstractNum>
  <w:abstractNum w:abstractNumId="252">
    <w:nsid w:val="19FB2650"/>
    <w:multiLevelType w:val="hybridMultilevel"/>
    <w:lvl w:ilvl="0">
      <w:lvlJc w:val="left"/>
      <w:lvlText w:val="%1"/>
      <w:numFmt w:val="upperLetter"/>
      <w:start w:val="35"/>
    </w:lvl>
  </w:abstractNum>
  <w:abstractNum w:abstractNumId="253">
    <w:nsid w:val="5024DE5B"/>
    <w:multiLevelType w:val="hybridMultilevel"/>
    <w:lvl w:ilvl="0">
      <w:lvlJc w:val="left"/>
      <w:lvlText w:val="-"/>
      <w:numFmt w:val="bullet"/>
      <w:start w:val="1"/>
    </w:lvl>
  </w:abstractNum>
  <w:abstractNum w:abstractNumId="254">
    <w:nsid w:val="168EFE17"/>
    <w:multiLevelType w:val="hybridMultilevel"/>
    <w:lvl w:ilvl="0">
      <w:lvlJc w:val="left"/>
      <w:lvlText w:val="----"/>
      <w:numFmt w:val="bullet"/>
      <w:start w:val="1"/>
    </w:lvl>
  </w:abstractNum>
  <w:abstractNum w:abstractNumId="255">
    <w:nsid w:val="1036B29F"/>
    <w:multiLevelType w:val="hybridMultilevel"/>
    <w:lvl w:ilvl="0">
      <w:lvlJc w:val="left"/>
      <w:lvlText w:val="(%1)"/>
      <w:numFmt w:val="decimal"/>
      <w:start w:val="10"/>
    </w:lvl>
  </w:abstractNum>
  <w:abstractNum w:abstractNumId="256">
    <w:nsid w:val="1D206B8E"/>
    <w:multiLevelType w:val="hybridMultilevel"/>
    <w:lvl w:ilvl="0">
      <w:lvlJc w:val="left"/>
      <w:lvlText w:val="--"/>
      <w:numFmt w:val="bullet"/>
      <w:start w:val="1"/>
    </w:lvl>
  </w:abstractNum>
  <w:abstractNum w:abstractNumId="257">
    <w:nsid w:val="7934D3D4"/>
    <w:multiLevelType w:val="hybridMultilevel"/>
    <w:lvl w:ilvl="0">
      <w:lvlJc w:val="left"/>
      <w:lvlText w:val="(%1)"/>
      <w:numFmt w:val="lowerLetter"/>
      <w:start w:val="1"/>
    </w:lvl>
  </w:abstractNum>
  <w:abstractNum w:abstractNumId="258">
    <w:nsid w:val="1C65E98"/>
    <w:multiLevelType w:val="hybridMultilevel"/>
    <w:lvl w:ilvl="0">
      <w:lvlJc w:val="left"/>
      <w:lvlText w:val="%1."/>
      <w:numFmt w:val="decimal"/>
      <w:start w:val="115"/>
    </w:lvl>
  </w:abstractNum>
  <w:abstractNum w:abstractNumId="259">
    <w:nsid w:val="1495E50A"/>
    <w:multiLevelType w:val="hybridMultilevel"/>
    <w:lvl w:ilvl="0">
      <w:lvlJc w:val="left"/>
      <w:lvlText w:val="(%1)"/>
      <w:numFmt w:val="lowerLetter"/>
      <w:start w:val="1"/>
    </w:lvl>
  </w:abstractNum>
  <w:abstractNum w:abstractNumId="260">
    <w:nsid w:val="F5BCF61"/>
    <w:multiLevelType w:val="hybridMultilevel"/>
    <w:lvl w:ilvl="0">
      <w:lvlJc w:val="left"/>
      <w:lvlText w:val="===="/>
      <w:numFmt w:val="bullet"/>
      <w:start w:val="1"/>
    </w:lvl>
  </w:abstractNum>
  <w:abstractNum w:abstractNumId="261">
    <w:nsid w:val="3B1DD403"/>
    <w:multiLevelType w:val="hybridMultilevel"/>
    <w:lvl w:ilvl="0">
      <w:lvlJc w:val="left"/>
      <w:lvlText w:val="%1."/>
      <w:numFmt w:val="decimal"/>
      <w:start w:val="123"/>
    </w:lvl>
  </w:abstractNum>
  <w:abstractNum w:abstractNumId="262">
    <w:nsid w:val="530386D1"/>
    <w:multiLevelType w:val="hybridMultilevel"/>
    <w:lvl w:ilvl="0">
      <w:lvlJc w:val="left"/>
      <w:lvlText w:val="(%1)"/>
      <w:numFmt w:val="decimal"/>
      <w:start w:val="649"/>
    </w:lvl>
  </w:abstractNum>
  <w:abstractNum w:abstractNumId="263">
    <w:nsid w:val="7525F2BC"/>
    <w:multiLevelType w:val="hybridMultilevel"/>
    <w:lvl w:ilvl="0">
      <w:lvlJc w:val="left"/>
      <w:lvlText w:val="--"/>
      <w:numFmt w:val="bullet"/>
      <w:start w:val="1"/>
    </w:lvl>
  </w:abstractNum>
  <w:abstractNum w:abstractNumId="264">
    <w:nsid w:val="CE8E1A7"/>
    <w:multiLevelType w:val="hybridMultilevel"/>
    <w:lvl w:ilvl="0">
      <w:lvlJc w:val="left"/>
      <w:lvlText w:val="$"/>
      <w:numFmt w:val="bullet"/>
      <w:start w:val="1"/>
    </w:lvl>
  </w:abstractNum>
  <w:abstractNum w:abstractNumId="265">
    <w:nsid w:val="4E9EFB0D"/>
    <w:multiLevelType w:val="hybridMultilevel"/>
    <w:lvl w:ilvl="0">
      <w:lvlJc w:val="left"/>
      <w:lvlText w:val="%1."/>
      <w:numFmt w:val="decimal"/>
      <w:start w:val="1"/>
    </w:lvl>
  </w:abstractNum>
  <w:abstractNum w:abstractNumId="266">
    <w:nsid w:val="90802BE"/>
    <w:multiLevelType w:val="hybridMultilevel"/>
    <w:lvl w:ilvl="0">
      <w:lvlJc w:val="left"/>
      <w:lvlText w:val="%1."/>
      <w:numFmt w:val="decimal"/>
      <w:start w:val="1"/>
    </w:lvl>
  </w:abstractNum>
  <w:abstractNum w:abstractNumId="267">
    <w:nsid w:val="3266459B"/>
    <w:multiLevelType w:val="hybridMultilevel"/>
    <w:lvl w:ilvl="0">
      <w:lvlJc w:val="left"/>
      <w:lvlText w:val="-----"/>
      <w:numFmt w:val="bullet"/>
      <w:start w:val="1"/>
    </w:lvl>
  </w:abstractNum>
  <w:abstractNum w:abstractNumId="268">
    <w:nsid w:val="3F8B0CBF"/>
    <w:multiLevelType w:val="hybridMultilevel"/>
    <w:lvl w:ilvl="0">
      <w:lvlJc w:val="left"/>
      <w:lvlText w:val="----"/>
      <w:numFmt w:val="bullet"/>
      <w:start w:val="1"/>
    </w:lvl>
  </w:abstractNum>
  <w:abstractNum w:abstractNumId="269">
    <w:nsid w:val="37E203AB"/>
    <w:multiLevelType w:val="hybridMultilevel"/>
    <w:lvl w:ilvl="0">
      <w:lvlJc w:val="left"/>
      <w:lvlText w:val="---"/>
      <w:numFmt w:val="bullet"/>
      <w:start w:val="1"/>
    </w:lvl>
  </w:abstractNum>
  <w:abstractNum w:abstractNumId="270">
    <w:nsid w:val="2586D60E"/>
    <w:multiLevelType w:val="hybridMultilevel"/>
    <w:lvl w:ilvl="0">
      <w:lvlJc w:val="left"/>
      <w:lvlText w:val="---"/>
      <w:numFmt w:val="bullet"/>
      <w:start w:val="1"/>
    </w:lvl>
  </w:abstractNum>
  <w:abstractNum w:abstractNumId="271">
    <w:nsid w:val="1F3DA4D5"/>
    <w:multiLevelType w:val="hybridMultilevel"/>
    <w:lvl w:ilvl="0">
      <w:lvlJc w:val="left"/>
      <w:lvlText w:val="%1."/>
      <w:numFmt w:val="decimal"/>
      <w:start w:val="1"/>
    </w:lvl>
  </w:abstractNum>
  <w:abstractNum w:abstractNumId="272">
    <w:nsid w:val="74C93698"/>
    <w:multiLevelType w:val="hybridMultilevel"/>
    <w:lvl w:ilvl="0">
      <w:lvlJc w:val="left"/>
      <w:lvlText w:val="%1."/>
      <w:numFmt w:val="decimal"/>
      <w:start w:val="2"/>
    </w:lvl>
  </w:abstractNum>
  <w:abstractNum w:abstractNumId="273">
    <w:nsid w:val="48781401"/>
    <w:multiLevelType w:val="hybridMultilevel"/>
    <w:lvl w:ilvl="0">
      <w:lvlJc w:val="left"/>
      <w:lvlText w:val="%1."/>
      <w:numFmt w:val="decimal"/>
      <w:start w:val="3"/>
    </w:lvl>
  </w:abstractNum>
  <w:abstractNum w:abstractNumId="274">
    <w:nsid w:val="186928D6"/>
    <w:multiLevelType w:val="hybridMultilevel"/>
    <w:lvl w:ilvl="0">
      <w:lvlJc w:val="left"/>
      <w:lvlText w:val="%1."/>
      <w:numFmt w:val="decimal"/>
      <w:start w:val="4"/>
    </w:lvl>
  </w:abstractNum>
  <w:abstractNum w:abstractNumId="275">
    <w:nsid w:val="47195E5"/>
    <w:multiLevelType w:val="hybridMultilevel"/>
    <w:lvl w:ilvl="0">
      <w:lvlJc w:val="left"/>
      <w:lvlText w:val="%1."/>
      <w:numFmt w:val="decimal"/>
      <w:start w:val="5"/>
    </w:lvl>
  </w:abstractNum>
  <w:abstractNum w:abstractNumId="276">
    <w:nsid w:val="3746A5F2"/>
    <w:multiLevelType w:val="hybridMultilevel"/>
    <w:lvl w:ilvl="0">
      <w:lvlJc w:val="left"/>
      <w:lvlText w:val="(%1)"/>
      <w:numFmt w:val="lowerRoman"/>
      <w:start w:val="1"/>
    </w:lvl>
  </w:abstractNum>
  <w:abstractNum w:abstractNumId="277">
    <w:nsid w:val="682DFED6"/>
    <w:multiLevelType w:val="hybridMultilevel"/>
    <w:lvl w:ilvl="0">
      <w:lvlJc w:val="left"/>
      <w:lvlText w:val="%1."/>
      <w:numFmt w:val="decimal"/>
      <w:start w:val="133"/>
    </w:lvl>
  </w:abstractNum>
  <w:abstractNum w:abstractNumId="278">
    <w:nsid w:val="606ED7F6"/>
    <w:multiLevelType w:val="hybridMultilevel"/>
    <w:lvl w:ilvl="0">
      <w:lvlJc w:val="left"/>
      <w:lvlText w:val="%1."/>
      <w:numFmt w:val="decimal"/>
      <w:start w:val="7"/>
    </w:lvl>
  </w:abstractNum>
  <w:abstractNum w:abstractNumId="279">
    <w:nsid w:val="2D9DF57D"/>
    <w:multiLevelType w:val="hybridMultilevel"/>
    <w:lvl w:ilvl="0">
      <w:lvlJc w:val="left"/>
      <w:lvlText w:val="%1)"/>
      <w:numFmt w:val="decimal"/>
      <w:start w:val="6"/>
    </w:lvl>
  </w:abstractNum>
  <w:abstractNum w:abstractNumId="280">
    <w:nsid w:val="7FBD7A3E"/>
    <w:multiLevelType w:val="hybridMultilevel"/>
    <w:lvl w:ilvl="0">
      <w:lvlJc w:val="left"/>
      <w:lvlText w:val="-"/>
      <w:numFmt w:val="bullet"/>
      <w:start w:val="1"/>
    </w:lvl>
  </w:abstractNum>
  <w:abstractNum w:abstractNumId="281">
    <w:nsid w:val="490B7C5"/>
    <w:multiLevelType w:val="hybridMultilevel"/>
    <w:lvl w:ilvl="0">
      <w:lvlJc w:val="left"/>
      <w:lvlText w:val="----"/>
      <w:numFmt w:val="bullet"/>
      <w:start w:val="1"/>
    </w:lvl>
  </w:abstractNum>
  <w:abstractNum w:abstractNumId="282">
    <w:nsid w:val="4303A216"/>
    <w:multiLevelType w:val="hybridMultilevel"/>
    <w:lvl w:ilvl="0">
      <w:lvlJc w:val="left"/>
      <w:lvlText w:val="%1."/>
      <w:numFmt w:val="decimal"/>
      <w:start w:val="8"/>
    </w:lvl>
  </w:abstractNum>
  <w:abstractNum w:abstractNumId="283">
    <w:nsid w:val="19B8A08E"/>
    <w:multiLevelType w:val="hybridMultilevel"/>
    <w:lvl w:ilvl="0">
      <w:lvlJc w:val="left"/>
      <w:lvlText w:val="--"/>
      <w:numFmt w:val="bullet"/>
      <w:start w:val="1"/>
    </w:lvl>
  </w:abstractNum>
  <w:abstractNum w:abstractNumId="284">
    <w:nsid w:val="54B59621"/>
    <w:multiLevelType w:val="hybridMultilevel"/>
    <w:lvl w:ilvl="0">
      <w:lvlJc w:val="left"/>
      <w:lvlText w:val="--"/>
      <w:numFmt w:val="bullet"/>
      <w:start w:val="1"/>
    </w:lvl>
  </w:abstractNum>
  <w:abstractNum w:abstractNumId="285">
    <w:nsid w:val="5992A02E"/>
    <w:multiLevelType w:val="hybridMultilevel"/>
    <w:lvl w:ilvl="0">
      <w:lvlJc w:val="left"/>
      <w:lvlText w:val="(%1)"/>
      <w:numFmt w:val="decimal"/>
      <w:start w:val="821"/>
    </w:lvl>
  </w:abstractNum>
  <w:abstractNum w:abstractNumId="286">
    <w:nsid w:val="29EF532D"/>
    <w:multiLevelType w:val="hybridMultilevel"/>
    <w:lvl w:ilvl="0">
      <w:lvlJc w:val="left"/>
      <w:lvlText w:val="----"/>
      <w:numFmt w:val="bullet"/>
      <w:start w:val="1"/>
    </w:lvl>
  </w:abstractNum>
  <w:abstractNum w:abstractNumId="287">
    <w:nsid w:val="71D601AF"/>
    <w:multiLevelType w:val="hybridMultilevel"/>
    <w:lvl w:ilvl="0">
      <w:lvlJc w:val="left"/>
      <w:lvlText w:val="$"/>
      <w:numFmt w:val="bullet"/>
      <w:start w:val="1"/>
    </w:lvl>
  </w:abstractNum>
  <w:abstractNum w:abstractNumId="288">
    <w:nsid w:val="52C77402"/>
    <w:multiLevelType w:val="hybridMultilevel"/>
    <w:lvl w:ilvl="0">
      <w:lvlJc w:val="left"/>
      <w:lvlText w:val="---"/>
      <w:numFmt w:val="bullet"/>
      <w:start w:val="1"/>
    </w:lvl>
  </w:abstractNum>
  <w:abstractNum w:abstractNumId="289">
    <w:nsid w:val="2BB5B1C6"/>
    <w:multiLevelType w:val="hybridMultilevel"/>
    <w:lvl w:ilvl="0">
      <w:lvlJc w:val="left"/>
      <w:lvlText w:val="%1."/>
      <w:numFmt w:val="decimal"/>
      <w:start w:val="9"/>
    </w:lvl>
  </w:abstractNum>
  <w:abstractNum w:abstractNumId="290">
    <w:nsid w:val="66BE6B9"/>
    <w:multiLevelType w:val="hybridMultilevel"/>
    <w:lvl w:ilvl="0">
      <w:lvlJc w:val="left"/>
      <w:lvlText w:val="--"/>
      <w:numFmt w:val="bullet"/>
      <w:start w:val="1"/>
    </w:lvl>
  </w:abstractNum>
  <w:abstractNum w:abstractNumId="291">
    <w:nsid w:val="62234363"/>
    <w:multiLevelType w:val="hybridMultilevel"/>
    <w:lvl w:ilvl="0">
      <w:lvlJc w:val="left"/>
      <w:lvlText w:val="%1."/>
      <w:numFmt w:val="decimal"/>
      <w:start w:val="11"/>
    </w:lvl>
  </w:abstractNum>
  <w:abstractNum w:abstractNumId="292">
    <w:nsid w:val="66D385C9"/>
    <w:multiLevelType w:val="hybridMultilevel"/>
    <w:lvl w:ilvl="0">
      <w:lvlJc w:val="left"/>
      <w:lvlText w:val="%1."/>
      <w:numFmt w:val="decimal"/>
      <w:start w:val="12"/>
    </w:lvl>
  </w:abstractNum>
  <w:abstractNum w:abstractNumId="293">
    <w:nsid w:val="596F6D8A"/>
    <w:multiLevelType w:val="hybridMultilevel"/>
    <w:lvl w:ilvl="0">
      <w:lvlJc w:val="left"/>
      <w:lvlText w:val="$"/>
      <w:numFmt w:val="bullet"/>
      <w:start w:val="1"/>
    </w:lvl>
  </w:abstractNum>
  <w:abstractNum w:abstractNumId="294">
    <w:nsid w:val="5749361F"/>
    <w:multiLevelType w:val="hybridMultilevel"/>
    <w:lvl w:ilvl="0">
      <w:lvlJc w:val="left"/>
      <w:lvlText w:val="$"/>
      <w:numFmt w:val="bullet"/>
      <w:start w:val="1"/>
    </w:lvl>
  </w:abstractNum>
  <w:abstractNum w:abstractNumId="295">
    <w:nsid w:val="73BC6770"/>
    <w:multiLevelType w:val="hybridMultilevel"/>
    <w:lvl w:ilvl="0">
      <w:lvlJc w:val="left"/>
      <w:lvlText w:val="$"/>
      <w:numFmt w:val="bullet"/>
      <w:start w:val="1"/>
    </w:lvl>
  </w:abstractNum>
  <w:abstractNum w:abstractNumId="296">
    <w:nsid w:val="280E6897"/>
    <w:multiLevelType w:val="hybridMultilevel"/>
    <w:lvl w:ilvl="0">
      <w:lvlJc w:val="left"/>
      <w:lvlText w:val="(%1)"/>
      <w:numFmt w:val="decimal"/>
      <w:start w:val="1"/>
    </w:lvl>
  </w:abstractNum>
  <w:abstractNum w:abstractNumId="297">
    <w:nsid w:val="605138DE"/>
    <w:multiLevelType w:val="hybridMultilevel"/>
    <w:lvl w:ilvl="0">
      <w:lvlJc w:val="left"/>
      <w:lvlText w:val="%1."/>
      <w:numFmt w:val="decimal"/>
      <w:start w:val="13"/>
    </w:lvl>
  </w:abstractNum>
  <w:abstractNum w:abstractNumId="298">
    <w:nsid w:val="2622AD0C"/>
    <w:multiLevelType w:val="hybridMultilevel"/>
    <w:lvl w:ilvl="0">
      <w:lvlJc w:val="left"/>
      <w:lvlText w:val="%1."/>
      <w:numFmt w:val="decimal"/>
      <w:start w:val="14"/>
    </w:lvl>
  </w:abstractNum>
  <w:abstractNum w:abstractNumId="299">
    <w:nsid w:val="67997556"/>
    <w:multiLevelType w:val="hybridMultilevel"/>
    <w:lvl w:ilvl="0">
      <w:lvlJc w:val="left"/>
      <w:lvlText w:val="$"/>
      <w:numFmt w:val="bullet"/>
      <w:start w:val="1"/>
    </w:lvl>
  </w:abstractNum>
  <w:abstractNum w:abstractNumId="300">
    <w:nsid w:val="18333C89"/>
    <w:multiLevelType w:val="hybridMultilevel"/>
    <w:lvl w:ilvl="0">
      <w:lvlJc w:val="left"/>
      <w:lvlText w:val="%1."/>
      <w:numFmt w:val="decimal"/>
      <w:start w:val="1"/>
    </w:lvl>
  </w:abstractNum>
  <w:abstractNum w:abstractNumId="301">
    <w:nsid w:val="4BA9831A"/>
    <w:multiLevelType w:val="hybridMultilevel"/>
    <w:lvl w:ilvl="0">
      <w:lvlJc w:val="left"/>
      <w:lvlText w:val="%1."/>
      <w:numFmt w:val="decimal"/>
      <w:start w:val="2"/>
    </w:lvl>
  </w:abstractNum>
  <w:abstractNum w:abstractNumId="302">
    <w:nsid w:val="6D71A2B"/>
    <w:multiLevelType w:val="hybridMultilevel"/>
    <w:lvl w:ilvl="0">
      <w:lvlJc w:val="left"/>
      <w:lvlText w:val="%1."/>
      <w:numFmt w:val="decimal"/>
      <w:start w:val="3"/>
    </w:lvl>
  </w:abstractNum>
  <w:abstractNum w:abstractNumId="303">
    <w:nsid w:val="CFC7321"/>
    <w:multiLevelType w:val="hybridMultilevel"/>
    <w:lvl w:ilvl="0">
      <w:lvlJc w:val="left"/>
      <w:lvlText w:val="----"/>
      <w:numFmt w:val="bullet"/>
      <w:start w:val="1"/>
    </w:lvl>
  </w:abstractNum>
  <w:abstractNum w:abstractNumId="304">
    <w:nsid w:val="1421971B"/>
    <w:multiLevelType w:val="hybridMultilevel"/>
    <w:lvl w:ilvl="0">
      <w:lvlJc w:val="left"/>
      <w:lvlText w:val="--"/>
      <w:numFmt w:val="bullet"/>
      <w:start w:val="1"/>
    </w:lvl>
  </w:abstractNum>
  <w:abstractNum w:abstractNumId="305">
    <w:nsid w:val="1F404301"/>
    <w:multiLevelType w:val="hybridMultilevel"/>
    <w:lvl w:ilvl="0">
      <w:lvlJc w:val="left"/>
      <w:lvlText w:val="%1."/>
      <w:numFmt w:val="decimal"/>
      <w:start w:val="4"/>
    </w:lvl>
  </w:abstractNum>
  <w:abstractNum w:abstractNumId="306">
    <w:nsid w:val="116E0907"/>
    <w:multiLevelType w:val="hybridMultilevel"/>
    <w:lvl w:ilvl="0">
      <w:lvlJc w:val="left"/>
      <w:lvlText w:val="%1."/>
      <w:numFmt w:val="decimal"/>
      <w:start w:val="5"/>
    </w:lvl>
  </w:abstractNum>
  <w:abstractNum w:abstractNumId="307">
    <w:nsid w:val="4B683D0D"/>
    <w:multiLevelType w:val="hybridMultilevel"/>
    <w:lvl w:ilvl="0">
      <w:lvlJc w:val="left"/>
      <w:lvlText w:val="%1."/>
      <w:numFmt w:val="decimal"/>
      <w:start w:val="6"/>
    </w:lvl>
  </w:abstractNum>
  <w:abstractNum w:abstractNumId="308">
    <w:nsid w:val="76E41D8"/>
    <w:multiLevelType w:val="hybridMultilevel"/>
    <w:lvl w:ilvl="0">
      <w:lvlJc w:val="left"/>
      <w:lvlText w:val="-----"/>
      <w:numFmt w:val="bullet"/>
      <w:start w:val="1"/>
    </w:lvl>
  </w:abstractNum>
  <w:abstractNum w:abstractNumId="309">
    <w:nsid w:val="71DCE0FD"/>
    <w:multiLevelType w:val="hybridMultilevel"/>
    <w:lvl w:ilvl="0">
      <w:lvlJc w:val="left"/>
      <w:lvlText w:val="--"/>
      <w:numFmt w:val="bullet"/>
      <w:start w:val="1"/>
    </w:lvl>
  </w:abstractNum>
  <w:abstractNum w:abstractNumId="310">
    <w:nsid w:val="7906328B"/>
    <w:multiLevelType w:val="hybridMultilevel"/>
    <w:lvl w:ilvl="0">
      <w:lvlJc w:val="left"/>
      <w:lvlText w:val="%1."/>
      <w:numFmt w:val="decimal"/>
      <w:start w:val="7"/>
    </w:lvl>
  </w:abstractNum>
  <w:abstractNum w:abstractNumId="311">
    <w:nsid w:val="72BBC16"/>
    <w:multiLevelType w:val="hybridMultilevel"/>
    <w:lvl w:ilvl="0">
      <w:lvlJc w:val="left"/>
      <w:lvlText w:val="-----"/>
      <w:numFmt w:val="bullet"/>
      <w:start w:val="1"/>
    </w:lvl>
  </w:abstractNum>
  <w:abstractNum w:abstractNumId="312">
    <w:nsid w:val="766D98C2"/>
    <w:multiLevelType w:val="hybridMultilevel"/>
    <w:lvl w:ilvl="0">
      <w:lvlJc w:val="left"/>
      <w:lvlText w:val="%1."/>
      <w:numFmt w:val="decimal"/>
      <w:start w:val="8"/>
    </w:lvl>
  </w:abstractNum>
  <w:abstractNum w:abstractNumId="313">
    <w:nsid w:val="3C09D4A1"/>
    <w:multiLevelType w:val="hybridMultilevel"/>
    <w:lvl w:ilvl="0">
      <w:lvlJc w:val="left"/>
      <w:lvlText w:val="%1."/>
      <w:numFmt w:val="decimal"/>
      <w:start w:val="10"/>
    </w:lvl>
  </w:abstractNum>
  <w:abstractNum w:abstractNumId="314">
    <w:nsid w:val="20E45CA4"/>
    <w:multiLevelType w:val="hybridMultilevel"/>
    <w:lvl w:ilvl="0">
      <w:lvlJc w:val="left"/>
      <w:lvlText w:val="%1."/>
      <w:numFmt w:val="decimal"/>
      <w:start w:val="11"/>
    </w:lvl>
  </w:abstractNum>
  <w:abstractNum w:abstractNumId="315">
    <w:nsid w:val="4B232EE3"/>
    <w:multiLevelType w:val="hybridMultilevel"/>
    <w:lvl w:ilvl="0">
      <w:lvlJc w:val="left"/>
      <w:lvlText w:val="$"/>
      <w:numFmt w:val="bullet"/>
      <w:start w:val="1"/>
    </w:lvl>
  </w:abstractNum>
  <w:abstractNum w:abstractNumId="316">
    <w:nsid w:val="159C74CF"/>
    <w:multiLevelType w:val="hybridMultilevel"/>
    <w:lvl w:ilvl="0">
      <w:lvlJc w:val="left"/>
      <w:lvlText w:val="$"/>
      <w:numFmt w:val="bullet"/>
      <w:start w:val="1"/>
    </w:lvl>
  </w:abstractNum>
  <w:abstractNum w:abstractNumId="317">
    <w:nsid w:val="4AD3AFD2"/>
    <w:multiLevelType w:val="hybridMultilevel"/>
    <w:lvl w:ilvl="0">
      <w:lvlJc w:val="left"/>
      <w:lvlText w:val="$"/>
      <w:numFmt w:val="bullet"/>
      <w:start w:val="1"/>
    </w:lvl>
  </w:abstractNum>
  <w:abstractNum w:abstractNumId="318">
    <w:nsid w:val="3CF93092"/>
    <w:multiLevelType w:val="hybridMultilevel"/>
    <w:lvl w:ilvl="0">
      <w:lvlJc w:val="left"/>
      <w:lvlText w:val="(%1)"/>
      <w:numFmt w:val="decimal"/>
      <w:start w:val="1"/>
    </w:lvl>
  </w:abstractNum>
  <w:abstractNum w:abstractNumId="319">
    <w:nsid w:val="6863E8D2"/>
    <w:multiLevelType w:val="hybridMultilevel"/>
    <w:lvl w:ilvl="0">
      <w:lvlJc w:val="left"/>
      <w:lvlText w:val="-----"/>
      <w:numFmt w:val="bullet"/>
      <w:start w:val="1"/>
    </w:lvl>
  </w:abstractNum>
  <w:abstractNum w:abstractNumId="320">
    <w:nsid w:val="76896198"/>
    <w:multiLevelType w:val="hybridMultilevel"/>
    <w:lvl w:ilvl="0">
      <w:lvlJc w:val="left"/>
      <w:lvlText w:val="(%1)"/>
      <w:numFmt w:val="decimal"/>
      <w:start w:val="1"/>
    </w:lvl>
  </w:abstractNum>
  <w:abstractNum w:abstractNumId="321">
    <w:nsid w:val="4365174B"/>
    <w:multiLevelType w:val="hybridMultilevel"/>
    <w:lvl w:ilvl="0">
      <w:lvlJc w:val="left"/>
      <w:lvlText w:val="%1."/>
      <w:numFmt w:val="upperLetter"/>
      <w:start w:val="12"/>
    </w:lvl>
  </w:abstractNum>
  <w:abstractNum w:abstractNumId="322">
    <w:nsid w:val="4A872C35"/>
    <w:multiLevelType w:val="hybridMultilevel"/>
    <w:lvl w:ilvl="0">
      <w:lvlJc w:val="left"/>
      <w:lvlText w:val="-----"/>
      <w:numFmt w:val="bullet"/>
      <w:start w:val="1"/>
    </w:lvl>
  </w:abstractNum>
  <w:abstractNum w:abstractNumId="323">
    <w:nsid w:val="5D5CE761"/>
    <w:multiLevelType w:val="hybridMultilevel"/>
    <w:lvl w:ilvl="0">
      <w:lvlJc w:val="left"/>
      <w:lvlText w:val="(%1)"/>
      <w:numFmt w:val="decimal"/>
      <w:start w:val="3"/>
    </w:lvl>
  </w:abstractNum>
  <w:abstractNum w:abstractNumId="324">
    <w:nsid w:val="1CD484D5"/>
    <w:multiLevelType w:val="hybridMultilevel"/>
    <w:lvl w:ilvl="0">
      <w:lvlJc w:val="left"/>
      <w:lvlText w:val="(%1)"/>
      <w:numFmt w:val="decimal"/>
      <w:start w:val="6"/>
    </w:lvl>
  </w:abstractNum>
  <w:abstractNum w:abstractNumId="325">
    <w:nsid w:val="21D06255"/>
    <w:multiLevelType w:val="hybridMultilevel"/>
    <w:lvl w:ilvl="0">
      <w:lvlJc w:val="left"/>
      <w:lvlText w:val="%1"/>
      <w:numFmt w:val="decimal"/>
      <w:start w:val="1"/>
    </w:lvl>
    <w:lvl w:ilvl="1">
      <w:lvlJc w:val="left"/>
      <w:lvlText w:val="(%2)"/>
      <w:numFmt w:val="decimal"/>
      <w:start w:val="6"/>
    </w:lvl>
  </w:abstractNum>
  <w:abstractNum w:abstractNumId="326">
    <w:nsid w:val="51194ED1"/>
    <w:multiLevelType w:val="hybridMultilevel"/>
    <w:lvl w:ilvl="0">
      <w:lvlJc w:val="left"/>
      <w:lvlText w:val="%1"/>
      <w:numFmt w:val="decimal"/>
      <w:start w:val="1"/>
    </w:lvl>
    <w:lvl w:ilvl="1">
      <w:lvlJc w:val="left"/>
      <w:lvlText w:val="(%2)"/>
      <w:numFmt w:val="decimal"/>
      <w:start w:val="6"/>
    </w:lvl>
  </w:abstractNum>
  <w:abstractNum w:abstractNumId="327">
    <w:nsid w:val="44E2ED6C"/>
    <w:multiLevelType w:val="hybridMultilevel"/>
    <w:lvl w:ilvl="0">
      <w:lvlJc w:val="left"/>
      <w:lvlText w:val="(%1)"/>
      <w:numFmt w:val="decimal"/>
      <w:start w:val="6"/>
    </w:lvl>
    <w:lvl w:ilvl="1">
      <w:lvlJc w:val="left"/>
      <w:lvlText w:val="%2"/>
      <w:numFmt w:val="decimal"/>
      <w:start w:val="1"/>
    </w:lvl>
  </w:abstractNum>
  <w:abstractNum w:abstractNumId="328">
    <w:nsid w:val="2219B33"/>
    <w:multiLevelType w:val="hybridMultilevel"/>
    <w:lvl w:ilvl="0">
      <w:lvlJc w:val="left"/>
      <w:lvlText w:val="-"/>
      <w:numFmt w:val="bullet"/>
      <w:start w:val="1"/>
    </w:lvl>
    <w:lvl w:ilvl="1">
      <w:lvlJc w:val="left"/>
      <w:lvlText w:val="&amp;"/>
      <w:numFmt w:val="bullet"/>
      <w:start w:val="1"/>
    </w:lvl>
  </w:abstractNum>
  <w:abstractNum w:abstractNumId="329">
    <w:nsid w:val="773BFBDD"/>
    <w:multiLevelType w:val="hybridMultilevel"/>
    <w:lvl w:ilvl="0">
      <w:lvlJc w:val="left"/>
      <w:lvlText w:val="(%1)"/>
      <w:numFmt w:val="decimal"/>
      <w:start w:val="6"/>
    </w:lvl>
  </w:abstractNum>
  <w:abstractNum w:abstractNumId="330">
    <w:nsid w:val="2C7C62C2"/>
    <w:multiLevelType w:val="hybridMultilevel"/>
    <w:lvl w:ilvl="0">
      <w:lvlJc w:val="left"/>
      <w:lvlText w:val="(%1)"/>
      <w:numFmt w:val="decimal"/>
      <w:start w:val="6"/>
    </w:lvl>
  </w:abstractNum>
  <w:abstractNum w:abstractNumId="331">
    <w:nsid w:val="1A54D7BC"/>
    <w:multiLevelType w:val="hybridMultilevel"/>
    <w:lvl w:ilvl="0">
      <w:lvlJc w:val="left"/>
      <w:lvlText w:val="&amp;"/>
      <w:numFmt w:val="bullet"/>
      <w:start w:val="1"/>
    </w:lvl>
  </w:abstractNum>
  <w:abstractNum w:abstractNumId="332">
    <w:nsid w:val="42E57EF7"/>
    <w:multiLevelType w:val="hybridMultilevel"/>
    <w:lvl w:ilvl="0">
      <w:lvlJc w:val="left"/>
      <w:lvlText w:val="(%1)"/>
      <w:numFmt w:val="decimal"/>
      <w:start w:val="6"/>
    </w:lvl>
  </w:abstractNum>
  <w:abstractNum w:abstractNumId="333">
    <w:nsid w:val="33537CED"/>
    <w:multiLevelType w:val="hybridMultilevel"/>
    <w:lvl w:ilvl="0">
      <w:lvlJc w:val="left"/>
      <w:lvlText w:val="(%1)"/>
      <w:numFmt w:val="decimal"/>
      <w:start w:val="6"/>
    </w:lvl>
  </w:abstractNum>
  <w:abstractNum w:abstractNumId="334">
    <w:nsid w:val="27514ADE"/>
    <w:multiLevelType w:val="hybridMultilevel"/>
    <w:lvl w:ilvl="0">
      <w:lvlJc w:val="left"/>
      <w:lvlText w:val="(%1)"/>
      <w:numFmt w:val="decimal"/>
      <w:start w:val="1"/>
    </w:lvl>
  </w:abstractNum>
  <w:abstractNum w:abstractNumId="335">
    <w:nsid w:val="57071613"/>
    <w:multiLevelType w:val="hybridMultilevel"/>
    <w:lvl w:ilvl="0">
      <w:lvlJc w:val="left"/>
      <w:lvlText w:val="(%1)"/>
      <w:numFmt w:val="lowerLetter"/>
      <w:start w:val="1"/>
    </w:lvl>
  </w:abstractNum>
  <w:abstractNum w:abstractNumId="336">
    <w:nsid w:val="5293BFEF"/>
    <w:multiLevelType w:val="hybridMultilevel"/>
    <w:lvl w:ilvl="0">
      <w:lvlJc w:val="left"/>
      <w:lvlText w:val="(%1)"/>
      <w:numFmt w:val="lowerLetter"/>
      <w:start w:val="4"/>
    </w:lvl>
  </w:abstractNum>
  <w:abstractNum w:abstractNumId="337">
    <w:nsid w:val="38BF53E5"/>
    <w:multiLevelType w:val="hybridMultilevel"/>
    <w:lvl w:ilvl="0">
      <w:lvlJc w:val="left"/>
      <w:lvlText w:val="----"/>
      <w:numFmt w:val="bullet"/>
      <w:start w:val="1"/>
    </w:lvl>
    <w:lvl w:ilvl="1">
      <w:lvlJc w:val="left"/>
      <w:lvlText w:val="---"/>
      <w:numFmt w:val="bullet"/>
      <w:start w:val="1"/>
    </w:lvl>
  </w:abstractNum>
  <w:abstractNum w:abstractNumId="338">
    <w:nsid w:val="226F5320"/>
    <w:multiLevelType w:val="hybridMultilevel"/>
    <w:lvl w:ilvl="0">
      <w:lvlJc w:val="left"/>
      <w:lvlText w:val="*"/>
      <w:numFmt w:val="bullet"/>
      <w:start w:val="1"/>
    </w:lvl>
    <w:lvl w:ilvl="1">
      <w:lvlJc w:val="left"/>
      <w:lvlText w:val="%2."/>
      <w:numFmt w:val="upperLetter"/>
      <w:start w:val="19"/>
    </w:lvl>
    <w:lvl w:ilvl="2">
      <w:lvlJc w:val="left"/>
      <w:lvlText w:val="---"/>
      <w:numFmt w:val="bullet"/>
      <w:start w:val="1"/>
    </w:lvl>
  </w:abstractNum>
  <w:abstractNum w:abstractNumId="339">
    <w:nsid w:val="5A0201C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0">
    <w:nsid w:val="2A9C34E2"/>
    <w:multiLevelType w:val="hybridMultilevel"/>
    <w:lvl w:ilvl="0">
      <w:lvlJc w:val="left"/>
      <w:lvlText w:val="---"/>
      <w:numFmt w:val="bullet"/>
      <w:start w:val="1"/>
    </w:lvl>
  </w:abstractNum>
  <w:abstractNum w:abstractNumId="341">
    <w:nsid w:val="1B7585AB"/>
    <w:multiLevelType w:val="hybridMultilevel"/>
    <w:lvl w:ilvl="0">
      <w:lvlJc w:val="left"/>
      <w:lvlText w:val="---"/>
      <w:numFmt w:val="bullet"/>
      <w:start w:val="1"/>
    </w:lvl>
  </w:abstractNum>
  <w:abstractNum w:abstractNumId="342">
    <w:nsid w:val="612DBDDD"/>
    <w:multiLevelType w:val="hybridMultilevel"/>
    <w:lvl w:ilvl="0">
      <w:lvlJc w:val="left"/>
      <w:lvlText w:val="*"/>
      <w:numFmt w:val="bullet"/>
      <w:start w:val="1"/>
    </w:lvl>
    <w:lvl w:ilvl="1">
      <w:lvlJc w:val="left"/>
      <w:lvlText w:val="---"/>
      <w:numFmt w:val="bullet"/>
      <w:start w:val="1"/>
    </w:lvl>
  </w:abstractNum>
  <w:abstractNum w:abstractNumId="343">
    <w:nsid w:val="2109CDA4"/>
    <w:multiLevelType w:val="hybridMultilevel"/>
    <w:lvl w:ilvl="0">
      <w:lvlJc w:val="left"/>
      <w:lvlText w:val="----"/>
      <w:numFmt w:val="bullet"/>
      <w:start w:val="1"/>
    </w:lvl>
  </w:abstractNum>
  <w:abstractNum w:abstractNumId="344">
    <w:nsid w:val="577F5A4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5">
    <w:nsid w:val="2121A81"/>
    <w:multiLevelType w:val="hybridMultilevel"/>
    <w:lvl w:ilvl="0">
      <w:lvlJc w:val="left"/>
      <w:lvlText w:val="----"/>
      <w:numFmt w:val="bullet"/>
      <w:start w:val="1"/>
    </w:lvl>
  </w:abstractNum>
  <w:abstractNum w:abstractNumId="346">
    <w:nsid w:val="6C2CFC88"/>
    <w:multiLevelType w:val="hybridMultilevel"/>
    <w:lvl w:ilvl="0">
      <w:lvlJc w:val="left"/>
      <w:lvlText w:val="%1"/>
      <w:numFmt w:val="upperLetter"/>
      <w:start w:val="1"/>
    </w:lvl>
    <w:lvl w:ilvl="1">
      <w:lvlJc w:val="left"/>
      <w:lvlText w:val="%2."/>
      <w:numFmt w:val="upperLetter"/>
      <w:start w:val="13"/>
    </w:lvl>
  </w:abstractNum>
  <w:abstractNum w:abstractNumId="347">
    <w:nsid w:val="6D1BCF1C"/>
    <w:multiLevelType w:val="hybridMultilevel"/>
    <w:lvl w:ilvl="0">
      <w:lvlJc w:val="left"/>
      <w:lvlText w:val="---"/>
      <w:numFmt w:val="bullet"/>
      <w:start w:val="1"/>
    </w:lvl>
    <w:lvl w:ilvl="1">
      <w:lvlJc w:val="left"/>
      <w:lvlText w:val="%2"/>
      <w:numFmt w:val="upperLetter"/>
      <w:start w:val="1"/>
    </w:lvl>
  </w:abstractNum>
  <w:abstractNum w:abstractNumId="348">
    <w:nsid w:val="4CE5CA53"/>
    <w:multiLevelType w:val="hybridMultilevel"/>
    <w:lvl w:ilvl="0">
      <w:lvlJc w:val="left"/>
      <w:lvlText w:val="---"/>
      <w:numFmt w:val="bullet"/>
      <w:start w:val="1"/>
    </w:lvl>
    <w:lvl w:ilvl="1">
      <w:lvlJc w:val="left"/>
      <w:lvlText w:val="%2"/>
      <w:numFmt w:val="upperLetter"/>
      <w:start w:val="1"/>
    </w:lvl>
  </w:abstractNum>
  <w:abstractNum w:abstractNumId="349">
    <w:nsid w:val="29262D1A"/>
    <w:multiLevelType w:val="hybridMultilevel"/>
    <w:lvl w:ilvl="0">
      <w:lvlJc w:val="left"/>
      <w:lvlText w:val="----"/>
      <w:numFmt w:val="bullet"/>
      <w:start w:val="1"/>
    </w:lvl>
    <w:lvl w:ilvl="1">
      <w:lvlJc w:val="left"/>
      <w:lvlText w:val="---"/>
      <w:numFmt w:val="bullet"/>
      <w:start w:val="1"/>
    </w:lvl>
  </w:abstractNum>
  <w:abstractNum w:abstractNumId="350">
    <w:nsid w:val="557FB7EE"/>
    <w:multiLevelType w:val="hybridMultilevel"/>
    <w:lvl w:ilvl="0">
      <w:lvlJc w:val="left"/>
      <w:lvlText w:val="%1"/>
      <w:numFmt w:val="upperLetter"/>
      <w:start w:val="1"/>
    </w:lvl>
    <w:lvl w:ilvl="1">
      <w:lvlJc w:val="left"/>
      <w:lvlText w:val="%2."/>
      <w:numFmt w:val="upperLetter"/>
      <w:start w:val="19"/>
    </w:lvl>
  </w:abstractNum>
  <w:abstractNum w:abstractNumId="351">
    <w:nsid w:val="436F2BEB"/>
    <w:multiLevelType w:val="hybridMultilevel"/>
    <w:lvl w:ilvl="0">
      <w:lvlJc w:val="left"/>
      <w:lvlText w:val="%1."/>
      <w:numFmt w:val="upperLetter"/>
      <w:start w:val="18"/>
    </w:lvl>
  </w:abstractNum>
  <w:abstractNum w:abstractNumId="352">
    <w:nsid w:val="6C8B4466"/>
    <w:multiLevelType w:val="hybridMultilevel"/>
    <w:lvl w:ilvl="0">
      <w:lvlJc w:val="left"/>
      <w:lvlText w:val="----"/>
      <w:numFmt w:val="bullet"/>
      <w:start w:val="1"/>
    </w:lvl>
  </w:abstractNum>
  <w:abstractNum w:abstractNumId="353">
    <w:nsid w:val="2006E424"/>
    <w:multiLevelType w:val="hybridMultilevel"/>
    <w:lvl w:ilvl="0">
      <w:lvlJc w:val="left"/>
      <w:lvlText w:val="%1"/>
      <w:numFmt w:val="upperLetter"/>
      <w:start w:val="1"/>
    </w:lvl>
    <w:lvl w:ilvl="1">
      <w:lvlJc w:val="left"/>
      <w:lvlText w:val="---"/>
      <w:numFmt w:val="bullet"/>
      <w:start w:val="1"/>
    </w:lvl>
  </w:abstractNum>
  <w:abstractNum w:abstractNumId="354">
    <w:nsid w:val="20CC134C"/>
    <w:multiLevelType w:val="hybridMultilevel"/>
    <w:lvl w:ilvl="0">
      <w:lvlJc w:val="left"/>
      <w:lvlText w:val="%1."/>
      <w:numFmt w:val="upperLetter"/>
      <w:start w:val="10"/>
    </w:lvl>
  </w:abstractNum>
  <w:abstractNum w:abstractNumId="355">
    <w:nsid w:val="95FC93B"/>
    <w:multiLevelType w:val="hybridMultilevel"/>
    <w:lvl w:ilvl="0">
      <w:lvlJc w:val="left"/>
      <w:lvlText w:val="----"/>
      <w:numFmt w:val="bullet"/>
      <w:start w:val="1"/>
    </w:lvl>
  </w:abstractNum>
  <w:abstractNum w:abstractNumId="356">
    <w:nsid w:val="41D74679"/>
    <w:multiLevelType w:val="hybridMultilevel"/>
    <w:lvl w:ilvl="0">
      <w:lvlJc w:val="left"/>
      <w:lvlText w:val="----"/>
      <w:numFmt w:val="bullet"/>
      <w:start w:val="1"/>
    </w:lvl>
  </w:abstractNum>
  <w:abstractNum w:abstractNumId="357">
    <w:nsid w:val="71E5621E"/>
    <w:multiLevelType w:val="hybridMultilevel"/>
    <w:lvl w:ilvl="0">
      <w:lvlJc w:val="left"/>
      <w:lvlText w:val="--"/>
      <w:numFmt w:val="bullet"/>
      <w:start w:val="1"/>
    </w:lvl>
  </w:abstractNum>
  <w:abstractNum w:abstractNumId="358">
    <w:nsid w:val="4E42B6A8"/>
    <w:multiLevelType w:val="hybridMultilevel"/>
    <w:lvl w:ilvl="0">
      <w:lvlJc w:val="left"/>
      <w:lvlText w:val="-----"/>
      <w:numFmt w:val="bullet"/>
      <w:start w:val="1"/>
    </w:lvl>
  </w:abstractNum>
  <w:abstractNum w:abstractNumId="359">
    <w:nsid w:val="43F8E1AC"/>
    <w:multiLevelType w:val="hybridMultilevel"/>
    <w:lvl w:ilvl="0">
      <w:lvlJc w:val="left"/>
      <w:lvlText w:val="(%1)"/>
      <w:numFmt w:val="decimal"/>
      <w:start w:val="1"/>
    </w:lvl>
  </w:abstractNum>
  <w:abstractNum w:abstractNumId="360">
    <w:nsid w:val="69215DFB"/>
    <w:multiLevelType w:val="hybridMultilevel"/>
    <w:lvl w:ilvl="0">
      <w:lvlJc w:val="left"/>
      <w:lvlText w:val="%1."/>
      <w:numFmt w:val="upperLetter"/>
      <w:start w:val="12"/>
    </w:lvl>
  </w:abstractNum>
  <w:abstractNum w:abstractNumId="361">
    <w:nsid w:val="7ABF196A"/>
    <w:multiLevelType w:val="hybridMultilevel"/>
    <w:lvl w:ilvl="0">
      <w:lvlJc w:val="left"/>
      <w:lvlText w:val="(%1)"/>
      <w:numFmt w:val="decimal"/>
      <w:start w:val="1"/>
    </w:lvl>
  </w:abstractNum>
  <w:abstractNum w:abstractNumId="362">
    <w:nsid w:val="5E4DB968"/>
    <w:multiLevelType w:val="hybridMultilevel"/>
    <w:lvl w:ilvl="0">
      <w:lvlJc w:val="left"/>
      <w:lvlText w:val="(%1)"/>
      <w:numFmt w:val="decimal"/>
      <w:start w:val="4"/>
    </w:lvl>
  </w:abstractNum>
  <w:abstractNum w:abstractNumId="363">
    <w:nsid w:val="2C06DCF3"/>
    <w:multiLevelType w:val="hybridMultilevel"/>
    <w:lvl w:ilvl="0">
      <w:lvlJc w:val="left"/>
      <w:lvlText w:val="(%1)"/>
      <w:numFmt w:val="decimal"/>
      <w:start w:val="4"/>
    </w:lvl>
  </w:abstractNum>
  <w:abstractNum w:abstractNumId="364">
    <w:nsid w:val="2E129658"/>
    <w:multiLevelType w:val="hybridMultilevel"/>
    <w:lvl w:ilvl="0">
      <w:lvlJc w:val="left"/>
      <w:lvlText w:val="(%1)"/>
      <w:numFmt w:val="decimal"/>
      <w:start w:val="6"/>
    </w:lvl>
  </w:abstractNum>
  <w:abstractNum w:abstractNumId="365">
    <w:nsid w:val="59F0446"/>
    <w:multiLevelType w:val="hybridMultilevel"/>
    <w:lvl w:ilvl="0">
      <w:lvlJc w:val="left"/>
      <w:lvlText w:val="-"/>
      <w:numFmt w:val="bullet"/>
      <w:start w:val="1"/>
    </w:lvl>
    <w:lvl w:ilvl="1">
      <w:lvlJc w:val="left"/>
      <w:lvlText w:val="&amp;"/>
      <w:numFmt w:val="bullet"/>
      <w:start w:val="1"/>
    </w:lvl>
  </w:abstractNum>
  <w:abstractNum w:abstractNumId="366">
    <w:nsid w:val="30DF306"/>
    <w:multiLevelType w:val="hybridMultilevel"/>
    <w:lvl w:ilvl="0">
      <w:lvlJc w:val="left"/>
      <w:lvlText w:val="&amp;"/>
      <w:numFmt w:val="bullet"/>
      <w:start w:val="1"/>
    </w:lvl>
    <w:lvl w:ilvl="1">
      <w:lvlJc w:val="left"/>
      <w:lvlText w:val="(%2)"/>
      <w:numFmt w:val="decimal"/>
      <w:start w:val="6"/>
    </w:lvl>
  </w:abstractNum>
  <w:abstractNum w:abstractNumId="367">
    <w:nsid w:val="A65647"/>
    <w:multiLevelType w:val="hybridMultilevel"/>
    <w:lvl w:ilvl="0">
      <w:lvlJc w:val="left"/>
      <w:lvlText w:val="&amp;"/>
      <w:numFmt w:val="bullet"/>
      <w:start w:val="1"/>
    </w:lvl>
    <w:lvl w:ilvl="1">
      <w:lvlJc w:val="left"/>
      <w:lvlText w:val="(%2)"/>
      <w:numFmt w:val="decimal"/>
      <w:start w:val="6"/>
    </w:lvl>
  </w:abstractNum>
  <w:abstractNum w:abstractNumId="368">
    <w:nsid w:val="3E5E582B"/>
    <w:multiLevelType w:val="hybridMultilevel"/>
    <w:lvl w:ilvl="0">
      <w:lvlJc w:val="left"/>
      <w:lvlText w:val="-----"/>
      <w:numFmt w:val="bullet"/>
      <w:start w:val="1"/>
    </w:lvl>
  </w:abstractNum>
  <w:abstractNum w:abstractNumId="369">
    <w:nsid w:val="257D4626"/>
    <w:multiLevelType w:val="hybridMultilevel"/>
    <w:lvl w:ilvl="0">
      <w:lvlJc w:val="left"/>
      <w:lvlText w:val="(%1)"/>
      <w:numFmt w:val="decimal"/>
      <w:start w:val="6"/>
    </w:lvl>
  </w:abstractNum>
  <w:abstractNum w:abstractNumId="370">
    <w:nsid w:val="5AA8580E"/>
    <w:multiLevelType w:val="hybridMultilevel"/>
    <w:lvl w:ilvl="0">
      <w:lvlJc w:val="left"/>
      <w:lvlText w:val="(%1)"/>
      <w:numFmt w:val="decimal"/>
      <w:start w:val="1"/>
    </w:lvl>
  </w:abstractNum>
  <w:abstractNum w:abstractNumId="371">
    <w:nsid w:val="68FA8D0D"/>
    <w:multiLevelType w:val="hybridMultilevel"/>
    <w:lvl w:ilvl="0">
      <w:lvlJc w:val="left"/>
      <w:lvlText w:val="%1."/>
      <w:numFmt w:val="decimal"/>
      <w:start w:val="1"/>
    </w:lvl>
    <w:lvl w:ilvl="1">
      <w:lvlJc w:val="left"/>
      <w:lvlText w:val="(%2)"/>
      <w:numFmt w:val="lowerRoman"/>
      <w:start w:val="1"/>
    </w:lvl>
  </w:abstractNum>
  <w:abstractNum w:abstractNumId="372">
    <w:nsid w:val="40F2CBD2"/>
    <w:multiLevelType w:val="hybridMultilevel"/>
    <w:lvl w:ilvl="0">
      <w:lvlJc w:val="left"/>
      <w:lvlText w:val="%1."/>
      <w:numFmt w:val="decimal"/>
      <w:start w:val="2"/>
    </w:lvl>
  </w:abstractNum>
  <w:abstractNum w:abstractNumId="373">
    <w:nsid w:val="3BD615EB"/>
    <w:multiLevelType w:val="hybridMultilevel"/>
    <w:lvl w:ilvl="0">
      <w:lvlJc w:val="left"/>
      <w:lvlText w:val="%1."/>
      <w:numFmt w:val="decimal"/>
      <w:start w:val="3"/>
    </w:lvl>
  </w:abstractNum>
  <w:abstractNum w:abstractNumId="374">
    <w:nsid w:val="A045AB2"/>
    <w:multiLevelType w:val="hybridMultilevel"/>
    <w:lvl w:ilvl="0">
      <w:lvlJc w:val="left"/>
      <w:lvlText w:val="%1"/>
      <w:numFmt w:val="decimal"/>
      <w:start w:val="1"/>
    </w:lvl>
    <w:lvl w:ilvl="1">
      <w:lvlJc w:val="left"/>
      <w:lvlText w:val="(%2)"/>
      <w:numFmt w:val="upperLetter"/>
      <w:start w:val="61"/>
    </w:lvl>
  </w:abstractNum>
  <w:abstractNum w:abstractNumId="375">
    <w:nsid w:val="1872261F"/>
    <w:multiLevelType w:val="hybridMultilevel"/>
    <w:lvl w:ilvl="0">
      <w:lvlJc w:val="left"/>
      <w:lvlText w:val="%1."/>
      <w:numFmt w:val="decimal"/>
      <w:start w:val="5"/>
    </w:lvl>
    <w:lvl w:ilvl="1">
      <w:lvlJc w:val="left"/>
      <w:lvlText w:val="%2"/>
      <w:numFmt w:val="upperLetter"/>
      <w:start w:val="1"/>
    </w:lvl>
  </w:abstractNum>
  <w:abstractNum w:abstractNumId="376">
    <w:nsid w:val="3DE8306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2"/>
    </w:lvl>
  </w:abstractNum>
  <w:abstractNum w:abstractNumId="377">
    <w:nsid w:val="763157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8">
    <w:nsid w:val="58DF5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9">
    <w:nsid w:val="ACDFAC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80">
    <w:nsid w:val="1F578454"/>
    <w:multiLevelType w:val="hybridMultilevel"/>
    <w:lvl w:ilvl="0">
      <w:lvlJc w:val="left"/>
      <w:lvlText w:val="%1"/>
      <w:numFmt w:val="upperLetter"/>
      <w:start w:val="1"/>
    </w:lvl>
    <w:lvl w:ilvl="1">
      <w:lvlJc w:val="left"/>
      <w:lvlText w:val="(%2)"/>
      <w:numFmt w:val="lowerRoman"/>
      <w:start w:val="2"/>
    </w:lvl>
  </w:abstractNum>
  <w:abstractNum w:abstractNumId="381">
    <w:nsid w:val="5B0DAD2A"/>
    <w:multiLevelType w:val="hybridMultilevel"/>
    <w:lvl w:ilvl="0">
      <w:lvlJc w:val="left"/>
      <w:lvlText w:val="(%1)"/>
      <w:numFmt w:val="upperLetter"/>
      <w:start w:val="2"/>
    </w:lvl>
    <w:lvl w:ilvl="1">
      <w:lvlJc w:val="left"/>
      <w:lvlText w:val="(%2)"/>
      <w:numFmt w:val="lowerRoman"/>
      <w:start w:val="3"/>
    </w:lvl>
  </w:abstractNum>
  <w:abstractNum w:abstractNumId="382">
    <w:nsid w:val="4E3D26AB"/>
    <w:multiLevelType w:val="hybridMultilevel"/>
    <w:lvl w:ilvl="0">
      <w:lvlJc w:val="left"/>
      <w:lvlText w:val="%1"/>
      <w:numFmt w:val="lowerRoman"/>
      <w:start w:val="1"/>
    </w:lvl>
    <w:lvl w:ilvl="1">
      <w:lvlJc w:val="left"/>
      <w:lvlText w:val="(%2)"/>
      <w:numFmt w:val="lowerRoman"/>
      <w:start w:val="5"/>
    </w:lvl>
  </w:abstractNum>
  <w:abstractNum w:abstractNumId="383">
    <w:nsid w:val="BE2C8BA"/>
    <w:multiLevelType w:val="hybridMultilevel"/>
    <w:lvl w:ilvl="0">
      <w:lvlJc w:val="left"/>
      <w:lvlText w:val="(%1)"/>
      <w:numFmt w:val="lowerRoman"/>
      <w:start w:val="1"/>
    </w:lvl>
    <w:lvl w:ilvl="1">
      <w:lvlJc w:val="left"/>
      <w:lvlText w:val="%2"/>
      <w:numFmt w:val="lowerRoman"/>
      <w:start w:val="1"/>
    </w:lvl>
  </w:abstractNum>
  <w:abstractNum w:abstractNumId="384">
    <w:nsid w:val="7B14914E"/>
    <w:multiLevelType w:val="hybridMultilevel"/>
    <w:lvl w:ilvl="0">
      <w:lvlJc w:val="left"/>
      <w:lvlText w:val="(%1)"/>
      <w:numFmt w:val="lowerRoman"/>
      <w:start w:val="6"/>
    </w:lvl>
  </w:abstractNum>
  <w:abstractNum w:abstractNumId="385">
    <w:nsid w:val="6F0939F8"/>
    <w:multiLevelType w:val="hybridMultilevel"/>
    <w:lvl w:ilvl="0">
      <w:lvlJc w:val="left"/>
      <w:lvlText w:val="(%1)"/>
      <w:numFmt w:val="lowerRoman"/>
      <w:start w:val="11"/>
    </w:lvl>
  </w:abstractNum>
  <w:abstractNum w:abstractNumId="386">
    <w:nsid w:val="154291F6"/>
    <w:multiLevelType w:val="hybridMultilevel"/>
    <w:lvl w:ilvl="0">
      <w:lvlJc w:val="left"/>
      <w:lvlText w:val="%1"/>
      <w:numFmt w:val="lowerLetter"/>
      <w:start w:val="1"/>
    </w:lvl>
    <w:lvl w:ilvl="1">
      <w:lvlJc w:val="left"/>
      <w:lvlText w:val="(%2)"/>
      <w:numFmt w:val="lowerRoman"/>
      <w:start w:val="16"/>
    </w:lvl>
  </w:abstractNum>
  <w:abstractNum w:abstractNumId="387">
    <w:nsid w:val="3CEBD7C7"/>
    <w:multiLevelType w:val="hybridMultilevel"/>
    <w:lvl w:ilvl="0">
      <w:lvlJc w:val="left"/>
      <w:lvlText w:val="%1)"/>
      <w:numFmt w:val="lowerLetter"/>
      <w:start w:val="2"/>
    </w:lvl>
    <w:lvl w:ilvl="1">
      <w:lvlJc w:val="left"/>
      <w:lvlText w:val="(%2)"/>
      <w:numFmt w:val="lowerRoman"/>
      <w:start w:val="1"/>
    </w:lvl>
  </w:abstractNum>
  <w:abstractNum w:abstractNumId="388">
    <w:nsid w:val="60EE9C16"/>
    <w:multiLevelType w:val="hybridMultilevel"/>
    <w:lvl w:ilvl="0">
      <w:lvlJc w:val="left"/>
      <w:lvlText w:val="(%1)"/>
      <w:numFmt w:val="lowerRoman"/>
      <w:start w:val="4"/>
    </w:lvl>
  </w:abstractNum>
  <w:abstractNum w:abstractNumId="389">
    <w:nsid w:val="6385489E"/>
    <w:multiLevelType w:val="hybridMultilevel"/>
    <w:lvl w:ilvl="0">
      <w:lvlJc w:val="left"/>
      <w:lvlText w:val="%1"/>
      <w:numFmt w:val="lowerRoman"/>
      <w:start w:val="1"/>
    </w:lvl>
    <w:lvl w:ilvl="1">
      <w:lvlJc w:val="left"/>
      <w:lvlText w:val="(%2)"/>
      <w:numFmt w:val="lowerRoman"/>
      <w:start w:val="5"/>
    </w:lvl>
    <w:lvl w:ilvl="2">
      <w:lvlJc w:val="left"/>
      <w:lvlText w:val="%3"/>
      <w:numFmt w:val="lowerRoman"/>
      <w:start w:val="1"/>
    </w:lvl>
  </w:abstractNum>
  <w:abstractNum w:abstractNumId="390">
    <w:nsid w:val="E4B973"/>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6"/>
    </w:lvl>
  </w:abstractNum>
  <w:abstractNum w:abstractNumId="391">
    <w:nsid w:val="4A0FFA11"/>
    <w:multiLevelType w:val="hybridMultilevel"/>
    <w:lvl w:ilvl="0">
      <w:lvlJc w:val="left"/>
      <w:lvlText w:val="(%1)"/>
      <w:numFmt w:val="lowerRoman"/>
      <w:start w:val="2"/>
    </w:lvl>
    <w:lvl w:ilvl="1">
      <w:lvlJc w:val="left"/>
      <w:lvlText w:val="(%2)"/>
      <w:numFmt w:val="lowerRoman"/>
      <w:start w:val="7"/>
    </w:lvl>
    <w:lvl w:ilvl="2">
      <w:lvlJc w:val="left"/>
      <w:lvlText w:val="%3"/>
      <w:numFmt w:val="lowerRoman"/>
      <w:start w:val="1"/>
    </w:lvl>
  </w:abstractNum>
  <w:abstractNum w:abstractNumId="392">
    <w:nsid w:val="5E446208"/>
    <w:multiLevelType w:val="hybridMultilevel"/>
    <w:lvl w:ilvl="0">
      <w:lvlJc w:val="left"/>
      <w:lvlText w:val="(%1)"/>
      <w:numFmt w:val="lowerRoman"/>
      <w:start w:val="8"/>
    </w:lvl>
  </w:abstractNum>
  <w:abstractNum w:abstractNumId="393">
    <w:nsid w:val="5F3272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394">
    <w:nsid w:val="7616D70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3"/>
    </w:lvl>
  </w:abstractNum>
  <w:abstractNum w:abstractNumId="395">
    <w:nsid w:val="C56F860"/>
    <w:multiLevelType w:val="hybridMultilevel"/>
    <w:lvl w:ilvl="0">
      <w:lvlJc w:val="left"/>
      <w:lvlText w:val="%1"/>
      <w:numFmt w:val="decimal"/>
      <w:start w:val="1"/>
    </w:lvl>
    <w:lvl w:ilvl="1">
      <w:lvlJc w:val="left"/>
      <w:lvlText w:val="%2)"/>
      <w:numFmt w:val="lowerLetter"/>
      <w:start w:val="5"/>
    </w:lvl>
  </w:abstractNum>
  <w:abstractNum w:abstractNumId="396">
    <w:nsid w:val="64D17722"/>
    <w:multiLevelType w:val="hybridMultilevel"/>
    <w:lvl w:ilvl="0">
      <w:lvlJc w:val="left"/>
      <w:lvlText w:val="%1."/>
      <w:numFmt w:val="decimal"/>
      <w:start w:val="11"/>
    </w:lvl>
    <w:lvl w:ilvl="1">
      <w:lvlJc w:val="left"/>
      <w:lvlText w:val="%2"/>
      <w:numFmt w:val="lowerLetter"/>
      <w:start w:val="1"/>
    </w:lvl>
  </w:abstractNum>
  <w:abstractNum w:abstractNumId="397">
    <w:nsid w:val="7924CA0A"/>
    <w:multiLevelType w:val="hybridMultilevel"/>
    <w:lvl w:ilvl="0">
      <w:lvlJc w:val="left"/>
      <w:lvlText w:val="%1."/>
      <w:numFmt w:val="decimal"/>
      <w:start w:val="13"/>
    </w:lvl>
    <w:lvl w:ilvl="1">
      <w:lvlJc w:val="left"/>
      <w:lvlText w:val="%2)"/>
      <w:numFmt w:val="lowerLetter"/>
      <w:start w:val="1"/>
    </w:lvl>
  </w:abstractNum>
  <w:abstractNum w:abstractNumId="398">
    <w:nsid w:val="CFD4EA7"/>
    <w:multiLevelType w:val="hybridMultilevel"/>
    <w:lvl w:ilvl="0">
      <w:lvlJc w:val="left"/>
      <w:lvlText w:val="%1."/>
      <w:numFmt w:val="decimal"/>
      <w:start w:val="16"/>
    </w:lvl>
  </w:abstractNum>
  <w:abstractNum w:abstractNumId="399">
    <w:nsid w:val="232FCF4D"/>
    <w:multiLevelType w:val="hybridMultilevel"/>
    <w:lvl w:ilvl="0">
      <w:lvlJc w:val="left"/>
      <w:lvlText w:val="%1."/>
      <w:numFmt w:val="decimal"/>
      <w:start w:val="17"/>
    </w:lvl>
  </w:abstractNum>
  <w:abstractNum w:abstractNumId="400">
    <w:nsid w:val="1EA21031"/>
    <w:multiLevelType w:val="hybridMultilevel"/>
    <w:lvl w:ilvl="0">
      <w:lvlJc w:val="left"/>
      <w:lvlText w:val="%1."/>
      <w:numFmt w:val="decimal"/>
      <w:start w:val="24"/>
    </w:lvl>
  </w:abstractNum>
  <w:abstractNum w:abstractNumId="401">
    <w:nsid w:val="67A5A6B5"/>
    <w:multiLevelType w:val="hybridMultilevel"/>
    <w:lvl w:ilvl="0">
      <w:lvlJc w:val="left"/>
      <w:lvlText w:val="%1."/>
      <w:numFmt w:val="decimal"/>
      <w:start w:val="1"/>
    </w:lvl>
  </w:abstractNum>
  <w:abstractNum w:abstractNumId="402">
    <w:nsid w:val="C2A5C5B"/>
    <w:multiLevelType w:val="hybridMultilevel"/>
    <w:lvl w:ilvl="0">
      <w:lvlJc w:val="left"/>
      <w:lvlText w:val="%1."/>
      <w:numFmt w:val="decimal"/>
      <w:start w:val="1"/>
    </w:lvl>
  </w:abstractNum>
  <w:abstractNum w:abstractNumId="403">
    <w:nsid w:val="5F94DC03"/>
    <w:multiLevelType w:val="hybridMultilevel"/>
    <w:lvl w:ilvl="0">
      <w:lvlJc w:val="left"/>
      <w:lvlText w:val="%1."/>
      <w:numFmt w:val="decimal"/>
      <w:start w:val="2"/>
    </w:lvl>
  </w:abstractNum>
  <w:abstractNum w:abstractNumId="404">
    <w:nsid w:val="237BBCA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2019-12-15T06:49:16Z</dcterms:created>
  <dcterms:modified xsi:type="dcterms:W3CDTF">2019-12-15T06:49:16Z</dcterms:modified>
</cp:coreProperties>
</file>