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586105</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8"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102235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91" w:lineRule="exact"/>
        <w:rPr>
          <w:sz w:val="24"/>
          <w:szCs w:val="24"/>
          <w:color w:val="auto"/>
        </w:rPr>
      </w:pPr>
    </w:p>
    <w:tbl>
      <w:tblPr>
        <w:tblLayout w:type="fixed"/>
        <w:tblInd w:w="700" w:type="dxa"/>
        <w:tblCellMar>
          <w:top w:w="0" w:type="dxa"/>
          <w:left w:w="0" w:type="dxa"/>
          <w:bottom w:w="0" w:type="dxa"/>
          <w:right w:w="0" w:type="dxa"/>
        </w:tblCellMar>
      </w:tblPr>
      <w:tr>
        <w:trPr>
          <w:trHeight w:val="359"/>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FORM 8-K</w:t>
            </w:r>
          </w:p>
        </w:tc>
      </w:tr>
      <w:tr>
        <w:trPr>
          <w:trHeight w:val="397"/>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CURRENT REPORT</w:t>
            </w:r>
          </w:p>
        </w:tc>
      </w:tr>
      <w:tr>
        <w:trPr>
          <w:trHeight w:val="324"/>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tc>
      </w:tr>
      <w:tr>
        <w:trPr>
          <w:trHeight w:val="326"/>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7"/>
                <w:szCs w:val="27"/>
                <w:b w:val="1"/>
                <w:bCs w:val="1"/>
                <w:color w:val="auto"/>
                <w:w w:val="99"/>
              </w:rPr>
              <w:t>Securities Exchange Act of 1934</w:t>
            </w:r>
          </w:p>
        </w:tc>
      </w:tr>
      <w:tr>
        <w:trPr>
          <w:trHeight w:val="234"/>
        </w:trPr>
        <w:tc>
          <w:tcPr>
            <w:tcW w:w="2520" w:type="dxa"/>
            <w:vAlign w:val="bottom"/>
          </w:tcPr>
          <w:p>
            <w:pPr>
              <w:spacing w:after="0"/>
              <w:rPr>
                <w:sz w:val="20"/>
                <w:szCs w:val="20"/>
                <w:color w:val="auto"/>
              </w:rPr>
            </w:pPr>
          </w:p>
        </w:tc>
        <w:tc>
          <w:tcPr>
            <w:tcW w:w="7140" w:type="dxa"/>
            <w:vAlign w:val="bottom"/>
          </w:tcPr>
          <w:p>
            <w:pPr>
              <w:jc w:val="center"/>
              <w:ind w:right="222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July 23, 2024</w:t>
            </w:r>
          </w:p>
        </w:tc>
      </w:tr>
      <w:tr>
        <w:trPr>
          <w:trHeight w:val="450"/>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29"/>
                <w:szCs w:val="29"/>
                <w:b w:val="1"/>
                <w:bCs w:val="1"/>
                <w:color w:val="auto"/>
                <w:w w:val="99"/>
              </w:rPr>
              <w:t>Comcast Corporation</w:t>
            </w:r>
          </w:p>
        </w:tc>
      </w:tr>
      <w:tr>
        <w:trPr>
          <w:trHeight w:val="144"/>
        </w:trPr>
        <w:tc>
          <w:tcPr>
            <w:tcW w:w="2520" w:type="dxa"/>
            <w:vAlign w:val="bottom"/>
          </w:tcPr>
          <w:p>
            <w:pPr>
              <w:spacing w:after="0"/>
              <w:rPr>
                <w:sz w:val="12"/>
                <w:szCs w:val="12"/>
                <w:color w:val="auto"/>
              </w:rPr>
            </w:pPr>
          </w:p>
        </w:tc>
        <w:tc>
          <w:tcPr>
            <w:tcW w:w="7140" w:type="dxa"/>
            <w:vAlign w:val="bottom"/>
          </w:tcPr>
          <w:p>
            <w:pPr>
              <w:jc w:val="center"/>
              <w:ind w:right="2263"/>
              <w:spacing w:after="0" w:line="145"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383"/>
        </w:trPr>
        <w:tc>
          <w:tcPr>
            <w:tcW w:w="2520" w:type="dxa"/>
            <w:vAlign w:val="bottom"/>
          </w:tcPr>
          <w:p>
            <w:pPr>
              <w:spacing w:after="0"/>
              <w:rPr>
                <w:sz w:val="24"/>
                <w:szCs w:val="24"/>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6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392"/>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(Commission File Number)</w:t>
            </w:r>
          </w:p>
        </w:tc>
        <w:tc>
          <w:tcPr>
            <w:tcW w:w="7140" w:type="dxa"/>
            <w:vAlign w:val="bottom"/>
          </w:tcPr>
          <w:p>
            <w:pPr>
              <w:jc w:val="center"/>
              <w:ind w:left="5063"/>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93"/>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7140" w:type="dxa"/>
            <w:vAlign w:val="bottom"/>
          </w:tcPr>
          <w:p>
            <w:pPr>
              <w:spacing w:after="0"/>
              <w:rPr>
                <w:sz w:val="24"/>
                <w:szCs w:val="24"/>
                <w:color w:val="auto"/>
              </w:rPr>
            </w:pPr>
          </w:p>
        </w:tc>
      </w:tr>
      <w:tr>
        <w:trPr>
          <w:trHeight w:val="229"/>
        </w:trPr>
        <w:tc>
          <w:tcPr>
            <w:tcW w:w="25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Philadelphia, PA</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88"/>
        </w:trPr>
        <w:tc>
          <w:tcPr>
            <w:tcW w:w="252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7140" w:type="dxa"/>
            <w:vAlign w:val="bottom"/>
          </w:tcPr>
          <w:p>
            <w:pPr>
              <w:jc w:val="center"/>
              <w:ind w:left="5043"/>
              <w:spacing w:after="0"/>
              <w:rPr>
                <w:sz w:val="20"/>
                <w:szCs w:val="20"/>
                <w:color w:val="auto"/>
              </w:rPr>
            </w:pPr>
            <w:r>
              <w:rPr>
                <w:rFonts w:ascii="Times New Roman" w:cs="Times New Roman" w:eastAsia="Times New Roman" w:hAnsi="Times New Roman"/>
                <w:sz w:val="14"/>
                <w:szCs w:val="14"/>
                <w:color w:val="auto"/>
              </w:rPr>
              <w:t>(Zip Code)</w:t>
            </w:r>
          </w:p>
        </w:tc>
      </w:tr>
      <w:tr>
        <w:trPr>
          <w:trHeight w:val="298"/>
        </w:trPr>
        <w:tc>
          <w:tcPr>
            <w:tcW w:w="2520" w:type="dxa"/>
            <w:vAlign w:val="bottom"/>
          </w:tcPr>
          <w:p>
            <w:pPr>
              <w:spacing w:after="0"/>
              <w:rPr>
                <w:sz w:val="24"/>
                <w:szCs w:val="24"/>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(215) 286-1700</w:t>
            </w:r>
          </w:p>
        </w:tc>
      </w:tr>
      <w:tr>
        <w:trPr>
          <w:trHeight w:val="188"/>
        </w:trPr>
        <w:tc>
          <w:tcPr>
            <w:tcW w:w="2520" w:type="dxa"/>
            <w:vAlign w:val="bottom"/>
          </w:tcPr>
          <w:p>
            <w:pPr>
              <w:spacing w:after="0"/>
              <w:rPr>
                <w:sz w:val="16"/>
                <w:szCs w:val="16"/>
                <w:color w:val="auto"/>
              </w:rPr>
            </w:pPr>
          </w:p>
        </w:tc>
        <w:tc>
          <w:tcPr>
            <w:tcW w:w="7140" w:type="dxa"/>
            <w:vAlign w:val="bottom"/>
          </w:tcPr>
          <w:p>
            <w:pPr>
              <w:jc w:val="center"/>
              <w:ind w:right="224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620" w:hanging="288"/>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58" w:lineRule="exact"/>
        <w:rPr>
          <w:sz w:val="24"/>
          <w:szCs w:val="24"/>
          <w:color w:val="auto"/>
        </w:rPr>
      </w:pPr>
    </w:p>
    <w:tbl>
      <w:tblPr>
        <w:tblLayout w:type="fixed"/>
        <w:tblInd w:w="640" w:type="dxa"/>
        <w:tblCellMar>
          <w:top w:w="0" w:type="dxa"/>
          <w:left w:w="0" w:type="dxa"/>
          <w:bottom w:w="0" w:type="dxa"/>
          <w:right w:w="0" w:type="dxa"/>
        </w:tblCellMar>
      </w:tblPr>
      <w:tr>
        <w:trPr>
          <w:trHeight w:val="187"/>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2"/>
        </w:trPr>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CMCSA</w:t>
            </w:r>
          </w:p>
        </w:tc>
        <w:tc>
          <w:tcPr>
            <w:tcW w:w="10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0.000% Notes due 2026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2027</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CMCS27</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1.500%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0.250% Notes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CMCS29A</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0.750% Notes due 2032</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CMCS32</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1.875% Notes due 2036</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CMCS36</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3"/>
        </w:trPr>
        <w:tc>
          <w:tcPr>
            <w:tcW w:w="4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1.250% Notes due 2040</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CMCS40</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02"/>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5.50% Notes due 2029</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CCGBP29</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2.0% Exchangeable Subordinated Debentures due 2029</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CCZ</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75"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104140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52705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0900"/>
          </w:cols>
          <w:pgMar w:left="320" w:top="1334"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23, 2024, Comcast Corporation (“Comcast”) issued a press release reporting the results of its operations for the three and six months ended June 30, 2024.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9.01. Exhibits</w:t>
            </w:r>
          </w:p>
        </w:tc>
        <w:tc>
          <w:tcPr>
            <w:tcW w:w="9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1480" w:type="dxa"/>
            <w:vAlign w:val="bottom"/>
            <w:gridSpan w:val="5"/>
          </w:tcPr>
          <w:p>
            <w:pPr>
              <w:jc w:val="center"/>
              <w:ind w:right="4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20" w:type="dxa"/>
            <w:vAlign w:val="bottom"/>
            <w:tcBorders>
              <w:right w:val="single" w:sz="8" w:color="auto"/>
            </w:tcBorders>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Comcast Corporation press release dated July 23, 2024.</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Explanation of Non-GAAP and Other Financial Measures.</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color w:val="auto"/>
                <w:w w:val="9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July 23, 2024</w:t>
            </w:r>
          </w:p>
        </w:tc>
        <w:tc>
          <w:tcPr>
            <w:tcW w:w="716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Daniel C. Murdock</w:t>
            </w:r>
          </w:p>
        </w:tc>
      </w:tr>
      <w:tr>
        <w:trPr>
          <w:trHeight w:val="218"/>
        </w:trPr>
        <w:tc>
          <w:tcPr>
            <w:tcW w:w="7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C. Murdock</w:t>
            </w:r>
          </w:p>
        </w:tc>
      </w:tr>
      <w:tr>
        <w:trPr>
          <w:trHeight w:val="180"/>
        </w:trPr>
        <w:tc>
          <w:tcPr>
            <w:tcW w:w="7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Accounting Officer and</w:t>
            </w:r>
          </w:p>
        </w:tc>
      </w:tr>
      <w:tr>
        <w:trPr>
          <w:trHeight w:val="234"/>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Controller</w:t>
            </w:r>
          </w:p>
        </w:tc>
      </w:tr>
      <w:tr>
        <w:trPr>
          <w:trHeight w:val="238"/>
        </w:trPr>
        <w:tc>
          <w:tcPr>
            <w:tcW w:w="7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41"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254635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2nd QUARTER 2024 RESULTS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PHILADELPHIA - July 23, 2024… Comcast Corporation (NASDAQ: CMCSA) today reported results for the quarter ended June 30, 2024.</w:t>
      </w:r>
    </w:p>
    <w:p>
      <w:pPr>
        <w:spacing w:after="0" w:line="1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“We grew Adjusted EPS high single digits and continued to invest aggressively in our businesses while returning $3.4 billion to shareholders," </w:t>
      </w:r>
      <w:r>
        <w:rPr>
          <w:rFonts w:ascii="Arial" w:cs="Arial" w:eastAsia="Arial" w:hAnsi="Arial"/>
          <w:sz w:val="18"/>
          <w:szCs w:val="18"/>
          <w:color w:val="auto"/>
        </w:rPr>
        <w:t>said Brian L. Roberts, Chairman and Chief Executive Officer of Comcast Corporation. "</w:t>
      </w:r>
      <w:r>
        <w:rPr>
          <w:rFonts w:ascii="Arial" w:cs="Arial" w:eastAsia="Arial" w:hAnsi="Arial"/>
          <w:sz w:val="18"/>
          <w:szCs w:val="18"/>
          <w:i w:val="1"/>
          <w:iCs w:val="1"/>
          <w:color w:val="auto"/>
        </w:rPr>
        <w:t xml:space="preserve">Broadband ARPU increased by 3.6% and we delivered 6% revenue growth in our connectivity businesses, while expanding our Adjusted EBITDA margin across Connectivity &amp; Platforms to a record-high 41.9%. Media returned to Adjusted EBITDA growth, driven by Peacock, which delivered the best year-over-year improvement for any quarter since its launch in 2020. In Studios and Theme Parks, we faced difficult comparisons to last year, but our upcoming film and TV content and the debut of Epic Universe bode very well for the future. More broadly, I am excited about the growth opportunities ahead, as our teams innovate and collaborate to connect our customers, viewers and guests to the moments that matter. The Paris Summer Olympics is a perfect example of this, where </w:t>
      </w:r>
      <w:r>
        <w:rPr>
          <w:rFonts w:ascii="Arial" w:cs="Arial" w:eastAsia="Arial" w:hAnsi="Arial"/>
          <w:sz w:val="18"/>
          <w:szCs w:val="18"/>
          <w:i w:val="1"/>
          <w:iCs w:val="1"/>
          <w:u w:val="single" w:color="auto"/>
          <w:color w:val="auto"/>
        </w:rPr>
        <w:t>starting this Friday</w:t>
      </w:r>
      <w:r>
        <w:rPr>
          <w:rFonts w:ascii="Arial" w:cs="Arial" w:eastAsia="Arial" w:hAnsi="Arial"/>
          <w:sz w:val="18"/>
          <w:szCs w:val="18"/>
          <w:i w:val="1"/>
          <w:iCs w:val="1"/>
          <w:color w:val="auto"/>
        </w:rPr>
        <w:t xml:space="preserve"> our company will be leveraging our most advanced technology and expertise in storytelling to provide millions of households in the U.S. with the finest, most expansive television and streaming coverage in media history for an Olympics or perhaps any televised event… and even more important, an experience they hopefully will never forget.</w:t>
      </w:r>
      <w:r>
        <w:rPr>
          <w:rFonts w:ascii="Arial" w:cs="Arial" w:eastAsia="Arial" w:hAnsi="Arial"/>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 w:type="dxa"/>
            <w:vAlign w:val="bottom"/>
            <w:shd w:val="clear" w:color="auto" w:fill="D9D9D6"/>
          </w:tcPr>
          <w:p>
            <w:pPr>
              <w:spacing w:after="0"/>
              <w:rPr>
                <w:sz w:val="16"/>
                <w:szCs w:val="16"/>
                <w:color w:val="auto"/>
              </w:rPr>
            </w:pPr>
          </w:p>
        </w:tc>
        <w:tc>
          <w:tcPr>
            <w:tcW w:w="7980" w:type="dxa"/>
            <w:vAlign w:val="bottom"/>
            <w:tcBorders>
              <w:right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0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44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60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20" w:type="dxa"/>
            <w:vAlign w:val="bottom"/>
            <w:shd w:val="clear" w:color="auto" w:fill="D9D9D6"/>
          </w:tcPr>
          <w:p>
            <w:pPr>
              <w:spacing w:after="0"/>
              <w:rPr>
                <w:sz w:val="15"/>
                <w:szCs w:val="15"/>
                <w:color w:val="auto"/>
              </w:rPr>
            </w:pPr>
          </w:p>
        </w:tc>
        <w:tc>
          <w:tcPr>
            <w:tcW w:w="7980" w:type="dxa"/>
            <w:vAlign w:val="bottom"/>
            <w:tcBorders>
              <w:right w:val="single" w:sz="8" w:color="D9D9D6"/>
            </w:tcBorders>
            <w:shd w:val="clear" w:color="auto" w:fill="D9D9D6"/>
          </w:tcPr>
          <w:p>
            <w:pPr>
              <w:spacing w:after="0"/>
              <w:rPr>
                <w:sz w:val="15"/>
                <w:szCs w:val="15"/>
                <w:color w:val="auto"/>
              </w:rPr>
            </w:pPr>
          </w:p>
        </w:tc>
        <w:tc>
          <w:tcPr>
            <w:tcW w:w="60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spacing w:after="0"/>
              <w:rPr>
                <w:sz w:val="15"/>
                <w:szCs w:val="15"/>
                <w:color w:val="auto"/>
              </w:rPr>
            </w:pPr>
          </w:p>
        </w:tc>
        <w:tc>
          <w:tcPr>
            <w:tcW w:w="96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2nd Quarter</w:t>
            </w:r>
          </w:p>
        </w:tc>
        <w:tc>
          <w:tcPr>
            <w:tcW w:w="60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14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7980" w:type="dxa"/>
            <w:vAlign w:val="bottom"/>
            <w:tcBorders>
              <w:top w:val="single" w:sz="8" w:color="D9D9D6"/>
              <w:right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00" w:type="dxa"/>
            <w:vAlign w:val="bottom"/>
            <w:tcBorders>
              <w:top w:val="single" w:sz="8" w:color="D9D9D6"/>
            </w:tcBorders>
            <w:shd w:val="clear" w:color="auto" w:fill="D9D9D6"/>
          </w:tcPr>
          <w:p>
            <w:pPr>
              <w:spacing w:after="0"/>
              <w:rPr>
                <w:sz w:val="15"/>
                <w:szCs w:val="15"/>
                <w:color w:val="auto"/>
              </w:rPr>
            </w:pPr>
          </w:p>
        </w:tc>
        <w:tc>
          <w:tcPr>
            <w:tcW w:w="340" w:type="dxa"/>
            <w:vAlign w:val="bottom"/>
            <w:tcBorders>
              <w:top w:val="single" w:sz="8" w:color="D9D9D6"/>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180" w:type="dxa"/>
            <w:vAlign w:val="bottom"/>
            <w:tcBorders>
              <w:top w:val="single" w:sz="8" w:color="D9D9D6"/>
            </w:tcBorders>
            <w:shd w:val="clear" w:color="auto" w:fill="D9D9D6"/>
          </w:tcPr>
          <w:p>
            <w:pPr>
              <w:spacing w:after="0"/>
              <w:rPr>
                <w:sz w:val="15"/>
                <w:szCs w:val="15"/>
                <w:color w:val="auto"/>
              </w:rPr>
            </w:pPr>
          </w:p>
        </w:tc>
        <w:tc>
          <w:tcPr>
            <w:tcW w:w="780" w:type="dxa"/>
            <w:vAlign w:val="bottom"/>
            <w:tcBorders>
              <w:top w:val="single" w:sz="8" w:color="auto"/>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40" w:type="dxa"/>
            <w:vAlign w:val="bottom"/>
            <w:tcBorders>
              <w:top w:val="single" w:sz="8" w:color="D9D9D6"/>
            </w:tcBorders>
            <w:gridSpan w:val="4"/>
            <w:shd w:val="clear" w:color="auto" w:fill="D9D9D6"/>
          </w:tcPr>
          <w:p>
            <w:pPr>
              <w:ind w:left="6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7980" w:type="dxa"/>
            <w:vAlign w:val="bottom"/>
            <w:tcBorders>
              <w:right w:val="single" w:sz="8" w:color="D9D9D6"/>
            </w:tcBorders>
            <w:shd w:val="clear" w:color="auto" w:fill="D9D9D6"/>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600" w:type="dxa"/>
            <w:vAlign w:val="bottom"/>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0" w:type="dxa"/>
            <w:vAlign w:val="bottom"/>
            <w:tcBorders>
              <w:bottom w:val="single" w:sz="8" w:color="D9D9D6"/>
            </w:tcBorders>
            <w:shd w:val="clear" w:color="auto" w:fill="D9D9D6"/>
          </w:tcPr>
          <w:p>
            <w:pPr>
              <w:spacing w:after="0"/>
              <w:rPr>
                <w:sz w:val="24"/>
                <w:szCs w:val="24"/>
                <w:color w:val="auto"/>
              </w:rPr>
            </w:pPr>
          </w:p>
        </w:tc>
        <w:tc>
          <w:tcPr>
            <w:tcW w:w="7980" w:type="dxa"/>
            <w:vAlign w:val="bottom"/>
            <w:tcBorders>
              <w:bottom w:val="single" w:sz="8" w:color="D9D9D6"/>
              <w:right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$29,688</w:t>
            </w:r>
          </w:p>
        </w:tc>
        <w:tc>
          <w:tcPr>
            <w:tcW w:w="96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$30,513</w:t>
            </w:r>
          </w:p>
        </w:tc>
        <w:tc>
          <w:tcPr>
            <w:tcW w:w="1100" w:type="dxa"/>
            <w:vAlign w:val="bottom"/>
            <w:tcBorders>
              <w:bottom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(2.7 %)</w:t>
            </w:r>
          </w:p>
        </w:tc>
        <w:tc>
          <w:tcPr>
            <w:tcW w:w="140" w:type="dxa"/>
            <w:vAlign w:val="bottom"/>
            <w:tcBorders>
              <w:bottom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7980" w:type="dxa"/>
            <w:vAlign w:val="bottom"/>
            <w:tcBorders>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$3,929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$4,248</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(7.5 %)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0" w:type="dxa"/>
            <w:vAlign w:val="bottom"/>
            <w:shd w:val="clear" w:color="auto" w:fill="D9D9D6"/>
          </w:tcPr>
          <w:p>
            <w:pPr>
              <w:spacing w:after="0" w:line="20" w:lineRule="exact"/>
              <w:rPr>
                <w:sz w:val="1"/>
                <w:szCs w:val="1"/>
                <w:color w:val="auto"/>
              </w:rPr>
            </w:pPr>
          </w:p>
        </w:tc>
        <w:tc>
          <w:tcPr>
            <w:tcW w:w="7980" w:type="dxa"/>
            <w:vAlign w:val="bottom"/>
            <w:tcBorders>
              <w:right w:val="single" w:sz="8" w:color="DBDBDB"/>
            </w:tcBorders>
            <w:shd w:val="clear" w:color="auto" w:fill="D9D9D6"/>
          </w:tcPr>
          <w:p>
            <w:pPr>
              <w:spacing w:after="0" w:line="20" w:lineRule="exact"/>
              <w:rPr>
                <w:sz w:val="1"/>
                <w:szCs w:val="1"/>
                <w:color w:val="auto"/>
              </w:rPr>
            </w:pPr>
          </w:p>
        </w:tc>
        <w:tc>
          <w:tcPr>
            <w:tcW w:w="94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$4,735</w:t>
            </w:r>
          </w:p>
        </w:tc>
        <w:tc>
          <w:tcPr>
            <w:tcW w:w="960" w:type="dxa"/>
            <w:vAlign w:val="bottom"/>
            <w:tcBorders>
              <w:right w:val="single" w:sz="8" w:color="D9D9D6"/>
            </w:tcBorders>
            <w:gridSpan w:val="3"/>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$4,723</w:t>
            </w:r>
          </w:p>
        </w:tc>
        <w:tc>
          <w:tcPr>
            <w:tcW w:w="1100" w:type="dxa"/>
            <w:vAlign w:val="bottom"/>
            <w:gridSpan w:val="3"/>
            <w:vMerge w:val="restart"/>
            <w:shd w:val="clear" w:color="auto" w:fill="D9D9D6"/>
          </w:tcPr>
          <w:p>
            <w:pPr>
              <w:jc w:val="right"/>
              <w:spacing w:after="0"/>
              <w:rPr>
                <w:sz w:val="20"/>
                <w:szCs w:val="20"/>
                <w:color w:val="auto"/>
              </w:rPr>
            </w:pPr>
            <w:r>
              <w:rPr>
                <w:rFonts w:ascii="Arial" w:cs="Arial" w:eastAsia="Arial" w:hAnsi="Arial"/>
                <w:sz w:val="14"/>
                <w:szCs w:val="14"/>
                <w:color w:val="auto"/>
              </w:rPr>
              <w:t>0.2 %</w:t>
            </w: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BDBDB"/>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vMerge w:val="continue"/>
            <w:shd w:val="clear" w:color="auto" w:fill="D9D9D6"/>
          </w:tcPr>
          <w:p>
            <w:pPr>
              <w:spacing w:after="0"/>
              <w:rPr>
                <w:sz w:val="17"/>
                <w:szCs w:val="17"/>
                <w:color w:val="auto"/>
              </w:rPr>
            </w:pPr>
          </w:p>
        </w:tc>
        <w:tc>
          <w:tcPr>
            <w:tcW w:w="960" w:type="dxa"/>
            <w:vAlign w:val="bottom"/>
            <w:tcBorders>
              <w:right w:val="single" w:sz="8" w:color="D9D9D6"/>
            </w:tcBorders>
            <w:gridSpan w:val="3"/>
            <w:vMerge w:val="continue"/>
            <w:shd w:val="clear" w:color="auto" w:fill="D9D9D6"/>
          </w:tcPr>
          <w:p>
            <w:pPr>
              <w:spacing w:after="0"/>
              <w:rPr>
                <w:sz w:val="17"/>
                <w:szCs w:val="17"/>
                <w:color w:val="auto"/>
              </w:rPr>
            </w:pPr>
          </w:p>
        </w:tc>
        <w:tc>
          <w:tcPr>
            <w:tcW w:w="1100" w:type="dxa"/>
            <w:vAlign w:val="bottom"/>
            <w:gridSpan w:val="3"/>
            <w:vMerge w:val="continue"/>
            <w:shd w:val="clear" w:color="auto" w:fill="D9D9D6"/>
          </w:tcPr>
          <w:p>
            <w:pPr>
              <w:spacing w:after="0"/>
              <w:rPr>
                <w:sz w:val="17"/>
                <w:szCs w:val="17"/>
                <w:color w:val="auto"/>
              </w:rPr>
            </w:pP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9D9D6"/>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$10,171</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$10,244</w:t>
            </w:r>
          </w:p>
        </w:tc>
        <w:tc>
          <w:tcPr>
            <w:tcW w:w="11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(0.7 %)</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9D9D6"/>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$1.00</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$1.02</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D9D9D6"/>
          </w:tcPr>
          <w:p>
            <w:pPr>
              <w:spacing w:after="0"/>
              <w:rPr>
                <w:sz w:val="17"/>
                <w:szCs w:val="17"/>
                <w:color w:val="auto"/>
              </w:rPr>
            </w:pPr>
          </w:p>
        </w:tc>
        <w:tc>
          <w:tcPr>
            <w:tcW w:w="7980" w:type="dxa"/>
            <w:vAlign w:val="bottom"/>
            <w:tcBorders>
              <w:right w:val="single" w:sz="8" w:color="D9D9D6"/>
            </w:tcBorders>
            <w:shd w:val="clear" w:color="auto" w:fill="D9D9D6"/>
          </w:tcPr>
          <w:p>
            <w:pPr>
              <w:ind w:left="20"/>
              <w:spacing w:after="0" w:line="202"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$1.21</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$1.13</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D9D9D6"/>
          </w:tcPr>
          <w:p>
            <w:pPr>
              <w:spacing w:after="0"/>
              <w:rPr>
                <w:sz w:val="16"/>
                <w:szCs w:val="16"/>
                <w:color w:val="auto"/>
              </w:rPr>
            </w:pPr>
          </w:p>
        </w:tc>
        <w:tc>
          <w:tcPr>
            <w:tcW w:w="7980" w:type="dxa"/>
            <w:vAlign w:val="bottom"/>
            <w:tcBorders>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4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$4,724</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$7,197</w:t>
            </w:r>
          </w:p>
        </w:tc>
        <w:tc>
          <w:tcPr>
            <w:tcW w:w="92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(34.4</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0" w:type="dxa"/>
            <w:vAlign w:val="bottom"/>
            <w:tcBorders>
              <w:bottom w:val="single" w:sz="8" w:color="D9D9D6"/>
            </w:tcBorders>
            <w:shd w:val="clear" w:color="auto" w:fill="D9D9D6"/>
          </w:tcPr>
          <w:p>
            <w:pPr>
              <w:spacing w:after="0"/>
              <w:rPr>
                <w:sz w:val="21"/>
                <w:szCs w:val="21"/>
                <w:color w:val="auto"/>
              </w:rPr>
            </w:pPr>
          </w:p>
        </w:tc>
        <w:tc>
          <w:tcPr>
            <w:tcW w:w="7980" w:type="dxa"/>
            <w:vAlign w:val="bottom"/>
            <w:tcBorders>
              <w:bottom w:val="single" w:sz="8" w:color="D9D9D6"/>
              <w:right w:val="single" w:sz="8" w:color="DBDBDB"/>
            </w:tcBorders>
            <w:shd w:val="clear" w:color="auto" w:fill="D9D9D6"/>
          </w:tcPr>
          <w:p>
            <w:pPr>
              <w:ind w:left="2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40" w:type="dxa"/>
            <w:vAlign w:val="bottom"/>
            <w:tcBorders>
              <w:bottom w:val="single" w:sz="8" w:color="D9D9D6"/>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$1,338</w:t>
            </w:r>
          </w:p>
        </w:tc>
        <w:tc>
          <w:tcPr>
            <w:tcW w:w="960" w:type="dxa"/>
            <w:vAlign w:val="bottom"/>
            <w:tcBorders>
              <w:bottom w:val="single" w:sz="8" w:color="D9D9D6"/>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$3,421</w:t>
            </w:r>
          </w:p>
        </w:tc>
        <w:tc>
          <w:tcPr>
            <w:tcW w:w="92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(60.9</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140" w:type="dxa"/>
            <w:vAlign w:val="bottom"/>
            <w:tcBorders>
              <w:bottom w:val="single" w:sz="8" w:color="D9D9D6"/>
            </w:tcBorders>
            <w:shd w:val="clear" w:color="auto" w:fill="D9D9D6"/>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right="20"/>
        <w:spacing w:after="0" w:line="305"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 on Comcast’s Investor Relations website at www.cmcsa.com.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2nd Quarter 2024 Highlights:</w:t>
      </w:r>
    </w:p>
    <w:p>
      <w:pPr>
        <w:spacing w:after="0" w:line="40" w:lineRule="exact"/>
        <w:rPr>
          <w:sz w:val="20"/>
          <w:szCs w:val="20"/>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EPS Increased 7.0% to $1.21; Generated Free Cash Flow of $1.3 Billion, Including a Tax Payment Related to the Previously Announced Hulu Transaction and Other Tax Related Matters</w:t>
      </w:r>
    </w:p>
    <w:p>
      <w:pPr>
        <w:spacing w:after="0" w:line="1" w:lineRule="exact"/>
        <w:rPr>
          <w:rFonts w:ascii="Arial" w:cs="Arial" w:eastAsia="Arial" w:hAnsi="Arial"/>
          <w:sz w:val="18"/>
          <w:szCs w:val="18"/>
          <w:color w:val="auto"/>
        </w:rPr>
      </w:pPr>
    </w:p>
    <w:p>
      <w:pPr>
        <w:ind w:left="340" w:right="20" w:hanging="332"/>
        <w:spacing w:after="0" w:line="253"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 of Capital to Shareholders Totaled $3.4 Billion Through a Combination of $1.2 Billion in Dividend Payments and $2.2 Billion in Share Repurchases</w:t>
      </w: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Connectivity &amp; Platforms Adjusted EBITDA Increased 1.6% to $8.5 Billion and Adjusted EBITDA Margin Increased 90 Basis Points to 41.9%, Its Highest on Record</w:t>
      </w:r>
    </w:p>
    <w:p>
      <w:pPr>
        <w:ind w:left="340" w:hanging="332"/>
        <w:spacing w:after="0" w:line="26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the Successful Execution of Our Domestic Network Expansion and Upgrade Strategy; Expanded Deployment of Mid-Split Technology to 42% of Our Footprint; And Added 302,000 New Homes and Businesses Passed in the Second Quarter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Broadband Average Rate Per Customer Increased 3.6%, Driving Domestic Broadband Revenue Growth of 3.0% to $6.6 Billion</w:t>
      </w:r>
    </w:p>
    <w:p>
      <w:pPr>
        <w:spacing w:after="0" w:line="31"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Domestic Wireless Customer Lines Increased 20% Compared to the Prior Year Period to 7.2 Million, Including Net Additions of 322,000 in the Second Quarter</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Services Connectivity Adjusted EBITDA Increased 4.4% to $1.4 Billion and Adjusted EBITDA Margin Was 57.0%</w:t>
      </w:r>
    </w:p>
    <w:p>
      <w:pPr>
        <w:spacing w:after="0" w:line="26"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Media Adjusted EBITDA Increased 9.0% to $1.4 Billion, Driven by Improved Performance at Peacock</w:t>
      </w:r>
    </w:p>
    <w:p>
      <w:pPr>
        <w:spacing w:after="0" w:line="31" w:lineRule="exact"/>
        <w:rPr>
          <w:rFonts w:ascii="Arial" w:cs="Arial" w:eastAsia="Arial" w:hAnsi="Arial"/>
          <w:sz w:val="18"/>
          <w:szCs w:val="18"/>
          <w:color w:val="auto"/>
        </w:rPr>
      </w:pPr>
    </w:p>
    <w:p>
      <w:pPr>
        <w:ind w:left="340" w:right="20" w:hanging="332"/>
        <w:spacing w:after="0" w:line="27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Peacock Paid Subscribers Increased 38.0% Compared to the Prior Year Period to 33 Million; Peacock Revenue Increased 28% to $1.0 Billion; Best Year-Over-Year Improvement in Adjusted EBITDA for Any Quarter Since Launch in 2020</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737"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2nd Quarter Consolidated Financial Results</w:t>
      </w:r>
    </w:p>
    <w:p>
      <w:pPr>
        <w:spacing w:after="0" w:line="4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decreased 2.7% compared to the prior year period.</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decreased 7.5%.</w:t>
      </w:r>
      <w:r>
        <w:rPr>
          <w:rFonts w:ascii="Arial" w:cs="Arial" w:eastAsia="Arial" w:hAnsi="Arial"/>
          <w:sz w:val="18"/>
          <w:szCs w:val="18"/>
          <w:b w:val="1"/>
          <w:bCs w:val="1"/>
          <w:i w:val="1"/>
          <w:iCs w:val="1"/>
          <w:color w:val="auto"/>
        </w:rPr>
        <w:t xml:space="preserve"> Adjusted Net Income </w:t>
      </w:r>
      <w:r>
        <w:rPr>
          <w:rFonts w:ascii="Arial" w:cs="Arial" w:eastAsia="Arial" w:hAnsi="Arial"/>
          <w:sz w:val="18"/>
          <w:szCs w:val="18"/>
          <w:color w:val="auto"/>
        </w:rPr>
        <w:t xml:space="preserve">and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were consistent with the prior 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decreased 1.3% to $1.00.</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7.0% to $1.21.</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8.1% to $2.7 billion. Connectivity &amp; Platforms’ capital expenditures decreased 12.9% to $1.9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lower spending on customer premise equipment and scalable infrastructure, partially offset by higher investment in line extensions and support capital. Content &amp; Experiences' capital expenditures increased 4.4% to $845 million, primarily driven by investment in Theme Parks, which continues to reflect significant spending due to the construction of Epic Universe theme park in Orlando, which is scheduled to open in 2025.</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$4.7 billion.</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$1.3 billion, including a tax payment during the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previously announced Hulu transaction and other tax related matters.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Comcast paid dividends totaling $1.2 billion and repurchased 56.4 million of its shares for $2.2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in a total return of capital to shareholders of $3.4 billion.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2391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9141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Arial" w:cs="Arial" w:eastAsia="Arial" w:hAnsi="Arial"/>
          <w:sz w:val="11"/>
          <w:szCs w:val="11"/>
          <w:i w:val="1"/>
          <w:i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Revenue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Revenue</w:t>
      </w: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Connectivity &amp; Platforms Adjusted EBITDA</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right="2280" w:hanging="12"/>
        <w:spacing w:after="0" w:line="462" w:lineRule="auto"/>
        <w:rPr>
          <w:sz w:val="20"/>
          <w:szCs w:val="20"/>
          <w:color w:val="auto"/>
        </w:rPr>
      </w:pPr>
      <w:r>
        <w:rPr>
          <w:rFonts w:ascii="Arial" w:cs="Arial" w:eastAsia="Arial" w:hAnsi="Arial"/>
          <w:sz w:val="14"/>
          <w:szCs w:val="14"/>
          <w:b w:val="1"/>
          <w:bCs w:val="1"/>
          <w:color w:val="auto"/>
        </w:rPr>
        <w:t>Total Connectivity &amp; Platforms Adjusted EBITDA Connectivity &amp; Platforms Adjusted EBITDA Margin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 Connectivity &amp; Platforms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Services Connectivity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Connectivity &amp; Platforms Adjusted EBITDA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3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78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1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00" w:type="dxa"/>
            <w:vAlign w:val="bottom"/>
            <w:shd w:val="clear" w:color="auto" w:fill="D9D9D6"/>
          </w:tcPr>
          <w:p>
            <w:pPr>
              <w:spacing w:after="0"/>
              <w:rPr>
                <w:sz w:val="8"/>
                <w:szCs w:val="8"/>
                <w:color w:val="auto"/>
              </w:rPr>
            </w:pPr>
          </w:p>
        </w:tc>
        <w:tc>
          <w:tcPr>
            <w:tcW w:w="780" w:type="dxa"/>
            <w:vAlign w:val="bottom"/>
            <w:gridSpan w:val="2"/>
            <w:vMerge w:val="restart"/>
            <w:shd w:val="clear" w:color="auto" w:fill="D9D9D6"/>
          </w:tcPr>
          <w:p>
            <w:pPr>
              <w:spacing w:after="0"/>
              <w:rPr>
                <w:sz w:val="20"/>
                <w:szCs w:val="20"/>
                <w:color w:val="auto"/>
              </w:rPr>
            </w:pPr>
            <w:r>
              <w:rPr>
                <w:rFonts w:ascii="Arial" w:cs="Arial" w:eastAsia="Arial" w:hAnsi="Arial"/>
                <w:sz w:val="14"/>
                <w:szCs w:val="14"/>
                <w:color w:val="auto"/>
              </w:rPr>
              <w:t>2nd Quarter</w:t>
            </w:r>
          </w:p>
        </w:tc>
        <w:tc>
          <w:tcPr>
            <w:tcW w:w="120" w:type="dxa"/>
            <w:vAlign w:val="bottom"/>
            <w:gridSpan w:val="2"/>
            <w:vMerge w:val="restart"/>
            <w:shd w:val="clear" w:color="auto" w:fill="D9D9D6"/>
          </w:tcPr>
          <w:p>
            <w:pPr>
              <w:spacing w:after="0"/>
              <w:rPr>
                <w:sz w:val="8"/>
                <w:szCs w:val="8"/>
                <w:color w:val="auto"/>
              </w:rPr>
            </w:pPr>
          </w:p>
        </w:tc>
        <w:tc>
          <w:tcPr>
            <w:tcW w:w="56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0" w:type="dxa"/>
            <w:vAlign w:val="bottom"/>
            <w:shd w:val="clear" w:color="auto" w:fill="D9D9D6"/>
          </w:tcPr>
          <w:p>
            <w:pPr>
              <w:spacing w:after="0"/>
              <w:rPr>
                <w:sz w:val="8"/>
                <w:szCs w:val="8"/>
                <w:color w:val="auto"/>
              </w:rPr>
            </w:pPr>
          </w:p>
        </w:tc>
        <w:tc>
          <w:tcPr>
            <w:tcW w:w="1120" w:type="dxa"/>
            <w:vAlign w:val="bottom"/>
            <w:tcBorders>
              <w:right w:val="single" w:sz="8" w:color="D9D9D6"/>
            </w:tcBorders>
            <w:gridSpan w:val="2"/>
            <w:vMerge w:val="continue"/>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780" w:type="dxa"/>
            <w:vAlign w:val="bottom"/>
            <w:tcBorders>
              <w:bottom w:val="single" w:sz="8" w:color="D9D9D6"/>
            </w:tcBorders>
            <w:shd w:val="clear" w:color="auto" w:fill="D9D9D6"/>
          </w:tcPr>
          <w:p>
            <w:pPr>
              <w:spacing w:after="0"/>
              <w:rPr>
                <w:sz w:val="6"/>
                <w:szCs w:val="6"/>
                <w:color w:val="auto"/>
              </w:rPr>
            </w:pPr>
          </w:p>
        </w:tc>
        <w:tc>
          <w:tcPr>
            <w:tcW w:w="180" w:type="dxa"/>
            <w:vAlign w:val="bottom"/>
            <w:tcBorders>
              <w:bottom w:val="single" w:sz="8" w:color="D9D9D6"/>
            </w:tcBorders>
            <w:shd w:val="clear" w:color="auto" w:fill="D9D9D6"/>
          </w:tcPr>
          <w:p>
            <w:pPr>
              <w:spacing w:after="0"/>
              <w:rPr>
                <w:sz w:val="6"/>
                <w:szCs w:val="6"/>
                <w:color w:val="auto"/>
              </w:rPr>
            </w:pPr>
          </w:p>
        </w:tc>
        <w:tc>
          <w:tcPr>
            <w:tcW w:w="140" w:type="dxa"/>
            <w:vAlign w:val="bottom"/>
            <w:tcBorders>
              <w:bottom w:val="single" w:sz="8" w:color="D9D9D6"/>
            </w:tcBorders>
            <w:shd w:val="clear" w:color="auto" w:fill="D9D9D6"/>
          </w:tcPr>
          <w:p>
            <w:pPr>
              <w:spacing w:after="0"/>
              <w:rPr>
                <w:sz w:val="6"/>
                <w:szCs w:val="6"/>
                <w:color w:val="auto"/>
              </w:rPr>
            </w:pPr>
          </w:p>
        </w:tc>
        <w:tc>
          <w:tcPr>
            <w:tcW w:w="20" w:type="dxa"/>
            <w:vAlign w:val="bottom"/>
            <w:tcBorders>
              <w:bottom w:val="single" w:sz="8" w:color="D9D9D6"/>
            </w:tcBorders>
            <w:shd w:val="clear" w:color="auto" w:fill="D9D9D6"/>
          </w:tcPr>
          <w:p>
            <w:pPr>
              <w:spacing w:after="0"/>
              <w:rPr>
                <w:sz w:val="6"/>
                <w:szCs w:val="6"/>
                <w:color w:val="auto"/>
              </w:rPr>
            </w:pPr>
          </w:p>
        </w:tc>
        <w:tc>
          <w:tcPr>
            <w:tcW w:w="100" w:type="dxa"/>
            <w:vAlign w:val="bottom"/>
            <w:tcBorders>
              <w:bottom w:val="single" w:sz="8" w:color="D9D9D6"/>
            </w:tcBorders>
            <w:shd w:val="clear" w:color="auto" w:fill="D9D9D6"/>
          </w:tcPr>
          <w:p>
            <w:pPr>
              <w:spacing w:after="0"/>
              <w:rPr>
                <w:sz w:val="6"/>
                <w:szCs w:val="6"/>
                <w:color w:val="auto"/>
              </w:rPr>
            </w:pPr>
          </w:p>
        </w:tc>
        <w:tc>
          <w:tcPr>
            <w:tcW w:w="780" w:type="dxa"/>
            <w:vAlign w:val="bottom"/>
            <w:tcBorders>
              <w:bottom w:val="single" w:sz="8" w:color="auto"/>
            </w:tcBorders>
            <w:gridSpan w:val="2"/>
            <w:vMerge w:val="continue"/>
            <w:shd w:val="clear" w:color="auto" w:fill="D9D9D6"/>
          </w:tcPr>
          <w:p>
            <w:pPr>
              <w:spacing w:after="0"/>
              <w:rPr>
                <w:sz w:val="6"/>
                <w:szCs w:val="6"/>
                <w:color w:val="auto"/>
              </w:rPr>
            </w:pPr>
          </w:p>
        </w:tc>
        <w:tc>
          <w:tcPr>
            <w:tcW w:w="120" w:type="dxa"/>
            <w:vAlign w:val="bottom"/>
            <w:tcBorders>
              <w:bottom w:val="single" w:sz="8" w:color="D9D9D6"/>
            </w:tcBorders>
            <w:gridSpan w:val="2"/>
            <w:vMerge w:val="continue"/>
            <w:shd w:val="clear" w:color="auto" w:fill="D9D9D6"/>
          </w:tcPr>
          <w:p>
            <w:pPr>
              <w:spacing w:after="0"/>
              <w:rPr>
                <w:sz w:val="6"/>
                <w:szCs w:val="6"/>
                <w:color w:val="auto"/>
              </w:rPr>
            </w:pPr>
          </w:p>
        </w:tc>
        <w:tc>
          <w:tcPr>
            <w:tcW w:w="560" w:type="dxa"/>
            <w:vAlign w:val="bottom"/>
            <w:tcBorders>
              <w:bottom w:val="single" w:sz="8" w:color="D9D9D6"/>
            </w:tcBorders>
            <w:shd w:val="clear" w:color="auto" w:fill="D9D9D6"/>
          </w:tcPr>
          <w:p>
            <w:pPr>
              <w:spacing w:after="0"/>
              <w:rPr>
                <w:sz w:val="6"/>
                <w:szCs w:val="6"/>
                <w:color w:val="auto"/>
              </w:rPr>
            </w:pPr>
          </w:p>
        </w:tc>
        <w:tc>
          <w:tcPr>
            <w:tcW w:w="320" w:type="dxa"/>
            <w:vAlign w:val="bottom"/>
            <w:tcBorders>
              <w:bottom w:val="single" w:sz="8" w:color="D9D9D6"/>
            </w:tcBorders>
            <w:shd w:val="clear" w:color="auto" w:fill="D9D9D6"/>
          </w:tcPr>
          <w:p>
            <w:pPr>
              <w:spacing w:after="0"/>
              <w:rPr>
                <w:sz w:val="6"/>
                <w:szCs w:val="6"/>
                <w:color w:val="auto"/>
              </w:rPr>
            </w:pPr>
          </w:p>
        </w:tc>
        <w:tc>
          <w:tcPr>
            <w:tcW w:w="200" w:type="dxa"/>
            <w:vAlign w:val="bottom"/>
            <w:tcBorders>
              <w:bottom w:val="single" w:sz="8" w:color="D9D9D6"/>
            </w:tcBorders>
            <w:shd w:val="clear" w:color="auto" w:fill="D9D9D6"/>
          </w:tcPr>
          <w:p>
            <w:pPr>
              <w:spacing w:after="0"/>
              <w:rPr>
                <w:sz w:val="6"/>
                <w:szCs w:val="6"/>
                <w:color w:val="auto"/>
              </w:rPr>
            </w:pPr>
          </w:p>
        </w:tc>
        <w:tc>
          <w:tcPr>
            <w:tcW w:w="1120" w:type="dxa"/>
            <w:vAlign w:val="bottom"/>
            <w:tcBorders>
              <w:bottom w:val="single" w:sz="8" w:color="D9D9D6"/>
              <w:right w:val="single" w:sz="8" w:color="D9D9D6"/>
            </w:tcBorders>
            <w:gridSpan w:val="2"/>
            <w:vMerge w:val="restart"/>
            <w:shd w:val="clear" w:color="auto" w:fill="D9D9D6"/>
          </w:tcPr>
          <w:p>
            <w:pPr>
              <w:jc w:val="right"/>
              <w:spacing w:after="0" w:line="146" w:lineRule="exact"/>
              <w:rPr>
                <w:sz w:val="20"/>
                <w:szCs w:val="20"/>
                <w:color w:val="auto"/>
              </w:rPr>
            </w:pPr>
            <w:r>
              <w:rPr>
                <w:rFonts w:ascii="Arial" w:cs="Arial" w:eastAsia="Arial" w:hAnsi="Arial"/>
                <w:sz w:val="14"/>
                <w:szCs w:val="14"/>
                <w:color w:val="auto"/>
              </w:rPr>
              <w:t>Currency</w:t>
            </w:r>
          </w:p>
        </w:tc>
        <w:tc>
          <w:tcPr>
            <w:tcW w:w="320" w:type="dxa"/>
            <w:vAlign w:val="bottom"/>
            <w:tcBorders>
              <w:bottom w:val="single" w:sz="8" w:color="D9D9D6"/>
            </w:tcBorders>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780" w:type="dxa"/>
            <w:vAlign w:val="bottom"/>
            <w:shd w:val="clear" w:color="auto" w:fill="D9D9D6"/>
          </w:tcPr>
          <w:p>
            <w:pPr>
              <w:spacing w:after="0"/>
              <w:rPr>
                <w:sz w:val="4"/>
                <w:szCs w:val="4"/>
                <w:color w:val="auto"/>
              </w:rPr>
            </w:pPr>
          </w:p>
        </w:tc>
        <w:tc>
          <w:tcPr>
            <w:tcW w:w="3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2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w w:val="96"/>
              </w:rPr>
              <w:t>2023</w:t>
            </w:r>
          </w:p>
        </w:tc>
        <w:tc>
          <w:tcPr>
            <w:tcW w:w="2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520" w:type="dxa"/>
            <w:vAlign w:val="bottom"/>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Change</w:t>
            </w:r>
          </w:p>
        </w:tc>
        <w:tc>
          <w:tcPr>
            <w:tcW w:w="1120" w:type="dxa"/>
            <w:vAlign w:val="bottom"/>
            <w:tcBorders>
              <w:right w:val="single" w:sz="8" w:color="D9D9D6"/>
            </w:tcBorders>
            <w:gridSpan w:val="2"/>
            <w:vMerge w:val="continue"/>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780" w:type="dxa"/>
            <w:vAlign w:val="bottom"/>
            <w:tcBorders>
              <w:bottom w:val="single" w:sz="8" w:color="D9D9D6"/>
            </w:tcBorders>
            <w:shd w:val="clear" w:color="auto" w:fill="D9D9D6"/>
          </w:tcPr>
          <w:p>
            <w:pPr>
              <w:spacing w:after="0"/>
              <w:rPr>
                <w:sz w:val="13"/>
                <w:szCs w:val="13"/>
                <w:color w:val="auto"/>
              </w:rPr>
            </w:pPr>
          </w:p>
        </w:tc>
        <w:tc>
          <w:tcPr>
            <w:tcW w:w="320" w:type="dxa"/>
            <w:vAlign w:val="bottom"/>
            <w:tcBorders>
              <w:bottom w:val="single" w:sz="8" w:color="auto"/>
            </w:tcBorders>
            <w:gridSpan w:val="2"/>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660" w:type="dxa"/>
            <w:vAlign w:val="bottom"/>
            <w:tcBorders>
              <w:bottom w:val="single" w:sz="8" w:color="D9D9D6"/>
            </w:tcBorders>
            <w:gridSpan w:val="2"/>
            <w:shd w:val="clear" w:color="auto" w:fill="D9D9D6"/>
          </w:tcPr>
          <w:p>
            <w:pPr>
              <w:spacing w:after="0"/>
              <w:rPr>
                <w:sz w:val="13"/>
                <w:szCs w:val="13"/>
                <w:color w:val="auto"/>
              </w:rPr>
            </w:pPr>
          </w:p>
        </w:tc>
        <w:tc>
          <w:tcPr>
            <w:tcW w:w="320" w:type="dxa"/>
            <w:vAlign w:val="bottom"/>
            <w:tcBorders>
              <w:bottom w:val="single" w:sz="8" w:color="auto"/>
            </w:tcBorders>
            <w:gridSpan w:val="2"/>
            <w:vMerge w:val="continue"/>
            <w:shd w:val="clear" w:color="auto" w:fill="D9D9D6"/>
          </w:tcPr>
          <w:p>
            <w:pPr>
              <w:spacing w:after="0"/>
              <w:rPr>
                <w:sz w:val="13"/>
                <w:szCs w:val="13"/>
                <w:color w:val="auto"/>
              </w:rPr>
            </w:pPr>
          </w:p>
        </w:tc>
        <w:tc>
          <w:tcPr>
            <w:tcW w:w="20" w:type="dxa"/>
            <w:vAlign w:val="bottom"/>
            <w:tcBorders>
              <w:bottom w:val="single" w:sz="8" w:color="D9D9D6"/>
            </w:tcBorders>
            <w:shd w:val="clear" w:color="auto" w:fill="D9D9D6"/>
          </w:tcPr>
          <w:p>
            <w:pPr>
              <w:spacing w:after="0"/>
              <w:rPr>
                <w:sz w:val="13"/>
                <w:szCs w:val="13"/>
                <w:color w:val="auto"/>
              </w:rPr>
            </w:pPr>
          </w:p>
        </w:tc>
        <w:tc>
          <w:tcPr>
            <w:tcW w:w="560" w:type="dxa"/>
            <w:vAlign w:val="bottom"/>
            <w:tcBorders>
              <w:bottom w:val="single" w:sz="8" w:color="D9D9D6"/>
            </w:tcBorders>
            <w:shd w:val="clear" w:color="auto" w:fill="D9D9D6"/>
          </w:tcPr>
          <w:p>
            <w:pPr>
              <w:spacing w:after="0"/>
              <w:rPr>
                <w:sz w:val="13"/>
                <w:szCs w:val="13"/>
                <w:color w:val="auto"/>
              </w:rPr>
            </w:pPr>
          </w:p>
        </w:tc>
        <w:tc>
          <w:tcPr>
            <w:tcW w:w="520" w:type="dxa"/>
            <w:vAlign w:val="bottom"/>
            <w:tcBorders>
              <w:bottom w:val="single" w:sz="8" w:color="auto"/>
            </w:tcBorders>
            <w:gridSpan w:val="2"/>
            <w:vMerge w:val="continue"/>
            <w:shd w:val="clear" w:color="auto" w:fill="D9D9D6"/>
          </w:tcPr>
          <w:p>
            <w:pPr>
              <w:spacing w:after="0"/>
              <w:rPr>
                <w:sz w:val="13"/>
                <w:szCs w:val="13"/>
                <w:color w:val="auto"/>
              </w:rPr>
            </w:pPr>
          </w:p>
        </w:tc>
        <w:tc>
          <w:tcPr>
            <w:tcW w:w="560" w:type="dxa"/>
            <w:vAlign w:val="bottom"/>
            <w:tcBorders>
              <w:bottom w:val="single" w:sz="8" w:color="D9D9D6"/>
            </w:tcBorders>
            <w:shd w:val="clear" w:color="auto" w:fill="D9D9D6"/>
          </w:tcPr>
          <w:p>
            <w:pPr>
              <w:spacing w:after="0"/>
              <w:rPr>
                <w:sz w:val="13"/>
                <w:szCs w:val="13"/>
                <w:color w:val="auto"/>
              </w:rPr>
            </w:pPr>
          </w:p>
        </w:tc>
        <w:tc>
          <w:tcPr>
            <w:tcW w:w="560" w:type="dxa"/>
            <w:vAlign w:val="bottom"/>
            <w:tcBorders>
              <w:bottom w:val="single" w:sz="8" w:color="D9D9D6"/>
              <w:right w:val="single" w:sz="8" w:color="D9D9D6"/>
            </w:tcBorders>
            <w:shd w:val="clear" w:color="auto" w:fill="D9D9D6"/>
          </w:tcPr>
          <w:p>
            <w:pPr>
              <w:jc w:val="right"/>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320" w:type="dxa"/>
            <w:vAlign w:val="bottom"/>
            <w:tcBorders>
              <w:bottom w:val="single" w:sz="8" w:color="D9D9D6"/>
            </w:tcBorders>
            <w:shd w:val="clear" w:color="auto" w:fill="D9D9D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D9D9D6"/>
            </w:tcBorders>
            <w:shd w:val="clear" w:color="auto" w:fill="D9D9D6"/>
          </w:tcPr>
          <w:p>
            <w:pPr>
              <w:spacing w:after="0" w:line="20" w:lineRule="exact"/>
              <w:rPr>
                <w:sz w:val="1"/>
                <w:szCs w:val="1"/>
                <w:color w:val="auto"/>
              </w:rPr>
            </w:pPr>
          </w:p>
        </w:tc>
        <w:tc>
          <w:tcPr>
            <w:tcW w:w="180" w:type="dxa"/>
            <w:vAlign w:val="bottom"/>
            <w:tcBorders>
              <w:top w:val="single" w:sz="8" w:color="D9D9D6"/>
            </w:tcBorders>
            <w:shd w:val="clear" w:color="auto" w:fill="D9D9D6"/>
          </w:tcPr>
          <w:p>
            <w:pPr>
              <w:spacing w:after="0" w:line="20" w:lineRule="exact"/>
              <w:rPr>
                <w:sz w:val="1"/>
                <w:szCs w:val="1"/>
                <w:color w:val="auto"/>
              </w:rPr>
            </w:pPr>
          </w:p>
        </w:tc>
        <w:tc>
          <w:tcPr>
            <w:tcW w:w="14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220" w:type="dxa"/>
            <w:vAlign w:val="bottom"/>
            <w:tcBorders>
              <w:top w:val="single" w:sz="8" w:color="D9D9D6"/>
            </w:tcBorders>
            <w:shd w:val="clear" w:color="auto" w:fill="D9D9D6"/>
          </w:tcPr>
          <w:p>
            <w:pPr>
              <w:spacing w:after="0" w:line="20" w:lineRule="exact"/>
              <w:rPr>
                <w:sz w:val="1"/>
                <w:szCs w:val="1"/>
                <w:color w:val="auto"/>
              </w:rPr>
            </w:pPr>
          </w:p>
        </w:tc>
        <w:tc>
          <w:tcPr>
            <w:tcW w:w="100" w:type="dxa"/>
            <w:vAlign w:val="bottom"/>
            <w:tcBorders>
              <w:top w:val="single" w:sz="8" w:color="D9D9D6"/>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32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$17,824</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$18,068</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(1.4</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(1.5 %)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2,421</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2,292</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5.7</w:t>
            </w:r>
          </w:p>
        </w:tc>
        <w:tc>
          <w:tcPr>
            <w:tcW w:w="20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5.7 %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$20,245</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$20,360</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(0.6</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(0.7 %)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$7,103</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$7,024</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1.1</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1.1 %</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1,380</w:t>
            </w:r>
          </w:p>
        </w:tc>
        <w:tc>
          <w:tcPr>
            <w:tcW w:w="100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1,322</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4.4</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4.4 %</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$8,483</w:t>
            </w:r>
          </w:p>
        </w:tc>
        <w:tc>
          <w:tcPr>
            <w:tcW w:w="100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$8,346</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1.6</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1.6 %</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39.9</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38.9 %</w:t>
            </w:r>
          </w:p>
        </w:tc>
        <w:tc>
          <w:tcPr>
            <w:tcW w:w="20" w:type="dxa"/>
            <w:vAlign w:val="bottom"/>
            <w:shd w:val="clear" w:color="auto" w:fill="D9D9D6"/>
          </w:tcPr>
          <w:p>
            <w:pPr>
              <w:spacing w:after="0"/>
              <w:rPr>
                <w:sz w:val="24"/>
                <w:szCs w:val="24"/>
                <w:color w:val="auto"/>
              </w:rPr>
            </w:pP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100 bps</w:t>
            </w:r>
          </w:p>
        </w:tc>
        <w:tc>
          <w:tcPr>
            <w:tcW w:w="560" w:type="dxa"/>
            <w:vAlign w:val="bottom"/>
            <w:shd w:val="clear" w:color="auto" w:fill="D9D9D6"/>
          </w:tcPr>
          <w:p>
            <w:pPr>
              <w:spacing w:after="0"/>
              <w:rPr>
                <w:sz w:val="24"/>
                <w:szCs w:val="24"/>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100 bps</w:t>
            </w:r>
          </w:p>
        </w:tc>
        <w:tc>
          <w:tcPr>
            <w:tcW w:w="3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57.0</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980" w:type="dxa"/>
            <w:vAlign w:val="bottom"/>
            <w:tcBorders>
              <w:bottom w:val="single" w:sz="8" w:color="auto"/>
            </w:tcBorders>
            <w:gridSpan w:val="4"/>
            <w:shd w:val="clear" w:color="auto" w:fill="D9D9D6"/>
          </w:tcPr>
          <w:p>
            <w:pPr>
              <w:jc w:val="right"/>
              <w:spacing w:after="0"/>
              <w:rPr>
                <w:sz w:val="20"/>
                <w:szCs w:val="20"/>
                <w:color w:val="auto"/>
              </w:rPr>
            </w:pPr>
            <w:r>
              <w:rPr>
                <w:rFonts w:ascii="Arial" w:cs="Arial" w:eastAsia="Arial" w:hAnsi="Arial"/>
                <w:sz w:val="14"/>
                <w:szCs w:val="14"/>
                <w:color w:val="auto"/>
              </w:rPr>
              <w:t>57.7 %</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(70) bps</w:t>
            </w:r>
          </w:p>
        </w:tc>
        <w:tc>
          <w:tcPr>
            <w:tcW w:w="560" w:type="dxa"/>
            <w:vAlign w:val="bottom"/>
            <w:tcBorders>
              <w:bottom w:val="single" w:sz="8" w:color="auto"/>
            </w:tcBorders>
            <w:shd w:val="clear" w:color="auto" w:fill="D9D9D6"/>
          </w:tcPr>
          <w:p>
            <w:pPr>
              <w:spacing w:after="0"/>
              <w:rPr>
                <w:sz w:val="17"/>
                <w:szCs w:val="17"/>
                <w:color w:val="auto"/>
              </w:rPr>
            </w:pPr>
          </w:p>
        </w:tc>
        <w:tc>
          <w:tcPr>
            <w:tcW w:w="56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(70) bps</w:t>
            </w:r>
          </w:p>
        </w:tc>
        <w:tc>
          <w:tcPr>
            <w:tcW w:w="32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41.9</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98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41.0 %</w:t>
            </w:r>
          </w:p>
        </w:tc>
        <w:tc>
          <w:tcPr>
            <w:tcW w:w="2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52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90 bps</w:t>
            </w:r>
          </w:p>
        </w:tc>
        <w:tc>
          <w:tcPr>
            <w:tcW w:w="56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90 bps</w:t>
            </w:r>
          </w:p>
        </w:tc>
        <w:tc>
          <w:tcPr>
            <w:tcW w:w="32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78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560" w:type="dxa"/>
            <w:vAlign w:val="bottom"/>
            <w:tcBorders>
              <w:right w:val="single" w:sz="8" w:color="D9D9D6"/>
            </w:tcBorders>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2">
            <w:col w:w="5880" w:space="720"/>
            <w:col w:w="4640"/>
          </w:cols>
          <w:pgMar w:left="320" w:top="584" w:right="339" w:bottom="1440" w:gutter="0" w:footer="0" w:header="0"/>
          <w:type w:val="continuous"/>
        </w:sectPr>
      </w:pPr>
    </w:p>
    <w:p>
      <w:pPr>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Connectivity &amp; Platforms was consistent with the prior year period.</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compared to the prior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due to growth in both Residential Connectivity &amp; Platforms Adjusted EBITDA and Business Services Connectivity Adjusted EBITDA.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increased to 41.9%.</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584"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380" w:type="dxa"/>
            <w:vAlign w:val="bottom"/>
            <w:shd w:val="clear" w:color="auto" w:fill="D9D9D6"/>
          </w:tcPr>
          <w:p>
            <w:pPr>
              <w:spacing w:after="0"/>
              <w:rPr>
                <w:sz w:val="19"/>
                <w:szCs w:val="19"/>
                <w:color w:val="auto"/>
              </w:rPr>
            </w:pPr>
          </w:p>
        </w:tc>
        <w:tc>
          <w:tcPr>
            <w:tcW w:w="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60" w:type="dxa"/>
            <w:vAlign w:val="bottom"/>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120" w:type="dxa"/>
            <w:vAlign w:val="bottom"/>
            <w:tcBorders>
              <w:right w:val="single" w:sz="8" w:color="D9D9D6"/>
            </w:tcBorders>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r>
      <w:tr>
        <w:trPr>
          <w:trHeight w:val="223"/>
        </w:trPr>
        <w:tc>
          <w:tcPr>
            <w:tcW w:w="120" w:type="dxa"/>
            <w:vAlign w:val="bottom"/>
            <w:shd w:val="clear" w:color="auto" w:fill="D9D9D6"/>
          </w:tcPr>
          <w:p>
            <w:pPr>
              <w:spacing w:after="0"/>
              <w:rPr>
                <w:sz w:val="19"/>
                <w:szCs w:val="19"/>
                <w:color w:val="auto"/>
              </w:rPr>
            </w:pPr>
          </w:p>
        </w:tc>
        <w:tc>
          <w:tcPr>
            <w:tcW w:w="744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52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20" w:type="dxa"/>
            <w:vAlign w:val="bottom"/>
            <w:shd w:val="clear" w:color="auto" w:fill="D9D9D6"/>
          </w:tcPr>
          <w:p>
            <w:pPr>
              <w:spacing w:after="0"/>
              <w:rPr>
                <w:sz w:val="19"/>
                <w:szCs w:val="19"/>
                <w:color w:val="auto"/>
              </w:rPr>
            </w:pPr>
          </w:p>
        </w:tc>
        <w:tc>
          <w:tcPr>
            <w:tcW w:w="1780" w:type="dxa"/>
            <w:vAlign w:val="bottom"/>
            <w:gridSpan w:val="9"/>
            <w:shd w:val="clear" w:color="auto" w:fill="D9D9D6"/>
          </w:tcPr>
          <w:p>
            <w:pPr>
              <w:jc w:val="center"/>
              <w:ind w:right="240"/>
              <w:spacing w:after="0"/>
              <w:rPr>
                <w:sz w:val="20"/>
                <w:szCs w:val="20"/>
                <w:color w:val="auto"/>
              </w:rPr>
            </w:pPr>
            <w:r>
              <w:rPr>
                <w:rFonts w:ascii="Arial" w:cs="Arial" w:eastAsia="Arial" w:hAnsi="Arial"/>
                <w:sz w:val="14"/>
                <w:szCs w:val="14"/>
                <w:color w:val="auto"/>
              </w:rPr>
              <w:t>Net Additions / (Losses)</w:t>
            </w:r>
          </w:p>
        </w:tc>
      </w:tr>
      <w:tr>
        <w:trPr>
          <w:trHeight w:val="183"/>
        </w:trPr>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744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4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520" w:type="dxa"/>
            <w:vAlign w:val="bottom"/>
            <w:tcBorders>
              <w:top w:val="single" w:sz="8" w:color="D9D9D6"/>
              <w:bottom w:val="single" w:sz="8" w:color="D9D9D6"/>
            </w:tcBorders>
            <w:shd w:val="clear" w:color="auto" w:fill="D9D9D6"/>
          </w:tcPr>
          <w:p>
            <w:pPr>
              <w:spacing w:after="0"/>
              <w:rPr>
                <w:sz w:val="15"/>
                <w:szCs w:val="15"/>
                <w:color w:val="auto"/>
              </w:rPr>
            </w:pPr>
          </w:p>
        </w:tc>
        <w:tc>
          <w:tcPr>
            <w:tcW w:w="360" w:type="dxa"/>
            <w:vAlign w:val="bottom"/>
            <w:tcBorders>
              <w:top w:val="single" w:sz="8" w:color="D9D9D6"/>
              <w:bottom w:val="single" w:sz="8" w:color="D9D9D6"/>
            </w:tcBorders>
            <w:shd w:val="clear" w:color="auto" w:fill="D9D9D6"/>
          </w:tcPr>
          <w:p>
            <w:pPr>
              <w:spacing w:after="0"/>
              <w:rPr>
                <w:sz w:val="15"/>
                <w:szCs w:val="15"/>
                <w:color w:val="auto"/>
              </w:rPr>
            </w:pPr>
          </w:p>
        </w:tc>
        <w:tc>
          <w:tcPr>
            <w:tcW w:w="20" w:type="dxa"/>
            <w:vAlign w:val="bottom"/>
            <w:tcBorders>
              <w:top w:val="single" w:sz="8" w:color="D9D9D6"/>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c>
          <w:tcPr>
            <w:tcW w:w="380" w:type="dxa"/>
            <w:vAlign w:val="bottom"/>
            <w:tcBorders>
              <w:top w:val="single" w:sz="8" w:color="auto"/>
              <w:bottom w:val="single" w:sz="8" w:color="D9D9D6"/>
            </w:tcBorders>
            <w:shd w:val="clear" w:color="auto" w:fill="D9D9D6"/>
          </w:tcPr>
          <w:p>
            <w:pPr>
              <w:spacing w:after="0"/>
              <w:rPr>
                <w:sz w:val="15"/>
                <w:szCs w:val="15"/>
                <w:color w:val="auto"/>
              </w:rPr>
            </w:pPr>
          </w:p>
        </w:tc>
        <w:tc>
          <w:tcPr>
            <w:tcW w:w="780" w:type="dxa"/>
            <w:vAlign w:val="bottom"/>
            <w:tcBorders>
              <w:top w:val="single" w:sz="8" w:color="auto"/>
              <w:bottom w:val="single" w:sz="8" w:color="auto"/>
            </w:tcBorders>
            <w:gridSpan w:val="3"/>
            <w:shd w:val="clear" w:color="auto" w:fill="D9D9D6"/>
          </w:tcPr>
          <w:p>
            <w:pPr>
              <w:jc w:val="center"/>
              <w:spacing w:after="0"/>
              <w:rPr>
                <w:sz w:val="20"/>
                <w:szCs w:val="20"/>
                <w:color w:val="auto"/>
              </w:rPr>
            </w:pPr>
            <w:r>
              <w:rPr>
                <w:rFonts w:ascii="Arial" w:cs="Arial" w:eastAsia="Arial" w:hAnsi="Arial"/>
                <w:sz w:val="14"/>
                <w:szCs w:val="14"/>
                <w:color w:val="auto"/>
              </w:rPr>
              <w:t>2nd Quarter</w:t>
            </w:r>
          </w:p>
        </w:tc>
        <w:tc>
          <w:tcPr>
            <w:tcW w:w="60" w:type="dxa"/>
            <w:vAlign w:val="bottom"/>
            <w:tcBorders>
              <w:top w:val="single" w:sz="8" w:color="auto"/>
              <w:bottom w:val="single" w:sz="8" w:color="D9D9D6"/>
            </w:tcBorders>
            <w:shd w:val="clear" w:color="auto" w:fill="D9D9D6"/>
          </w:tcPr>
          <w:p>
            <w:pPr>
              <w:spacing w:after="0"/>
              <w:rPr>
                <w:sz w:val="15"/>
                <w:szCs w:val="15"/>
                <w:color w:val="auto"/>
              </w:rPr>
            </w:pPr>
          </w:p>
        </w:tc>
        <w:tc>
          <w:tcPr>
            <w:tcW w:w="100" w:type="dxa"/>
            <w:vAlign w:val="bottom"/>
            <w:tcBorders>
              <w:top w:val="single" w:sz="8" w:color="auto"/>
              <w:bottom w:val="single" w:sz="8" w:color="D9D9D6"/>
            </w:tcBorders>
            <w:shd w:val="clear" w:color="auto" w:fill="D9D9D6"/>
          </w:tcPr>
          <w:p>
            <w:pPr>
              <w:spacing w:after="0"/>
              <w:rPr>
                <w:sz w:val="15"/>
                <w:szCs w:val="15"/>
                <w:color w:val="auto"/>
              </w:rPr>
            </w:pPr>
          </w:p>
        </w:tc>
        <w:tc>
          <w:tcPr>
            <w:tcW w:w="220" w:type="dxa"/>
            <w:vAlign w:val="bottom"/>
            <w:tcBorders>
              <w:top w:val="single" w:sz="8" w:color="auto"/>
              <w:bottom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right w:val="single" w:sz="8" w:color="D9D9D6"/>
            </w:tcBorders>
            <w:shd w:val="clear" w:color="auto" w:fill="D9D9D6"/>
          </w:tcPr>
          <w:p>
            <w:pPr>
              <w:spacing w:after="0"/>
              <w:rPr>
                <w:sz w:val="15"/>
                <w:szCs w:val="15"/>
                <w:color w:val="auto"/>
              </w:rPr>
            </w:pPr>
          </w:p>
        </w:tc>
        <w:tc>
          <w:tcPr>
            <w:tcW w:w="120" w:type="dxa"/>
            <w:vAlign w:val="bottom"/>
            <w:tcBorders>
              <w:top w:val="single" w:sz="8" w:color="D9D9D6"/>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7440" w:type="dxa"/>
            <w:vAlign w:val="bottom"/>
            <w:shd w:val="clear" w:color="auto" w:fill="D9D9D6"/>
          </w:tcPr>
          <w:p>
            <w:pPr>
              <w:spacing w:after="0"/>
              <w:rPr>
                <w:sz w:val="15"/>
                <w:szCs w:val="15"/>
                <w:color w:val="auto"/>
              </w:rPr>
            </w:pPr>
          </w:p>
        </w:tc>
        <w:tc>
          <w:tcPr>
            <w:tcW w:w="520" w:type="dxa"/>
            <w:vAlign w:val="bottom"/>
            <w:shd w:val="clear" w:color="auto" w:fill="D9D9D6"/>
          </w:tcPr>
          <w:p>
            <w:pPr>
              <w:spacing w:after="0"/>
              <w:rPr>
                <w:sz w:val="15"/>
                <w:szCs w:val="15"/>
                <w:color w:val="auto"/>
              </w:rPr>
            </w:pPr>
          </w:p>
        </w:tc>
        <w:tc>
          <w:tcPr>
            <w:tcW w:w="3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3"/>
              </w:rPr>
              <w:t>2Q24</w:t>
            </w:r>
          </w:p>
        </w:tc>
        <w:tc>
          <w:tcPr>
            <w:tcW w:w="520" w:type="dxa"/>
            <w:vAlign w:val="bottom"/>
            <w:shd w:val="clear" w:color="auto" w:fill="D9D9D6"/>
          </w:tcPr>
          <w:p>
            <w:pPr>
              <w:spacing w:after="0"/>
              <w:rPr>
                <w:sz w:val="15"/>
                <w:szCs w:val="15"/>
                <w:color w:val="auto"/>
              </w:rPr>
            </w:pPr>
          </w:p>
        </w:tc>
        <w:tc>
          <w:tcPr>
            <w:tcW w:w="38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w w:val="99"/>
              </w:rPr>
              <w:t>2Q23</w:t>
            </w: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400" w:type="dxa"/>
            <w:vAlign w:val="bottom"/>
            <w:shd w:val="clear" w:color="auto" w:fill="D9D9D6"/>
          </w:tcPr>
          <w:p>
            <w:pPr>
              <w:spacing w:after="0"/>
              <w:rPr>
                <w:sz w:val="15"/>
                <w:szCs w:val="15"/>
                <w:color w:val="auto"/>
              </w:rPr>
            </w:pPr>
          </w:p>
        </w:tc>
        <w:tc>
          <w:tcPr>
            <w:tcW w:w="60" w:type="dxa"/>
            <w:vAlign w:val="bottom"/>
            <w:shd w:val="clear" w:color="auto" w:fill="D9D9D6"/>
          </w:tcPr>
          <w:p>
            <w:pPr>
              <w:spacing w:after="0"/>
              <w:rPr>
                <w:sz w:val="15"/>
                <w:szCs w:val="15"/>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D9D9D6"/>
          </w:tcPr>
          <w:p>
            <w:pPr>
              <w:spacing w:after="0"/>
              <w:rPr>
                <w:sz w:val="15"/>
                <w:szCs w:val="15"/>
                <w:color w:val="auto"/>
              </w:rPr>
            </w:pP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74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2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380" w:type="dxa"/>
            <w:vAlign w:val="bottom"/>
            <w:tcBorders>
              <w:top w:val="single" w:sz="8" w:color="D9D9D6"/>
            </w:tcBorders>
            <w:shd w:val="clear" w:color="auto" w:fill="D9D9D6"/>
          </w:tcPr>
          <w:p>
            <w:pPr>
              <w:spacing w:after="0"/>
              <w:rPr>
                <w:sz w:val="19"/>
                <w:szCs w:val="19"/>
                <w:color w:val="auto"/>
              </w:rPr>
            </w:pPr>
          </w:p>
        </w:tc>
        <w:tc>
          <w:tcPr>
            <w:tcW w:w="4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60" w:type="dxa"/>
            <w:vAlign w:val="bottom"/>
            <w:tcBorders>
              <w:top w:val="single" w:sz="8" w:color="D9D9D6"/>
            </w:tcBorders>
            <w:shd w:val="clear" w:color="auto" w:fill="D9D9D6"/>
          </w:tcPr>
          <w:p>
            <w:pPr>
              <w:spacing w:after="0"/>
              <w:rPr>
                <w:sz w:val="19"/>
                <w:szCs w:val="19"/>
                <w:color w:val="auto"/>
              </w:rPr>
            </w:pPr>
          </w:p>
        </w:tc>
        <w:tc>
          <w:tcPr>
            <w:tcW w:w="100" w:type="dxa"/>
            <w:vAlign w:val="bottom"/>
            <w:tcBorders>
              <w:top w:val="single" w:sz="8" w:color="D9D9D6"/>
            </w:tcBorders>
            <w:shd w:val="clear" w:color="auto" w:fill="D9D9D6"/>
          </w:tcPr>
          <w:p>
            <w:pPr>
              <w:spacing w:after="0"/>
              <w:rPr>
                <w:sz w:val="19"/>
                <w:szCs w:val="19"/>
                <w:color w:val="auto"/>
              </w:rPr>
            </w:pPr>
          </w:p>
        </w:tc>
        <w:tc>
          <w:tcPr>
            <w:tcW w:w="22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Residential Connectivity &amp; Platforms Customer Relationships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31,426</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31,761</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(128)</w:t>
            </w:r>
          </w:p>
        </w:tc>
        <w:tc>
          <w:tcPr>
            <w:tcW w:w="40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(65)</w:t>
            </w:r>
          </w:p>
        </w:tc>
        <w:tc>
          <w:tcPr>
            <w:tcW w:w="120" w:type="dxa"/>
            <w:vAlign w:val="bottom"/>
            <w:shd w:val="clear" w:color="auto" w:fill="D9D9D6"/>
          </w:tcPr>
          <w:p>
            <w:pPr>
              <w:spacing w:after="0"/>
              <w:rPr>
                <w:sz w:val="17"/>
                <w:szCs w:val="17"/>
                <w:color w:val="auto"/>
              </w:rPr>
            </w:pPr>
          </w:p>
        </w:tc>
      </w:tr>
      <w:tr>
        <w:trPr>
          <w:trHeight w:val="211"/>
        </w:trPr>
        <w:tc>
          <w:tcPr>
            <w:tcW w:w="120" w:type="dxa"/>
            <w:vAlign w:val="bottom"/>
            <w:shd w:val="clear" w:color="auto" w:fill="D9D9D6"/>
          </w:tcPr>
          <w:p>
            <w:pPr>
              <w:spacing w:after="0"/>
              <w:rPr>
                <w:sz w:val="18"/>
                <w:szCs w:val="18"/>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Residential Connectivity &amp; Platforms Customer Relationships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17,638</w:t>
            </w:r>
          </w:p>
        </w:tc>
        <w:tc>
          <w:tcPr>
            <w:tcW w:w="20" w:type="dxa"/>
            <w:vAlign w:val="bottom"/>
            <w:shd w:val="clear" w:color="auto" w:fill="D9D9D6"/>
          </w:tcPr>
          <w:p>
            <w:pPr>
              <w:spacing w:after="0"/>
              <w:rPr>
                <w:sz w:val="18"/>
                <w:szCs w:val="18"/>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17,884</w:t>
            </w:r>
          </w:p>
        </w:tc>
        <w:tc>
          <w:tcPr>
            <w:tcW w:w="20" w:type="dxa"/>
            <w:vAlign w:val="bottom"/>
            <w:shd w:val="clear" w:color="auto" w:fill="D9D9D6"/>
          </w:tcPr>
          <w:p>
            <w:pPr>
              <w:spacing w:after="0"/>
              <w:rPr>
                <w:sz w:val="18"/>
                <w:szCs w:val="18"/>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(144)</w:t>
            </w:r>
          </w:p>
        </w:tc>
        <w:tc>
          <w:tcPr>
            <w:tcW w:w="400" w:type="dxa"/>
            <w:vAlign w:val="bottom"/>
            <w:shd w:val="clear" w:color="auto" w:fill="D9D9D6"/>
          </w:tcPr>
          <w:p>
            <w:pPr>
              <w:spacing w:after="0"/>
              <w:rPr>
                <w:sz w:val="18"/>
                <w:szCs w:val="18"/>
                <w:color w:val="auto"/>
              </w:rPr>
            </w:pPr>
          </w:p>
        </w:tc>
        <w:tc>
          <w:tcPr>
            <w:tcW w:w="60" w:type="dxa"/>
            <w:vAlign w:val="bottom"/>
            <w:shd w:val="clear" w:color="auto" w:fill="D9D9D6"/>
          </w:tcPr>
          <w:p>
            <w:pPr>
              <w:spacing w:after="0"/>
              <w:rPr>
                <w:sz w:val="18"/>
                <w:szCs w:val="18"/>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D9D9D6"/>
          </w:tcPr>
          <w:p>
            <w:pPr>
              <w:spacing w:after="0"/>
              <w:rPr>
                <w:sz w:val="18"/>
                <w:szCs w:val="18"/>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Connectivity Customer Relationships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2,632</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2,635</w:t>
            </w:r>
          </w:p>
        </w:tc>
        <w:tc>
          <w:tcPr>
            <w:tcW w:w="880" w:type="dxa"/>
            <w:vAlign w:val="bottom"/>
            <w:tcBorders>
              <w:bottom w:val="single" w:sz="8" w:color="auto"/>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Connectivity &amp; Platforms Customer Relationships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51,696</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52,280</w:t>
            </w: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(275)</w:t>
            </w:r>
          </w:p>
        </w:tc>
        <w:tc>
          <w:tcPr>
            <w:tcW w:w="4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(228)</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Domestic Broadband</w:t>
            </w:r>
          </w:p>
        </w:tc>
        <w:tc>
          <w:tcPr>
            <w:tcW w:w="52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340" w:type="dxa"/>
            <w:vAlign w:val="bottom"/>
            <w:tcBorders>
              <w:right w:val="single" w:sz="8" w:color="D9D9D6"/>
            </w:tcBorders>
            <w:shd w:val="clear" w:color="auto" w:fill="D9D9D6"/>
          </w:tcPr>
          <w:p>
            <w:pPr>
              <w:spacing w:after="0"/>
              <w:rPr>
                <w:sz w:val="24"/>
                <w:szCs w:val="24"/>
                <w:color w:val="auto"/>
              </w:rPr>
            </w:pPr>
          </w:p>
        </w:tc>
        <w:tc>
          <w:tcPr>
            <w:tcW w:w="40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100" w:type="dxa"/>
            <w:vAlign w:val="bottom"/>
            <w:shd w:val="clear" w:color="auto" w:fill="D9D9D6"/>
          </w:tcPr>
          <w:p>
            <w:pPr>
              <w:spacing w:after="0"/>
              <w:rPr>
                <w:sz w:val="24"/>
                <w:szCs w:val="24"/>
                <w:color w:val="auto"/>
              </w:rPr>
            </w:pPr>
          </w:p>
        </w:tc>
        <w:tc>
          <w:tcPr>
            <w:tcW w:w="220" w:type="dxa"/>
            <w:vAlign w:val="bottom"/>
            <w:shd w:val="clear" w:color="auto" w:fill="D9D9D6"/>
          </w:tcPr>
          <w:p>
            <w:pPr>
              <w:spacing w:after="0"/>
              <w:rPr>
                <w:sz w:val="24"/>
                <w:szCs w:val="24"/>
                <w:color w:val="auto"/>
              </w:rPr>
            </w:pPr>
          </w:p>
        </w:tc>
        <w:tc>
          <w:tcPr>
            <w:tcW w:w="120" w:type="dxa"/>
            <w:vAlign w:val="bottom"/>
            <w:tcBorders>
              <w:right w:val="single" w:sz="8" w:color="D9D9D6"/>
            </w:tcBorders>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205"/>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29,583</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29,796</w:t>
            </w:r>
          </w:p>
        </w:tc>
        <w:tc>
          <w:tcPr>
            <w:tcW w:w="20" w:type="dxa"/>
            <w:vAlign w:val="bottom"/>
            <w:shd w:val="clear" w:color="auto" w:fill="D9D9D6"/>
          </w:tcPr>
          <w:p>
            <w:pPr>
              <w:spacing w:after="0"/>
              <w:rPr>
                <w:sz w:val="17"/>
                <w:szCs w:val="17"/>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(110)</w:t>
            </w:r>
          </w:p>
        </w:tc>
        <w:tc>
          <w:tcPr>
            <w:tcW w:w="400" w:type="dxa"/>
            <w:vAlign w:val="bottom"/>
            <w:shd w:val="clear" w:color="auto" w:fill="D9D9D6"/>
          </w:tcPr>
          <w:p>
            <w:pPr>
              <w:spacing w:after="0"/>
              <w:rPr>
                <w:sz w:val="17"/>
                <w:szCs w:val="17"/>
                <w:color w:val="auto"/>
              </w:rPr>
            </w:pPr>
          </w:p>
        </w:tc>
        <w:tc>
          <w:tcPr>
            <w:tcW w:w="60" w:type="dxa"/>
            <w:vAlign w:val="bottom"/>
            <w:shd w:val="clear" w:color="auto" w:fill="D9D9D6"/>
          </w:tcPr>
          <w:p>
            <w:pPr>
              <w:spacing w:after="0"/>
              <w:rPr>
                <w:sz w:val="17"/>
                <w:szCs w:val="17"/>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D9D9D6"/>
          </w:tcPr>
          <w:p>
            <w:pPr>
              <w:spacing w:after="0"/>
              <w:rPr>
                <w:sz w:val="17"/>
                <w:szCs w:val="17"/>
                <w:color w:val="auto"/>
              </w:rPr>
            </w:pPr>
          </w:p>
        </w:tc>
      </w:tr>
      <w:tr>
        <w:trPr>
          <w:trHeight w:val="196"/>
        </w:trPr>
        <w:tc>
          <w:tcPr>
            <w:tcW w:w="120" w:type="dxa"/>
            <w:vAlign w:val="bottom"/>
            <w:tcBorders>
              <w:bottom w:val="single" w:sz="8" w:color="D9D9D6"/>
            </w:tcBorders>
            <w:shd w:val="clear" w:color="auto" w:fill="D9D9D6"/>
          </w:tcPr>
          <w:p>
            <w:pPr>
              <w:spacing w:after="0"/>
              <w:rPr>
                <w:sz w:val="17"/>
                <w:szCs w:val="17"/>
                <w:color w:val="auto"/>
              </w:rPr>
            </w:pPr>
          </w:p>
        </w:tc>
        <w:tc>
          <w:tcPr>
            <w:tcW w:w="74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Customers</w:t>
            </w: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2,485</w:t>
            </w:r>
          </w:p>
        </w:tc>
        <w:tc>
          <w:tcPr>
            <w:tcW w:w="9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2,509</w:t>
            </w:r>
          </w:p>
        </w:tc>
        <w:tc>
          <w:tcPr>
            <w:tcW w:w="880" w:type="dxa"/>
            <w:vAlign w:val="bottom"/>
            <w:tcBorders>
              <w:bottom w:val="single" w:sz="8" w:color="auto"/>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w:t>
            </w:r>
          </w:p>
        </w:tc>
        <w:tc>
          <w:tcPr>
            <w:tcW w:w="400" w:type="dxa"/>
            <w:vAlign w:val="bottom"/>
            <w:tcBorders>
              <w:bottom w:val="single" w:sz="8" w:color="auto"/>
            </w:tcBorders>
            <w:shd w:val="clear" w:color="auto" w:fill="DBDBDB"/>
          </w:tcPr>
          <w:p>
            <w:pPr>
              <w:spacing w:after="0"/>
              <w:rPr>
                <w:sz w:val="17"/>
                <w:szCs w:val="17"/>
                <w:color w:val="auto"/>
              </w:rPr>
            </w:pPr>
          </w:p>
        </w:tc>
        <w:tc>
          <w:tcPr>
            <w:tcW w:w="60" w:type="dxa"/>
            <w:vAlign w:val="bottom"/>
            <w:tcBorders>
              <w:bottom w:val="single" w:sz="8" w:color="auto"/>
            </w:tcBorders>
            <w:shd w:val="clear" w:color="auto" w:fill="DBDBDB"/>
          </w:tcPr>
          <w:p>
            <w:pPr>
              <w:spacing w:after="0"/>
              <w:rPr>
                <w:sz w:val="17"/>
                <w:szCs w:val="17"/>
                <w:color w:val="auto"/>
              </w:rPr>
            </w:pPr>
          </w:p>
        </w:tc>
        <w:tc>
          <w:tcPr>
            <w:tcW w:w="440" w:type="dxa"/>
            <w:vAlign w:val="bottom"/>
            <w:tcBorders>
              <w:bottom w:val="single" w:sz="8" w:color="auto"/>
              <w:right w:val="single" w:sz="8" w:color="DBDBDB"/>
            </w:tcBorders>
            <w:gridSpan w:val="3"/>
            <w:shd w:val="clear" w:color="auto" w:fill="DBDBDB"/>
          </w:tcPr>
          <w:p>
            <w:pPr>
              <w:jc w:val="right"/>
              <w:ind w:right="60"/>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Broadband Customers</w:t>
            </w: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32,068</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32,305</w:t>
            </w: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(120)</w:t>
            </w:r>
          </w:p>
        </w:tc>
        <w:tc>
          <w:tcPr>
            <w:tcW w:w="4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40" w:type="dxa"/>
            <w:vAlign w:val="bottom"/>
            <w:tcBorders>
              <w:right w:val="single" w:sz="8" w:color="DBDBDB"/>
            </w:tcBorders>
            <w:gridSpan w:val="3"/>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(19)</w:t>
            </w: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Wireless Lines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7,199</w:t>
            </w:r>
          </w:p>
        </w:tc>
        <w:tc>
          <w:tcPr>
            <w:tcW w:w="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5,984</w:t>
            </w:r>
          </w:p>
        </w:tc>
        <w:tc>
          <w:tcPr>
            <w:tcW w:w="20" w:type="dxa"/>
            <w:vAlign w:val="bottom"/>
            <w:shd w:val="clear" w:color="auto" w:fill="D9D9D6"/>
          </w:tcPr>
          <w:p>
            <w:pPr>
              <w:spacing w:after="0"/>
              <w:rPr>
                <w:sz w:val="24"/>
                <w:szCs w:val="24"/>
                <w:color w:val="auto"/>
              </w:rPr>
            </w:pPr>
          </w:p>
        </w:tc>
        <w:tc>
          <w:tcPr>
            <w:tcW w:w="880" w:type="dxa"/>
            <w:vAlign w:val="bottom"/>
            <w:tcBorders>
              <w:right w:val="single" w:sz="8" w:color="D9D9D6"/>
            </w:tcBorders>
            <w:gridSpan w:val="4"/>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322</w:t>
            </w:r>
          </w:p>
        </w:tc>
        <w:tc>
          <w:tcPr>
            <w:tcW w:w="40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316</w:t>
            </w:r>
          </w:p>
        </w:tc>
        <w:tc>
          <w:tcPr>
            <w:tcW w:w="120" w:type="dxa"/>
            <w:vAlign w:val="bottom"/>
            <w:shd w:val="clear" w:color="auto" w:fill="D9D9D6"/>
          </w:tcPr>
          <w:p>
            <w:pPr>
              <w:spacing w:after="0"/>
              <w:rPr>
                <w:sz w:val="24"/>
                <w:szCs w:val="24"/>
                <w:color w:val="auto"/>
              </w:rPr>
            </w:pPr>
          </w:p>
        </w:tc>
      </w:tr>
      <w:tr>
        <w:trPr>
          <w:trHeight w:val="418"/>
        </w:trPr>
        <w:tc>
          <w:tcPr>
            <w:tcW w:w="120" w:type="dxa"/>
            <w:vAlign w:val="bottom"/>
            <w:shd w:val="clear" w:color="auto" w:fill="D9D9D6"/>
          </w:tcPr>
          <w:p>
            <w:pPr>
              <w:spacing w:after="0"/>
              <w:rPr>
                <w:sz w:val="24"/>
                <w:szCs w:val="24"/>
                <w:color w:val="auto"/>
              </w:rPr>
            </w:pPr>
          </w:p>
        </w:tc>
        <w:tc>
          <w:tcPr>
            <w:tcW w:w="74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Domestic Video Customers</w:t>
            </w: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13,199</w:t>
            </w:r>
          </w:p>
        </w:tc>
        <w:tc>
          <w:tcPr>
            <w:tcW w:w="20" w:type="dxa"/>
            <w:vAlign w:val="bottom"/>
            <w:shd w:val="clear" w:color="auto" w:fill="D9D9D6"/>
          </w:tcPr>
          <w:p>
            <w:pPr>
              <w:spacing w:after="0"/>
              <w:rPr>
                <w:sz w:val="24"/>
                <w:szCs w:val="24"/>
                <w:color w:val="auto"/>
              </w:rPr>
            </w:pP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14,985</w:t>
            </w:r>
          </w:p>
        </w:tc>
        <w:tc>
          <w:tcPr>
            <w:tcW w:w="20" w:type="dxa"/>
            <w:vAlign w:val="bottom"/>
            <w:shd w:val="clear" w:color="auto" w:fill="D9D9D6"/>
          </w:tcPr>
          <w:p>
            <w:pPr>
              <w:spacing w:after="0"/>
              <w:rPr>
                <w:sz w:val="24"/>
                <w:szCs w:val="24"/>
                <w:color w:val="auto"/>
              </w:rPr>
            </w:pPr>
          </w:p>
        </w:tc>
        <w:tc>
          <w:tcPr>
            <w:tcW w:w="880" w:type="dxa"/>
            <w:vAlign w:val="bottom"/>
            <w:tcBorders>
              <w:right w:val="single" w:sz="8" w:color="D9D9D6"/>
            </w:tcBorders>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(419)</w:t>
            </w:r>
          </w:p>
        </w:tc>
        <w:tc>
          <w:tcPr>
            <w:tcW w:w="40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44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(543)</w:t>
            </w:r>
          </w:p>
        </w:tc>
        <w:tc>
          <w:tcPr>
            <w:tcW w:w="120" w:type="dxa"/>
            <w:vAlign w:val="bottom"/>
            <w:shd w:val="clear" w:color="auto" w:fill="D9D9D6"/>
          </w:tcPr>
          <w:p>
            <w:pPr>
              <w:spacing w:after="0"/>
              <w:rPr>
                <w:sz w:val="24"/>
                <w:szCs w:val="24"/>
                <w:color w:val="auto"/>
              </w:rPr>
            </w:pPr>
          </w:p>
        </w:tc>
      </w:tr>
      <w:tr>
        <w:trPr>
          <w:trHeight w:val="56"/>
        </w:trPr>
        <w:tc>
          <w:tcPr>
            <w:tcW w:w="120" w:type="dxa"/>
            <w:vAlign w:val="bottom"/>
            <w:shd w:val="clear" w:color="auto" w:fill="D9D9D6"/>
          </w:tcPr>
          <w:p>
            <w:pPr>
              <w:spacing w:after="0"/>
              <w:rPr>
                <w:sz w:val="4"/>
                <w:szCs w:val="4"/>
                <w:color w:val="auto"/>
              </w:rPr>
            </w:pPr>
          </w:p>
        </w:tc>
        <w:tc>
          <w:tcPr>
            <w:tcW w:w="744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120" w:type="dxa"/>
            <w:vAlign w:val="bottom"/>
            <w:tcBorders>
              <w:right w:val="single" w:sz="8" w:color="D9D9D6"/>
            </w:tcBorders>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for Connectivity &amp; Platforms decreased by 275,000 to 51.7 million, primarily reflecting decreases in</w:t>
      </w:r>
    </w:p>
    <w:p>
      <w:pPr>
        <w:spacing w:after="0" w:line="1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Residential Connectivity &amp; Platforms customer relationships. Total domestic broadband customer net losses were 120,000, total domestic wireless line net additions were 322,000 and total domestic video customer net losses were 419,000.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6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80" w:type="dxa"/>
            <w:vAlign w:val="bottom"/>
            <w:tcBorders>
              <w:right w:val="single" w:sz="8" w:color="D9D9D6"/>
            </w:tcBorders>
            <w:shd w:val="clear" w:color="auto" w:fill="D9D9D6"/>
          </w:tcPr>
          <w:p>
            <w:pPr>
              <w:spacing w:after="0"/>
              <w:rPr>
                <w:sz w:val="19"/>
                <w:szCs w:val="19"/>
                <w:color w:val="auto"/>
              </w:rPr>
            </w:pPr>
          </w:p>
        </w:tc>
        <w:tc>
          <w:tcPr>
            <w:tcW w:w="580" w:type="dxa"/>
            <w:vAlign w:val="bottom"/>
            <w:shd w:val="clear" w:color="auto" w:fill="D9D9D6"/>
          </w:tcPr>
          <w:p>
            <w:pPr>
              <w:spacing w:after="0"/>
              <w:rPr>
                <w:sz w:val="19"/>
                <w:szCs w:val="19"/>
                <w:color w:val="auto"/>
              </w:rPr>
            </w:pPr>
          </w:p>
        </w:tc>
        <w:tc>
          <w:tcPr>
            <w:tcW w:w="18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48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80" w:type="dxa"/>
            <w:vAlign w:val="bottom"/>
            <w:gridSpan w:val="4"/>
            <w:vMerge w:val="restart"/>
            <w:shd w:val="clear" w:color="auto" w:fill="D9D9D6"/>
          </w:tcPr>
          <w:p>
            <w:pPr>
              <w:jc w:val="right"/>
              <w:ind w:right="60"/>
              <w:spacing w:after="0"/>
              <w:rPr>
                <w:sz w:val="20"/>
                <w:szCs w:val="20"/>
                <w:color w:val="auto"/>
              </w:rPr>
            </w:pPr>
            <w:r>
              <w:rPr>
                <w:rFonts w:ascii="Arial" w:cs="Arial" w:eastAsia="Arial" w:hAnsi="Arial"/>
                <w:sz w:val="14"/>
                <w:szCs w:val="14"/>
                <w:color w:val="auto"/>
              </w:rPr>
              <w:t>Constant</w:t>
            </w:r>
          </w:p>
        </w:tc>
        <w:tc>
          <w:tcPr>
            <w:tcW w:w="18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780" w:type="dxa"/>
            <w:vAlign w:val="bottom"/>
            <w:shd w:val="clear" w:color="auto" w:fill="D9D9D6"/>
          </w:tcPr>
          <w:p>
            <w:pPr>
              <w:spacing w:after="0"/>
              <w:rPr>
                <w:sz w:val="12"/>
                <w:szCs w:val="12"/>
                <w:color w:val="auto"/>
              </w:rPr>
            </w:pPr>
          </w:p>
        </w:tc>
        <w:tc>
          <w:tcPr>
            <w:tcW w:w="76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80" w:type="dxa"/>
            <w:vAlign w:val="bottom"/>
            <w:tcBorders>
              <w:right w:val="single" w:sz="8" w:color="D9D9D6"/>
            </w:tcBorders>
            <w:shd w:val="clear" w:color="auto" w:fill="D9D9D6"/>
          </w:tcPr>
          <w:p>
            <w:pPr>
              <w:spacing w:after="0"/>
              <w:rPr>
                <w:sz w:val="12"/>
                <w:szCs w:val="12"/>
                <w:color w:val="auto"/>
              </w:rPr>
            </w:pPr>
          </w:p>
        </w:tc>
        <w:tc>
          <w:tcPr>
            <w:tcW w:w="920" w:type="dxa"/>
            <w:vAlign w:val="bottom"/>
            <w:gridSpan w:val="4"/>
            <w:vMerge w:val="restart"/>
            <w:shd w:val="clear" w:color="auto" w:fill="D9D9D6"/>
          </w:tcPr>
          <w:p>
            <w:pPr>
              <w:jc w:val="right"/>
              <w:ind w:right="160"/>
              <w:spacing w:after="0"/>
              <w:rPr>
                <w:sz w:val="20"/>
                <w:szCs w:val="20"/>
                <w:color w:val="auto"/>
              </w:rPr>
            </w:pPr>
            <w:r>
              <w:rPr>
                <w:rFonts w:ascii="Arial" w:cs="Arial" w:eastAsia="Arial" w:hAnsi="Arial"/>
                <w:sz w:val="14"/>
                <w:szCs w:val="14"/>
                <w:color w:val="auto"/>
                <w:w w:val="98"/>
              </w:rPr>
              <w:t>2nd Quarter</w:t>
            </w:r>
          </w:p>
        </w:tc>
        <w:tc>
          <w:tcPr>
            <w:tcW w:w="48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80" w:type="dxa"/>
            <w:vAlign w:val="bottom"/>
            <w:gridSpan w:val="4"/>
            <w:vMerge w:val="continue"/>
            <w:shd w:val="clear" w:color="auto" w:fill="D9D9D6"/>
          </w:tcPr>
          <w:p>
            <w:pPr>
              <w:spacing w:after="0"/>
              <w:rPr>
                <w:sz w:val="12"/>
                <w:szCs w:val="12"/>
                <w:color w:val="auto"/>
              </w:rPr>
            </w:pPr>
          </w:p>
        </w:tc>
        <w:tc>
          <w:tcPr>
            <w:tcW w:w="18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780" w:type="dxa"/>
            <w:vAlign w:val="bottom"/>
            <w:shd w:val="clear" w:color="auto" w:fill="D9D9D6"/>
          </w:tcPr>
          <w:p>
            <w:pPr>
              <w:spacing w:after="0"/>
              <w:rPr>
                <w:sz w:val="6"/>
                <w:szCs w:val="6"/>
                <w:color w:val="auto"/>
              </w:rPr>
            </w:pPr>
          </w:p>
        </w:tc>
        <w:tc>
          <w:tcPr>
            <w:tcW w:w="76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80" w:type="dxa"/>
            <w:vAlign w:val="bottom"/>
            <w:tcBorders>
              <w:right w:val="single" w:sz="8" w:color="D9D9D6"/>
            </w:tcBorders>
            <w:shd w:val="clear" w:color="auto" w:fill="D9D9D6"/>
          </w:tcPr>
          <w:p>
            <w:pPr>
              <w:spacing w:after="0"/>
              <w:rPr>
                <w:sz w:val="6"/>
                <w:szCs w:val="6"/>
                <w:color w:val="auto"/>
              </w:rPr>
            </w:pPr>
          </w:p>
        </w:tc>
        <w:tc>
          <w:tcPr>
            <w:tcW w:w="920" w:type="dxa"/>
            <w:vAlign w:val="bottom"/>
            <w:gridSpan w:val="4"/>
            <w:vMerge w:val="continue"/>
            <w:shd w:val="clear" w:color="auto" w:fill="D9D9D6"/>
          </w:tcPr>
          <w:p>
            <w:pPr>
              <w:spacing w:after="0"/>
              <w:rPr>
                <w:sz w:val="6"/>
                <w:szCs w:val="6"/>
                <w:color w:val="auto"/>
              </w:rPr>
            </w:pPr>
          </w:p>
        </w:tc>
        <w:tc>
          <w:tcPr>
            <w:tcW w:w="48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80" w:type="dxa"/>
            <w:vAlign w:val="bottom"/>
            <w:gridSpan w:val="4"/>
            <w:vMerge w:val="restart"/>
            <w:shd w:val="clear" w:color="auto" w:fill="D9D9D6"/>
          </w:tcPr>
          <w:p>
            <w:pPr>
              <w:jc w:val="right"/>
              <w:ind w:right="60"/>
              <w:spacing w:after="0" w:line="126" w:lineRule="exact"/>
              <w:rPr>
                <w:sz w:val="20"/>
                <w:szCs w:val="20"/>
                <w:color w:val="auto"/>
              </w:rPr>
            </w:pPr>
            <w:r>
              <w:rPr>
                <w:rFonts w:ascii="Arial" w:cs="Arial" w:eastAsia="Arial" w:hAnsi="Arial"/>
                <w:sz w:val="14"/>
                <w:szCs w:val="14"/>
                <w:color w:val="auto"/>
              </w:rPr>
              <w:t>Currency</w:t>
            </w:r>
          </w:p>
        </w:tc>
        <w:tc>
          <w:tcPr>
            <w:tcW w:w="18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D9D9D6"/>
            </w:tcBorders>
            <w:shd w:val="clear" w:color="auto" w:fill="D9D9D6"/>
          </w:tcPr>
          <w:p>
            <w:pPr>
              <w:spacing w:after="0"/>
              <w:rPr>
                <w:sz w:val="4"/>
                <w:szCs w:val="4"/>
                <w:color w:val="auto"/>
              </w:rPr>
            </w:pPr>
          </w:p>
        </w:tc>
        <w:tc>
          <w:tcPr>
            <w:tcW w:w="6780" w:type="dxa"/>
            <w:vAlign w:val="bottom"/>
            <w:tcBorders>
              <w:bottom w:val="single" w:sz="8" w:color="D9D9D6"/>
            </w:tcBorders>
            <w:shd w:val="clear" w:color="auto" w:fill="D9D9D6"/>
          </w:tcPr>
          <w:p>
            <w:pPr>
              <w:spacing w:after="0"/>
              <w:rPr>
                <w:sz w:val="4"/>
                <w:szCs w:val="4"/>
                <w:color w:val="auto"/>
              </w:rPr>
            </w:pPr>
          </w:p>
        </w:tc>
        <w:tc>
          <w:tcPr>
            <w:tcW w:w="76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80" w:type="dxa"/>
            <w:vAlign w:val="bottom"/>
            <w:tcBorders>
              <w:bottom w:val="single" w:sz="8" w:color="D9D9D6"/>
              <w:right w:val="single" w:sz="8" w:color="D9D9D6"/>
            </w:tcBorders>
            <w:shd w:val="clear" w:color="auto" w:fill="D9D9D6"/>
          </w:tcPr>
          <w:p>
            <w:pPr>
              <w:spacing w:after="0"/>
              <w:rPr>
                <w:sz w:val="4"/>
                <w:szCs w:val="4"/>
                <w:color w:val="auto"/>
              </w:rPr>
            </w:pPr>
          </w:p>
        </w:tc>
        <w:tc>
          <w:tcPr>
            <w:tcW w:w="580" w:type="dxa"/>
            <w:vAlign w:val="bottom"/>
            <w:tcBorders>
              <w:bottom w:val="single" w:sz="8" w:color="D9D9D6"/>
            </w:tcBorders>
            <w:shd w:val="clear" w:color="auto" w:fill="000000"/>
          </w:tcPr>
          <w:p>
            <w:pPr>
              <w:spacing w:after="0"/>
              <w:rPr>
                <w:sz w:val="4"/>
                <w:szCs w:val="4"/>
                <w:color w:val="auto"/>
              </w:rPr>
            </w:pPr>
          </w:p>
        </w:tc>
        <w:tc>
          <w:tcPr>
            <w:tcW w:w="180" w:type="dxa"/>
            <w:vAlign w:val="bottom"/>
            <w:tcBorders>
              <w:bottom w:val="single" w:sz="8" w:color="D9D9D6"/>
            </w:tcBorders>
            <w:shd w:val="clear" w:color="auto" w:fill="000000"/>
          </w:tcPr>
          <w:p>
            <w:pPr>
              <w:spacing w:after="0"/>
              <w:rPr>
                <w:sz w:val="4"/>
                <w:szCs w:val="4"/>
                <w:color w:val="auto"/>
              </w:rPr>
            </w:pPr>
          </w:p>
        </w:tc>
        <w:tc>
          <w:tcPr>
            <w:tcW w:w="14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480" w:type="dxa"/>
            <w:vAlign w:val="bottom"/>
            <w:tcBorders>
              <w:bottom w:val="single" w:sz="8" w:color="D9D9D6"/>
            </w:tcBorders>
            <w:shd w:val="clear" w:color="auto" w:fill="D9D9D6"/>
          </w:tcPr>
          <w:p>
            <w:pPr>
              <w:spacing w:after="0"/>
              <w:rPr>
                <w:sz w:val="4"/>
                <w:szCs w:val="4"/>
                <w:color w:val="auto"/>
              </w:rPr>
            </w:pPr>
          </w:p>
        </w:tc>
        <w:tc>
          <w:tcPr>
            <w:tcW w:w="320" w:type="dxa"/>
            <w:vAlign w:val="bottom"/>
            <w:tcBorders>
              <w:bottom w:val="single" w:sz="8" w:color="D9D9D6"/>
            </w:tcBorders>
            <w:shd w:val="clear" w:color="auto" w:fill="D9D9D6"/>
          </w:tcPr>
          <w:p>
            <w:pPr>
              <w:spacing w:after="0"/>
              <w:rPr>
                <w:sz w:val="4"/>
                <w:szCs w:val="4"/>
                <w:color w:val="auto"/>
              </w:rPr>
            </w:pPr>
          </w:p>
        </w:tc>
        <w:tc>
          <w:tcPr>
            <w:tcW w:w="200" w:type="dxa"/>
            <w:vAlign w:val="bottom"/>
            <w:tcBorders>
              <w:bottom w:val="single" w:sz="8" w:color="D9D9D6"/>
            </w:tcBorders>
            <w:shd w:val="clear" w:color="auto" w:fill="D9D9D6"/>
          </w:tcPr>
          <w:p>
            <w:pPr>
              <w:spacing w:after="0"/>
              <w:rPr>
                <w:sz w:val="4"/>
                <w:szCs w:val="4"/>
                <w:color w:val="auto"/>
              </w:rPr>
            </w:pPr>
          </w:p>
        </w:tc>
        <w:tc>
          <w:tcPr>
            <w:tcW w:w="20" w:type="dxa"/>
            <w:vAlign w:val="bottom"/>
            <w:tcBorders>
              <w:bottom w:val="single" w:sz="8" w:color="D9D9D6"/>
            </w:tcBorders>
            <w:shd w:val="clear" w:color="auto" w:fill="D9D9D6"/>
          </w:tcPr>
          <w:p>
            <w:pPr>
              <w:spacing w:after="0"/>
              <w:rPr>
                <w:sz w:val="4"/>
                <w:szCs w:val="4"/>
                <w:color w:val="auto"/>
              </w:rPr>
            </w:pPr>
          </w:p>
        </w:tc>
        <w:tc>
          <w:tcPr>
            <w:tcW w:w="1080" w:type="dxa"/>
            <w:vAlign w:val="bottom"/>
            <w:tcBorders>
              <w:bottom w:val="single" w:sz="8" w:color="D9D9D6"/>
            </w:tcBorders>
            <w:gridSpan w:val="4"/>
            <w:vMerge w:val="continue"/>
            <w:shd w:val="clear" w:color="auto" w:fill="D9D9D6"/>
          </w:tcPr>
          <w:p>
            <w:pPr>
              <w:spacing w:after="0"/>
              <w:rPr>
                <w:sz w:val="4"/>
                <w:szCs w:val="4"/>
                <w:color w:val="auto"/>
              </w:rPr>
            </w:pPr>
          </w:p>
        </w:tc>
        <w:tc>
          <w:tcPr>
            <w:tcW w:w="180" w:type="dxa"/>
            <w:vAlign w:val="bottom"/>
            <w:tcBorders>
              <w:bottom w:val="single" w:sz="8" w:color="D9D9D6"/>
            </w:tcBorders>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00" w:type="dxa"/>
            <w:vAlign w:val="bottom"/>
            <w:tcBorders>
              <w:bottom w:val="single" w:sz="8" w:color="D9D9D6"/>
            </w:tcBorders>
            <w:shd w:val="clear" w:color="auto" w:fill="D9D9D6"/>
          </w:tcPr>
          <w:p>
            <w:pPr>
              <w:spacing w:after="0"/>
              <w:rPr>
                <w:sz w:val="15"/>
                <w:szCs w:val="15"/>
                <w:color w:val="auto"/>
              </w:rPr>
            </w:pPr>
          </w:p>
        </w:tc>
        <w:tc>
          <w:tcPr>
            <w:tcW w:w="678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shd w:val="clear" w:color="auto" w:fill="D9D9D6"/>
          </w:tcPr>
          <w:p>
            <w:pPr>
              <w:jc w:val="right"/>
              <w:spacing w:after="0" w:line="120" w:lineRule="exact"/>
              <w:rPr>
                <w:sz w:val="20"/>
                <w:szCs w:val="20"/>
                <w:color w:val="auto"/>
              </w:rPr>
            </w:pPr>
            <w:r>
              <w:rPr>
                <w:rFonts w:ascii="Arial" w:cs="Arial" w:eastAsia="Arial" w:hAnsi="Arial"/>
                <w:sz w:val="13"/>
                <w:szCs w:val="13"/>
                <w:color w:val="auto"/>
              </w:rPr>
              <w:t>2024</w:t>
            </w:r>
          </w:p>
        </w:tc>
        <w:tc>
          <w:tcPr>
            <w:tcW w:w="80" w:type="dxa"/>
            <w:vAlign w:val="bottom"/>
            <w:tcBorders>
              <w:bottom w:val="single" w:sz="8" w:color="D9D9D6"/>
              <w:right w:val="single" w:sz="8" w:color="D9D9D6"/>
            </w:tcBorders>
            <w:shd w:val="clear" w:color="auto" w:fill="D9D9D6"/>
          </w:tcPr>
          <w:p>
            <w:pPr>
              <w:spacing w:after="0"/>
              <w:rPr>
                <w:sz w:val="15"/>
                <w:szCs w:val="15"/>
                <w:color w:val="auto"/>
              </w:rPr>
            </w:pPr>
          </w:p>
        </w:tc>
        <w:tc>
          <w:tcPr>
            <w:tcW w:w="58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2023</w:t>
            </w:r>
          </w:p>
        </w:tc>
        <w:tc>
          <w:tcPr>
            <w:tcW w:w="20" w:type="dxa"/>
            <w:vAlign w:val="bottom"/>
            <w:tcBorders>
              <w:bottom w:val="single" w:sz="8" w:color="D9D9D6"/>
            </w:tcBorders>
            <w:shd w:val="clear" w:color="auto" w:fill="D9D9D6"/>
          </w:tcPr>
          <w:p>
            <w:pPr>
              <w:spacing w:after="0"/>
              <w:rPr>
                <w:sz w:val="15"/>
                <w:szCs w:val="15"/>
                <w:color w:val="auto"/>
              </w:rPr>
            </w:pPr>
          </w:p>
        </w:tc>
        <w:tc>
          <w:tcPr>
            <w:tcW w:w="480" w:type="dxa"/>
            <w:vAlign w:val="bottom"/>
            <w:tcBorders>
              <w:bottom w:val="single" w:sz="8" w:color="D9D9D6"/>
            </w:tcBorders>
            <w:shd w:val="clear" w:color="auto" w:fill="D9D9D6"/>
          </w:tcPr>
          <w:p>
            <w:pPr>
              <w:spacing w:after="0"/>
              <w:rPr>
                <w:sz w:val="15"/>
                <w:szCs w:val="15"/>
                <w:color w:val="auto"/>
              </w:rPr>
            </w:pPr>
          </w:p>
        </w:tc>
        <w:tc>
          <w:tcPr>
            <w:tcW w:w="520" w:type="dxa"/>
            <w:vAlign w:val="bottom"/>
            <w:tcBorders>
              <w:bottom w:val="single" w:sz="8" w:color="auto"/>
            </w:tcBorders>
            <w:gridSpan w:val="2"/>
            <w:shd w:val="clear" w:color="auto" w:fill="D9D9D6"/>
          </w:tcPr>
          <w:p>
            <w:pPr>
              <w:jc w:val="right"/>
              <w:spacing w:after="0" w:line="120" w:lineRule="exact"/>
              <w:rPr>
                <w:sz w:val="20"/>
                <w:szCs w:val="20"/>
                <w:color w:val="auto"/>
              </w:rPr>
            </w:pPr>
            <w:r>
              <w:rPr>
                <w:rFonts w:ascii="Arial" w:cs="Arial" w:eastAsia="Arial" w:hAnsi="Arial"/>
                <w:sz w:val="13"/>
                <w:szCs w:val="13"/>
                <w:color w:val="auto"/>
              </w:rPr>
              <w:t>Change</w:t>
            </w:r>
          </w:p>
        </w:tc>
        <w:tc>
          <w:tcPr>
            <w:tcW w:w="20" w:type="dxa"/>
            <w:vAlign w:val="bottom"/>
            <w:tcBorders>
              <w:bottom w:val="single" w:sz="8" w:color="D9D9D6"/>
            </w:tcBorders>
            <w:shd w:val="clear" w:color="auto" w:fill="D9D9D6"/>
          </w:tcPr>
          <w:p>
            <w:pPr>
              <w:spacing w:after="0"/>
              <w:rPr>
                <w:sz w:val="15"/>
                <w:szCs w:val="15"/>
                <w:color w:val="auto"/>
              </w:rPr>
            </w:pPr>
          </w:p>
        </w:tc>
        <w:tc>
          <w:tcPr>
            <w:tcW w:w="1080" w:type="dxa"/>
            <w:vAlign w:val="bottom"/>
            <w:tcBorders>
              <w:bottom w:val="single" w:sz="8" w:color="D9D9D6"/>
            </w:tcBorders>
            <w:gridSpan w:val="4"/>
            <w:shd w:val="clear" w:color="auto" w:fill="D9D9D6"/>
          </w:tcPr>
          <w:p>
            <w:pPr>
              <w:jc w:val="right"/>
              <w:ind w:right="20"/>
              <w:spacing w:after="0" w:line="127" w:lineRule="exact"/>
              <w:rPr>
                <w:sz w:val="20"/>
                <w:szCs w:val="20"/>
                <w:color w:val="auto"/>
              </w:rPr>
            </w:pPr>
            <w:r>
              <w:rPr>
                <w:rFonts w:ascii="Arial" w:cs="Arial" w:eastAsia="Arial" w:hAnsi="Arial"/>
                <w:sz w:val="11"/>
                <w:szCs w:val="11"/>
                <w:color w:val="auto"/>
              </w:rPr>
              <w:t>Change</w:t>
            </w:r>
            <w:r>
              <w:rPr>
                <w:rFonts w:ascii="Arial" w:cs="Arial" w:eastAsia="Arial" w:hAnsi="Arial"/>
                <w:sz w:val="14"/>
                <w:szCs w:val="14"/>
                <w:color w:val="auto"/>
                <w:vertAlign w:val="superscript"/>
              </w:rPr>
              <w:t>5</w:t>
            </w:r>
          </w:p>
        </w:tc>
        <w:tc>
          <w:tcPr>
            <w:tcW w:w="180" w:type="dxa"/>
            <w:vAlign w:val="bottom"/>
            <w:tcBorders>
              <w:bottom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518"/>
        </w:trPr>
        <w:tc>
          <w:tcPr>
            <w:tcW w:w="100" w:type="dxa"/>
            <w:vAlign w:val="bottom"/>
            <w:tcBorders>
              <w:top w:val="single" w:sz="8" w:color="D9D9D6"/>
            </w:tcBorders>
            <w:shd w:val="clear" w:color="auto" w:fill="D9D9D6"/>
          </w:tcPr>
          <w:p>
            <w:pPr>
              <w:spacing w:after="0"/>
              <w:rPr>
                <w:sz w:val="24"/>
                <w:szCs w:val="24"/>
                <w:color w:val="auto"/>
              </w:rPr>
            </w:pPr>
          </w:p>
        </w:tc>
        <w:tc>
          <w:tcPr>
            <w:tcW w:w="678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80" w:type="dxa"/>
            <w:vAlign w:val="bottom"/>
            <w:tcBorders>
              <w:top w:val="single" w:sz="8" w:color="D9D9D6"/>
              <w:right w:val="single" w:sz="8" w:color="D9D9D6"/>
            </w:tcBorders>
            <w:shd w:val="clear" w:color="auto" w:fill="D9D9D6"/>
          </w:tcPr>
          <w:p>
            <w:pPr>
              <w:spacing w:after="0"/>
              <w:rPr>
                <w:sz w:val="24"/>
                <w:szCs w:val="24"/>
                <w:color w:val="auto"/>
              </w:rPr>
            </w:pPr>
          </w:p>
        </w:tc>
        <w:tc>
          <w:tcPr>
            <w:tcW w:w="5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14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480" w:type="dxa"/>
            <w:vAlign w:val="bottom"/>
            <w:tcBorders>
              <w:top w:val="single" w:sz="8" w:color="D9D9D6"/>
            </w:tcBorders>
            <w:shd w:val="clear" w:color="auto" w:fill="D9D9D6"/>
          </w:tcPr>
          <w:p>
            <w:pPr>
              <w:spacing w:after="0"/>
              <w:rPr>
                <w:sz w:val="24"/>
                <w:szCs w:val="24"/>
                <w:color w:val="auto"/>
              </w:rPr>
            </w:pPr>
          </w:p>
        </w:tc>
        <w:tc>
          <w:tcPr>
            <w:tcW w:w="320" w:type="dxa"/>
            <w:vAlign w:val="bottom"/>
            <w:tcBorders>
              <w:top w:val="single" w:sz="8" w:color="D9D9D6"/>
            </w:tcBorders>
            <w:shd w:val="clear" w:color="auto" w:fill="D9D9D6"/>
          </w:tcPr>
          <w:p>
            <w:pPr>
              <w:spacing w:after="0"/>
              <w:rPr>
                <w:sz w:val="24"/>
                <w:szCs w:val="24"/>
                <w:color w:val="auto"/>
              </w:rPr>
            </w:pPr>
          </w:p>
        </w:tc>
        <w:tc>
          <w:tcPr>
            <w:tcW w:w="200" w:type="dxa"/>
            <w:vAlign w:val="bottom"/>
            <w:tcBorders>
              <w:top w:val="single" w:sz="8" w:color="D9D9D6"/>
            </w:tcBorders>
            <w:shd w:val="clear" w:color="auto" w:fill="D9D9D6"/>
          </w:tcPr>
          <w:p>
            <w:pPr>
              <w:spacing w:after="0"/>
              <w:rPr>
                <w:sz w:val="24"/>
                <w:szCs w:val="24"/>
                <w:color w:val="auto"/>
              </w:rPr>
            </w:pPr>
          </w:p>
        </w:tc>
        <w:tc>
          <w:tcPr>
            <w:tcW w:w="20" w:type="dxa"/>
            <w:vAlign w:val="bottom"/>
            <w:tcBorders>
              <w:top w:val="single" w:sz="8" w:color="D9D9D6"/>
            </w:tcBorders>
            <w:shd w:val="clear" w:color="auto" w:fill="D9D9D6"/>
          </w:tcPr>
          <w:p>
            <w:pPr>
              <w:spacing w:after="0"/>
              <w:rPr>
                <w:sz w:val="24"/>
                <w:szCs w:val="24"/>
                <w:color w:val="auto"/>
              </w:rPr>
            </w:pPr>
          </w:p>
        </w:tc>
        <w:tc>
          <w:tcPr>
            <w:tcW w:w="500" w:type="dxa"/>
            <w:vAlign w:val="bottom"/>
            <w:tcBorders>
              <w:top w:val="single" w:sz="8" w:color="D9D9D6"/>
            </w:tcBorders>
            <w:shd w:val="clear" w:color="auto" w:fill="D9D9D6"/>
          </w:tcPr>
          <w:p>
            <w:pPr>
              <w:spacing w:after="0"/>
              <w:rPr>
                <w:sz w:val="24"/>
                <w:szCs w:val="24"/>
                <w:color w:val="auto"/>
              </w:rPr>
            </w:pPr>
          </w:p>
        </w:tc>
        <w:tc>
          <w:tcPr>
            <w:tcW w:w="360" w:type="dxa"/>
            <w:vAlign w:val="bottom"/>
            <w:tcBorders>
              <w:top w:val="single" w:sz="8" w:color="auto"/>
            </w:tcBorders>
            <w:shd w:val="clear" w:color="auto" w:fill="D9D9D6"/>
          </w:tcPr>
          <w:p>
            <w:pPr>
              <w:spacing w:after="0"/>
              <w:rPr>
                <w:sz w:val="24"/>
                <w:szCs w:val="24"/>
                <w:color w:val="auto"/>
              </w:rPr>
            </w:pPr>
          </w:p>
        </w:tc>
        <w:tc>
          <w:tcPr>
            <w:tcW w:w="140" w:type="dxa"/>
            <w:vAlign w:val="bottom"/>
            <w:tcBorders>
              <w:top w:val="single" w:sz="8" w:color="auto"/>
            </w:tcBorders>
            <w:shd w:val="clear" w:color="auto" w:fill="D9D9D6"/>
          </w:tcPr>
          <w:p>
            <w:pPr>
              <w:spacing w:after="0"/>
              <w:rPr>
                <w:sz w:val="24"/>
                <w:szCs w:val="24"/>
                <w:color w:val="auto"/>
              </w:rPr>
            </w:pPr>
          </w:p>
        </w:tc>
        <w:tc>
          <w:tcPr>
            <w:tcW w:w="80" w:type="dxa"/>
            <w:vAlign w:val="bottom"/>
            <w:tcBorders>
              <w:top w:val="single" w:sz="8" w:color="D9D9D6"/>
            </w:tcBorders>
            <w:shd w:val="clear" w:color="auto" w:fill="D9D9D6"/>
          </w:tcPr>
          <w:p>
            <w:pPr>
              <w:spacing w:after="0"/>
              <w:rPr>
                <w:sz w:val="24"/>
                <w:szCs w:val="24"/>
                <w:color w:val="auto"/>
              </w:rPr>
            </w:pPr>
          </w:p>
        </w:tc>
        <w:tc>
          <w:tcPr>
            <w:tcW w:w="180" w:type="dxa"/>
            <w:vAlign w:val="bottom"/>
            <w:tcBorders>
              <w:top w:val="single" w:sz="8" w:color="D9D9D6"/>
            </w:tcBorders>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Broadband</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$6,569</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$6,377</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3.0</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3.0 %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40"/>
              <w:spacing w:after="0"/>
              <w:rPr>
                <w:sz w:val="20"/>
                <w:szCs w:val="20"/>
                <w:color w:val="auto"/>
              </w:rPr>
            </w:pPr>
            <w:r>
              <w:rPr>
                <w:rFonts w:ascii="Arial" w:cs="Arial" w:eastAsia="Arial" w:hAnsi="Arial"/>
                <w:sz w:val="14"/>
                <w:szCs w:val="14"/>
                <w:color w:val="auto"/>
              </w:rPr>
              <w:t>Domestic Wireless</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1,019</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869</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17.3</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17.3 %</w:t>
            </w:r>
          </w:p>
        </w:tc>
        <w:tc>
          <w:tcPr>
            <w:tcW w:w="8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240"/>
              <w:spacing w:after="0"/>
              <w:rPr>
                <w:sz w:val="20"/>
                <w:szCs w:val="20"/>
                <w:color w:val="auto"/>
              </w:rPr>
            </w:pPr>
            <w:r>
              <w:rPr>
                <w:rFonts w:ascii="Arial" w:cs="Arial" w:eastAsia="Arial" w:hAnsi="Arial"/>
                <w:sz w:val="14"/>
                <w:szCs w:val="14"/>
                <w:color w:val="auto"/>
              </w:rPr>
              <w:t>International Connectivity</w:t>
            </w:r>
          </w:p>
        </w:tc>
        <w:tc>
          <w:tcPr>
            <w:tcW w:w="116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1,148</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1,002</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14.6</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tcBorders>
              <w:bottom w:val="single" w:sz="8" w:color="auto"/>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 w:type="dxa"/>
            <w:vAlign w:val="bottom"/>
            <w:shd w:val="clear" w:color="auto" w:fill="D9D9D6"/>
          </w:tcPr>
          <w:p>
            <w:pPr>
              <w:spacing w:after="0"/>
              <w:rPr>
                <w:sz w:val="16"/>
                <w:szCs w:val="16"/>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Total Residential Connectivity</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8,736</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8,248</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5.9</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5.8</w:t>
            </w:r>
          </w:p>
        </w:tc>
        <w:tc>
          <w:tcPr>
            <w:tcW w:w="140" w:type="dxa"/>
            <w:vAlign w:val="bottom"/>
            <w:shd w:val="clear" w:color="auto" w:fill="D9D9D6"/>
          </w:tcPr>
          <w:p>
            <w:pPr>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Video</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6,781</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7,358</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(7.8</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(7.9</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Advertising</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993</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993</w:t>
            </w:r>
          </w:p>
        </w:tc>
        <w:tc>
          <w:tcPr>
            <w:tcW w:w="480" w:type="dxa"/>
            <w:vAlign w:val="bottom"/>
            <w:shd w:val="clear" w:color="auto" w:fill="D9D9D6"/>
          </w:tcPr>
          <w:p>
            <w:pPr>
              <w:spacing w:after="0"/>
              <w:rPr>
                <w:sz w:val="17"/>
                <w:szCs w:val="17"/>
                <w:color w:val="auto"/>
              </w:rPr>
            </w:pPr>
          </w:p>
        </w:tc>
        <w:tc>
          <w:tcPr>
            <w:tcW w:w="320" w:type="dxa"/>
            <w:vAlign w:val="bottom"/>
            <w:shd w:val="clear" w:color="auto" w:fill="D9D9D6"/>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(0.2</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1,313</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1,469</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(10.6</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8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(10.8</w:t>
            </w:r>
          </w:p>
        </w:tc>
        <w:tc>
          <w:tcPr>
            <w:tcW w:w="2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$17,824</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$18,068</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8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(1.5</w:t>
            </w:r>
          </w:p>
        </w:tc>
        <w:tc>
          <w:tcPr>
            <w:tcW w:w="220" w:type="dxa"/>
            <w:vAlign w:val="bottom"/>
            <w:gridSpan w:val="2"/>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80" w:type="dxa"/>
            <w:vAlign w:val="bottom"/>
            <w:tcBorders>
              <w:right w:val="single" w:sz="8" w:color="D9D9D6"/>
            </w:tcBorders>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0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14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20"/>
              <w:spacing w:after="0"/>
              <w:rPr>
                <w:sz w:val="20"/>
                <w:szCs w:val="20"/>
                <w:color w:val="auto"/>
              </w:rPr>
            </w:pPr>
            <w:r>
              <w:rPr>
                <w:rFonts w:ascii="Arial" w:cs="Arial" w:eastAsia="Arial" w:hAnsi="Arial"/>
                <w:sz w:val="14"/>
                <w:szCs w:val="14"/>
                <w:color w:val="auto"/>
              </w:rPr>
              <w:t>Programming</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$4,248</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$4,579</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(7.2</w:t>
            </w:r>
          </w:p>
        </w:tc>
        <w:tc>
          <w:tcPr>
            <w:tcW w:w="20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(7.3 %)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0" w:type="dxa"/>
            <w:vAlign w:val="bottom"/>
            <w:tcBorders>
              <w:bottom w:val="single" w:sz="8" w:color="D9D9D6"/>
            </w:tcBorders>
            <w:shd w:val="clear" w:color="auto" w:fill="D9D9D6"/>
          </w:tcPr>
          <w:p>
            <w:pPr>
              <w:spacing w:after="0"/>
              <w:rPr>
                <w:sz w:val="17"/>
                <w:szCs w:val="17"/>
                <w:color w:val="auto"/>
              </w:rPr>
            </w:pPr>
          </w:p>
        </w:tc>
        <w:tc>
          <w:tcPr>
            <w:tcW w:w="6780" w:type="dxa"/>
            <w:vAlign w:val="bottom"/>
            <w:tcBorders>
              <w:bottom w:val="single" w:sz="8" w:color="D9D9D6"/>
            </w:tcBorders>
            <w:shd w:val="clear" w:color="auto" w:fill="D9D9D6"/>
          </w:tcPr>
          <w:p>
            <w:pPr>
              <w:ind w:left="120"/>
              <w:spacing w:after="0"/>
              <w:rPr>
                <w:sz w:val="20"/>
                <w:szCs w:val="20"/>
                <w:color w:val="auto"/>
              </w:rPr>
            </w:pPr>
            <w:r>
              <w:rPr>
                <w:rFonts w:ascii="Arial" w:cs="Arial" w:eastAsia="Arial" w:hAnsi="Arial"/>
                <w:sz w:val="14"/>
                <w:szCs w:val="14"/>
                <w:color w:val="auto"/>
              </w:rPr>
              <w:t>Non-Programming</w:t>
            </w:r>
          </w:p>
        </w:tc>
        <w:tc>
          <w:tcPr>
            <w:tcW w:w="1160" w:type="dxa"/>
            <w:vAlign w:val="bottom"/>
            <w:tcBorders>
              <w:bottom w:val="single" w:sz="8" w:color="auto"/>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color w:val="auto"/>
              </w:rPr>
              <w:t>6,472</w:t>
            </w:r>
          </w:p>
        </w:tc>
        <w:tc>
          <w:tcPr>
            <w:tcW w:w="92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6,465</w:t>
            </w:r>
          </w:p>
        </w:tc>
        <w:tc>
          <w:tcPr>
            <w:tcW w:w="8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080" w:type="dxa"/>
            <w:vAlign w:val="bottom"/>
            <w:tcBorders>
              <w:bottom w:val="single" w:sz="8" w:color="auto"/>
            </w:tcBorders>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(0.1 %)</w:t>
            </w:r>
          </w:p>
        </w:tc>
        <w:tc>
          <w:tcPr>
            <w:tcW w:w="18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$10,721</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$11,044</w:t>
            </w:r>
          </w:p>
        </w:tc>
        <w:tc>
          <w:tcPr>
            <w:tcW w:w="8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(2.9</w:t>
            </w:r>
          </w:p>
        </w:tc>
        <w:tc>
          <w:tcPr>
            <w:tcW w:w="20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08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(3.1 %)</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00" w:type="dxa"/>
            <w:vAlign w:val="bottom"/>
            <w:shd w:val="clear" w:color="auto" w:fill="D9D9D6"/>
          </w:tcPr>
          <w:p>
            <w:pPr>
              <w:spacing w:after="0"/>
              <w:rPr>
                <w:sz w:val="24"/>
                <w:szCs w:val="24"/>
                <w:color w:val="auto"/>
              </w:rPr>
            </w:pPr>
          </w:p>
        </w:tc>
        <w:tc>
          <w:tcPr>
            <w:tcW w:w="678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1160" w:type="dxa"/>
            <w:vAlign w:val="bottom"/>
            <w:tcBorders>
              <w:right w:val="single" w:sz="8" w:color="D9D9D6"/>
            </w:tcBorders>
            <w:gridSpan w:val="3"/>
            <w:shd w:val="clear" w:color="auto" w:fill="D9D9D6"/>
          </w:tcPr>
          <w:p>
            <w:pPr>
              <w:jc w:val="right"/>
              <w:ind w:right="80"/>
              <w:spacing w:after="0"/>
              <w:rPr>
                <w:sz w:val="20"/>
                <w:szCs w:val="20"/>
                <w:color w:val="auto"/>
              </w:rPr>
            </w:pPr>
            <w:r>
              <w:rPr>
                <w:rFonts w:ascii="Arial" w:cs="Arial" w:eastAsia="Arial" w:hAnsi="Arial"/>
                <w:sz w:val="14"/>
                <w:szCs w:val="14"/>
                <w:b w:val="1"/>
                <w:bCs w:val="1"/>
                <w:color w:val="auto"/>
              </w:rPr>
              <w:t>$7,103</w:t>
            </w:r>
          </w:p>
        </w:tc>
        <w:tc>
          <w:tcPr>
            <w:tcW w:w="9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$7,024</w:t>
            </w: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1.1 %</w:t>
            </w:r>
          </w:p>
        </w:tc>
        <w:tc>
          <w:tcPr>
            <w:tcW w:w="20" w:type="dxa"/>
            <w:vAlign w:val="bottom"/>
            <w:shd w:val="clear" w:color="auto" w:fill="D9D9D6"/>
          </w:tcPr>
          <w:p>
            <w:pPr>
              <w:spacing w:after="0"/>
              <w:rPr>
                <w:sz w:val="24"/>
                <w:szCs w:val="24"/>
                <w:color w:val="auto"/>
              </w:rPr>
            </w:pPr>
          </w:p>
        </w:tc>
        <w:tc>
          <w:tcPr>
            <w:tcW w:w="100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1.1 %</w:t>
            </w:r>
          </w:p>
        </w:tc>
        <w:tc>
          <w:tcPr>
            <w:tcW w:w="8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shd w:val="clear" w:color="auto" w:fill="D9D9D6"/>
          </w:tcPr>
          <w:p>
            <w:pPr>
              <w:spacing w:after="0"/>
              <w:rPr>
                <w:sz w:val="17"/>
                <w:szCs w:val="17"/>
                <w:color w:val="auto"/>
              </w:rPr>
            </w:pPr>
          </w:p>
        </w:tc>
        <w:tc>
          <w:tcPr>
            <w:tcW w:w="678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0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39.9 %</w:t>
            </w:r>
          </w:p>
        </w:tc>
        <w:tc>
          <w:tcPr>
            <w:tcW w:w="80" w:type="dxa"/>
            <w:vAlign w:val="bottom"/>
            <w:tcBorders>
              <w:right w:val="single" w:sz="8" w:color="D9D9D6"/>
            </w:tcBorders>
            <w:shd w:val="clear" w:color="auto" w:fill="D9D9D6"/>
          </w:tcPr>
          <w:p>
            <w:pPr>
              <w:spacing w:after="0"/>
              <w:rPr>
                <w:sz w:val="17"/>
                <w:szCs w:val="17"/>
                <w:color w:val="auto"/>
              </w:rPr>
            </w:pPr>
          </w:p>
        </w:tc>
        <w:tc>
          <w:tcPr>
            <w:tcW w:w="90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38.9 %</w:t>
            </w:r>
          </w:p>
        </w:tc>
        <w:tc>
          <w:tcPr>
            <w:tcW w:w="20" w:type="dxa"/>
            <w:vAlign w:val="bottom"/>
            <w:shd w:val="clear" w:color="auto" w:fill="D9D9D6"/>
          </w:tcPr>
          <w:p>
            <w:pPr>
              <w:spacing w:after="0"/>
              <w:rPr>
                <w:sz w:val="17"/>
                <w:szCs w:val="17"/>
                <w:color w:val="auto"/>
              </w:rPr>
            </w:pPr>
          </w:p>
        </w:tc>
        <w:tc>
          <w:tcPr>
            <w:tcW w:w="102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100 bps</w:t>
            </w:r>
          </w:p>
        </w:tc>
        <w:tc>
          <w:tcPr>
            <w:tcW w:w="500" w:type="dxa"/>
            <w:vAlign w:val="bottom"/>
            <w:shd w:val="clear" w:color="auto" w:fill="D9D9D6"/>
          </w:tcPr>
          <w:p>
            <w:pPr>
              <w:spacing w:after="0"/>
              <w:rPr>
                <w:sz w:val="17"/>
                <w:szCs w:val="17"/>
                <w:color w:val="auto"/>
              </w:rPr>
            </w:pPr>
          </w:p>
        </w:tc>
        <w:tc>
          <w:tcPr>
            <w:tcW w:w="5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100 bps</w:t>
            </w:r>
          </w:p>
        </w:tc>
        <w:tc>
          <w:tcPr>
            <w:tcW w:w="18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780" w:type="dxa"/>
            <w:vAlign w:val="bottom"/>
            <w:shd w:val="clear" w:color="auto" w:fill="D9D9D6"/>
          </w:tcPr>
          <w:p>
            <w:pPr>
              <w:spacing w:after="0"/>
              <w:rPr>
                <w:sz w:val="5"/>
                <w:szCs w:val="5"/>
                <w:color w:val="auto"/>
              </w:rPr>
            </w:pPr>
          </w:p>
        </w:tc>
        <w:tc>
          <w:tcPr>
            <w:tcW w:w="76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80" w:type="dxa"/>
            <w:vAlign w:val="bottom"/>
            <w:tcBorders>
              <w:right w:val="single" w:sz="8" w:color="D9D9D6"/>
            </w:tcBorders>
            <w:shd w:val="clear" w:color="auto" w:fill="D9D9D6"/>
          </w:tcPr>
          <w:p>
            <w:pPr>
              <w:spacing w:after="0"/>
              <w:rPr>
                <w:sz w:val="5"/>
                <w:szCs w:val="5"/>
                <w:color w:val="auto"/>
              </w:rPr>
            </w:pPr>
          </w:p>
        </w:tc>
        <w:tc>
          <w:tcPr>
            <w:tcW w:w="5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48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80" w:type="dxa"/>
            <w:vAlign w:val="bottom"/>
            <w:shd w:val="clear" w:color="auto" w:fill="D9D9D6"/>
          </w:tcPr>
          <w:p>
            <w:pPr>
              <w:spacing w:after="0"/>
              <w:rPr>
                <w:sz w:val="5"/>
                <w:szCs w:val="5"/>
                <w:color w:val="auto"/>
              </w:rPr>
            </w:pPr>
          </w:p>
        </w:tc>
        <w:tc>
          <w:tcPr>
            <w:tcW w:w="18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Residential Connectivity &amp; Platforms decreased compared to the prior year period, reflecting decreases in video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partially offset by increases in domestic broadband, domestic wireless and international connectivity revenue. Domestic broadband</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revenue increased due to higher average rates. Domestic wireless revenue increased primarily due to an increase in the number of customer lines. International connectivity revenue increased due to increases in broadband revenue from higher average rates and in wireless revenue, primarily reflecting higher sales of wireless services. Video revenue decreased due to a decline in the number of video customers, partially offset by an overall increase in average rates. Other revenue decreased primarily due to lower residential wireline voice revenue,</w:t>
      </w:r>
    </w:p>
    <w:p>
      <w:pPr>
        <w:jc w:val="both"/>
        <w:spacing w:after="0" w:line="237" w:lineRule="auto"/>
        <w:rPr>
          <w:sz w:val="20"/>
          <w:szCs w:val="20"/>
          <w:color w:val="auto"/>
        </w:rPr>
      </w:pPr>
      <w:r>
        <w:rPr>
          <w:rFonts w:ascii="Arial" w:cs="Arial" w:eastAsia="Arial" w:hAnsi="Arial"/>
          <w:sz w:val="18"/>
          <w:szCs w:val="18"/>
          <w:color w:val="auto"/>
        </w:rPr>
        <w:t>driven by a decline in the number of customers. Advertising revenue was consistent primarily due to lower domestic nonpolitical advertising, offset by higher domestic political advertising.</w:t>
      </w:r>
    </w:p>
    <w:p>
      <w:pPr>
        <w:sectPr>
          <w:pgSz w:w="11900" w:h="16838" w:orient="portrait"/>
          <w:cols w:equalWidth="0" w:num="1">
            <w:col w:w="11240"/>
          </w:cols>
          <w:pgMar w:left="320" w:top="626"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626" w:right="339" w:bottom="1440" w:gutter="0" w:footer="0" w:header="0"/>
          <w:type w:val="continuous"/>
        </w:sectPr>
      </w:pPr>
    </w:p>
    <w:bookmarkStart w:id="6" w:name="page7"/>
    <w:bookmarkEnd w:id="6"/>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Residential Connectivity &amp; Platforms increased due to lower operating expenses. Programming expenses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primarily due to a decline in the number of domestic video customers, partially offset by rate increases under our domestic programming contracts. Non-programming expenses were consistent primarily reflecting an increase in direct product costs, offset by lower marketing and promotion expenses. </w:t>
      </w:r>
      <w:r>
        <w:rPr>
          <w:rFonts w:ascii="Arial" w:cs="Arial" w:eastAsia="Arial" w:hAnsi="Arial"/>
          <w:sz w:val="18"/>
          <w:szCs w:val="18"/>
          <w:b w:val="1"/>
          <w:bCs w:val="1"/>
          <w:i w:val="1"/>
          <w:iCs w:val="1"/>
          <w:color w:val="auto"/>
        </w:rPr>
        <w:t>Adjusted EBITDA margin</w:t>
      </w:r>
      <w:r>
        <w:rPr>
          <w:rFonts w:ascii="Arial" w:cs="Arial" w:eastAsia="Arial" w:hAnsi="Arial"/>
          <w:sz w:val="18"/>
          <w:szCs w:val="18"/>
          <w:color w:val="auto"/>
        </w:rPr>
        <w:t xml:space="preserve"> increased to 39.9%.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Services Connectivity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9"/>
                <w:szCs w:val="19"/>
                <w:color w:val="auto"/>
              </w:rPr>
            </w:pPr>
          </w:p>
        </w:tc>
        <w:tc>
          <w:tcPr>
            <w:tcW w:w="32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60" w:type="dxa"/>
            <w:vAlign w:val="bottom"/>
            <w:shd w:val="clear" w:color="auto" w:fill="D9D9D6"/>
          </w:tcPr>
          <w:p>
            <w:pPr>
              <w:spacing w:after="0"/>
              <w:rPr>
                <w:sz w:val="19"/>
                <w:szCs w:val="19"/>
                <w:color w:val="auto"/>
              </w:rPr>
            </w:pPr>
          </w:p>
        </w:tc>
        <w:tc>
          <w:tcPr>
            <w:tcW w:w="50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540" w:type="dxa"/>
            <w:vAlign w:val="bottom"/>
            <w:shd w:val="clear" w:color="auto" w:fill="D9D9D6"/>
          </w:tcPr>
          <w:p>
            <w:pPr>
              <w:spacing w:after="0"/>
              <w:rPr>
                <w:sz w:val="19"/>
                <w:szCs w:val="19"/>
                <w:color w:val="auto"/>
              </w:rPr>
            </w:pPr>
          </w:p>
        </w:tc>
        <w:tc>
          <w:tcPr>
            <w:tcW w:w="360" w:type="dxa"/>
            <w:vAlign w:val="bottom"/>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20" w:type="dxa"/>
            <w:vAlign w:val="bottom"/>
            <w:shd w:val="clear" w:color="auto" w:fill="D9D9D6"/>
          </w:tcPr>
          <w:p>
            <w:pPr>
              <w:spacing w:after="0"/>
              <w:rPr>
                <w:sz w:val="19"/>
                <w:szCs w:val="19"/>
                <w:color w:val="auto"/>
              </w:rPr>
            </w:pPr>
          </w:p>
        </w:tc>
        <w:tc>
          <w:tcPr>
            <w:tcW w:w="1060" w:type="dxa"/>
            <w:vAlign w:val="bottom"/>
            <w:tcBorders>
              <w:right w:val="single" w:sz="8" w:color="D9D9D6"/>
            </w:tcBorders>
            <w:gridSpan w:val="2"/>
            <w:vMerge w:val="restart"/>
            <w:shd w:val="clear" w:color="auto" w:fill="D9D9D6"/>
          </w:tcPr>
          <w:p>
            <w:pPr>
              <w:jc w:val="right"/>
              <w:spacing w:after="0"/>
              <w:rPr>
                <w:sz w:val="20"/>
                <w:szCs w:val="20"/>
                <w:color w:val="auto"/>
              </w:rPr>
            </w:pPr>
            <w:r>
              <w:rPr>
                <w:rFonts w:ascii="Arial" w:cs="Arial" w:eastAsia="Arial" w:hAnsi="Arial"/>
                <w:sz w:val="14"/>
                <w:szCs w:val="14"/>
                <w:color w:val="auto"/>
              </w:rPr>
              <w:t>Constant</w:t>
            </w:r>
          </w:p>
        </w:tc>
        <w:tc>
          <w:tcPr>
            <w:tcW w:w="200" w:type="dxa"/>
            <w:vAlign w:val="bottom"/>
            <w:shd w:val="clear" w:color="auto" w:fill="D9D9D6"/>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100" w:type="dxa"/>
            <w:vAlign w:val="bottom"/>
            <w:shd w:val="clear" w:color="auto" w:fill="D9D9D6"/>
          </w:tcPr>
          <w:p>
            <w:pPr>
              <w:spacing w:after="0"/>
              <w:rPr>
                <w:sz w:val="12"/>
                <w:szCs w:val="12"/>
                <w:color w:val="auto"/>
              </w:rPr>
            </w:pPr>
          </w:p>
        </w:tc>
        <w:tc>
          <w:tcPr>
            <w:tcW w:w="6820" w:type="dxa"/>
            <w:vAlign w:val="bottom"/>
            <w:shd w:val="clear" w:color="auto" w:fill="D9D9D6"/>
          </w:tcPr>
          <w:p>
            <w:pPr>
              <w:spacing w:after="0"/>
              <w:rPr>
                <w:sz w:val="12"/>
                <w:szCs w:val="12"/>
                <w:color w:val="auto"/>
              </w:rPr>
            </w:pPr>
          </w:p>
        </w:tc>
        <w:tc>
          <w:tcPr>
            <w:tcW w:w="640" w:type="dxa"/>
            <w:vAlign w:val="bottom"/>
            <w:shd w:val="clear" w:color="auto" w:fill="D9D9D6"/>
          </w:tcPr>
          <w:p>
            <w:pPr>
              <w:spacing w:after="0"/>
              <w:rPr>
                <w:sz w:val="12"/>
                <w:szCs w:val="12"/>
                <w:color w:val="auto"/>
              </w:rPr>
            </w:pPr>
          </w:p>
        </w:tc>
        <w:tc>
          <w:tcPr>
            <w:tcW w:w="32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00" w:type="dxa"/>
            <w:vAlign w:val="bottom"/>
            <w:tcBorders>
              <w:right w:val="single" w:sz="8" w:color="D9D9D6"/>
            </w:tcBorders>
            <w:gridSpan w:val="3"/>
            <w:vMerge w:val="restart"/>
            <w:shd w:val="clear" w:color="auto" w:fill="D9D9D6"/>
          </w:tcPr>
          <w:p>
            <w:pPr>
              <w:jc w:val="right"/>
              <w:ind w:right="80"/>
              <w:spacing w:after="0"/>
              <w:rPr>
                <w:sz w:val="20"/>
                <w:szCs w:val="20"/>
                <w:color w:val="auto"/>
              </w:rPr>
            </w:pPr>
            <w:r>
              <w:rPr>
                <w:rFonts w:ascii="Arial" w:cs="Arial" w:eastAsia="Arial" w:hAnsi="Arial"/>
                <w:sz w:val="14"/>
                <w:szCs w:val="14"/>
                <w:color w:val="auto"/>
              </w:rPr>
              <w:t>2nd Quarter</w:t>
            </w:r>
          </w:p>
        </w:tc>
        <w:tc>
          <w:tcPr>
            <w:tcW w:w="540" w:type="dxa"/>
            <w:vAlign w:val="bottom"/>
            <w:shd w:val="clear" w:color="auto" w:fill="D9D9D6"/>
          </w:tcPr>
          <w:p>
            <w:pPr>
              <w:spacing w:after="0"/>
              <w:rPr>
                <w:sz w:val="12"/>
                <w:szCs w:val="12"/>
                <w:color w:val="auto"/>
              </w:rPr>
            </w:pPr>
          </w:p>
        </w:tc>
        <w:tc>
          <w:tcPr>
            <w:tcW w:w="360" w:type="dxa"/>
            <w:vAlign w:val="bottom"/>
            <w:shd w:val="clear" w:color="auto" w:fill="D9D9D6"/>
          </w:tcPr>
          <w:p>
            <w:pPr>
              <w:spacing w:after="0"/>
              <w:rPr>
                <w:sz w:val="12"/>
                <w:szCs w:val="12"/>
                <w:color w:val="auto"/>
              </w:rPr>
            </w:pPr>
          </w:p>
        </w:tc>
        <w:tc>
          <w:tcPr>
            <w:tcW w:w="140" w:type="dxa"/>
            <w:vAlign w:val="bottom"/>
            <w:shd w:val="clear" w:color="auto" w:fill="D9D9D6"/>
          </w:tcPr>
          <w:p>
            <w:pPr>
              <w:spacing w:after="0"/>
              <w:rPr>
                <w:sz w:val="12"/>
                <w:szCs w:val="12"/>
                <w:color w:val="auto"/>
              </w:rPr>
            </w:pPr>
          </w:p>
        </w:tc>
        <w:tc>
          <w:tcPr>
            <w:tcW w:w="20" w:type="dxa"/>
            <w:vAlign w:val="bottom"/>
            <w:shd w:val="clear" w:color="auto" w:fill="D9D9D6"/>
          </w:tcPr>
          <w:p>
            <w:pPr>
              <w:spacing w:after="0"/>
              <w:rPr>
                <w:sz w:val="12"/>
                <w:szCs w:val="12"/>
                <w:color w:val="auto"/>
              </w:rPr>
            </w:pPr>
          </w:p>
        </w:tc>
        <w:tc>
          <w:tcPr>
            <w:tcW w:w="1060" w:type="dxa"/>
            <w:vAlign w:val="bottom"/>
            <w:tcBorders>
              <w:right w:val="single" w:sz="8" w:color="D9D9D6"/>
            </w:tcBorders>
            <w:gridSpan w:val="2"/>
            <w:vMerge w:val="continue"/>
            <w:shd w:val="clear" w:color="auto" w:fill="D9D9D6"/>
          </w:tcPr>
          <w:p>
            <w:pPr>
              <w:spacing w:after="0"/>
              <w:rPr>
                <w:sz w:val="12"/>
                <w:szCs w:val="12"/>
                <w:color w:val="auto"/>
              </w:rPr>
            </w:pPr>
          </w:p>
        </w:tc>
        <w:tc>
          <w:tcPr>
            <w:tcW w:w="200" w:type="dxa"/>
            <w:vAlign w:val="bottom"/>
            <w:shd w:val="clear" w:color="auto" w:fill="D9D9D6"/>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0" w:type="dxa"/>
            <w:vAlign w:val="bottom"/>
            <w:shd w:val="clear" w:color="auto" w:fill="D9D9D6"/>
          </w:tcPr>
          <w:p>
            <w:pPr>
              <w:spacing w:after="0"/>
              <w:rPr>
                <w:sz w:val="6"/>
                <w:szCs w:val="6"/>
                <w:color w:val="auto"/>
              </w:rPr>
            </w:pPr>
          </w:p>
        </w:tc>
        <w:tc>
          <w:tcPr>
            <w:tcW w:w="6820" w:type="dxa"/>
            <w:vAlign w:val="bottom"/>
            <w:shd w:val="clear" w:color="auto" w:fill="D9D9D6"/>
          </w:tcPr>
          <w:p>
            <w:pPr>
              <w:spacing w:after="0"/>
              <w:rPr>
                <w:sz w:val="6"/>
                <w:szCs w:val="6"/>
                <w:color w:val="auto"/>
              </w:rPr>
            </w:pPr>
          </w:p>
        </w:tc>
        <w:tc>
          <w:tcPr>
            <w:tcW w:w="640" w:type="dxa"/>
            <w:vAlign w:val="bottom"/>
            <w:shd w:val="clear" w:color="auto" w:fill="D9D9D6"/>
          </w:tcPr>
          <w:p>
            <w:pPr>
              <w:spacing w:after="0"/>
              <w:rPr>
                <w:sz w:val="6"/>
                <w:szCs w:val="6"/>
                <w:color w:val="auto"/>
              </w:rPr>
            </w:pPr>
          </w:p>
        </w:tc>
        <w:tc>
          <w:tcPr>
            <w:tcW w:w="32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00" w:type="dxa"/>
            <w:vAlign w:val="bottom"/>
            <w:tcBorders>
              <w:right w:val="single" w:sz="8" w:color="D9D9D6"/>
            </w:tcBorders>
            <w:gridSpan w:val="3"/>
            <w:vMerge w:val="continue"/>
            <w:shd w:val="clear" w:color="auto" w:fill="D9D9D6"/>
          </w:tcPr>
          <w:p>
            <w:pPr>
              <w:spacing w:after="0"/>
              <w:rPr>
                <w:sz w:val="6"/>
                <w:szCs w:val="6"/>
                <w:color w:val="auto"/>
              </w:rPr>
            </w:pPr>
          </w:p>
        </w:tc>
        <w:tc>
          <w:tcPr>
            <w:tcW w:w="540" w:type="dxa"/>
            <w:vAlign w:val="bottom"/>
            <w:shd w:val="clear" w:color="auto" w:fill="D9D9D6"/>
          </w:tcPr>
          <w:p>
            <w:pPr>
              <w:spacing w:after="0"/>
              <w:rPr>
                <w:sz w:val="6"/>
                <w:szCs w:val="6"/>
                <w:color w:val="auto"/>
              </w:rPr>
            </w:pPr>
          </w:p>
        </w:tc>
        <w:tc>
          <w:tcPr>
            <w:tcW w:w="360" w:type="dxa"/>
            <w:vAlign w:val="bottom"/>
            <w:shd w:val="clear" w:color="auto" w:fill="D9D9D6"/>
          </w:tcPr>
          <w:p>
            <w:pPr>
              <w:spacing w:after="0"/>
              <w:rPr>
                <w:sz w:val="6"/>
                <w:szCs w:val="6"/>
                <w:color w:val="auto"/>
              </w:rPr>
            </w:pPr>
          </w:p>
        </w:tc>
        <w:tc>
          <w:tcPr>
            <w:tcW w:w="140" w:type="dxa"/>
            <w:vAlign w:val="bottom"/>
            <w:shd w:val="clear" w:color="auto" w:fill="D9D9D6"/>
          </w:tcPr>
          <w:p>
            <w:pPr>
              <w:spacing w:after="0"/>
              <w:rPr>
                <w:sz w:val="6"/>
                <w:szCs w:val="6"/>
                <w:color w:val="auto"/>
              </w:rPr>
            </w:pPr>
          </w:p>
        </w:tc>
        <w:tc>
          <w:tcPr>
            <w:tcW w:w="20" w:type="dxa"/>
            <w:vAlign w:val="bottom"/>
            <w:shd w:val="clear" w:color="auto" w:fill="D9D9D6"/>
          </w:tcPr>
          <w:p>
            <w:pPr>
              <w:spacing w:after="0"/>
              <w:rPr>
                <w:sz w:val="6"/>
                <w:szCs w:val="6"/>
                <w:color w:val="auto"/>
              </w:rPr>
            </w:pPr>
          </w:p>
        </w:tc>
        <w:tc>
          <w:tcPr>
            <w:tcW w:w="1060" w:type="dxa"/>
            <w:vAlign w:val="bottom"/>
            <w:tcBorders>
              <w:right w:val="single" w:sz="8" w:color="D9D9D6"/>
            </w:tcBorders>
            <w:gridSpan w:val="2"/>
            <w:vMerge w:val="restart"/>
            <w:shd w:val="clear" w:color="auto" w:fill="D9D9D6"/>
          </w:tcPr>
          <w:p>
            <w:pPr>
              <w:jc w:val="right"/>
              <w:spacing w:after="0" w:line="145" w:lineRule="exact"/>
              <w:rPr>
                <w:sz w:val="20"/>
                <w:szCs w:val="20"/>
                <w:color w:val="auto"/>
              </w:rPr>
            </w:pPr>
            <w:r>
              <w:rPr>
                <w:rFonts w:ascii="Arial" w:cs="Arial" w:eastAsia="Arial" w:hAnsi="Arial"/>
                <w:sz w:val="14"/>
                <w:szCs w:val="14"/>
                <w:color w:val="auto"/>
              </w:rPr>
              <w:t>Currency</w:t>
            </w:r>
          </w:p>
        </w:tc>
        <w:tc>
          <w:tcPr>
            <w:tcW w:w="200" w:type="dxa"/>
            <w:vAlign w:val="bottom"/>
            <w:shd w:val="clear" w:color="auto" w:fill="D9D9D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D9D9D6"/>
          </w:tcPr>
          <w:p>
            <w:pPr>
              <w:spacing w:after="0" w:line="20" w:lineRule="exact"/>
              <w:rPr>
                <w:sz w:val="1"/>
                <w:szCs w:val="1"/>
                <w:color w:val="auto"/>
              </w:rPr>
            </w:pPr>
          </w:p>
        </w:tc>
        <w:tc>
          <w:tcPr>
            <w:tcW w:w="6820" w:type="dxa"/>
            <w:vAlign w:val="bottom"/>
            <w:shd w:val="clear" w:color="auto" w:fill="D9D9D6"/>
          </w:tcPr>
          <w:p>
            <w:pPr>
              <w:spacing w:after="0" w:line="20" w:lineRule="exact"/>
              <w:rPr>
                <w:sz w:val="1"/>
                <w:szCs w:val="1"/>
                <w:color w:val="auto"/>
              </w:rPr>
            </w:pPr>
          </w:p>
        </w:tc>
        <w:tc>
          <w:tcPr>
            <w:tcW w:w="64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060" w:type="dxa"/>
            <w:vAlign w:val="bottom"/>
            <w:tcBorders>
              <w:right w:val="single" w:sz="8" w:color="D9D9D6"/>
            </w:tcBorders>
            <w:gridSpan w:val="2"/>
            <w:vMerge w:val="continue"/>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00" w:type="dxa"/>
            <w:vAlign w:val="bottom"/>
            <w:shd w:val="clear" w:color="auto" w:fill="D9D9D6"/>
          </w:tcPr>
          <w:p>
            <w:pPr>
              <w:spacing w:after="0"/>
              <w:rPr>
                <w:sz w:val="4"/>
                <w:szCs w:val="4"/>
                <w:color w:val="auto"/>
              </w:rPr>
            </w:pPr>
          </w:p>
        </w:tc>
        <w:tc>
          <w:tcPr>
            <w:tcW w:w="6820" w:type="dxa"/>
            <w:vAlign w:val="bottom"/>
            <w:shd w:val="clear" w:color="auto" w:fill="D9D9D6"/>
          </w:tcPr>
          <w:p>
            <w:pPr>
              <w:spacing w:after="0"/>
              <w:rPr>
                <w:sz w:val="4"/>
                <w:szCs w:val="4"/>
                <w:color w:val="auto"/>
              </w:rPr>
            </w:pPr>
          </w:p>
        </w:tc>
        <w:tc>
          <w:tcPr>
            <w:tcW w:w="640" w:type="dxa"/>
            <w:vAlign w:val="bottom"/>
            <w:vMerge w:val="restart"/>
            <w:shd w:val="clear" w:color="auto" w:fill="D9D9D6"/>
          </w:tcPr>
          <w:p>
            <w:pPr>
              <w:spacing w:after="0"/>
              <w:rPr>
                <w:sz w:val="4"/>
                <w:szCs w:val="4"/>
                <w:color w:val="auto"/>
              </w:rPr>
            </w:pPr>
          </w:p>
        </w:tc>
        <w:tc>
          <w:tcPr>
            <w:tcW w:w="340" w:type="dxa"/>
            <w:vAlign w:val="bottom"/>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w w:val="96"/>
              </w:rPr>
              <w:t>2024</w:t>
            </w:r>
          </w:p>
        </w:tc>
        <w:tc>
          <w:tcPr>
            <w:tcW w:w="160" w:type="dxa"/>
            <w:vAlign w:val="bottom"/>
            <w:vMerge w:val="restart"/>
            <w:shd w:val="clear" w:color="auto" w:fill="D9D9D6"/>
          </w:tcPr>
          <w:p>
            <w:pPr>
              <w:spacing w:after="0"/>
              <w:rPr>
                <w:sz w:val="4"/>
                <w:szCs w:val="4"/>
                <w:color w:val="auto"/>
              </w:rPr>
            </w:pPr>
          </w:p>
        </w:tc>
        <w:tc>
          <w:tcPr>
            <w:tcW w:w="840" w:type="dxa"/>
            <w:vAlign w:val="bottom"/>
            <w:tcBorders>
              <w:right w:val="single" w:sz="8" w:color="D9D9D6"/>
            </w:tcBorders>
            <w:gridSpan w:val="2"/>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2023</w:t>
            </w:r>
          </w:p>
        </w:tc>
        <w:tc>
          <w:tcPr>
            <w:tcW w:w="106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Change</w:t>
            </w:r>
          </w:p>
        </w:tc>
        <w:tc>
          <w:tcPr>
            <w:tcW w:w="1060" w:type="dxa"/>
            <w:vAlign w:val="bottom"/>
            <w:tcBorders>
              <w:right w:val="single" w:sz="8" w:color="D9D9D6"/>
            </w:tcBorders>
            <w:gridSpan w:val="2"/>
            <w:vMerge w:val="continue"/>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D9D9D6"/>
          </w:tcPr>
          <w:p>
            <w:pPr>
              <w:spacing w:after="0"/>
              <w:rPr>
                <w:sz w:val="11"/>
                <w:szCs w:val="11"/>
                <w:color w:val="auto"/>
              </w:rPr>
            </w:pPr>
          </w:p>
        </w:tc>
        <w:tc>
          <w:tcPr>
            <w:tcW w:w="6820" w:type="dxa"/>
            <w:vAlign w:val="bottom"/>
            <w:shd w:val="clear" w:color="auto" w:fill="D9D9D6"/>
          </w:tcPr>
          <w:p>
            <w:pPr>
              <w:spacing w:after="0"/>
              <w:rPr>
                <w:sz w:val="11"/>
                <w:szCs w:val="11"/>
                <w:color w:val="auto"/>
              </w:rPr>
            </w:pPr>
          </w:p>
        </w:tc>
        <w:tc>
          <w:tcPr>
            <w:tcW w:w="640" w:type="dxa"/>
            <w:vAlign w:val="bottom"/>
            <w:vMerge w:val="continue"/>
            <w:shd w:val="clear" w:color="auto" w:fill="D9D9D6"/>
          </w:tcPr>
          <w:p>
            <w:pPr>
              <w:spacing w:after="0"/>
              <w:rPr>
                <w:sz w:val="11"/>
                <w:szCs w:val="11"/>
                <w:color w:val="auto"/>
              </w:rPr>
            </w:pPr>
          </w:p>
        </w:tc>
        <w:tc>
          <w:tcPr>
            <w:tcW w:w="340" w:type="dxa"/>
            <w:vAlign w:val="bottom"/>
            <w:gridSpan w:val="2"/>
            <w:vMerge w:val="continue"/>
            <w:shd w:val="clear" w:color="auto" w:fill="D9D9D6"/>
          </w:tcPr>
          <w:p>
            <w:pPr>
              <w:spacing w:after="0"/>
              <w:rPr>
                <w:sz w:val="11"/>
                <w:szCs w:val="11"/>
                <w:color w:val="auto"/>
              </w:rPr>
            </w:pPr>
          </w:p>
        </w:tc>
        <w:tc>
          <w:tcPr>
            <w:tcW w:w="160" w:type="dxa"/>
            <w:vAlign w:val="bottom"/>
            <w:vMerge w:val="continue"/>
            <w:shd w:val="clear" w:color="auto" w:fill="D9D9D6"/>
          </w:tcPr>
          <w:p>
            <w:pPr>
              <w:spacing w:after="0"/>
              <w:rPr>
                <w:sz w:val="11"/>
                <w:szCs w:val="11"/>
                <w:color w:val="auto"/>
              </w:rPr>
            </w:pPr>
          </w:p>
        </w:tc>
        <w:tc>
          <w:tcPr>
            <w:tcW w:w="840" w:type="dxa"/>
            <w:vAlign w:val="bottom"/>
            <w:tcBorders>
              <w:right w:val="single" w:sz="8" w:color="D9D9D6"/>
            </w:tcBorders>
            <w:gridSpan w:val="2"/>
            <w:vMerge w:val="continue"/>
            <w:shd w:val="clear" w:color="auto" w:fill="D9D9D6"/>
          </w:tcPr>
          <w:p>
            <w:pPr>
              <w:spacing w:after="0"/>
              <w:rPr>
                <w:sz w:val="11"/>
                <w:szCs w:val="11"/>
                <w:color w:val="auto"/>
              </w:rPr>
            </w:pPr>
          </w:p>
        </w:tc>
        <w:tc>
          <w:tcPr>
            <w:tcW w:w="1060" w:type="dxa"/>
            <w:vAlign w:val="bottom"/>
            <w:gridSpan w:val="4"/>
            <w:vMerge w:val="continue"/>
            <w:shd w:val="clear" w:color="auto" w:fill="D9D9D6"/>
          </w:tcPr>
          <w:p>
            <w:pPr>
              <w:spacing w:after="0"/>
              <w:rPr>
                <w:sz w:val="11"/>
                <w:szCs w:val="11"/>
                <w:color w:val="auto"/>
              </w:rPr>
            </w:pPr>
          </w:p>
        </w:tc>
        <w:tc>
          <w:tcPr>
            <w:tcW w:w="1060" w:type="dxa"/>
            <w:vAlign w:val="bottom"/>
            <w:tcBorders>
              <w:right w:val="single" w:sz="8" w:color="D9D9D6"/>
            </w:tcBorders>
            <w:gridSpan w:val="2"/>
            <w:shd w:val="clear" w:color="auto" w:fill="D9D9D6"/>
          </w:tcPr>
          <w:p>
            <w:pPr>
              <w:jc w:val="right"/>
              <w:spacing w:after="0" w:line="115" w:lineRule="exact"/>
              <w:rPr>
                <w:sz w:val="20"/>
                <w:szCs w:val="20"/>
                <w:color w:val="auto"/>
              </w:rPr>
            </w:pPr>
            <w:r>
              <w:rPr>
                <w:rFonts w:ascii="Arial" w:cs="Arial" w:eastAsia="Arial" w:hAnsi="Arial"/>
                <w:sz w:val="13"/>
                <w:szCs w:val="13"/>
                <w:color w:val="auto"/>
              </w:rPr>
              <w:t>Change</w:t>
            </w:r>
            <w:r>
              <w:rPr>
                <w:rFonts w:ascii="Arial" w:cs="Arial" w:eastAsia="Arial" w:hAnsi="Arial"/>
                <w:sz w:val="8"/>
                <w:szCs w:val="8"/>
                <w:color w:val="auto"/>
              </w:rPr>
              <w:t>5</w:t>
            </w:r>
          </w:p>
        </w:tc>
        <w:tc>
          <w:tcPr>
            <w:tcW w:w="200" w:type="dxa"/>
            <w:vAlign w:val="bottom"/>
            <w:shd w:val="clear" w:color="auto" w:fill="D9D9D6"/>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D9D9D6"/>
            </w:tcBorders>
            <w:shd w:val="clear" w:color="auto" w:fill="D9D9D6"/>
          </w:tcPr>
          <w:p>
            <w:pPr>
              <w:spacing w:after="0" w:line="20" w:lineRule="exact"/>
              <w:rPr>
                <w:sz w:val="1"/>
                <w:szCs w:val="1"/>
                <w:color w:val="auto"/>
              </w:rPr>
            </w:pPr>
          </w:p>
        </w:tc>
        <w:tc>
          <w:tcPr>
            <w:tcW w:w="6820" w:type="dxa"/>
            <w:vAlign w:val="bottom"/>
            <w:tcBorders>
              <w:top w:val="single" w:sz="8" w:color="D9D9D6"/>
            </w:tcBorders>
            <w:shd w:val="clear" w:color="auto" w:fill="D9D9D6"/>
          </w:tcPr>
          <w:p>
            <w:pPr>
              <w:spacing w:after="0" w:line="20" w:lineRule="exact"/>
              <w:rPr>
                <w:sz w:val="1"/>
                <w:szCs w:val="1"/>
                <w:color w:val="auto"/>
              </w:rPr>
            </w:pPr>
          </w:p>
        </w:tc>
        <w:tc>
          <w:tcPr>
            <w:tcW w:w="640" w:type="dxa"/>
            <w:vAlign w:val="bottom"/>
            <w:tcBorders>
              <w:top w:val="single" w:sz="8" w:color="D9D9D6"/>
            </w:tcBorders>
            <w:shd w:val="clear" w:color="auto" w:fill="D9D9D6"/>
          </w:tcPr>
          <w:p>
            <w:pPr>
              <w:spacing w:after="0" w:line="20" w:lineRule="exact"/>
              <w:rPr>
                <w:sz w:val="1"/>
                <w:szCs w:val="1"/>
                <w:color w:val="auto"/>
              </w:rPr>
            </w:pPr>
          </w:p>
        </w:tc>
        <w:tc>
          <w:tcPr>
            <w:tcW w:w="32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16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340" w:type="dxa"/>
            <w:vAlign w:val="bottom"/>
            <w:tcBorders>
              <w:top w:val="single" w:sz="8" w:color="auto"/>
              <w:right w:val="single" w:sz="8" w:color="D9D9D6"/>
            </w:tcBorders>
            <w:shd w:val="clear" w:color="auto" w:fill="D9D9D6"/>
          </w:tcPr>
          <w:p>
            <w:pPr>
              <w:spacing w:after="0" w:line="20" w:lineRule="exact"/>
              <w:rPr>
                <w:sz w:val="1"/>
                <w:szCs w:val="1"/>
                <w:color w:val="auto"/>
              </w:rPr>
            </w:pPr>
          </w:p>
        </w:tc>
        <w:tc>
          <w:tcPr>
            <w:tcW w:w="540" w:type="dxa"/>
            <w:vAlign w:val="bottom"/>
            <w:tcBorders>
              <w:top w:val="single" w:sz="8" w:color="D9D9D6"/>
            </w:tcBorders>
            <w:shd w:val="clear" w:color="auto" w:fill="D9D9D6"/>
          </w:tcPr>
          <w:p>
            <w:pPr>
              <w:spacing w:after="0" w:line="20" w:lineRule="exact"/>
              <w:rPr>
                <w:sz w:val="1"/>
                <w:szCs w:val="1"/>
                <w:color w:val="auto"/>
              </w:rPr>
            </w:pPr>
          </w:p>
        </w:tc>
        <w:tc>
          <w:tcPr>
            <w:tcW w:w="360" w:type="dxa"/>
            <w:vAlign w:val="bottom"/>
            <w:tcBorders>
              <w:top w:val="single" w:sz="8" w:color="auto"/>
            </w:tcBorders>
            <w:shd w:val="clear" w:color="auto" w:fill="D9D9D6"/>
          </w:tcPr>
          <w:p>
            <w:pPr>
              <w:spacing w:after="0" w:line="20" w:lineRule="exact"/>
              <w:rPr>
                <w:sz w:val="1"/>
                <w:szCs w:val="1"/>
                <w:color w:val="auto"/>
              </w:rPr>
            </w:pPr>
          </w:p>
        </w:tc>
        <w:tc>
          <w:tcPr>
            <w:tcW w:w="140" w:type="dxa"/>
            <w:vAlign w:val="bottom"/>
            <w:tcBorders>
              <w:top w:val="single" w:sz="8" w:color="auto"/>
            </w:tcBorders>
            <w:shd w:val="clear" w:color="auto" w:fill="D9D9D6"/>
          </w:tcPr>
          <w:p>
            <w:pPr>
              <w:spacing w:after="0" w:line="20" w:lineRule="exact"/>
              <w:rPr>
                <w:sz w:val="1"/>
                <w:szCs w:val="1"/>
                <w:color w:val="auto"/>
              </w:rPr>
            </w:pPr>
          </w:p>
        </w:tc>
        <w:tc>
          <w:tcPr>
            <w:tcW w:w="20" w:type="dxa"/>
            <w:vAlign w:val="bottom"/>
            <w:tcBorders>
              <w:top w:val="single" w:sz="8" w:color="D9D9D6"/>
            </w:tcBorders>
            <w:shd w:val="clear" w:color="auto" w:fill="D9D9D6"/>
          </w:tcPr>
          <w:p>
            <w:pPr>
              <w:spacing w:after="0" w:line="20" w:lineRule="exact"/>
              <w:rPr>
                <w:sz w:val="1"/>
                <w:szCs w:val="1"/>
                <w:color w:val="auto"/>
              </w:rPr>
            </w:pPr>
          </w:p>
        </w:tc>
        <w:tc>
          <w:tcPr>
            <w:tcW w:w="500" w:type="dxa"/>
            <w:vAlign w:val="bottom"/>
            <w:tcBorders>
              <w:top w:val="single" w:sz="8" w:color="D9D9D6"/>
            </w:tcBorders>
            <w:shd w:val="clear" w:color="auto" w:fill="D9D9D6"/>
          </w:tcPr>
          <w:p>
            <w:pPr>
              <w:spacing w:after="0" w:line="20" w:lineRule="exact"/>
              <w:rPr>
                <w:sz w:val="1"/>
                <w:szCs w:val="1"/>
                <w:color w:val="auto"/>
              </w:rPr>
            </w:pPr>
          </w:p>
        </w:tc>
        <w:tc>
          <w:tcPr>
            <w:tcW w:w="560" w:type="dxa"/>
            <w:vAlign w:val="bottom"/>
            <w:tcBorders>
              <w:top w:val="single" w:sz="8" w:color="D9D9D6"/>
              <w:right w:val="single" w:sz="8" w:color="D9D9D6"/>
            </w:tcBorders>
            <w:shd w:val="clear" w:color="auto" w:fill="000000"/>
          </w:tcPr>
          <w:p>
            <w:pPr>
              <w:spacing w:after="0" w:line="20" w:lineRule="exact"/>
              <w:rPr>
                <w:sz w:val="1"/>
                <w:szCs w:val="1"/>
                <w:color w:val="auto"/>
              </w:rPr>
            </w:pPr>
          </w:p>
        </w:tc>
        <w:tc>
          <w:tcPr>
            <w:tcW w:w="200" w:type="dxa"/>
            <w:vAlign w:val="bottom"/>
            <w:tcBorders>
              <w:top w:val="single" w:sz="8" w:color="D9D9D6"/>
            </w:tcBorders>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00" w:type="dxa"/>
            <w:vAlign w:val="bottom"/>
            <w:shd w:val="clear" w:color="auto" w:fill="D9D9D6"/>
          </w:tcPr>
          <w:p>
            <w:pPr>
              <w:spacing w:after="0"/>
              <w:rPr>
                <w:sz w:val="24"/>
                <w:szCs w:val="24"/>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$2,421</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$2,292</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5.7</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24"/>
                <w:szCs w:val="24"/>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5.7 %</w:t>
            </w:r>
          </w:p>
        </w:tc>
        <w:tc>
          <w:tcPr>
            <w:tcW w:w="2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68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1,041</w:t>
            </w:r>
          </w:p>
        </w:tc>
        <w:tc>
          <w:tcPr>
            <w:tcW w:w="1000" w:type="dxa"/>
            <w:vAlign w:val="bottom"/>
            <w:tcBorders>
              <w:bottom w:val="single" w:sz="8" w:color="auto"/>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970</w:t>
            </w:r>
          </w:p>
        </w:tc>
        <w:tc>
          <w:tcPr>
            <w:tcW w:w="9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7.4</w:t>
            </w:r>
          </w:p>
        </w:tc>
        <w:tc>
          <w:tcPr>
            <w:tcW w:w="14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7.4 %</w:t>
            </w:r>
          </w:p>
        </w:tc>
        <w:tc>
          <w:tcPr>
            <w:tcW w:w="200" w:type="dxa"/>
            <w:vAlign w:val="bottom"/>
            <w:tcBorders>
              <w:bottom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$1,380</w:t>
            </w: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$1,322</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4.4</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7"/>
                <w:szCs w:val="17"/>
                <w:color w:val="auto"/>
              </w:rPr>
            </w:pPr>
          </w:p>
        </w:tc>
        <w:tc>
          <w:tcPr>
            <w:tcW w:w="10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4.4 %</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D9D9D6"/>
          </w:tcPr>
          <w:p>
            <w:pPr>
              <w:spacing w:after="0"/>
              <w:rPr>
                <w:sz w:val="17"/>
                <w:szCs w:val="17"/>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57.0 %</w:t>
            </w:r>
          </w:p>
        </w:tc>
        <w:tc>
          <w:tcPr>
            <w:tcW w:w="20" w:type="dxa"/>
            <w:vAlign w:val="bottom"/>
            <w:shd w:val="clear" w:color="auto" w:fill="D9D9D6"/>
          </w:tcPr>
          <w:p>
            <w:pPr>
              <w:spacing w:after="0"/>
              <w:rPr>
                <w:sz w:val="17"/>
                <w:szCs w:val="17"/>
                <w:color w:val="auto"/>
              </w:rPr>
            </w:pPr>
          </w:p>
        </w:tc>
        <w:tc>
          <w:tcPr>
            <w:tcW w:w="100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57.7 %</w:t>
            </w: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(70) bps</w:t>
            </w:r>
          </w:p>
        </w:tc>
        <w:tc>
          <w:tcPr>
            <w:tcW w:w="500" w:type="dxa"/>
            <w:vAlign w:val="bottom"/>
            <w:shd w:val="clear" w:color="auto" w:fill="D9D9D6"/>
          </w:tcPr>
          <w:p>
            <w:pPr>
              <w:spacing w:after="0"/>
              <w:rPr>
                <w:sz w:val="17"/>
                <w:szCs w:val="17"/>
                <w:color w:val="auto"/>
              </w:rPr>
            </w:pPr>
          </w:p>
        </w:tc>
        <w:tc>
          <w:tcPr>
            <w:tcW w:w="56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rPr>
              <w:t>(70) bps</w:t>
            </w:r>
          </w:p>
        </w:tc>
        <w:tc>
          <w:tcPr>
            <w:tcW w:w="20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D9D9D6"/>
          </w:tcPr>
          <w:p>
            <w:pPr>
              <w:spacing w:after="0"/>
              <w:rPr>
                <w:sz w:val="5"/>
                <w:szCs w:val="5"/>
                <w:color w:val="auto"/>
              </w:rPr>
            </w:pPr>
          </w:p>
        </w:tc>
        <w:tc>
          <w:tcPr>
            <w:tcW w:w="6820" w:type="dxa"/>
            <w:vAlign w:val="bottom"/>
            <w:shd w:val="clear" w:color="auto" w:fill="D9D9D6"/>
          </w:tcPr>
          <w:p>
            <w:pPr>
              <w:spacing w:after="0"/>
              <w:rPr>
                <w:sz w:val="5"/>
                <w:szCs w:val="5"/>
                <w:color w:val="auto"/>
              </w:rPr>
            </w:pPr>
          </w:p>
        </w:tc>
        <w:tc>
          <w:tcPr>
            <w:tcW w:w="640" w:type="dxa"/>
            <w:vAlign w:val="bottom"/>
            <w:shd w:val="clear" w:color="auto" w:fill="D9D9D6"/>
          </w:tcPr>
          <w:p>
            <w:pPr>
              <w:spacing w:after="0"/>
              <w:rPr>
                <w:sz w:val="5"/>
                <w:szCs w:val="5"/>
                <w:color w:val="auto"/>
              </w:rPr>
            </w:pPr>
          </w:p>
        </w:tc>
        <w:tc>
          <w:tcPr>
            <w:tcW w:w="32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16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340" w:type="dxa"/>
            <w:vAlign w:val="bottom"/>
            <w:tcBorders>
              <w:right w:val="single" w:sz="8" w:color="D9D9D6"/>
            </w:tcBorders>
            <w:shd w:val="clear" w:color="auto" w:fill="D9D9D6"/>
          </w:tcPr>
          <w:p>
            <w:pPr>
              <w:spacing w:after="0"/>
              <w:rPr>
                <w:sz w:val="5"/>
                <w:szCs w:val="5"/>
                <w:color w:val="auto"/>
              </w:rPr>
            </w:pPr>
          </w:p>
        </w:tc>
        <w:tc>
          <w:tcPr>
            <w:tcW w:w="540" w:type="dxa"/>
            <w:vAlign w:val="bottom"/>
            <w:shd w:val="clear" w:color="auto" w:fill="D9D9D6"/>
          </w:tcPr>
          <w:p>
            <w:pPr>
              <w:spacing w:after="0"/>
              <w:rPr>
                <w:sz w:val="5"/>
                <w:szCs w:val="5"/>
                <w:color w:val="auto"/>
              </w:rPr>
            </w:pPr>
          </w:p>
        </w:tc>
        <w:tc>
          <w:tcPr>
            <w:tcW w:w="360" w:type="dxa"/>
            <w:vAlign w:val="bottom"/>
            <w:shd w:val="clear" w:color="auto" w:fill="D9D9D6"/>
          </w:tcPr>
          <w:p>
            <w:pPr>
              <w:spacing w:after="0"/>
              <w:rPr>
                <w:sz w:val="5"/>
                <w:szCs w:val="5"/>
                <w:color w:val="auto"/>
              </w:rPr>
            </w:pPr>
          </w:p>
        </w:tc>
        <w:tc>
          <w:tcPr>
            <w:tcW w:w="140" w:type="dxa"/>
            <w:vAlign w:val="bottom"/>
            <w:shd w:val="clear" w:color="auto" w:fill="D9D9D6"/>
          </w:tcPr>
          <w:p>
            <w:pPr>
              <w:spacing w:after="0"/>
              <w:rPr>
                <w:sz w:val="5"/>
                <w:szCs w:val="5"/>
                <w:color w:val="auto"/>
              </w:rPr>
            </w:pPr>
          </w:p>
        </w:tc>
        <w:tc>
          <w:tcPr>
            <w:tcW w:w="20" w:type="dxa"/>
            <w:vAlign w:val="bottom"/>
            <w:shd w:val="clear" w:color="auto" w:fill="D9D9D6"/>
          </w:tcPr>
          <w:p>
            <w:pPr>
              <w:spacing w:after="0"/>
              <w:rPr>
                <w:sz w:val="5"/>
                <w:szCs w:val="5"/>
                <w:color w:val="auto"/>
              </w:rPr>
            </w:pPr>
          </w:p>
        </w:tc>
        <w:tc>
          <w:tcPr>
            <w:tcW w:w="500" w:type="dxa"/>
            <w:vAlign w:val="bottom"/>
            <w:shd w:val="clear" w:color="auto" w:fill="D9D9D6"/>
          </w:tcPr>
          <w:p>
            <w:pPr>
              <w:spacing w:after="0"/>
              <w:rPr>
                <w:sz w:val="5"/>
                <w:szCs w:val="5"/>
                <w:color w:val="auto"/>
              </w:rPr>
            </w:pPr>
          </w:p>
        </w:tc>
        <w:tc>
          <w:tcPr>
            <w:tcW w:w="560" w:type="dxa"/>
            <w:vAlign w:val="bottom"/>
            <w:tcBorders>
              <w:right w:val="single" w:sz="8" w:color="D9D9D6"/>
            </w:tcBorders>
            <w:shd w:val="clear" w:color="auto" w:fill="D9D9D6"/>
          </w:tcPr>
          <w:p>
            <w:pPr>
              <w:spacing w:after="0"/>
              <w:rPr>
                <w:sz w:val="5"/>
                <w:szCs w:val="5"/>
                <w:color w:val="auto"/>
              </w:rPr>
            </w:pPr>
          </w:p>
        </w:tc>
        <w:tc>
          <w:tcPr>
            <w:tcW w:w="200" w:type="dxa"/>
            <w:vAlign w:val="bottom"/>
            <w:shd w:val="clear" w:color="auto" w:fill="D9D9D6"/>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Change percentages represent year/year growth rates. The changes in Adjusted EBITDA margins are presented as year/year basis point changes in the rounded Adjusted EBITDA margins.</w:t>
      </w:r>
    </w:p>
    <w:p>
      <w:pPr>
        <w:spacing w:after="0" w:line="2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Business Services Connectivity increased due to an increase in revenue from medium-sized and enterprise customers, and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revenue from small business customers driven by higher average rates.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Business Services Connectivity increased due to higher revenue, partially offset by higher operating expenses. The</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increase in operating expenses was primarily due to increases in direct product costs and technical and support costs.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margin </w:t>
      </w:r>
      <w:r>
        <w:rPr>
          <w:rFonts w:ascii="Arial" w:cs="Arial" w:eastAsia="Arial" w:hAnsi="Arial"/>
          <w:sz w:val="18"/>
          <w:szCs w:val="18"/>
          <w:color w:val="auto"/>
        </w:rPr>
        <w:t>decreased to 57.0%.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5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Content &amp;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c>
          <w:tcPr>
            <w:tcW w:w="44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shd w:val="clear" w:color="auto" w:fill="D9D9D6"/>
          </w:tcPr>
          <w:p>
            <w:pPr>
              <w:spacing w:after="0"/>
              <w:rPr>
                <w:sz w:val="15"/>
                <w:szCs w:val="15"/>
                <w:color w:val="auto"/>
              </w:rPr>
            </w:pPr>
          </w:p>
        </w:tc>
        <w:tc>
          <w:tcPr>
            <w:tcW w:w="8040" w:type="dxa"/>
            <w:vAlign w:val="bottom"/>
            <w:shd w:val="clear" w:color="auto" w:fill="D9D9D6"/>
          </w:tcPr>
          <w:p>
            <w:pPr>
              <w:spacing w:after="0"/>
              <w:rPr>
                <w:sz w:val="15"/>
                <w:szCs w:val="15"/>
                <w:color w:val="auto"/>
              </w:rPr>
            </w:pPr>
          </w:p>
        </w:tc>
        <w:tc>
          <w:tcPr>
            <w:tcW w:w="6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78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2nd Quarter</w:t>
            </w:r>
          </w:p>
        </w:tc>
        <w:tc>
          <w:tcPr>
            <w:tcW w:w="56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8040" w:type="dxa"/>
            <w:vAlign w:val="bottom"/>
            <w:tcBorders>
              <w:top w:val="single" w:sz="8" w:color="D9D9D6"/>
            </w:tcBorders>
            <w:shd w:val="clear" w:color="auto" w:fill="D9D9D6"/>
          </w:tcPr>
          <w:p>
            <w:pPr>
              <w:spacing w:after="0"/>
              <w:rPr>
                <w:sz w:val="15"/>
                <w:szCs w:val="15"/>
                <w:color w:val="auto"/>
              </w:rPr>
            </w:pPr>
          </w:p>
        </w:tc>
        <w:tc>
          <w:tcPr>
            <w:tcW w:w="980" w:type="dxa"/>
            <w:vAlign w:val="bottom"/>
            <w:tcBorders>
              <w:top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20" w:type="dxa"/>
            <w:vAlign w:val="bottom"/>
            <w:tcBorders>
              <w:top w:val="single" w:sz="8" w:color="D9D9D6"/>
            </w:tcBorders>
            <w:shd w:val="clear" w:color="auto" w:fill="D9D9D6"/>
          </w:tcPr>
          <w:p>
            <w:pPr>
              <w:spacing w:after="0"/>
              <w:rPr>
                <w:sz w:val="15"/>
                <w:szCs w:val="15"/>
                <w:color w:val="auto"/>
              </w:rPr>
            </w:pPr>
          </w:p>
        </w:tc>
        <w:tc>
          <w:tcPr>
            <w:tcW w:w="760" w:type="dxa"/>
            <w:vAlign w:val="bottom"/>
            <w:tcBorders>
              <w:top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2023</w:t>
            </w:r>
          </w:p>
        </w:tc>
        <w:tc>
          <w:tcPr>
            <w:tcW w:w="20" w:type="dxa"/>
            <w:vAlign w:val="bottom"/>
            <w:tcBorders>
              <w:top w:val="single" w:sz="8" w:color="D9D9D6"/>
            </w:tcBorders>
            <w:shd w:val="clear" w:color="auto" w:fill="D9D9D6"/>
          </w:tcPr>
          <w:p>
            <w:pPr>
              <w:spacing w:after="0"/>
              <w:rPr>
                <w:sz w:val="15"/>
                <w:szCs w:val="15"/>
                <w:color w:val="auto"/>
              </w:rPr>
            </w:pPr>
          </w:p>
        </w:tc>
        <w:tc>
          <w:tcPr>
            <w:tcW w:w="1200" w:type="dxa"/>
            <w:vAlign w:val="bottom"/>
            <w:tcBorders>
              <w:top w:val="single" w:sz="8" w:color="D9D9D6"/>
            </w:tcBorders>
            <w:gridSpan w:val="5"/>
            <w:shd w:val="clear" w:color="auto" w:fill="D9D9D6"/>
          </w:tcPr>
          <w:p>
            <w:pPr>
              <w:ind w:left="56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0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Revenue</w:t>
            </w:r>
          </w:p>
        </w:tc>
        <w:tc>
          <w:tcPr>
            <w:tcW w:w="6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c>
          <w:tcPr>
            <w:tcW w:w="44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$6,324</w:t>
            </w: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$6,195</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2,253</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3,087</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(27.0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1,975</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2,209</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(10.6</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2"/>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10</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13</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(23.3</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(505)</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(631)</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20.0</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Revenue</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$10,057</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$10,873</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(7.5</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418"/>
        </w:trPr>
        <w:tc>
          <w:tcPr>
            <w:tcW w:w="120" w:type="dxa"/>
            <w:vAlign w:val="bottom"/>
            <w:shd w:val="clear" w:color="auto" w:fill="D9D9D6"/>
          </w:tcPr>
          <w:p>
            <w:pPr>
              <w:spacing w:after="0"/>
              <w:rPr>
                <w:sz w:val="24"/>
                <w:szCs w:val="24"/>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Content &amp; Experiences Adjusted EBITDA</w:t>
            </w:r>
          </w:p>
        </w:tc>
        <w:tc>
          <w:tcPr>
            <w:tcW w:w="6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4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r>
      <w:tr>
        <w:trPr>
          <w:trHeight w:val="197"/>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$1,356</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$1,244</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9.0 %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Studios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124</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255</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(51.4 %)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Theme Parks</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632</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833</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(24.1 %)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color w:val="auto"/>
              </w:rPr>
              <w:t>Headquarters &amp; Other</w:t>
            </w:r>
          </w:p>
        </w:tc>
        <w:tc>
          <w:tcPr>
            <w:tcW w:w="96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(198)</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(200)</w:t>
            </w:r>
          </w:p>
        </w:tc>
        <w:tc>
          <w:tcPr>
            <w:tcW w:w="20" w:type="dxa"/>
            <w:vAlign w:val="bottom"/>
            <w:shd w:val="clear" w:color="auto" w:fill="D9D9D6"/>
          </w:tcPr>
          <w:p>
            <w:pPr>
              <w:spacing w:after="0"/>
              <w:rPr>
                <w:sz w:val="17"/>
                <w:szCs w:val="17"/>
                <w:color w:val="auto"/>
              </w:rPr>
            </w:pP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0.7 %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0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Eliminations</w:t>
            </w:r>
          </w:p>
        </w:tc>
        <w:tc>
          <w:tcPr>
            <w:tcW w:w="960" w:type="dxa"/>
            <w:vAlign w:val="bottom"/>
            <w:tcBorders>
              <w:bottom w:val="single" w:sz="8" w:color="auto"/>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36</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56</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(35.2</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0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Content &amp; Experiences Adjusted EBITDA</w:t>
            </w:r>
          </w:p>
        </w:tc>
        <w:tc>
          <w:tcPr>
            <w:tcW w:w="960" w:type="dxa"/>
            <w:vAlign w:val="bottom"/>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$1,949</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$2,187</w:t>
            </w:r>
          </w:p>
        </w:tc>
        <w:tc>
          <w:tcPr>
            <w:tcW w:w="20" w:type="dxa"/>
            <w:vAlign w:val="bottom"/>
            <w:shd w:val="clear" w:color="auto" w:fill="D9D9D6"/>
          </w:tcPr>
          <w:p>
            <w:pPr>
              <w:spacing w:after="0"/>
              <w:rPr>
                <w:sz w:val="17"/>
                <w:szCs w:val="17"/>
                <w:color w:val="auto"/>
              </w:rPr>
            </w:pP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(10.9</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highlight w:val="lightGray"/>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bl>
    <w:p>
      <w:pPr>
        <w:spacing w:after="0" w:line="3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Content &amp; Experiences decreased compared to the prior year period driven by Studios and Theme Parks, partially offset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growth at Media.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for Content &amp; Experiences decreased due to declines in Theme Parks and Studios, partially offset by growth at Media.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40" w:type="dxa"/>
            <w:vAlign w:val="bottom"/>
            <w:tcBorders>
              <w:right w:val="single" w:sz="8" w:color="D9D9D6"/>
            </w:tcBorders>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360" w:type="dxa"/>
            <w:vAlign w:val="bottom"/>
            <w:tcBorders>
              <w:right w:val="single" w:sz="8" w:color="D9D9D6"/>
            </w:tcBorders>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2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40" w:type="dxa"/>
            <w:vAlign w:val="bottom"/>
            <w:tcBorders>
              <w:bottom w:val="single" w:sz="8" w:color="D9D9D6"/>
              <w:right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w w:val="98"/>
              </w:rPr>
              <w:t>2nd Quarter</w:t>
            </w:r>
          </w:p>
        </w:tc>
        <w:tc>
          <w:tcPr>
            <w:tcW w:w="260" w:type="dxa"/>
            <w:vAlign w:val="bottom"/>
            <w:tcBorders>
              <w:bottom w:val="single" w:sz="8" w:color="D9D9D6"/>
            </w:tcBorders>
            <w:shd w:val="clear" w:color="auto" w:fill="D9D9D6"/>
          </w:tcPr>
          <w:p>
            <w:pPr>
              <w:spacing w:after="0"/>
              <w:rPr>
                <w:sz w:val="15"/>
                <w:szCs w:val="15"/>
                <w:color w:val="auto"/>
              </w:rPr>
            </w:pPr>
          </w:p>
        </w:tc>
        <w:tc>
          <w:tcPr>
            <w:tcW w:w="2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920" w:type="dxa"/>
            <w:vAlign w:val="bottom"/>
            <w:tcBorders>
              <w:right w:val="single" w:sz="8" w:color="D9D9D6"/>
            </w:tcBorders>
            <w:gridSpan w:val="3"/>
            <w:shd w:val="clear" w:color="auto" w:fill="D9D9D6"/>
          </w:tcPr>
          <w:p>
            <w:pPr>
              <w:jc w:val="right"/>
              <w:ind w:right="40"/>
              <w:spacing w:after="0"/>
              <w:rPr>
                <w:sz w:val="20"/>
                <w:szCs w:val="20"/>
                <w:color w:val="auto"/>
              </w:rPr>
            </w:pPr>
            <w:r>
              <w:rPr>
                <w:rFonts w:ascii="Arial" w:cs="Arial" w:eastAsia="Arial" w:hAnsi="Arial"/>
                <w:sz w:val="14"/>
                <w:szCs w:val="14"/>
                <w:color w:val="auto"/>
              </w:rPr>
              <w:t>2023</w:t>
            </w:r>
          </w:p>
        </w:tc>
        <w:tc>
          <w:tcPr>
            <w:tcW w:w="260" w:type="dxa"/>
            <w:vAlign w:val="bottom"/>
            <w:shd w:val="clear" w:color="auto" w:fill="D9D9D6"/>
          </w:tcPr>
          <w:p>
            <w:pPr>
              <w:spacing w:after="0"/>
              <w:rPr>
                <w:sz w:val="15"/>
                <w:szCs w:val="15"/>
                <w:color w:val="auto"/>
              </w:rPr>
            </w:pPr>
          </w:p>
        </w:tc>
        <w:tc>
          <w:tcPr>
            <w:tcW w:w="900" w:type="dxa"/>
            <w:vAlign w:val="bottom"/>
            <w:gridSpan w:val="5"/>
            <w:shd w:val="clear" w:color="auto" w:fill="D9D9D6"/>
          </w:tcPr>
          <w:p>
            <w:pPr>
              <w:ind w:left="260"/>
              <w:spacing w:after="0"/>
              <w:rPr>
                <w:sz w:val="20"/>
                <w:szCs w:val="20"/>
                <w:color w:val="auto"/>
              </w:rPr>
            </w:pPr>
            <w:r>
              <w:rPr>
                <w:rFonts w:ascii="Arial" w:cs="Arial" w:eastAsia="Arial" w:hAnsi="Arial"/>
                <w:sz w:val="14"/>
                <w:szCs w:val="14"/>
                <w:color w:val="auto"/>
              </w:rPr>
              <w:t>Change</w:t>
            </w:r>
          </w:p>
        </w:tc>
      </w:tr>
      <w:tr>
        <w:trPr>
          <w:trHeight w:val="223"/>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40" w:type="dxa"/>
            <w:vAlign w:val="bottom"/>
            <w:tcBorders>
              <w:top w:val="single" w:sz="8" w:color="auto"/>
              <w:right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360" w:type="dxa"/>
            <w:vAlign w:val="bottom"/>
            <w:tcBorders>
              <w:top w:val="single" w:sz="8" w:color="auto"/>
              <w:right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2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4"/>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Advertising</w:t>
            </w:r>
          </w:p>
        </w:tc>
        <w:tc>
          <w:tcPr>
            <w:tcW w:w="900" w:type="dxa"/>
            <w:vAlign w:val="bottom"/>
            <w:tcBorders>
              <w:right w:val="single" w:sz="8" w:color="D9D9D6"/>
            </w:tcBorders>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$1,991</w:t>
            </w:r>
          </w:p>
        </w:tc>
        <w:tc>
          <w:tcPr>
            <w:tcW w:w="920" w:type="dxa"/>
            <w:vAlign w:val="bottom"/>
            <w:tcBorders>
              <w:right w:val="single" w:sz="8" w:color="D9D9D6"/>
            </w:tcBorders>
            <w:gridSpan w:val="3"/>
            <w:shd w:val="clear" w:color="auto" w:fill="DBDBDB"/>
          </w:tcPr>
          <w:p>
            <w:pPr>
              <w:jc w:val="right"/>
              <w:ind w:right="40"/>
              <w:spacing w:after="0"/>
              <w:rPr>
                <w:sz w:val="20"/>
                <w:szCs w:val="20"/>
                <w:color w:val="auto"/>
              </w:rPr>
            </w:pPr>
            <w:r>
              <w:rPr>
                <w:rFonts w:ascii="Arial" w:cs="Arial" w:eastAsia="Arial" w:hAnsi="Arial"/>
                <w:sz w:val="14"/>
                <w:szCs w:val="14"/>
                <w:color w:val="auto"/>
              </w:rPr>
              <w:t>$2,027</w:t>
            </w:r>
          </w:p>
        </w:tc>
        <w:tc>
          <w:tcPr>
            <w:tcW w:w="260" w:type="dxa"/>
            <w:vAlign w:val="bottom"/>
            <w:shd w:val="clear" w:color="auto" w:fill="D9D9D6"/>
          </w:tcPr>
          <w:p>
            <w:pPr>
              <w:spacing w:after="0"/>
              <w:rPr>
                <w:sz w:val="16"/>
                <w:szCs w:val="16"/>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Domestic Distribution</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2,764</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2,615</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International Networks</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1,102</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1,035</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6.5</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467</w:t>
            </w:r>
          </w:p>
        </w:tc>
        <w:tc>
          <w:tcPr>
            <w:tcW w:w="920" w:type="dxa"/>
            <w:vAlign w:val="bottom"/>
            <w:tcBorders>
              <w:bottom w:val="single" w:sz="8" w:color="auto"/>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518</w:t>
            </w:r>
          </w:p>
        </w:tc>
        <w:tc>
          <w:tcPr>
            <w:tcW w:w="260" w:type="dxa"/>
            <w:vAlign w:val="bottom"/>
            <w:tcBorders>
              <w:bottom w:val="single" w:sz="8" w:color="auto"/>
            </w:tcBorders>
            <w:shd w:val="clear" w:color="auto" w:fill="D9D9D6"/>
          </w:tcPr>
          <w:p>
            <w:pPr>
              <w:spacing w:after="0"/>
              <w:rPr>
                <w:sz w:val="17"/>
                <w:szCs w:val="17"/>
                <w:color w:val="auto"/>
              </w:rPr>
            </w:pPr>
          </w:p>
        </w:tc>
        <w:tc>
          <w:tcPr>
            <w:tcW w:w="5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(9.9</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1"/>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900" w:type="dxa"/>
            <w:vAlign w:val="bottom"/>
            <w:tcBorders>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$6,324</w:t>
            </w:r>
          </w:p>
        </w:tc>
        <w:tc>
          <w:tcPr>
            <w:tcW w:w="920" w:type="dxa"/>
            <w:vAlign w:val="bottom"/>
            <w:tcBorders>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b w:val="1"/>
                <w:bCs w:val="1"/>
                <w:color w:val="auto"/>
              </w:rPr>
              <w:t>$6,195</w:t>
            </w:r>
          </w:p>
        </w:tc>
        <w:tc>
          <w:tcPr>
            <w:tcW w:w="26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2.1</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rPr>
              <w:t>4,968</w:t>
            </w:r>
          </w:p>
        </w:tc>
        <w:tc>
          <w:tcPr>
            <w:tcW w:w="920" w:type="dxa"/>
            <w:vAlign w:val="bottom"/>
            <w:tcBorders>
              <w:bottom w:val="single" w:sz="8" w:color="auto"/>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color w:val="auto"/>
              </w:rPr>
              <w:t>4,951</w:t>
            </w:r>
          </w:p>
        </w:tc>
        <w:tc>
          <w:tcPr>
            <w:tcW w:w="260" w:type="dxa"/>
            <w:vAlign w:val="bottom"/>
            <w:tcBorders>
              <w:bottom w:val="single" w:sz="8" w:color="auto"/>
            </w:tcBorders>
            <w:shd w:val="clear" w:color="auto" w:fill="D9D9D6"/>
          </w:tcPr>
          <w:p>
            <w:pPr>
              <w:spacing w:after="0"/>
              <w:rPr>
                <w:sz w:val="17"/>
                <w:szCs w:val="17"/>
                <w:color w:val="auto"/>
              </w:rPr>
            </w:pPr>
          </w:p>
        </w:tc>
        <w:tc>
          <w:tcPr>
            <w:tcW w:w="5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0.4</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36"/>
        </w:trPr>
        <w:tc>
          <w:tcPr>
            <w:tcW w:w="120" w:type="dxa"/>
            <w:vAlign w:val="bottom"/>
            <w:tcBorders>
              <w:bottom w:val="single" w:sz="8" w:color="D9D9D6"/>
            </w:tcBorders>
            <w:shd w:val="clear" w:color="auto" w:fill="D9D9D6"/>
          </w:tcPr>
          <w:p>
            <w:pPr>
              <w:spacing w:after="0"/>
              <w:rPr>
                <w:sz w:val="20"/>
                <w:szCs w:val="20"/>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Borders>
              <w:bottom w:val="single" w:sz="8" w:color="D9D9D6"/>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$1,356</w:t>
            </w:r>
          </w:p>
        </w:tc>
        <w:tc>
          <w:tcPr>
            <w:tcW w:w="920" w:type="dxa"/>
            <w:vAlign w:val="bottom"/>
            <w:tcBorders>
              <w:bottom w:val="single" w:sz="8" w:color="D9D9D6"/>
              <w:right w:val="single" w:sz="8" w:color="D9D9D6"/>
            </w:tcBorders>
            <w:gridSpan w:val="3"/>
            <w:shd w:val="clear" w:color="auto" w:fill="DBDBDB"/>
          </w:tcPr>
          <w:p>
            <w:pPr>
              <w:jc w:val="right"/>
              <w:ind w:right="100"/>
              <w:spacing w:after="0"/>
              <w:rPr>
                <w:sz w:val="20"/>
                <w:szCs w:val="20"/>
                <w:color w:val="auto"/>
              </w:rPr>
            </w:pPr>
            <w:r>
              <w:rPr>
                <w:rFonts w:ascii="Arial" w:cs="Arial" w:eastAsia="Arial" w:hAnsi="Arial"/>
                <w:sz w:val="14"/>
                <w:szCs w:val="14"/>
                <w:b w:val="1"/>
                <w:bCs w:val="1"/>
                <w:color w:val="auto"/>
              </w:rPr>
              <w:t>$1,244</w:t>
            </w:r>
          </w:p>
        </w:tc>
        <w:tc>
          <w:tcPr>
            <w:tcW w:w="260" w:type="dxa"/>
            <w:vAlign w:val="bottom"/>
            <w:tcBorders>
              <w:bottom w:val="single" w:sz="8" w:color="D9D9D6"/>
            </w:tcBorders>
            <w:shd w:val="clear" w:color="auto" w:fill="D9D9D6"/>
          </w:tcPr>
          <w:p>
            <w:pPr>
              <w:spacing w:after="0"/>
              <w:rPr>
                <w:sz w:val="20"/>
                <w:szCs w:val="20"/>
                <w:color w:val="auto"/>
              </w:rPr>
            </w:pPr>
          </w:p>
        </w:tc>
        <w:tc>
          <w:tcPr>
            <w:tcW w:w="580" w:type="dxa"/>
            <w:vAlign w:val="bottom"/>
            <w:tcBorders>
              <w:bottom w:val="single" w:sz="8" w:color="D9D9D6"/>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9.0</w:t>
            </w:r>
          </w:p>
        </w:tc>
        <w:tc>
          <w:tcPr>
            <w:tcW w:w="180" w:type="dxa"/>
            <w:vAlign w:val="bottom"/>
            <w:tcBorders>
              <w:bottom w:val="single" w:sz="8" w:color="D9D9D6"/>
            </w:tcBorders>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D9D9D6"/>
            </w:tcBorders>
            <w:shd w:val="clear" w:color="auto" w:fill="D9D9D6"/>
          </w:tcPr>
          <w:p>
            <w:pPr>
              <w:spacing w:after="0"/>
              <w:rPr>
                <w:sz w:val="20"/>
                <w:szCs w:val="20"/>
                <w:color w:val="auto"/>
              </w:rPr>
            </w:pPr>
          </w:p>
        </w:tc>
        <w:tc>
          <w:tcPr>
            <w:tcW w:w="120" w:type="dxa"/>
            <w:vAlign w:val="bottom"/>
            <w:tcBorders>
              <w:bottom w:val="single" w:sz="8" w:color="D9D9D6"/>
            </w:tcBorders>
            <w:shd w:val="clear" w:color="auto" w:fill="D9D9D6"/>
          </w:tcPr>
          <w:p>
            <w:pPr>
              <w:spacing w:after="0"/>
              <w:rPr>
                <w:sz w:val="20"/>
                <w:szCs w:val="20"/>
                <w:color w:val="auto"/>
              </w:rPr>
            </w:pPr>
          </w:p>
        </w:tc>
      </w:tr>
    </w:tbl>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Media increased due to higher domestic distribution and international networks revenue, partially offset by lower other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 advertising revenue. Domestic distribution revenue increased primarily due to higher revenue at Peacock, driven by an increase in paid subscribers compared to the prior year period. International networks revenue increased primarily reflecting an increase in revenue associated with the distribution of sports networks. Other revenue decreased primarily due to lower revenue from licensing our technology. Domestic advertising revenue decreased primarily due to lower revenue at our networks, partially offset by an increase in revenue at Peacock.</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Media increased due to higher revenue and consistent operating expenses. The consistent operating expenses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decreases in marketing and promotion costs and programming and production costs, offset by an increase in other expenses, each primarily related to Peacock. Media results include $1.0 billion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$348 million related to Peacock, compared to $820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$651 million in the prior year period.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Studios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60" w:type="dxa"/>
            <w:vAlign w:val="bottom"/>
            <w:shd w:val="clear" w:color="auto" w:fill="D9D9D6"/>
          </w:tcPr>
          <w:p>
            <w:pPr>
              <w:spacing w:after="0"/>
              <w:rPr>
                <w:sz w:val="17"/>
                <w:szCs w:val="17"/>
                <w:color w:val="auto"/>
              </w:rPr>
            </w:pPr>
          </w:p>
        </w:tc>
        <w:tc>
          <w:tcPr>
            <w:tcW w:w="40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280" w:type="dxa"/>
            <w:vAlign w:val="bottom"/>
            <w:shd w:val="clear" w:color="auto" w:fill="D9D9D6"/>
          </w:tcPr>
          <w:p>
            <w:pPr>
              <w:spacing w:after="0"/>
              <w:rPr>
                <w:sz w:val="17"/>
                <w:szCs w:val="17"/>
                <w:color w:val="auto"/>
              </w:rPr>
            </w:pPr>
          </w:p>
        </w:tc>
        <w:tc>
          <w:tcPr>
            <w:tcW w:w="320" w:type="dxa"/>
            <w:vAlign w:val="bottom"/>
            <w:shd w:val="clear" w:color="auto" w:fill="D9D9D6"/>
          </w:tcPr>
          <w:p>
            <w:pPr>
              <w:spacing w:after="0"/>
              <w:rPr>
                <w:sz w:val="17"/>
                <w:szCs w:val="17"/>
                <w:color w:val="auto"/>
              </w:rPr>
            </w:pPr>
          </w:p>
        </w:tc>
        <w:tc>
          <w:tcPr>
            <w:tcW w:w="180" w:type="dxa"/>
            <w:vAlign w:val="bottom"/>
            <w:shd w:val="clear" w:color="auto" w:fill="D9D9D6"/>
          </w:tcPr>
          <w:p>
            <w:pPr>
              <w:spacing w:after="0"/>
              <w:rPr>
                <w:sz w:val="17"/>
                <w:szCs w:val="17"/>
                <w:color w:val="auto"/>
              </w:rPr>
            </w:pP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82"/>
        </w:trPr>
        <w:tc>
          <w:tcPr>
            <w:tcW w:w="120" w:type="dxa"/>
            <w:vAlign w:val="bottom"/>
            <w:tcBorders>
              <w:bottom w:val="single" w:sz="8" w:color="D9D9D6"/>
            </w:tcBorders>
            <w:shd w:val="clear" w:color="auto" w:fill="D9D9D6"/>
          </w:tcPr>
          <w:p>
            <w:pPr>
              <w:spacing w:after="0"/>
              <w:rPr>
                <w:sz w:val="15"/>
                <w:szCs w:val="15"/>
                <w:color w:val="auto"/>
              </w:rPr>
            </w:pPr>
          </w:p>
        </w:tc>
        <w:tc>
          <w:tcPr>
            <w:tcW w:w="8140" w:type="dxa"/>
            <w:vAlign w:val="bottom"/>
            <w:tcBorders>
              <w:bottom w:val="single" w:sz="8" w:color="D9D9D6"/>
            </w:tcBorders>
            <w:shd w:val="clear" w:color="auto" w:fill="D9D9D6"/>
          </w:tcPr>
          <w:p>
            <w:pPr>
              <w:spacing w:after="0"/>
              <w:rPr>
                <w:sz w:val="15"/>
                <w:szCs w:val="15"/>
                <w:color w:val="auto"/>
              </w:rPr>
            </w:pPr>
          </w:p>
        </w:tc>
        <w:tc>
          <w:tcPr>
            <w:tcW w:w="56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60" w:type="dxa"/>
            <w:vAlign w:val="bottom"/>
            <w:tcBorders>
              <w:bottom w:val="single" w:sz="8" w:color="D9D9D6"/>
            </w:tcBorders>
            <w:shd w:val="clear" w:color="auto" w:fill="D9D9D6"/>
          </w:tcPr>
          <w:p>
            <w:pPr>
              <w:spacing w:after="0"/>
              <w:rPr>
                <w:sz w:val="15"/>
                <w:szCs w:val="15"/>
                <w:color w:val="auto"/>
              </w:rPr>
            </w:pPr>
          </w:p>
        </w:tc>
        <w:tc>
          <w:tcPr>
            <w:tcW w:w="760" w:type="dxa"/>
            <w:vAlign w:val="bottom"/>
            <w:tcBorders>
              <w:bottom w:val="single" w:sz="8" w:color="auto"/>
            </w:tcBorders>
            <w:gridSpan w:val="3"/>
            <w:shd w:val="clear" w:color="auto" w:fill="D9D9D6"/>
          </w:tcPr>
          <w:p>
            <w:pPr>
              <w:spacing w:after="0"/>
              <w:rPr>
                <w:sz w:val="20"/>
                <w:szCs w:val="20"/>
                <w:color w:val="auto"/>
              </w:rPr>
            </w:pPr>
            <w:r>
              <w:rPr>
                <w:rFonts w:ascii="Arial" w:cs="Arial" w:eastAsia="Arial" w:hAnsi="Arial"/>
                <w:sz w:val="14"/>
                <w:szCs w:val="14"/>
                <w:color w:val="auto"/>
                <w:w w:val="98"/>
              </w:rPr>
              <w:t>2nd Quarter</w:t>
            </w:r>
          </w:p>
        </w:tc>
        <w:tc>
          <w:tcPr>
            <w:tcW w:w="240" w:type="dxa"/>
            <w:vAlign w:val="bottom"/>
            <w:tcBorders>
              <w:bottom w:val="single" w:sz="8" w:color="D9D9D6"/>
            </w:tcBorders>
            <w:shd w:val="clear" w:color="auto" w:fill="D9D9D6"/>
          </w:tcPr>
          <w:p>
            <w:pPr>
              <w:spacing w:after="0"/>
              <w:rPr>
                <w:sz w:val="15"/>
                <w:szCs w:val="15"/>
                <w:color w:val="auto"/>
              </w:rPr>
            </w:pPr>
          </w:p>
        </w:tc>
        <w:tc>
          <w:tcPr>
            <w:tcW w:w="280" w:type="dxa"/>
            <w:vAlign w:val="bottom"/>
            <w:tcBorders>
              <w:bottom w:val="single" w:sz="8" w:color="D9D9D6"/>
            </w:tcBorders>
            <w:shd w:val="clear" w:color="auto" w:fill="D9D9D6"/>
          </w:tcPr>
          <w:p>
            <w:pPr>
              <w:spacing w:after="0"/>
              <w:rPr>
                <w:sz w:val="15"/>
                <w:szCs w:val="15"/>
                <w:color w:val="auto"/>
              </w:rPr>
            </w:pPr>
          </w:p>
        </w:tc>
        <w:tc>
          <w:tcPr>
            <w:tcW w:w="320" w:type="dxa"/>
            <w:vAlign w:val="bottom"/>
            <w:tcBorders>
              <w:bottom w:val="single" w:sz="8" w:color="D9D9D6"/>
            </w:tcBorders>
            <w:shd w:val="clear" w:color="auto" w:fill="D9D9D6"/>
          </w:tcPr>
          <w:p>
            <w:pPr>
              <w:spacing w:after="0"/>
              <w:rPr>
                <w:sz w:val="15"/>
                <w:szCs w:val="15"/>
                <w:color w:val="auto"/>
              </w:rPr>
            </w:pPr>
          </w:p>
        </w:tc>
        <w:tc>
          <w:tcPr>
            <w:tcW w:w="180" w:type="dxa"/>
            <w:vAlign w:val="bottom"/>
            <w:tcBorders>
              <w:bottom w:val="single" w:sz="8" w:color="D9D9D6"/>
            </w:tcBorders>
            <w:shd w:val="clear" w:color="auto" w:fill="D9D9D6"/>
          </w:tcPr>
          <w:p>
            <w:pPr>
              <w:spacing w:after="0"/>
              <w:rPr>
                <w:sz w:val="15"/>
                <w:szCs w:val="15"/>
                <w:color w:val="auto"/>
              </w:rPr>
            </w:pPr>
          </w:p>
        </w:tc>
        <w:tc>
          <w:tcPr>
            <w:tcW w:w="20" w:type="dxa"/>
            <w:vAlign w:val="bottom"/>
            <w:tcBorders>
              <w:bottom w:val="single" w:sz="8" w:color="D9D9D6"/>
            </w:tcBorders>
            <w:shd w:val="clear" w:color="auto" w:fill="D9D9D6"/>
          </w:tcPr>
          <w:p>
            <w:pPr>
              <w:spacing w:after="0"/>
              <w:rPr>
                <w:sz w:val="15"/>
                <w:szCs w:val="15"/>
                <w:color w:val="auto"/>
              </w:rPr>
            </w:pPr>
          </w:p>
        </w:tc>
        <w:tc>
          <w:tcPr>
            <w:tcW w:w="120" w:type="dxa"/>
            <w:vAlign w:val="bottom"/>
            <w:tcBorders>
              <w:bottom w:val="single" w:sz="8" w:color="D9D9D6"/>
            </w:tcBorders>
            <w:shd w:val="clear" w:color="auto" w:fill="D9D9D6"/>
          </w:tcPr>
          <w:p>
            <w:pPr>
              <w:spacing w:after="0"/>
              <w:rPr>
                <w:sz w:val="15"/>
                <w:szCs w:val="15"/>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spacing w:after="0"/>
              <w:rPr>
                <w:sz w:val="15"/>
                <w:szCs w:val="15"/>
                <w:color w:val="auto"/>
              </w:rPr>
            </w:pP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920" w:type="dxa"/>
            <w:vAlign w:val="bottom"/>
            <w:gridSpan w:val="4"/>
            <w:shd w:val="clear" w:color="auto" w:fill="D9D9D6"/>
          </w:tcPr>
          <w:p>
            <w:pPr>
              <w:jc w:val="right"/>
              <w:ind w:right="40"/>
              <w:spacing w:after="0"/>
              <w:rPr>
                <w:sz w:val="20"/>
                <w:szCs w:val="20"/>
                <w:color w:val="auto"/>
              </w:rPr>
            </w:pPr>
            <w:r>
              <w:rPr>
                <w:rFonts w:ascii="Arial" w:cs="Arial" w:eastAsia="Arial" w:hAnsi="Arial"/>
                <w:sz w:val="14"/>
                <w:szCs w:val="14"/>
                <w:color w:val="auto"/>
              </w:rPr>
              <w:t>2023</w:t>
            </w:r>
          </w:p>
        </w:tc>
        <w:tc>
          <w:tcPr>
            <w:tcW w:w="240" w:type="dxa"/>
            <w:vAlign w:val="bottom"/>
            <w:shd w:val="clear" w:color="auto" w:fill="D9D9D6"/>
          </w:tcPr>
          <w:p>
            <w:pPr>
              <w:spacing w:after="0"/>
              <w:rPr>
                <w:sz w:val="15"/>
                <w:szCs w:val="15"/>
                <w:color w:val="auto"/>
              </w:rPr>
            </w:pPr>
          </w:p>
        </w:tc>
        <w:tc>
          <w:tcPr>
            <w:tcW w:w="920" w:type="dxa"/>
            <w:vAlign w:val="bottom"/>
            <w:gridSpan w:val="5"/>
            <w:shd w:val="clear" w:color="auto" w:fill="D9D9D6"/>
          </w:tcPr>
          <w:p>
            <w:pPr>
              <w:ind w:left="280"/>
              <w:spacing w:after="0"/>
              <w:rPr>
                <w:sz w:val="20"/>
                <w:szCs w:val="20"/>
                <w:color w:val="auto"/>
              </w:rPr>
            </w:pPr>
            <w:r>
              <w:rPr>
                <w:rFonts w:ascii="Arial" w:cs="Arial" w:eastAsia="Arial" w:hAnsi="Arial"/>
                <w:sz w:val="14"/>
                <w:szCs w:val="14"/>
                <w:color w:val="auto"/>
              </w:rPr>
              <w:t>Change</w:t>
            </w:r>
          </w:p>
        </w:tc>
      </w:tr>
      <w:tr>
        <w:trPr>
          <w:trHeight w:val="221"/>
        </w:trPr>
        <w:tc>
          <w:tcPr>
            <w:tcW w:w="120" w:type="dxa"/>
            <w:vAlign w:val="bottom"/>
            <w:tcBorders>
              <w:top w:val="single" w:sz="8" w:color="D9D9D6"/>
            </w:tcBorders>
            <w:shd w:val="clear" w:color="auto" w:fill="D9D9D6"/>
          </w:tcPr>
          <w:p>
            <w:pPr>
              <w:spacing w:after="0"/>
              <w:rPr>
                <w:sz w:val="19"/>
                <w:szCs w:val="19"/>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60" w:type="dxa"/>
            <w:vAlign w:val="bottom"/>
            <w:tcBorders>
              <w:top w:val="single" w:sz="8" w:color="D9D9D6"/>
            </w:tcBorders>
            <w:shd w:val="clear" w:color="auto" w:fill="D9D9D6"/>
          </w:tcPr>
          <w:p>
            <w:pPr>
              <w:spacing w:after="0"/>
              <w:rPr>
                <w:sz w:val="19"/>
                <w:szCs w:val="19"/>
                <w:color w:val="auto"/>
              </w:rPr>
            </w:pPr>
          </w:p>
        </w:tc>
        <w:tc>
          <w:tcPr>
            <w:tcW w:w="40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40" w:type="dxa"/>
            <w:vAlign w:val="bottom"/>
            <w:tcBorders>
              <w:top w:val="single" w:sz="8" w:color="D9D9D6"/>
            </w:tcBorders>
            <w:shd w:val="clear" w:color="auto" w:fill="D9D9D6"/>
          </w:tcPr>
          <w:p>
            <w:pPr>
              <w:spacing w:after="0"/>
              <w:rPr>
                <w:sz w:val="19"/>
                <w:szCs w:val="19"/>
                <w:color w:val="auto"/>
              </w:rPr>
            </w:pPr>
          </w:p>
        </w:tc>
        <w:tc>
          <w:tcPr>
            <w:tcW w:w="240" w:type="dxa"/>
            <w:vAlign w:val="bottom"/>
            <w:tcBorders>
              <w:top w:val="single" w:sz="8" w:color="D9D9D6"/>
            </w:tcBorders>
            <w:shd w:val="clear" w:color="auto" w:fill="D9D9D6"/>
          </w:tcPr>
          <w:p>
            <w:pPr>
              <w:spacing w:after="0"/>
              <w:rPr>
                <w:sz w:val="19"/>
                <w:szCs w:val="19"/>
                <w:color w:val="auto"/>
              </w:rPr>
            </w:pPr>
          </w:p>
        </w:tc>
        <w:tc>
          <w:tcPr>
            <w:tcW w:w="2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18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197"/>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 Licensing</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$1,714</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$1,821</w:t>
            </w: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(5.9 %)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3"/>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Theatrical</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237</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913</w:t>
            </w: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(74.1 %)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204"/>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302</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354</w:t>
            </w:r>
          </w:p>
        </w:tc>
        <w:tc>
          <w:tcPr>
            <w:tcW w:w="4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auto"/>
            </w:tcBorders>
            <w:shd w:val="clear" w:color="auto" w:fill="D9D9D6"/>
          </w:tcPr>
          <w:p>
            <w:pPr>
              <w:spacing w:after="0"/>
              <w:rPr>
                <w:sz w:val="17"/>
                <w:szCs w:val="17"/>
                <w:color w:val="auto"/>
              </w:rPr>
            </w:pPr>
          </w:p>
        </w:tc>
        <w:tc>
          <w:tcPr>
            <w:tcW w:w="78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(14.6 %)</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Revenue</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$2,253</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$3,087</w:t>
            </w: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7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(27.0 %)</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198"/>
        </w:trPr>
        <w:tc>
          <w:tcPr>
            <w:tcW w:w="120" w:type="dxa"/>
            <w:vAlign w:val="bottom"/>
            <w:tcBorders>
              <w:bottom w:val="single" w:sz="8" w:color="D9D9D6"/>
            </w:tcBorders>
            <w:shd w:val="clear" w:color="auto" w:fill="D9D9D6"/>
          </w:tcPr>
          <w:p>
            <w:pPr>
              <w:spacing w:after="0"/>
              <w:rPr>
                <w:sz w:val="17"/>
                <w:szCs w:val="17"/>
                <w:color w:val="auto"/>
              </w:rPr>
            </w:pPr>
          </w:p>
        </w:tc>
        <w:tc>
          <w:tcPr>
            <w:tcW w:w="814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2,130</w:t>
            </w:r>
          </w:p>
        </w:tc>
        <w:tc>
          <w:tcPr>
            <w:tcW w:w="20" w:type="dxa"/>
            <w:vAlign w:val="bottom"/>
            <w:tcBorders>
              <w:bottom w:val="single" w:sz="8" w:color="auto"/>
            </w:tcBorders>
            <w:shd w:val="clear" w:color="auto" w:fill="D9D9D6"/>
          </w:tcPr>
          <w:p>
            <w:pPr>
              <w:spacing w:after="0"/>
              <w:rPr>
                <w:sz w:val="17"/>
                <w:szCs w:val="17"/>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2,833</w:t>
            </w:r>
          </w:p>
        </w:tc>
        <w:tc>
          <w:tcPr>
            <w:tcW w:w="40" w:type="dxa"/>
            <w:vAlign w:val="bottom"/>
            <w:tcBorders>
              <w:bottom w:val="single" w:sz="8" w:color="auto"/>
            </w:tcBorders>
            <w:shd w:val="clear" w:color="auto" w:fill="D9D9D6"/>
          </w:tcPr>
          <w:p>
            <w:pPr>
              <w:spacing w:after="0"/>
              <w:rPr>
                <w:sz w:val="17"/>
                <w:szCs w:val="17"/>
                <w:color w:val="auto"/>
              </w:rPr>
            </w:pPr>
          </w:p>
        </w:tc>
        <w:tc>
          <w:tcPr>
            <w:tcW w:w="240" w:type="dxa"/>
            <w:vAlign w:val="bottom"/>
            <w:tcBorders>
              <w:bottom w:val="single" w:sz="8" w:color="auto"/>
            </w:tcBorders>
            <w:shd w:val="clear" w:color="auto" w:fill="D9D9D6"/>
          </w:tcPr>
          <w:p>
            <w:pPr>
              <w:spacing w:after="0"/>
              <w:rPr>
                <w:sz w:val="17"/>
                <w:szCs w:val="17"/>
                <w:color w:val="auto"/>
              </w:rPr>
            </w:pPr>
          </w:p>
        </w:tc>
        <w:tc>
          <w:tcPr>
            <w:tcW w:w="6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(24.8</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120" w:type="dxa"/>
            <w:vAlign w:val="bottom"/>
            <w:shd w:val="clear" w:color="auto" w:fill="D9D9D6"/>
          </w:tcPr>
          <w:p>
            <w:pPr>
              <w:spacing w:after="0"/>
              <w:rPr>
                <w:sz w:val="17"/>
                <w:szCs w:val="17"/>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$124</w:t>
            </w:r>
          </w:p>
        </w:tc>
        <w:tc>
          <w:tcPr>
            <w:tcW w:w="20" w:type="dxa"/>
            <w:vAlign w:val="bottom"/>
            <w:shd w:val="clear" w:color="auto" w:fill="D9D9D6"/>
          </w:tcPr>
          <w:p>
            <w:pPr>
              <w:spacing w:after="0"/>
              <w:rPr>
                <w:sz w:val="17"/>
                <w:szCs w:val="17"/>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$255</w:t>
            </w:r>
          </w:p>
        </w:tc>
        <w:tc>
          <w:tcPr>
            <w:tcW w:w="40" w:type="dxa"/>
            <w:vAlign w:val="bottom"/>
            <w:shd w:val="clear" w:color="auto" w:fill="D9D9D6"/>
          </w:tcPr>
          <w:p>
            <w:pPr>
              <w:spacing w:after="0"/>
              <w:rPr>
                <w:sz w:val="17"/>
                <w:szCs w:val="17"/>
                <w:color w:val="auto"/>
              </w:rPr>
            </w:pPr>
          </w:p>
        </w:tc>
        <w:tc>
          <w:tcPr>
            <w:tcW w:w="240" w:type="dxa"/>
            <w:vAlign w:val="bottom"/>
            <w:shd w:val="clear" w:color="auto" w:fill="D9D9D6"/>
          </w:tcPr>
          <w:p>
            <w:pPr>
              <w:spacing w:after="0"/>
              <w:rPr>
                <w:sz w:val="17"/>
                <w:szCs w:val="17"/>
                <w:color w:val="auto"/>
              </w:rPr>
            </w:pPr>
          </w:p>
        </w:tc>
        <w:tc>
          <w:tcPr>
            <w:tcW w:w="6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(51.4</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7"/>
                <w:szCs w:val="17"/>
                <w:color w:val="auto"/>
              </w:rPr>
            </w:pPr>
          </w:p>
        </w:tc>
        <w:tc>
          <w:tcPr>
            <w:tcW w:w="120" w:type="dxa"/>
            <w:vAlign w:val="bottom"/>
            <w:shd w:val="clear" w:color="auto" w:fill="D9D9D6"/>
          </w:tcPr>
          <w:p>
            <w:pPr>
              <w:spacing w:after="0"/>
              <w:rPr>
                <w:sz w:val="17"/>
                <w:szCs w:val="17"/>
                <w:color w:val="auto"/>
              </w:rPr>
            </w:pPr>
          </w:p>
        </w:tc>
      </w:tr>
      <w:tr>
        <w:trPr>
          <w:trHeight w:val="56"/>
        </w:trPr>
        <w:tc>
          <w:tcPr>
            <w:tcW w:w="120" w:type="dxa"/>
            <w:vAlign w:val="bottom"/>
            <w:shd w:val="clear" w:color="auto" w:fill="D9D9D6"/>
          </w:tcPr>
          <w:p>
            <w:pPr>
              <w:spacing w:after="0"/>
              <w:rPr>
                <w:sz w:val="4"/>
                <w:szCs w:val="4"/>
                <w:color w:val="auto"/>
              </w:rPr>
            </w:pPr>
          </w:p>
        </w:tc>
        <w:tc>
          <w:tcPr>
            <w:tcW w:w="814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24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Studios decreased primarily due to lower theatrical revenue and content licensing revenue. Theatrical revenue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primarily due to higher revenue from the volume and strength of theatrical releases in the prior year period, including </w:t>
      </w:r>
      <w:r>
        <w:rPr>
          <w:rFonts w:ascii="Arial" w:cs="Arial" w:eastAsia="Arial" w:hAnsi="Arial"/>
          <w:sz w:val="18"/>
          <w:szCs w:val="18"/>
          <w:i w:val="1"/>
          <w:iCs w:val="1"/>
          <w:color w:val="auto"/>
        </w:rPr>
        <w:t>The Super Mario Bros.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Movie </w:t>
      </w:r>
      <w:r>
        <w:rPr>
          <w:rFonts w:ascii="Arial" w:cs="Arial" w:eastAsia="Arial" w:hAnsi="Arial"/>
          <w:sz w:val="18"/>
          <w:szCs w:val="18"/>
          <w:color w:val="auto"/>
        </w:rPr>
        <w:t>and</w:t>
      </w:r>
      <w:r>
        <w:rPr>
          <w:rFonts w:ascii="Arial" w:cs="Arial" w:eastAsia="Arial" w:hAnsi="Arial"/>
          <w:sz w:val="18"/>
          <w:szCs w:val="18"/>
          <w:i w:val="1"/>
          <w:iCs w:val="1"/>
          <w:color w:val="auto"/>
        </w:rPr>
        <w:t xml:space="preserve"> Fast X</w:t>
      </w:r>
      <w:r>
        <w:rPr>
          <w:rFonts w:ascii="Arial" w:cs="Arial" w:eastAsia="Arial" w:hAnsi="Arial"/>
          <w:sz w:val="18"/>
          <w:szCs w:val="18"/>
          <w:color w:val="auto"/>
        </w:rPr>
        <w:t>. Content licensing revenue declined primarily due to the timing of when content was made available by our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studios.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Studios decreased due to lower revenue, which more than offset lower operating expenses. The decrease in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primarily reflected lower programming and production expenses, mainly due to lower costs associated with theatrical releases.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shd w:val="clear" w:color="auto" w:fill="D9D9D6"/>
          </w:tcPr>
          <w:p>
            <w:pPr>
              <w:spacing w:after="0"/>
              <w:rPr>
                <w:sz w:val="19"/>
                <w:szCs w:val="19"/>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40" w:type="dxa"/>
            <w:vAlign w:val="bottom"/>
            <w:shd w:val="clear" w:color="auto" w:fill="D9D9D6"/>
          </w:tcPr>
          <w:p>
            <w:pPr>
              <w:spacing w:after="0"/>
              <w:rPr>
                <w:sz w:val="19"/>
                <w:szCs w:val="19"/>
                <w:color w:val="auto"/>
              </w:rPr>
            </w:pPr>
          </w:p>
        </w:tc>
        <w:tc>
          <w:tcPr>
            <w:tcW w:w="340" w:type="dxa"/>
            <w:vAlign w:val="bottom"/>
            <w:tcBorders>
              <w:right w:val="single" w:sz="8" w:color="D9D9D6"/>
            </w:tcBorders>
            <w:shd w:val="clear" w:color="auto" w:fill="D9D9D6"/>
          </w:tcPr>
          <w:p>
            <w:pPr>
              <w:spacing w:after="0"/>
              <w:rPr>
                <w:sz w:val="19"/>
                <w:szCs w:val="19"/>
                <w:color w:val="auto"/>
              </w:rPr>
            </w:pPr>
          </w:p>
        </w:tc>
        <w:tc>
          <w:tcPr>
            <w:tcW w:w="140" w:type="dxa"/>
            <w:vAlign w:val="bottom"/>
            <w:shd w:val="clear" w:color="auto" w:fill="D9D9D6"/>
          </w:tcPr>
          <w:p>
            <w:pPr>
              <w:spacing w:after="0"/>
              <w:rPr>
                <w:sz w:val="19"/>
                <w:szCs w:val="19"/>
                <w:color w:val="auto"/>
              </w:rPr>
            </w:pPr>
          </w:p>
        </w:tc>
        <w:tc>
          <w:tcPr>
            <w:tcW w:w="400" w:type="dxa"/>
            <w:vAlign w:val="bottom"/>
            <w:shd w:val="clear" w:color="auto" w:fill="D9D9D6"/>
          </w:tcPr>
          <w:p>
            <w:pPr>
              <w:spacing w:after="0"/>
              <w:rPr>
                <w:sz w:val="19"/>
                <w:szCs w:val="19"/>
                <w:color w:val="auto"/>
              </w:rPr>
            </w:pPr>
          </w:p>
        </w:tc>
        <w:tc>
          <w:tcPr>
            <w:tcW w:w="380" w:type="dxa"/>
            <w:vAlign w:val="bottom"/>
            <w:tcBorders>
              <w:right w:val="single" w:sz="8" w:color="D9D9D6"/>
            </w:tcBorders>
            <w:shd w:val="clear" w:color="auto" w:fill="D9D9D6"/>
          </w:tcPr>
          <w:p>
            <w:pPr>
              <w:spacing w:after="0"/>
              <w:rPr>
                <w:sz w:val="19"/>
                <w:szCs w:val="19"/>
                <w:color w:val="auto"/>
              </w:rPr>
            </w:pPr>
          </w:p>
        </w:tc>
        <w:tc>
          <w:tcPr>
            <w:tcW w:w="220" w:type="dxa"/>
            <w:vAlign w:val="bottom"/>
            <w:shd w:val="clear" w:color="auto" w:fill="D9D9D6"/>
          </w:tcPr>
          <w:p>
            <w:pPr>
              <w:spacing w:after="0"/>
              <w:rPr>
                <w:sz w:val="19"/>
                <w:szCs w:val="19"/>
                <w:color w:val="auto"/>
              </w:rPr>
            </w:pPr>
          </w:p>
        </w:tc>
        <w:tc>
          <w:tcPr>
            <w:tcW w:w="280" w:type="dxa"/>
            <w:vAlign w:val="bottom"/>
            <w:shd w:val="clear" w:color="auto" w:fill="D9D9D6"/>
          </w:tcPr>
          <w:p>
            <w:pPr>
              <w:spacing w:after="0"/>
              <w:rPr>
                <w:sz w:val="19"/>
                <w:szCs w:val="19"/>
                <w:color w:val="auto"/>
              </w:rPr>
            </w:pPr>
          </w:p>
        </w:tc>
        <w:tc>
          <w:tcPr>
            <w:tcW w:w="300" w:type="dxa"/>
            <w:vAlign w:val="bottom"/>
            <w:shd w:val="clear" w:color="auto" w:fill="D9D9D6"/>
          </w:tcPr>
          <w:p>
            <w:pPr>
              <w:spacing w:after="0"/>
              <w:rPr>
                <w:sz w:val="19"/>
                <w:szCs w:val="19"/>
                <w:color w:val="auto"/>
              </w:rPr>
            </w:pPr>
          </w:p>
        </w:tc>
        <w:tc>
          <w:tcPr>
            <w:tcW w:w="220" w:type="dxa"/>
            <w:vAlign w:val="bottom"/>
            <w:tcBorders>
              <w:right w:val="single" w:sz="8" w:color="D9D9D6"/>
            </w:tcBorders>
            <w:shd w:val="clear" w:color="auto" w:fill="D9D9D6"/>
          </w:tcPr>
          <w:p>
            <w:pPr>
              <w:spacing w:after="0"/>
              <w:rPr>
                <w:sz w:val="19"/>
                <w:szCs w:val="19"/>
                <w:color w:val="auto"/>
              </w:rPr>
            </w:pPr>
          </w:p>
        </w:tc>
        <w:tc>
          <w:tcPr>
            <w:tcW w:w="100" w:type="dxa"/>
            <w:vAlign w:val="bottom"/>
            <w:shd w:val="clear" w:color="auto" w:fill="D9D9D6"/>
          </w:tcPr>
          <w:p>
            <w:pPr>
              <w:spacing w:after="0"/>
              <w:rPr>
                <w:sz w:val="19"/>
                <w:szCs w:val="19"/>
                <w:color w:val="auto"/>
              </w:rPr>
            </w:pPr>
          </w:p>
        </w:tc>
      </w:tr>
      <w:tr>
        <w:trPr>
          <w:trHeight w:val="222"/>
        </w:trPr>
        <w:tc>
          <w:tcPr>
            <w:tcW w:w="100" w:type="dxa"/>
            <w:vAlign w:val="bottom"/>
            <w:tcBorders>
              <w:bottom w:val="single" w:sz="8" w:color="D9D9D6"/>
            </w:tcBorders>
            <w:shd w:val="clear" w:color="auto" w:fill="D9D9D6"/>
          </w:tcPr>
          <w:p>
            <w:pPr>
              <w:spacing w:after="0"/>
              <w:rPr>
                <w:sz w:val="19"/>
                <w:szCs w:val="19"/>
                <w:color w:val="auto"/>
              </w:rPr>
            </w:pPr>
          </w:p>
        </w:tc>
        <w:tc>
          <w:tcPr>
            <w:tcW w:w="8220" w:type="dxa"/>
            <w:vAlign w:val="bottom"/>
            <w:tcBorders>
              <w:bottom w:val="single" w:sz="8" w:color="D9D9D6"/>
            </w:tcBorders>
            <w:shd w:val="clear" w:color="auto" w:fill="D9D9D6"/>
          </w:tcPr>
          <w:p>
            <w:pPr>
              <w:spacing w:after="0"/>
              <w:rPr>
                <w:sz w:val="19"/>
                <w:szCs w:val="19"/>
                <w:color w:val="auto"/>
              </w:rPr>
            </w:pPr>
          </w:p>
        </w:tc>
        <w:tc>
          <w:tcPr>
            <w:tcW w:w="540" w:type="dxa"/>
            <w:vAlign w:val="bottom"/>
            <w:tcBorders>
              <w:bottom w:val="single" w:sz="8" w:color="D9D9D6"/>
            </w:tcBorders>
            <w:shd w:val="clear" w:color="auto" w:fill="D9D9D6"/>
          </w:tcPr>
          <w:p>
            <w:pPr>
              <w:spacing w:after="0"/>
              <w:rPr>
                <w:sz w:val="19"/>
                <w:szCs w:val="19"/>
                <w:color w:val="auto"/>
              </w:rPr>
            </w:pPr>
          </w:p>
        </w:tc>
        <w:tc>
          <w:tcPr>
            <w:tcW w:w="340" w:type="dxa"/>
            <w:vAlign w:val="bottom"/>
            <w:tcBorders>
              <w:bottom w:val="single" w:sz="8" w:color="D9D9D6"/>
              <w:right w:val="single" w:sz="8" w:color="D9D9D6"/>
            </w:tcBorders>
            <w:shd w:val="clear" w:color="auto" w:fill="D9D9D6"/>
          </w:tcPr>
          <w:p>
            <w:pPr>
              <w:spacing w:after="0"/>
              <w:rPr>
                <w:sz w:val="19"/>
                <w:szCs w:val="19"/>
                <w:color w:val="auto"/>
              </w:rPr>
            </w:pPr>
          </w:p>
        </w:tc>
        <w:tc>
          <w:tcPr>
            <w:tcW w:w="140" w:type="dxa"/>
            <w:vAlign w:val="bottom"/>
            <w:tcBorders>
              <w:bottom w:val="single" w:sz="8" w:color="D9D9D6"/>
            </w:tcBorders>
            <w:shd w:val="clear" w:color="auto" w:fill="D9D9D6"/>
          </w:tcPr>
          <w:p>
            <w:pPr>
              <w:spacing w:after="0"/>
              <w:rPr>
                <w:sz w:val="19"/>
                <w:szCs w:val="19"/>
                <w:color w:val="auto"/>
              </w:rPr>
            </w:pPr>
          </w:p>
        </w:tc>
        <w:tc>
          <w:tcPr>
            <w:tcW w:w="78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2nd Quarter</w:t>
            </w:r>
          </w:p>
        </w:tc>
        <w:tc>
          <w:tcPr>
            <w:tcW w:w="220" w:type="dxa"/>
            <w:vAlign w:val="bottom"/>
            <w:tcBorders>
              <w:bottom w:val="single" w:sz="8" w:color="D9D9D6"/>
            </w:tcBorders>
            <w:shd w:val="clear" w:color="auto" w:fill="D9D9D6"/>
          </w:tcPr>
          <w:p>
            <w:pPr>
              <w:spacing w:after="0"/>
              <w:rPr>
                <w:sz w:val="19"/>
                <w:szCs w:val="19"/>
                <w:color w:val="auto"/>
              </w:rPr>
            </w:pPr>
          </w:p>
        </w:tc>
        <w:tc>
          <w:tcPr>
            <w:tcW w:w="280" w:type="dxa"/>
            <w:vAlign w:val="bottom"/>
            <w:tcBorders>
              <w:bottom w:val="single" w:sz="8" w:color="D9D9D6"/>
            </w:tcBorders>
            <w:shd w:val="clear" w:color="auto" w:fill="D9D9D6"/>
          </w:tcPr>
          <w:p>
            <w:pPr>
              <w:spacing w:after="0"/>
              <w:rPr>
                <w:sz w:val="19"/>
                <w:szCs w:val="19"/>
                <w:color w:val="auto"/>
              </w:rPr>
            </w:pPr>
          </w:p>
        </w:tc>
        <w:tc>
          <w:tcPr>
            <w:tcW w:w="300" w:type="dxa"/>
            <w:vAlign w:val="bottom"/>
            <w:tcBorders>
              <w:bottom w:val="single" w:sz="8" w:color="D9D9D6"/>
            </w:tcBorders>
            <w:shd w:val="clear" w:color="auto" w:fill="D9D9D6"/>
          </w:tcPr>
          <w:p>
            <w:pPr>
              <w:spacing w:after="0"/>
              <w:rPr>
                <w:sz w:val="19"/>
                <w:szCs w:val="19"/>
                <w:color w:val="auto"/>
              </w:rPr>
            </w:pPr>
          </w:p>
        </w:tc>
        <w:tc>
          <w:tcPr>
            <w:tcW w:w="220" w:type="dxa"/>
            <w:vAlign w:val="bottom"/>
            <w:tcBorders>
              <w:bottom w:val="single" w:sz="8" w:color="D9D9D6"/>
              <w:right w:val="single" w:sz="8" w:color="D9D9D6"/>
            </w:tcBorders>
            <w:shd w:val="clear" w:color="auto" w:fill="D9D9D6"/>
          </w:tcPr>
          <w:p>
            <w:pPr>
              <w:spacing w:after="0"/>
              <w:rPr>
                <w:sz w:val="19"/>
                <w:szCs w:val="19"/>
                <w:color w:val="auto"/>
              </w:rPr>
            </w:pPr>
          </w:p>
        </w:tc>
        <w:tc>
          <w:tcPr>
            <w:tcW w:w="100" w:type="dxa"/>
            <w:vAlign w:val="bottom"/>
            <w:tcBorders>
              <w:bottom w:val="single" w:sz="8" w:color="D9D9D6"/>
            </w:tcBorders>
            <w:shd w:val="clear" w:color="auto" w:fill="D9D9D6"/>
          </w:tcPr>
          <w:p>
            <w:pPr>
              <w:spacing w:after="0"/>
              <w:rPr>
                <w:sz w:val="19"/>
                <w:szCs w:val="19"/>
                <w:color w:val="auto"/>
              </w:rPr>
            </w:pPr>
          </w:p>
        </w:tc>
      </w:tr>
      <w:tr>
        <w:trPr>
          <w:trHeight w:val="183"/>
        </w:trPr>
        <w:tc>
          <w:tcPr>
            <w:tcW w:w="100" w:type="dxa"/>
            <w:vAlign w:val="bottom"/>
            <w:shd w:val="clear" w:color="auto" w:fill="D9D9D6"/>
          </w:tcPr>
          <w:p>
            <w:pPr>
              <w:spacing w:after="0"/>
              <w:rPr>
                <w:sz w:val="15"/>
                <w:szCs w:val="15"/>
                <w:color w:val="auto"/>
              </w:rPr>
            </w:pPr>
          </w:p>
        </w:tc>
        <w:tc>
          <w:tcPr>
            <w:tcW w:w="8220" w:type="dxa"/>
            <w:vAlign w:val="bottom"/>
            <w:shd w:val="clear" w:color="auto" w:fill="D9D9D6"/>
          </w:tcPr>
          <w:p>
            <w:pPr>
              <w:spacing w:after="0"/>
              <w:rPr>
                <w:sz w:val="15"/>
                <w:szCs w:val="15"/>
                <w:color w:val="auto"/>
              </w:rPr>
            </w:pPr>
          </w:p>
        </w:tc>
        <w:tc>
          <w:tcPr>
            <w:tcW w:w="540" w:type="dxa"/>
            <w:vAlign w:val="bottom"/>
            <w:shd w:val="clear" w:color="auto" w:fill="D9D9D6"/>
          </w:tcPr>
          <w:p>
            <w:pPr>
              <w:spacing w:after="0"/>
              <w:rPr>
                <w:sz w:val="15"/>
                <w:szCs w:val="15"/>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2024</w:t>
            </w:r>
          </w:p>
        </w:tc>
        <w:tc>
          <w:tcPr>
            <w:tcW w:w="92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D9D9D6"/>
          </w:tcPr>
          <w:p>
            <w:pPr>
              <w:spacing w:after="0"/>
              <w:rPr>
                <w:sz w:val="15"/>
                <w:szCs w:val="15"/>
                <w:color w:val="auto"/>
              </w:rPr>
            </w:pPr>
          </w:p>
        </w:tc>
        <w:tc>
          <w:tcPr>
            <w:tcW w:w="280" w:type="dxa"/>
            <w:vAlign w:val="bottom"/>
            <w:shd w:val="clear" w:color="auto" w:fill="D9D9D6"/>
          </w:tcPr>
          <w:p>
            <w:pPr>
              <w:spacing w:after="0"/>
              <w:rPr>
                <w:sz w:val="15"/>
                <w:szCs w:val="15"/>
                <w:color w:val="auto"/>
              </w:rPr>
            </w:pPr>
          </w:p>
        </w:tc>
        <w:tc>
          <w:tcPr>
            <w:tcW w:w="6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Change</w:t>
            </w:r>
          </w:p>
        </w:tc>
      </w:tr>
      <w:tr>
        <w:trPr>
          <w:trHeight w:val="20"/>
        </w:trPr>
        <w:tc>
          <w:tcPr>
            <w:tcW w:w="100" w:type="dxa"/>
            <w:vAlign w:val="bottom"/>
            <w:shd w:val="clear" w:color="auto" w:fill="D9D9D6"/>
          </w:tcPr>
          <w:p>
            <w:pPr>
              <w:spacing w:after="0" w:line="20" w:lineRule="exact"/>
              <w:rPr>
                <w:sz w:val="1"/>
                <w:szCs w:val="1"/>
                <w:color w:val="auto"/>
              </w:rPr>
            </w:pPr>
          </w:p>
        </w:tc>
        <w:tc>
          <w:tcPr>
            <w:tcW w:w="8220" w:type="dxa"/>
            <w:vAlign w:val="bottom"/>
            <w:shd w:val="clear" w:color="auto" w:fill="D9D9D6"/>
          </w:tcPr>
          <w:p>
            <w:pPr>
              <w:spacing w:after="0" w:line="20" w:lineRule="exact"/>
              <w:rPr>
                <w:sz w:val="1"/>
                <w:szCs w:val="1"/>
                <w:color w:val="auto"/>
              </w:rPr>
            </w:pPr>
          </w:p>
        </w:tc>
        <w:tc>
          <w:tcPr>
            <w:tcW w:w="54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400" w:type="dxa"/>
            <w:vAlign w:val="bottom"/>
            <w:shd w:val="clear" w:color="auto" w:fill="D9D9D6"/>
          </w:tcPr>
          <w:p>
            <w:pPr>
              <w:spacing w:after="0" w:line="20" w:lineRule="exact"/>
              <w:rPr>
                <w:sz w:val="1"/>
                <w:szCs w:val="1"/>
                <w:color w:val="auto"/>
              </w:rPr>
            </w:pPr>
          </w:p>
        </w:tc>
        <w:tc>
          <w:tcPr>
            <w:tcW w:w="380" w:type="dxa"/>
            <w:vAlign w:val="bottom"/>
            <w:tcBorders>
              <w:right w:val="single" w:sz="8" w:color="D9D9D6"/>
            </w:tcBorders>
            <w:shd w:val="clear" w:color="auto" w:fill="000000"/>
          </w:tcPr>
          <w:p>
            <w:pPr>
              <w:spacing w:after="0" w:line="20" w:lineRule="exact"/>
              <w:rPr>
                <w:sz w:val="1"/>
                <w:szCs w:val="1"/>
                <w:color w:val="auto"/>
              </w:rPr>
            </w:pPr>
          </w:p>
        </w:tc>
        <w:tc>
          <w:tcPr>
            <w:tcW w:w="220" w:type="dxa"/>
            <w:vAlign w:val="bottom"/>
            <w:shd w:val="clear" w:color="auto" w:fill="D9D9D6"/>
          </w:tcPr>
          <w:p>
            <w:pPr>
              <w:spacing w:after="0" w:line="20" w:lineRule="exact"/>
              <w:rPr>
                <w:sz w:val="1"/>
                <w:szCs w:val="1"/>
                <w:color w:val="auto"/>
              </w:rPr>
            </w:pPr>
          </w:p>
        </w:tc>
        <w:tc>
          <w:tcPr>
            <w:tcW w:w="280" w:type="dxa"/>
            <w:vAlign w:val="bottom"/>
            <w:shd w:val="clear" w:color="auto" w:fill="D9D9D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D9D9D6"/>
            </w:tcBorders>
            <w:shd w:val="clear" w:color="auto" w:fill="000000"/>
          </w:tcPr>
          <w:p>
            <w:pPr>
              <w:spacing w:after="0" w:line="20" w:lineRule="exact"/>
              <w:rPr>
                <w:sz w:val="1"/>
                <w:szCs w:val="1"/>
                <w:color w:val="auto"/>
              </w:rPr>
            </w:pPr>
          </w:p>
        </w:tc>
        <w:tc>
          <w:tcPr>
            <w:tcW w:w="100" w:type="dxa"/>
            <w:vAlign w:val="bottom"/>
            <w:shd w:val="clear" w:color="auto" w:fill="D9D9D6"/>
          </w:tcPr>
          <w:p>
            <w:pPr>
              <w:spacing w:after="0" w:line="20" w:lineRule="exact"/>
              <w:rPr>
                <w:sz w:val="1"/>
                <w:szCs w:val="1"/>
                <w:color w:val="auto"/>
              </w:rPr>
            </w:pPr>
          </w:p>
        </w:tc>
      </w:tr>
      <w:tr>
        <w:trPr>
          <w:trHeight w:val="559"/>
        </w:trPr>
        <w:tc>
          <w:tcPr>
            <w:tcW w:w="100" w:type="dxa"/>
            <w:vAlign w:val="bottom"/>
            <w:shd w:val="clear" w:color="auto" w:fill="D9D9D6"/>
          </w:tcPr>
          <w:p>
            <w:pPr>
              <w:spacing w:after="0"/>
              <w:rPr>
                <w:sz w:val="24"/>
                <w:szCs w:val="24"/>
                <w:color w:val="auto"/>
              </w:rPr>
            </w:pPr>
          </w:p>
        </w:tc>
        <w:tc>
          <w:tcPr>
            <w:tcW w:w="82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Revenue</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$1,975</w:t>
            </w:r>
          </w:p>
        </w:tc>
        <w:tc>
          <w:tcPr>
            <w:tcW w:w="92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$2,209</w:t>
            </w:r>
          </w:p>
        </w:tc>
        <w:tc>
          <w:tcPr>
            <w:tcW w:w="220" w:type="dxa"/>
            <w:vAlign w:val="bottom"/>
            <w:shd w:val="clear" w:color="auto" w:fill="D9D9D6"/>
          </w:tcPr>
          <w:p>
            <w:pPr>
              <w:spacing w:after="0"/>
              <w:rPr>
                <w:sz w:val="24"/>
                <w:szCs w:val="24"/>
                <w:color w:val="auto"/>
              </w:rPr>
            </w:pPr>
          </w:p>
        </w:tc>
        <w:tc>
          <w:tcPr>
            <w:tcW w:w="5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100" w:type="dxa"/>
            <w:vAlign w:val="bottom"/>
            <w:shd w:val="clear" w:color="auto" w:fill="D9D9D6"/>
          </w:tcPr>
          <w:p>
            <w:pPr>
              <w:spacing w:after="0"/>
              <w:rPr>
                <w:sz w:val="24"/>
                <w:szCs w:val="24"/>
                <w:color w:val="auto"/>
              </w:rPr>
            </w:pPr>
          </w:p>
        </w:tc>
      </w:tr>
      <w:tr>
        <w:trPr>
          <w:trHeight w:val="198"/>
        </w:trPr>
        <w:tc>
          <w:tcPr>
            <w:tcW w:w="100" w:type="dxa"/>
            <w:vAlign w:val="bottom"/>
            <w:tcBorders>
              <w:bottom w:val="single" w:sz="8" w:color="D9D9D6"/>
            </w:tcBorders>
            <w:shd w:val="clear" w:color="auto" w:fill="D9D9D6"/>
          </w:tcPr>
          <w:p>
            <w:pPr>
              <w:spacing w:after="0"/>
              <w:rPr>
                <w:sz w:val="17"/>
                <w:szCs w:val="17"/>
                <w:color w:val="auto"/>
              </w:rPr>
            </w:pPr>
          </w:p>
        </w:tc>
        <w:tc>
          <w:tcPr>
            <w:tcW w:w="822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Borders>
              <w:bottom w:val="single" w:sz="8" w:color="auto"/>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1,343</w:t>
            </w:r>
          </w:p>
        </w:tc>
        <w:tc>
          <w:tcPr>
            <w:tcW w:w="920" w:type="dxa"/>
            <w:vAlign w:val="bottom"/>
            <w:tcBorders>
              <w:bottom w:val="single" w:sz="8" w:color="auto"/>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color w:val="auto"/>
              </w:rPr>
              <w:t>1,376</w:t>
            </w:r>
          </w:p>
        </w:tc>
        <w:tc>
          <w:tcPr>
            <w:tcW w:w="220" w:type="dxa"/>
            <w:vAlign w:val="bottom"/>
            <w:tcBorders>
              <w:bottom w:val="single" w:sz="8" w:color="auto"/>
            </w:tcBorders>
            <w:shd w:val="clear" w:color="auto" w:fill="D9D9D6"/>
          </w:tcPr>
          <w:p>
            <w:pPr>
              <w:spacing w:after="0"/>
              <w:rPr>
                <w:sz w:val="17"/>
                <w:szCs w:val="17"/>
                <w:color w:val="auto"/>
              </w:rPr>
            </w:pPr>
          </w:p>
        </w:tc>
        <w:tc>
          <w:tcPr>
            <w:tcW w:w="5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auto"/>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D9D9D6"/>
            </w:tcBorders>
            <w:shd w:val="clear" w:color="auto" w:fill="D9D9D6"/>
          </w:tcPr>
          <w:p>
            <w:pPr>
              <w:spacing w:after="0"/>
              <w:rPr>
                <w:sz w:val="17"/>
                <w:szCs w:val="17"/>
                <w:color w:val="auto"/>
              </w:rPr>
            </w:pPr>
          </w:p>
        </w:tc>
      </w:tr>
      <w:tr>
        <w:trPr>
          <w:trHeight w:val="201"/>
        </w:trPr>
        <w:tc>
          <w:tcPr>
            <w:tcW w:w="100" w:type="dxa"/>
            <w:vAlign w:val="bottom"/>
            <w:shd w:val="clear" w:color="auto" w:fill="D9D9D6"/>
          </w:tcPr>
          <w:p>
            <w:pPr>
              <w:spacing w:after="0"/>
              <w:rPr>
                <w:sz w:val="17"/>
                <w:szCs w:val="17"/>
                <w:color w:val="auto"/>
              </w:rPr>
            </w:pPr>
          </w:p>
        </w:tc>
        <w:tc>
          <w:tcPr>
            <w:tcW w:w="8220" w:type="dxa"/>
            <w:vAlign w:val="bottom"/>
            <w:shd w:val="clear" w:color="auto" w:fill="D9D9D6"/>
          </w:tcPr>
          <w:p>
            <w:pPr>
              <w:ind w:left="40"/>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$632</w:t>
            </w:r>
          </w:p>
        </w:tc>
        <w:tc>
          <w:tcPr>
            <w:tcW w:w="920" w:type="dxa"/>
            <w:vAlign w:val="bottom"/>
            <w:tcBorders>
              <w:right w:val="single" w:sz="8" w:color="D9D9D6"/>
            </w:tcBorders>
            <w:gridSpan w:val="3"/>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$833</w:t>
            </w:r>
          </w:p>
        </w:tc>
        <w:tc>
          <w:tcPr>
            <w:tcW w:w="220" w:type="dxa"/>
            <w:vAlign w:val="bottom"/>
            <w:shd w:val="clear" w:color="auto" w:fill="D9D9D6"/>
          </w:tcPr>
          <w:p>
            <w:pPr>
              <w:spacing w:after="0"/>
              <w:rPr>
                <w:sz w:val="17"/>
                <w:szCs w:val="17"/>
                <w:color w:val="auto"/>
              </w:rPr>
            </w:pPr>
          </w:p>
        </w:tc>
        <w:tc>
          <w:tcPr>
            <w:tcW w:w="5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(24.1</w:t>
            </w:r>
          </w:p>
        </w:tc>
        <w:tc>
          <w:tcPr>
            <w:tcW w:w="22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w w:val="93"/>
              </w:rPr>
              <w:t>%)</w:t>
            </w:r>
          </w:p>
        </w:tc>
        <w:tc>
          <w:tcPr>
            <w:tcW w:w="100" w:type="dxa"/>
            <w:vAlign w:val="bottom"/>
            <w:shd w:val="clear" w:color="auto" w:fill="D9D9D6"/>
          </w:tcPr>
          <w:p>
            <w:pPr>
              <w:spacing w:after="0"/>
              <w:rPr>
                <w:sz w:val="17"/>
                <w:szCs w:val="17"/>
                <w:color w:val="auto"/>
              </w:rPr>
            </w:pPr>
          </w:p>
        </w:tc>
      </w:tr>
      <w:tr>
        <w:trPr>
          <w:trHeight w:val="56"/>
        </w:trPr>
        <w:tc>
          <w:tcPr>
            <w:tcW w:w="100" w:type="dxa"/>
            <w:vAlign w:val="bottom"/>
            <w:shd w:val="clear" w:color="auto" w:fill="D9D9D6"/>
          </w:tcPr>
          <w:p>
            <w:pPr>
              <w:spacing w:after="0"/>
              <w:rPr>
                <w:sz w:val="4"/>
                <w:szCs w:val="4"/>
                <w:color w:val="auto"/>
              </w:rPr>
            </w:pPr>
          </w:p>
        </w:tc>
        <w:tc>
          <w:tcPr>
            <w:tcW w:w="8220" w:type="dxa"/>
            <w:vAlign w:val="bottom"/>
            <w:shd w:val="clear" w:color="auto" w:fill="D9D9D6"/>
          </w:tcPr>
          <w:p>
            <w:pPr>
              <w:spacing w:after="0"/>
              <w:rPr>
                <w:sz w:val="4"/>
                <w:szCs w:val="4"/>
                <w:color w:val="auto"/>
              </w:rPr>
            </w:pPr>
          </w:p>
        </w:tc>
        <w:tc>
          <w:tcPr>
            <w:tcW w:w="5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400" w:type="dxa"/>
            <w:vAlign w:val="bottom"/>
            <w:shd w:val="clear" w:color="auto" w:fill="D9D9D6"/>
          </w:tcPr>
          <w:p>
            <w:pPr>
              <w:spacing w:after="0"/>
              <w:rPr>
                <w:sz w:val="4"/>
                <w:szCs w:val="4"/>
                <w:color w:val="auto"/>
              </w:rPr>
            </w:pPr>
          </w:p>
        </w:tc>
        <w:tc>
          <w:tcPr>
            <w:tcW w:w="380" w:type="dxa"/>
            <w:vAlign w:val="bottom"/>
            <w:tcBorders>
              <w:right w:val="single" w:sz="8" w:color="D9D9D6"/>
            </w:tcBorders>
            <w:shd w:val="clear" w:color="auto" w:fill="D9D9D6"/>
          </w:tcPr>
          <w:p>
            <w:pPr>
              <w:spacing w:after="0"/>
              <w:rPr>
                <w:sz w:val="4"/>
                <w:szCs w:val="4"/>
                <w:color w:val="auto"/>
              </w:rPr>
            </w:pPr>
          </w:p>
        </w:tc>
        <w:tc>
          <w:tcPr>
            <w:tcW w:w="220" w:type="dxa"/>
            <w:vAlign w:val="bottom"/>
            <w:shd w:val="clear" w:color="auto" w:fill="D9D9D6"/>
          </w:tcPr>
          <w:p>
            <w:pPr>
              <w:spacing w:after="0"/>
              <w:rPr>
                <w:sz w:val="4"/>
                <w:szCs w:val="4"/>
                <w:color w:val="auto"/>
              </w:rPr>
            </w:pPr>
          </w:p>
        </w:tc>
        <w:tc>
          <w:tcPr>
            <w:tcW w:w="280" w:type="dxa"/>
            <w:vAlign w:val="bottom"/>
            <w:shd w:val="clear" w:color="auto" w:fill="D9D9D6"/>
          </w:tcPr>
          <w:p>
            <w:pPr>
              <w:spacing w:after="0"/>
              <w:rPr>
                <w:sz w:val="4"/>
                <w:szCs w:val="4"/>
                <w:color w:val="auto"/>
              </w:rPr>
            </w:pPr>
          </w:p>
        </w:tc>
        <w:tc>
          <w:tcPr>
            <w:tcW w:w="300" w:type="dxa"/>
            <w:vAlign w:val="bottom"/>
            <w:shd w:val="clear" w:color="auto" w:fill="D9D9D6"/>
          </w:tcPr>
          <w:p>
            <w:pPr>
              <w:spacing w:after="0"/>
              <w:rPr>
                <w:sz w:val="4"/>
                <w:szCs w:val="4"/>
                <w:color w:val="auto"/>
              </w:rPr>
            </w:pPr>
          </w:p>
        </w:tc>
        <w:tc>
          <w:tcPr>
            <w:tcW w:w="220" w:type="dxa"/>
            <w:vAlign w:val="bottom"/>
            <w:tcBorders>
              <w:right w:val="single" w:sz="8" w:color="D9D9D6"/>
            </w:tcBorders>
            <w:shd w:val="clear" w:color="auto" w:fill="D9D9D6"/>
          </w:tcPr>
          <w:p>
            <w:pPr>
              <w:spacing w:after="0"/>
              <w:rPr>
                <w:sz w:val="4"/>
                <w:szCs w:val="4"/>
                <w:color w:val="auto"/>
              </w:rPr>
            </w:pPr>
          </w:p>
        </w:tc>
        <w:tc>
          <w:tcPr>
            <w:tcW w:w="100" w:type="dxa"/>
            <w:vAlign w:val="bottom"/>
            <w:shd w:val="clear" w:color="auto" w:fill="D9D9D6"/>
          </w:tcPr>
          <w:p>
            <w:pPr>
              <w:spacing w:after="0"/>
              <w:rPr>
                <w:sz w:val="4"/>
                <w:szCs w:val="4"/>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Theme Parks decreased primarily due to lower revenue at our domestic theme parks, driven by lower guest attendance,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negative impact of foreign currency at international theme parks.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Theme Parks decreased, reflecting lower revenue, which more than offset lower 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Content &amp; Experiences Headquarters &amp; Other includes overhead, personnel costs and costs associated with corporate initiatives. Headquarters &amp; Other Adjusted EBITDA loss in the second quarter was $198 million, compared to a loss of $200 million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Amounts represent eliminations of transactions between our Content &amp; Experiences segments, the most significant being content licensing between the Studios and Media segments, which are affected by the timing of recognition of content licenses. Revenue eliminations were $ 505 million, compared to $631 million in the prior year period, and Adjusted EBITDA eliminations were a benefit of $36 million, compared to a benefit of $56 million in the prior year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68580" cy="1739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3990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760" w:type="dxa"/>
            <w:vAlign w:val="bottom"/>
            <w:tcBorders>
              <w:bottom w:val="single" w:sz="8" w:color="D9D9D6"/>
            </w:tcBorders>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72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180" w:type="dxa"/>
            <w:vAlign w:val="bottom"/>
            <w:tcBorders>
              <w:bottom w:val="single" w:sz="8" w:color="D9D9D6"/>
            </w:tcBorders>
            <w:shd w:val="clear" w:color="auto" w:fill="D9D9D6"/>
          </w:tcPr>
          <w:p>
            <w:pPr>
              <w:spacing w:after="0"/>
              <w:rPr>
                <w:sz w:val="17"/>
                <w:szCs w:val="17"/>
                <w:color w:val="auto"/>
              </w:rPr>
            </w:pPr>
          </w:p>
        </w:tc>
        <w:tc>
          <w:tcPr>
            <w:tcW w:w="56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c>
          <w:tcPr>
            <w:tcW w:w="20" w:type="dxa"/>
            <w:vAlign w:val="bottom"/>
            <w:tcBorders>
              <w:bottom w:val="single" w:sz="8" w:color="D9D9D6"/>
            </w:tcBorders>
            <w:shd w:val="clear" w:color="auto" w:fill="D9D9D6"/>
          </w:tcPr>
          <w:p>
            <w:pPr>
              <w:spacing w:after="0"/>
              <w:rPr>
                <w:sz w:val="17"/>
                <w:szCs w:val="17"/>
                <w:color w:val="auto"/>
              </w:rPr>
            </w:pPr>
          </w:p>
        </w:tc>
        <w:tc>
          <w:tcPr>
            <w:tcW w:w="580" w:type="dxa"/>
            <w:vAlign w:val="bottom"/>
            <w:tcBorders>
              <w:bottom w:val="single" w:sz="8" w:color="D9D9D6"/>
            </w:tcBorders>
            <w:shd w:val="clear" w:color="auto" w:fill="D9D9D6"/>
          </w:tcPr>
          <w:p>
            <w:pPr>
              <w:spacing w:after="0"/>
              <w:rPr>
                <w:sz w:val="17"/>
                <w:szCs w:val="17"/>
                <w:color w:val="auto"/>
              </w:rPr>
            </w:pPr>
          </w:p>
        </w:tc>
        <w:tc>
          <w:tcPr>
            <w:tcW w:w="320" w:type="dxa"/>
            <w:vAlign w:val="bottom"/>
            <w:tcBorders>
              <w:bottom w:val="single" w:sz="8" w:color="D9D9D6"/>
            </w:tcBorders>
            <w:shd w:val="clear" w:color="auto" w:fill="D9D9D6"/>
          </w:tcPr>
          <w:p>
            <w:pPr>
              <w:spacing w:after="0"/>
              <w:rPr>
                <w:sz w:val="17"/>
                <w:szCs w:val="17"/>
                <w:color w:val="auto"/>
              </w:rPr>
            </w:pPr>
          </w:p>
        </w:tc>
        <w:tc>
          <w:tcPr>
            <w:tcW w:w="200" w:type="dxa"/>
            <w:vAlign w:val="bottom"/>
            <w:tcBorders>
              <w:bottom w:val="single" w:sz="8" w:color="D9D9D6"/>
              <w:right w:val="single" w:sz="8" w:color="D9D9D6"/>
            </w:tcBorders>
            <w:shd w:val="clear" w:color="auto" w:fill="D9D9D6"/>
          </w:tcPr>
          <w:p>
            <w:pPr>
              <w:spacing w:after="0"/>
              <w:rPr>
                <w:sz w:val="17"/>
                <w:szCs w:val="17"/>
                <w:color w:val="auto"/>
              </w:rPr>
            </w:pPr>
          </w:p>
        </w:tc>
        <w:tc>
          <w:tcPr>
            <w:tcW w:w="120" w:type="dxa"/>
            <w:vAlign w:val="bottom"/>
            <w:tcBorders>
              <w:bottom w:val="single" w:sz="8" w:color="D9D9D6"/>
            </w:tcBorders>
            <w:shd w:val="clear" w:color="auto" w:fill="D9D9D6"/>
          </w:tcPr>
          <w:p>
            <w:pPr>
              <w:spacing w:after="0"/>
              <w:rPr>
                <w:sz w:val="17"/>
                <w:szCs w:val="17"/>
                <w:color w:val="auto"/>
              </w:rPr>
            </w:pPr>
          </w:p>
        </w:tc>
      </w:tr>
      <w:tr>
        <w:trPr>
          <w:trHeight w:val="162"/>
        </w:trPr>
        <w:tc>
          <w:tcPr>
            <w:tcW w:w="7760" w:type="dxa"/>
            <w:vAlign w:val="bottom"/>
          </w:tcPr>
          <w:p>
            <w:pPr>
              <w:spacing w:after="0"/>
              <w:rPr>
                <w:sz w:val="14"/>
                <w:szCs w:val="14"/>
                <w:color w:val="auto"/>
              </w:rPr>
            </w:pPr>
          </w:p>
        </w:tc>
        <w:tc>
          <w:tcPr>
            <w:tcW w:w="72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90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2nd Quarter</w:t>
            </w:r>
          </w:p>
        </w:tc>
        <w:tc>
          <w:tcPr>
            <w:tcW w:w="58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200" w:type="dxa"/>
            <w:vAlign w:val="bottom"/>
            <w:tcBorders>
              <w:right w:val="single" w:sz="8" w:color="D9D9D6"/>
            </w:tcBorders>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72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c>
          <w:tcPr>
            <w:tcW w:w="20" w:type="dxa"/>
            <w:vAlign w:val="bottom"/>
            <w:shd w:val="clear" w:color="auto" w:fill="D9D9D6"/>
          </w:tcPr>
          <w:p>
            <w:pPr>
              <w:spacing w:after="0" w:line="20" w:lineRule="exact"/>
              <w:rPr>
                <w:sz w:val="1"/>
                <w:szCs w:val="1"/>
                <w:color w:val="auto"/>
              </w:rPr>
            </w:pPr>
          </w:p>
        </w:tc>
        <w:tc>
          <w:tcPr>
            <w:tcW w:w="580" w:type="dxa"/>
            <w:vAlign w:val="bottom"/>
            <w:shd w:val="clear" w:color="auto" w:fill="D9D9D6"/>
          </w:tcPr>
          <w:p>
            <w:pPr>
              <w:spacing w:after="0" w:line="20" w:lineRule="exact"/>
              <w:rPr>
                <w:sz w:val="1"/>
                <w:szCs w:val="1"/>
                <w:color w:val="auto"/>
              </w:rPr>
            </w:pPr>
          </w:p>
        </w:tc>
        <w:tc>
          <w:tcPr>
            <w:tcW w:w="320" w:type="dxa"/>
            <w:vAlign w:val="bottom"/>
            <w:shd w:val="clear" w:color="auto" w:fill="D9D9D6"/>
          </w:tcPr>
          <w:p>
            <w:pPr>
              <w:spacing w:after="0" w:line="20" w:lineRule="exact"/>
              <w:rPr>
                <w:sz w:val="1"/>
                <w:szCs w:val="1"/>
                <w:color w:val="auto"/>
              </w:rPr>
            </w:pPr>
          </w:p>
        </w:tc>
        <w:tc>
          <w:tcPr>
            <w:tcW w:w="200" w:type="dxa"/>
            <w:vAlign w:val="bottom"/>
            <w:tcBorders>
              <w:right w:val="single" w:sz="8" w:color="D9D9D6"/>
            </w:tcBorders>
            <w:shd w:val="clear" w:color="auto" w:fill="D9D9D6"/>
          </w:tcPr>
          <w:p>
            <w:pPr>
              <w:spacing w:after="0" w:line="20" w:lineRule="exact"/>
              <w:rPr>
                <w:sz w:val="1"/>
                <w:szCs w:val="1"/>
                <w:color w:val="auto"/>
              </w:rPr>
            </w:pPr>
          </w:p>
        </w:tc>
        <w:tc>
          <w:tcPr>
            <w:tcW w:w="120" w:type="dxa"/>
            <w:vAlign w:val="bottom"/>
            <w:shd w:val="clear" w:color="auto" w:fill="D9D9D6"/>
          </w:tcPr>
          <w:p>
            <w:pPr>
              <w:spacing w:after="0" w:line="20" w:lineRule="exact"/>
              <w:rPr>
                <w:sz w:val="1"/>
                <w:szCs w:val="1"/>
                <w:color w:val="auto"/>
              </w:rPr>
            </w:pPr>
          </w:p>
        </w:tc>
      </w:tr>
      <w:tr>
        <w:trPr>
          <w:trHeight w:val="183"/>
        </w:trPr>
        <w:tc>
          <w:tcPr>
            <w:tcW w:w="7760" w:type="dxa"/>
            <w:vAlign w:val="bottom"/>
          </w:tcPr>
          <w:p>
            <w:pPr>
              <w:spacing w:after="0"/>
              <w:rPr>
                <w:sz w:val="15"/>
                <w:szCs w:val="15"/>
                <w:color w:val="auto"/>
              </w:rPr>
            </w:pPr>
          </w:p>
        </w:tc>
        <w:tc>
          <w:tcPr>
            <w:tcW w:w="106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2024</w:t>
            </w:r>
          </w:p>
        </w:tc>
        <w:tc>
          <w:tcPr>
            <w:tcW w:w="180" w:type="dxa"/>
            <w:vAlign w:val="bottom"/>
            <w:shd w:val="clear" w:color="auto" w:fill="D9D9D6"/>
          </w:tcPr>
          <w:p>
            <w:pPr>
              <w:spacing w:after="0"/>
              <w:rPr>
                <w:sz w:val="15"/>
                <w:szCs w:val="15"/>
                <w:color w:val="auto"/>
              </w:rPr>
            </w:pPr>
          </w:p>
        </w:tc>
        <w:tc>
          <w:tcPr>
            <w:tcW w:w="900" w:type="dxa"/>
            <w:vAlign w:val="bottom"/>
            <w:gridSpan w:val="4"/>
            <w:shd w:val="clear" w:color="auto" w:fill="D9D9D6"/>
          </w:tcPr>
          <w:p>
            <w:pPr>
              <w:jc w:val="center"/>
              <w:ind w:left="468"/>
              <w:spacing w:after="0"/>
              <w:rPr>
                <w:sz w:val="20"/>
                <w:szCs w:val="20"/>
                <w:color w:val="auto"/>
              </w:rPr>
            </w:pPr>
            <w:r>
              <w:rPr>
                <w:rFonts w:ascii="Arial" w:cs="Arial" w:eastAsia="Arial" w:hAnsi="Arial"/>
                <w:sz w:val="14"/>
                <w:szCs w:val="14"/>
                <w:color w:val="auto"/>
              </w:rPr>
              <w:t>2023</w:t>
            </w:r>
          </w:p>
        </w:tc>
        <w:tc>
          <w:tcPr>
            <w:tcW w:w="1220" w:type="dxa"/>
            <w:vAlign w:val="bottom"/>
            <w:gridSpan w:val="4"/>
            <w:shd w:val="clear" w:color="auto" w:fill="D9D9D6"/>
          </w:tcPr>
          <w:p>
            <w:pPr>
              <w:ind w:left="580"/>
              <w:spacing w:after="0"/>
              <w:rPr>
                <w:sz w:val="20"/>
                <w:szCs w:val="20"/>
                <w:color w:val="auto"/>
              </w:rPr>
            </w:pPr>
            <w:r>
              <w:rPr>
                <w:rFonts w:ascii="Arial" w:cs="Arial" w:eastAsia="Arial" w:hAnsi="Arial"/>
                <w:sz w:val="14"/>
                <w:szCs w:val="14"/>
                <w:color w:val="auto"/>
              </w:rPr>
              <w:t>Change</w:t>
            </w:r>
          </w:p>
        </w:tc>
      </w:tr>
      <w:tr>
        <w:trPr>
          <w:trHeight w:val="221"/>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Corporate &amp; Other</w:t>
            </w:r>
          </w:p>
        </w:tc>
        <w:tc>
          <w:tcPr>
            <w:tcW w:w="72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180" w:type="dxa"/>
            <w:vAlign w:val="bottom"/>
            <w:tcBorders>
              <w:top w:val="single" w:sz="8" w:color="D9D9D6"/>
            </w:tcBorders>
            <w:shd w:val="clear" w:color="auto" w:fill="D9D9D6"/>
          </w:tcPr>
          <w:p>
            <w:pPr>
              <w:spacing w:after="0"/>
              <w:rPr>
                <w:sz w:val="19"/>
                <w:szCs w:val="19"/>
                <w:color w:val="auto"/>
              </w:rPr>
            </w:pPr>
          </w:p>
        </w:tc>
        <w:tc>
          <w:tcPr>
            <w:tcW w:w="560" w:type="dxa"/>
            <w:vAlign w:val="bottom"/>
            <w:tcBorders>
              <w:top w:val="single" w:sz="8" w:color="D9D9D6"/>
            </w:tcBorders>
            <w:shd w:val="clear" w:color="auto" w:fill="D9D9D6"/>
          </w:tcPr>
          <w:p>
            <w:pPr>
              <w:spacing w:after="0"/>
              <w:rPr>
                <w:sz w:val="19"/>
                <w:szCs w:val="19"/>
                <w:color w:val="auto"/>
              </w:rPr>
            </w:pPr>
          </w:p>
        </w:tc>
        <w:tc>
          <w:tcPr>
            <w:tcW w:w="200" w:type="dxa"/>
            <w:vAlign w:val="bottom"/>
            <w:tcBorders>
              <w:top w:val="single" w:sz="8" w:color="auto"/>
            </w:tcBorders>
            <w:shd w:val="clear" w:color="auto" w:fill="D9D9D6"/>
          </w:tcPr>
          <w:p>
            <w:pPr>
              <w:spacing w:after="0"/>
              <w:rPr>
                <w:sz w:val="19"/>
                <w:szCs w:val="19"/>
                <w:color w:val="auto"/>
              </w:rPr>
            </w:pPr>
          </w:p>
        </w:tc>
        <w:tc>
          <w:tcPr>
            <w:tcW w:w="120" w:type="dxa"/>
            <w:vAlign w:val="bottom"/>
            <w:tcBorders>
              <w:top w:val="single" w:sz="8" w:color="auto"/>
            </w:tcBorders>
            <w:shd w:val="clear" w:color="auto" w:fill="D9D9D6"/>
          </w:tcPr>
          <w:p>
            <w:pPr>
              <w:spacing w:after="0"/>
              <w:rPr>
                <w:sz w:val="19"/>
                <w:szCs w:val="19"/>
                <w:color w:val="auto"/>
              </w:rPr>
            </w:pPr>
          </w:p>
        </w:tc>
        <w:tc>
          <w:tcPr>
            <w:tcW w:w="20" w:type="dxa"/>
            <w:vAlign w:val="bottom"/>
            <w:tcBorders>
              <w:top w:val="single" w:sz="8" w:color="D9D9D6"/>
            </w:tcBorders>
            <w:shd w:val="clear" w:color="auto" w:fill="D9D9D6"/>
          </w:tcPr>
          <w:p>
            <w:pPr>
              <w:spacing w:after="0"/>
              <w:rPr>
                <w:sz w:val="19"/>
                <w:szCs w:val="19"/>
                <w:color w:val="auto"/>
              </w:rPr>
            </w:pPr>
          </w:p>
        </w:tc>
        <w:tc>
          <w:tcPr>
            <w:tcW w:w="580" w:type="dxa"/>
            <w:vAlign w:val="bottom"/>
            <w:tcBorders>
              <w:top w:val="single" w:sz="8" w:color="D9D9D6"/>
            </w:tcBorders>
            <w:shd w:val="clear" w:color="auto" w:fill="D9D9D6"/>
          </w:tcPr>
          <w:p>
            <w:pPr>
              <w:spacing w:after="0"/>
              <w:rPr>
                <w:sz w:val="19"/>
                <w:szCs w:val="19"/>
                <w:color w:val="auto"/>
              </w:rPr>
            </w:pPr>
          </w:p>
        </w:tc>
        <w:tc>
          <w:tcPr>
            <w:tcW w:w="320" w:type="dxa"/>
            <w:vAlign w:val="bottom"/>
            <w:tcBorders>
              <w:top w:val="single" w:sz="8" w:color="auto"/>
            </w:tcBorders>
            <w:shd w:val="clear" w:color="auto" w:fill="D9D9D6"/>
          </w:tcPr>
          <w:p>
            <w:pPr>
              <w:spacing w:after="0"/>
              <w:rPr>
                <w:sz w:val="19"/>
                <w:szCs w:val="19"/>
                <w:color w:val="auto"/>
              </w:rPr>
            </w:pPr>
          </w:p>
        </w:tc>
        <w:tc>
          <w:tcPr>
            <w:tcW w:w="200" w:type="dxa"/>
            <w:vAlign w:val="bottom"/>
            <w:tcBorders>
              <w:top w:val="single" w:sz="8" w:color="auto"/>
              <w:right w:val="single" w:sz="8" w:color="D9D9D6"/>
            </w:tcBorders>
            <w:shd w:val="clear" w:color="auto" w:fill="D9D9D6"/>
          </w:tcPr>
          <w:p>
            <w:pPr>
              <w:spacing w:after="0"/>
              <w:rPr>
                <w:sz w:val="19"/>
                <w:szCs w:val="19"/>
                <w:color w:val="auto"/>
              </w:rPr>
            </w:pPr>
          </w:p>
        </w:tc>
        <w:tc>
          <w:tcPr>
            <w:tcW w:w="120" w:type="dxa"/>
            <w:vAlign w:val="bottom"/>
            <w:tcBorders>
              <w:top w:val="single" w:sz="8" w:color="D9D9D6"/>
            </w:tcBorders>
            <w:shd w:val="clear" w:color="auto" w:fill="D9D9D6"/>
          </w:tcPr>
          <w:p>
            <w:pPr>
              <w:spacing w:after="0"/>
              <w:rPr>
                <w:sz w:val="19"/>
                <w:szCs w:val="19"/>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$706</w:t>
            </w:r>
          </w:p>
        </w:tc>
        <w:tc>
          <w:tcPr>
            <w:tcW w:w="20" w:type="dxa"/>
            <w:vAlign w:val="bottom"/>
            <w:shd w:val="clear" w:color="auto" w:fill="D9D9D6"/>
          </w:tcPr>
          <w:p>
            <w:pPr>
              <w:spacing w:after="0"/>
              <w:rPr>
                <w:sz w:val="17"/>
                <w:szCs w:val="17"/>
                <w:color w:val="auto"/>
              </w:rPr>
            </w:pPr>
          </w:p>
        </w:tc>
        <w:tc>
          <w:tcPr>
            <w:tcW w:w="1080" w:type="dxa"/>
            <w:vAlign w:val="bottom"/>
            <w:gridSpan w:val="5"/>
            <w:shd w:val="clear" w:color="auto" w:fill="D9D9D6"/>
          </w:tcPr>
          <w:p>
            <w:pPr>
              <w:jc w:val="center"/>
              <w:ind w:left="648"/>
              <w:spacing w:after="0"/>
              <w:rPr>
                <w:sz w:val="20"/>
                <w:szCs w:val="20"/>
                <w:color w:val="auto"/>
              </w:rPr>
            </w:pPr>
            <w:r>
              <w:rPr>
                <w:rFonts w:ascii="Arial" w:cs="Arial" w:eastAsia="Arial" w:hAnsi="Arial"/>
                <w:sz w:val="14"/>
                <w:szCs w:val="14"/>
                <w:color w:val="auto"/>
              </w:rPr>
              <w:t>$654</w:t>
            </w: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8.0</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D9D9D6"/>
          </w:tcPr>
          <w:p>
            <w:pPr>
              <w:spacing w:after="0"/>
              <w:rPr>
                <w:sz w:val="17"/>
                <w:szCs w:val="17"/>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966</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tcBorders>
            <w:gridSpan w:val="4"/>
            <w:shd w:val="clear" w:color="auto" w:fill="D9D9D6"/>
          </w:tcPr>
          <w:p>
            <w:pPr>
              <w:jc w:val="center"/>
              <w:ind w:left="628"/>
              <w:spacing w:after="0"/>
              <w:rPr>
                <w:sz w:val="20"/>
                <w:szCs w:val="20"/>
                <w:color w:val="auto"/>
              </w:rPr>
            </w:pPr>
            <w:r>
              <w:rPr>
                <w:rFonts w:ascii="Arial" w:cs="Arial" w:eastAsia="Arial" w:hAnsi="Arial"/>
                <w:sz w:val="14"/>
                <w:szCs w:val="14"/>
                <w:color w:val="auto"/>
              </w:rPr>
              <w:t>957</w:t>
            </w:r>
          </w:p>
        </w:tc>
        <w:tc>
          <w:tcPr>
            <w:tcW w:w="20" w:type="dxa"/>
            <w:vAlign w:val="bottom"/>
            <w:tcBorders>
              <w:bottom w:val="single" w:sz="8" w:color="auto"/>
            </w:tcBorders>
            <w:shd w:val="clear" w:color="auto" w:fill="D9D9D6"/>
          </w:tcPr>
          <w:p>
            <w:pPr>
              <w:spacing w:after="0"/>
              <w:rPr>
                <w:sz w:val="17"/>
                <w:szCs w:val="17"/>
                <w:color w:val="auto"/>
              </w:rPr>
            </w:pP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auto"/>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D9D9D6"/>
            </w:tcBorders>
            <w:shd w:val="clear" w:color="auto" w:fill="D9D9D6"/>
          </w:tcPr>
          <w:p>
            <w:pPr>
              <w:spacing w:after="0"/>
              <w:rPr>
                <w:sz w:val="17"/>
                <w:szCs w:val="17"/>
                <w:color w:val="auto"/>
              </w:rPr>
            </w:pPr>
          </w:p>
        </w:tc>
      </w:tr>
      <w:tr>
        <w:trPr>
          <w:trHeight w:val="200"/>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($260)</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($303)</w:t>
            </w:r>
          </w:p>
        </w:tc>
        <w:tc>
          <w:tcPr>
            <w:tcW w:w="20" w:type="dxa"/>
            <w:vAlign w:val="bottom"/>
            <w:shd w:val="clear" w:color="auto" w:fill="D9D9D6"/>
          </w:tcPr>
          <w:p>
            <w:pPr>
              <w:spacing w:after="0"/>
              <w:rPr>
                <w:sz w:val="17"/>
                <w:szCs w:val="17"/>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14.1</w:t>
            </w:r>
          </w:p>
        </w:tc>
        <w:tc>
          <w:tcPr>
            <w:tcW w:w="200" w:type="dxa"/>
            <w:vAlign w:val="bottom"/>
            <w:tcBorders>
              <w:right w:val="single" w:sz="8" w:color="D9D9D6"/>
            </w:tcBorders>
            <w:shd w:val="clear" w:color="auto" w:fill="D9D9D6"/>
          </w:tcPr>
          <w:p>
            <w:pPr>
              <w:jc w:val="right"/>
              <w:ind w:right="8"/>
              <w:spacing w:after="0"/>
              <w:rPr>
                <w:sz w:val="20"/>
                <w:szCs w:val="20"/>
                <w:color w:val="auto"/>
              </w:rPr>
            </w:pPr>
            <w:r>
              <w:rPr>
                <w:rFonts w:ascii="Arial" w:cs="Arial" w:eastAsia="Arial" w:hAnsi="Arial"/>
                <w:sz w:val="14"/>
                <w:szCs w:val="14"/>
                <w:b w:val="1"/>
                <w:bCs w:val="1"/>
                <w:color w:val="auto"/>
                <w:w w:val="79"/>
              </w:rPr>
              <w:t>%</w:t>
            </w:r>
          </w:p>
        </w:tc>
        <w:tc>
          <w:tcPr>
            <w:tcW w:w="120" w:type="dxa"/>
            <w:vAlign w:val="bottom"/>
          </w:tcPr>
          <w:p>
            <w:pPr>
              <w:spacing w:after="0"/>
              <w:rPr>
                <w:sz w:val="17"/>
                <w:szCs w:val="17"/>
                <w:color w:val="auto"/>
              </w:rPr>
            </w:pPr>
          </w:p>
        </w:tc>
      </w:tr>
      <w:tr>
        <w:trPr>
          <w:trHeight w:val="419"/>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Eliminations</w:t>
            </w:r>
          </w:p>
        </w:tc>
        <w:tc>
          <w:tcPr>
            <w:tcW w:w="72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56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5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0" w:type="dxa"/>
            <w:vAlign w:val="bottom"/>
            <w:tcBorders>
              <w:right w:val="single" w:sz="8" w:color="D9D9D6"/>
            </w:tcBorders>
            <w:shd w:val="clear" w:color="auto" w:fill="D9D9D6"/>
          </w:tcPr>
          <w:p>
            <w:pPr>
              <w:spacing w:after="0"/>
              <w:rPr>
                <w:sz w:val="24"/>
                <w:szCs w:val="24"/>
                <w:color w:val="auto"/>
              </w:rPr>
            </w:pPr>
          </w:p>
        </w:tc>
        <w:tc>
          <w:tcPr>
            <w:tcW w:w="120" w:type="dxa"/>
            <w:vAlign w:val="bottom"/>
          </w:tcPr>
          <w:p>
            <w:pPr>
              <w:spacing w:after="0"/>
              <w:rPr>
                <w:sz w:val="24"/>
                <w:szCs w:val="24"/>
                <w:color w:val="auto"/>
              </w:rPr>
            </w:pPr>
          </w:p>
        </w:tc>
      </w:tr>
      <w:tr>
        <w:trPr>
          <w:trHeight w:val="202"/>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($1,320)</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($1,373)</w:t>
            </w:r>
          </w:p>
        </w:tc>
        <w:tc>
          <w:tcPr>
            <w:tcW w:w="20" w:type="dxa"/>
            <w:vAlign w:val="bottom"/>
            <w:shd w:val="clear" w:color="auto" w:fill="D9D9D6"/>
          </w:tcPr>
          <w:p>
            <w:pPr>
              <w:spacing w:after="0"/>
              <w:rPr>
                <w:sz w:val="17"/>
                <w:szCs w:val="17"/>
                <w:color w:val="auto"/>
              </w:rPr>
            </w:pPr>
          </w:p>
        </w:tc>
        <w:tc>
          <w:tcPr>
            <w:tcW w:w="1100" w:type="dxa"/>
            <w:vAlign w:val="bottom"/>
            <w:tcBorders>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(3.8 %)</w:t>
            </w:r>
          </w:p>
        </w:tc>
        <w:tc>
          <w:tcPr>
            <w:tcW w:w="120" w:type="dxa"/>
            <w:vAlign w:val="bottom"/>
          </w:tcPr>
          <w:p>
            <w:pPr>
              <w:spacing w:after="0"/>
              <w:rPr>
                <w:sz w:val="17"/>
                <w:szCs w:val="17"/>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(1,320)</w:t>
            </w:r>
          </w:p>
        </w:tc>
        <w:tc>
          <w:tcPr>
            <w:tcW w:w="20" w:type="dxa"/>
            <w:vAlign w:val="bottom"/>
            <w:tcBorders>
              <w:bottom w:val="single" w:sz="8" w:color="auto"/>
            </w:tcBorders>
            <w:shd w:val="clear" w:color="auto" w:fill="D9D9D6"/>
          </w:tcPr>
          <w:p>
            <w:pPr>
              <w:spacing w:after="0"/>
              <w:rPr>
                <w:sz w:val="17"/>
                <w:szCs w:val="17"/>
                <w:color w:val="auto"/>
              </w:rPr>
            </w:pPr>
          </w:p>
        </w:tc>
        <w:tc>
          <w:tcPr>
            <w:tcW w:w="106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(1,386)</w:t>
            </w:r>
          </w:p>
        </w:tc>
        <w:tc>
          <w:tcPr>
            <w:tcW w:w="20" w:type="dxa"/>
            <w:vAlign w:val="bottom"/>
            <w:tcBorders>
              <w:bottom w:val="single" w:sz="8" w:color="auto"/>
            </w:tcBorders>
            <w:shd w:val="clear" w:color="auto" w:fill="D9D9D6"/>
          </w:tcPr>
          <w:p>
            <w:pPr>
              <w:spacing w:after="0"/>
              <w:rPr>
                <w:sz w:val="17"/>
                <w:szCs w:val="17"/>
                <w:color w:val="auto"/>
              </w:rPr>
            </w:pPr>
          </w:p>
        </w:tc>
        <w:tc>
          <w:tcPr>
            <w:tcW w:w="1100" w:type="dxa"/>
            <w:vAlign w:val="bottom"/>
            <w:tcBorders>
              <w:bottom w:val="single" w:sz="8" w:color="auto"/>
              <w:right w:val="single" w:sz="8" w:color="D9D9D6"/>
            </w:tcBorders>
            <w:gridSpan w:val="3"/>
            <w:shd w:val="clear" w:color="auto" w:fill="D9D9D6"/>
          </w:tcPr>
          <w:p>
            <w:pPr>
              <w:jc w:val="right"/>
              <w:spacing w:after="0"/>
              <w:rPr>
                <w:sz w:val="20"/>
                <w:szCs w:val="20"/>
                <w:color w:val="auto"/>
              </w:rPr>
            </w:pPr>
            <w:r>
              <w:rPr>
                <w:rFonts w:ascii="Arial" w:cs="Arial" w:eastAsia="Arial" w:hAnsi="Arial"/>
                <w:sz w:val="14"/>
                <w:szCs w:val="14"/>
                <w:color w:val="auto"/>
              </w:rPr>
              <w:t>(4.8 %)</w:t>
            </w:r>
          </w:p>
        </w:tc>
        <w:tc>
          <w:tcPr>
            <w:tcW w:w="120" w:type="dxa"/>
            <w:vAlign w:val="bottom"/>
          </w:tcPr>
          <w:p>
            <w:pPr>
              <w:spacing w:after="0"/>
              <w:rPr>
                <w:sz w:val="17"/>
                <w:szCs w:val="17"/>
                <w:color w:val="auto"/>
              </w:rPr>
            </w:pPr>
          </w:p>
        </w:tc>
      </w:tr>
      <w:tr>
        <w:trPr>
          <w:trHeight w:val="203"/>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w:t>
            </w:r>
          </w:p>
        </w:tc>
        <w:tc>
          <w:tcPr>
            <w:tcW w:w="20" w:type="dxa"/>
            <w:vAlign w:val="bottom"/>
            <w:shd w:val="clear" w:color="auto" w:fill="D9D9D6"/>
          </w:tcPr>
          <w:p>
            <w:pPr>
              <w:spacing w:after="0"/>
              <w:rPr>
                <w:sz w:val="17"/>
                <w:szCs w:val="17"/>
                <w:color w:val="auto"/>
              </w:rPr>
            </w:pPr>
          </w:p>
        </w:tc>
        <w:tc>
          <w:tcPr>
            <w:tcW w:w="1060" w:type="dxa"/>
            <w:vAlign w:val="bottom"/>
            <w:gridSpan w:val="4"/>
            <w:shd w:val="clear" w:color="auto" w:fill="D9D9D6"/>
          </w:tcPr>
          <w:p>
            <w:pPr>
              <w:jc w:val="center"/>
              <w:ind w:left="628"/>
              <w:spacing w:after="0"/>
              <w:rPr>
                <w:sz w:val="20"/>
                <w:szCs w:val="20"/>
                <w:color w:val="auto"/>
              </w:rPr>
            </w:pPr>
            <w:r>
              <w:rPr>
                <w:rFonts w:ascii="Arial" w:cs="Arial" w:eastAsia="Arial" w:hAnsi="Arial"/>
                <w:sz w:val="14"/>
                <w:szCs w:val="14"/>
                <w:b w:val="1"/>
                <w:bCs w:val="1"/>
                <w:color w:val="auto"/>
              </w:rPr>
              <w:t>$14</w:t>
            </w:r>
          </w:p>
        </w:tc>
        <w:tc>
          <w:tcPr>
            <w:tcW w:w="20" w:type="dxa"/>
            <w:vAlign w:val="bottom"/>
            <w:shd w:val="clear" w:color="auto" w:fill="D9D9D6"/>
          </w:tcPr>
          <w:p>
            <w:pPr>
              <w:spacing w:after="0"/>
              <w:rPr>
                <w:sz w:val="17"/>
                <w:szCs w:val="17"/>
                <w:color w:val="auto"/>
              </w:rPr>
            </w:pPr>
          </w:p>
        </w:tc>
        <w:tc>
          <w:tcPr>
            <w:tcW w:w="580" w:type="dxa"/>
            <w:vAlign w:val="bottom"/>
            <w:shd w:val="clear" w:color="auto" w:fill="D9D9D6"/>
          </w:tcPr>
          <w:p>
            <w:pPr>
              <w:spacing w:after="0"/>
              <w:rPr>
                <w:sz w:val="17"/>
                <w:szCs w:val="17"/>
                <w:color w:val="auto"/>
              </w:rPr>
            </w:pPr>
          </w:p>
        </w:tc>
        <w:tc>
          <w:tcPr>
            <w:tcW w:w="520" w:type="dxa"/>
            <w:vAlign w:val="bottom"/>
            <w:tcBorders>
              <w:right w:val="single" w:sz="8" w:color="D9D9D6"/>
            </w:tcBorders>
            <w:gridSpan w:val="2"/>
            <w:shd w:val="clear" w:color="auto" w:fill="D9D9D6"/>
          </w:tcPr>
          <w:p>
            <w:pPr>
              <w:jc w:val="right"/>
              <w:ind w:right="48"/>
              <w:spacing w:after="0"/>
              <w:rPr>
                <w:sz w:val="20"/>
                <w:szCs w:val="20"/>
                <w:color w:val="auto"/>
              </w:rPr>
            </w:pPr>
            <w:r>
              <w:rPr>
                <w:rFonts w:ascii="Arial" w:cs="Arial" w:eastAsia="Arial" w:hAnsi="Arial"/>
                <w:sz w:val="14"/>
                <w:szCs w:val="14"/>
                <w:b w:val="1"/>
                <w:bCs w:val="1"/>
                <w:color w:val="auto"/>
              </w:rPr>
              <w:t>NM</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-1542415</wp:posOffset>
            </wp:positionV>
            <wp:extent cx="7063740" cy="1705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170561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NM=comparison 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Corporate &amp; Other primarily includes overhead and personnel costs; our Sky-branded video services and television networks in Germany; Comcast Spectacor, which owns the Philadelphia Flyers and the Wells Fargo Center arena in Philadelphia, Pennsylvania; and Xumo. Corporate &amp; Other Adjusted EBITDA increased primarily due to an increase related to Sky operations in Germany.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$ 1.3 billion, compared to $ 1.4 billion in the prior year period, and Adjusted EBITDA eliminations were a loss of $1 million compared to a benefit of $14 million in the prior year period.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584" w:right="3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397510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t>Notes:</w:t>
      </w:r>
    </w:p>
    <w:p>
      <w:pPr>
        <w:spacing w:after="0" w:line="90"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25"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7"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28" w:lineRule="exact"/>
        <w:rPr>
          <w:sz w:val="20"/>
          <w:szCs w:val="20"/>
          <w:color w:val="auto"/>
        </w:rPr>
      </w:pPr>
    </w:p>
    <w:p>
      <w:pPr>
        <w:jc w:val="both"/>
        <w:ind w:left="180" w:hanging="161"/>
        <w:spacing w:after="0" w:line="268" w:lineRule="auto"/>
        <w:rPr>
          <w:sz w:val="20"/>
          <w:szCs w:val="20"/>
          <w:color w:val="auto"/>
        </w:rPr>
      </w:pPr>
      <w:r>
        <w:rPr>
          <w:rFonts w:ascii="Arial" w:cs="Arial" w:eastAsia="Arial" w:hAnsi="Arial"/>
          <w:sz w:val="18"/>
          <w:szCs w:val="18"/>
          <w:color w:val="auto"/>
        </w:rPr>
        <w:t>5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See Table 6 for reconciliations of non-GAAP financial measures.</w:t>
      </w:r>
    </w:p>
    <w:p>
      <w:pPr>
        <w:spacing w:after="0" w:line="117" w:lineRule="exact"/>
        <w:rPr>
          <w:sz w:val="20"/>
          <w:szCs w:val="20"/>
          <w:color w:val="auto"/>
        </w:rPr>
      </w:pPr>
    </w:p>
    <w:p>
      <w:pPr>
        <w:jc w:val="both"/>
        <w:ind w:left="180" w:hanging="161"/>
        <w:spacing w:after="0" w:line="259"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Numerical information is presented on a rounded basis using actual amounts, unless otherwise noted. The change in Peacock paid subscribers is calculated using rounded paid subscriber amounts. Minor differences in totals and percentage calculations may exist due to rounding.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July 23, 2024,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A replay of the call will be available today, July 23, 2024, starting at 11:30 a.m. ET on the Investor Relations website.</w:t>
      </w:r>
    </w:p>
    <w:p>
      <w:pPr>
        <w:spacing w:after="0" w:line="20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80" w:type="dxa"/>
            <w:vAlign w:val="bottom"/>
          </w:tcPr>
          <w:p>
            <w:pPr>
              <w:jc w:val="right"/>
              <w:ind w:right="2221"/>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5"/>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720" w:type="dxa"/>
            <w:vAlign w:val="bottom"/>
          </w:tcPr>
          <w:p>
            <w:pPr>
              <w:ind w:left="20"/>
              <w:spacing w:after="0"/>
              <w:rPr>
                <w:sz w:val="20"/>
                <w:szCs w:val="20"/>
                <w:color w:val="auto"/>
              </w:rPr>
            </w:pPr>
            <w:r>
              <w:rPr>
                <w:rFonts w:ascii="Arial" w:cs="Arial" w:eastAsia="Arial" w:hAnsi="Arial"/>
                <w:sz w:val="16"/>
                <w:szCs w:val="16"/>
                <w:color w:val="auto"/>
              </w:rPr>
              <w:t>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547"/>
        </w:trPr>
        <w:tc>
          <w:tcPr>
            <w:tcW w:w="1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80" w:type="dxa"/>
            <w:vAlign w:val="bottom"/>
          </w:tcPr>
          <w:p>
            <w:pPr>
              <w:jc w:val="right"/>
              <w:ind w:right="2321"/>
              <w:spacing w:after="0"/>
              <w:rPr>
                <w:sz w:val="20"/>
                <w:szCs w:val="20"/>
                <w:color w:val="auto"/>
              </w:rPr>
            </w:pPr>
            <w:r>
              <w:rPr>
                <w:rFonts w:ascii="Arial" w:cs="Arial" w:eastAsia="Arial" w:hAnsi="Arial"/>
                <w:sz w:val="14"/>
                <w:szCs w:val="14"/>
                <w:color w:val="auto"/>
              </w:rPr>
              <w:t>8</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240"/>
          </w:cols>
          <w:pgMar w:left="320" w:top="63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35"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328930</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4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Three Months Ended</w:t>
            </w:r>
          </w:p>
        </w:tc>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4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9"/>
              </w:rPr>
              <w:t>June 30,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$29,688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$30,513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$59,746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$60,205</w:t>
            </w:r>
          </w:p>
        </w:tc>
        <w:tc>
          <w:tcPr>
            <w:tcW w:w="0" w:type="dxa"/>
            <w:vAlign w:val="bottom"/>
          </w:tcPr>
          <w:p>
            <w:pPr>
              <w:spacing w:after="0"/>
              <w:rPr>
                <w:sz w:val="1"/>
                <w:szCs w:val="1"/>
                <w:color w:val="auto"/>
              </w:rPr>
            </w:pPr>
          </w:p>
        </w:tc>
      </w:tr>
      <w:tr>
        <w:trPr>
          <w:trHeight w:val="477"/>
        </w:trPr>
        <w:tc>
          <w:tcPr>
            <w:tcW w:w="654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7,961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8,849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16,784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17,853</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1,922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3,940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4,063</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9,630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9,317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19,487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18,618</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2,195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4,328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4,459</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1,387</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2,762</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23,053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23,804</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47,301</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47,849</w:t>
            </w:r>
          </w:p>
        </w:tc>
        <w:tc>
          <w:tcPr>
            <w:tcW w:w="0" w:type="dxa"/>
            <w:vAlign w:val="bottom"/>
          </w:tcPr>
          <w:p>
            <w:pPr>
              <w:spacing w:after="0"/>
              <w:rPr>
                <w:sz w:val="1"/>
                <w:szCs w:val="1"/>
                <w:color w:val="auto"/>
              </w:rPr>
            </w:pPr>
          </w:p>
        </w:tc>
      </w:tr>
      <w:tr>
        <w:trPr>
          <w:trHeight w:val="418"/>
        </w:trPr>
        <w:tc>
          <w:tcPr>
            <w:tcW w:w="65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6,635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6,709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12,445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12,355</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(1,026)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(998)</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478"/>
        </w:trPr>
        <w:tc>
          <w:tcPr>
            <w:tcW w:w="65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(286)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6"/>
        </w:trPr>
        <w:tc>
          <w:tcPr>
            <w:tcW w:w="654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654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9"/>
        </w:trPr>
        <w:tc>
          <w:tcPr>
            <w:tcW w:w="65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5,175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5,726</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10,280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10,970</w:t>
            </w:r>
          </w:p>
        </w:tc>
        <w:tc>
          <w:tcPr>
            <w:tcW w:w="0" w:type="dxa"/>
            <w:vAlign w:val="bottom"/>
          </w:tcPr>
          <w:p>
            <w:pPr>
              <w:spacing w:after="0"/>
              <w:rPr>
                <w:sz w:val="1"/>
                <w:szCs w:val="1"/>
                <w:color w:val="auto"/>
              </w:rPr>
            </w:pPr>
          </w:p>
        </w:tc>
      </w:tr>
      <w:tr>
        <w:trPr>
          <w:trHeight w:val="480"/>
        </w:trPr>
        <w:tc>
          <w:tcPr>
            <w:tcW w:w="654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(1,336)</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(2,663)</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(3,013)</w:t>
            </w:r>
          </w:p>
        </w:tc>
        <w:tc>
          <w:tcPr>
            <w:tcW w:w="0" w:type="dxa"/>
            <w:vAlign w:val="bottom"/>
          </w:tcPr>
          <w:p>
            <w:pPr>
              <w:spacing w:after="0"/>
              <w:rPr>
                <w:sz w:val="1"/>
                <w:szCs w:val="1"/>
                <w:color w:val="auto"/>
              </w:rPr>
            </w:pPr>
          </w:p>
        </w:tc>
      </w:tr>
      <w:tr>
        <w:trPr>
          <w:trHeight w:val="472"/>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3,839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4,189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7,957</w:t>
            </w:r>
          </w:p>
        </w:tc>
        <w:tc>
          <w:tcPr>
            <w:tcW w:w="0" w:type="dxa"/>
            <w:vAlign w:val="bottom"/>
          </w:tcPr>
          <w:p>
            <w:pPr>
              <w:spacing w:after="0"/>
              <w:rPr>
                <w:sz w:val="1"/>
                <w:szCs w:val="1"/>
                <w:color w:val="auto"/>
              </w:rPr>
            </w:pPr>
          </w:p>
        </w:tc>
      </w:tr>
      <w:tr>
        <w:trPr>
          <w:trHeight w:val="486"/>
        </w:trPr>
        <w:tc>
          <w:tcPr>
            <w:tcW w:w="65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$4,248</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$7,785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540" w:type="dxa"/>
            <w:vAlign w:val="bottom"/>
            <w:vMerge w:val="continue"/>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89"/>
        </w:trPr>
        <w:tc>
          <w:tcPr>
            <w:tcW w:w="6540" w:type="dxa"/>
            <w:vAlign w:val="bottom"/>
          </w:tcPr>
          <w:p>
            <w:pPr>
              <w:ind w:left="160"/>
              <w:spacing w:after="0"/>
              <w:rPr>
                <w:sz w:val="20"/>
                <w:szCs w:val="20"/>
                <w:color w:val="auto"/>
              </w:rPr>
            </w:pPr>
            <w:r>
              <w:rPr>
                <w:rFonts w:ascii="Arial" w:cs="Arial" w:eastAsia="Arial" w:hAnsi="Arial"/>
                <w:sz w:val="16"/>
                <w:szCs w:val="16"/>
                <w:b w:val="1"/>
                <w:bCs w:val="1"/>
                <w:color w:val="auto"/>
              </w:rPr>
              <w:t>shareholders</w:t>
            </w: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5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3,920</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4,183</w:t>
            </w:r>
          </w:p>
        </w:tc>
        <w:tc>
          <w:tcPr>
            <w:tcW w:w="2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3,956</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736" w:right="3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354965</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4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Pr>
          <w:p>
            <w:pPr>
              <w:spacing w:after="0"/>
              <w:rPr>
                <w:sz w:val="18"/>
                <w:szCs w:val="18"/>
                <w:color w:val="auto"/>
              </w:rPr>
            </w:pPr>
          </w:p>
        </w:tc>
      </w:tr>
      <w:tr>
        <w:trPr>
          <w:trHeight w:val="217"/>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2023</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$7,616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$7,957</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7,091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7,315</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689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(648)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17"/>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12,572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14,426</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(5,354)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(5,627)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(1,341)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(6,879)</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(7,528)</w:t>
            </w:r>
          </w:p>
        </w:tc>
      </w:tr>
      <w:tr>
        <w:trPr>
          <w:trHeight w:val="411"/>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(repayments of) short-term borrowings, net</w:t>
            </w:r>
          </w:p>
        </w:tc>
        <w:tc>
          <w:tcPr>
            <w:tcW w:w="154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6,044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(4,930)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(4,227)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(2,418)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(2,387)</w:t>
            </w:r>
          </w:p>
        </w:tc>
      </w:tr>
      <w:tr>
        <w:trPr>
          <w:trHeight w:val="217"/>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(5,817)</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(4,492)</w:t>
            </w:r>
          </w:p>
        </w:tc>
      </w:tr>
      <w:tr>
        <w:trPr>
          <w:trHeight w:val="418"/>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2,420</w:t>
            </w:r>
          </w:p>
        </w:tc>
      </w:tr>
      <w:tr>
        <w:trPr>
          <w:trHeight w:val="426"/>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6,282</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$7,202</w:t>
            </w:r>
          </w:p>
        </w:tc>
      </w:tr>
      <w:tr>
        <w:trPr>
          <w:trHeight w:val="20"/>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40" w:top="777" w:right="3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328930</wp:posOffset>
            </wp:positionV>
            <wp:extent cx="102870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2480" w:type="dxa"/>
            <w:vAlign w:val="bottom"/>
          </w:tcPr>
          <w:p>
            <w:pPr>
              <w:spacing w:after="0"/>
              <w:rPr>
                <w:sz w:val="18"/>
                <w:szCs w:val="18"/>
                <w:color w:val="auto"/>
              </w:rPr>
            </w:pPr>
          </w:p>
        </w:tc>
        <w:tc>
          <w:tcPr>
            <w:tcW w:w="1840" w:type="dxa"/>
            <w:vAlign w:val="bottom"/>
            <w:gridSpan w:val="2"/>
          </w:tcPr>
          <w:p>
            <w:pPr>
              <w:ind w:left="480"/>
              <w:spacing w:after="0"/>
              <w:rPr>
                <w:sz w:val="20"/>
                <w:szCs w:val="20"/>
                <w:color w:val="auto"/>
              </w:rPr>
            </w:pPr>
            <w:r>
              <w:rPr>
                <w:rFonts w:ascii="Arial" w:cs="Arial" w:eastAsia="Arial" w:hAnsi="Arial"/>
                <w:sz w:val="16"/>
                <w:szCs w:val="16"/>
                <w:b w:val="1"/>
                <w:bCs w:val="1"/>
                <w:color w:val="auto"/>
              </w:rPr>
              <w:t>June 30,</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40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8"/>
                <w:szCs w:val="18"/>
                <w:color w:val="auto"/>
              </w:rPr>
            </w:pP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0"/>
                <w:szCs w:val="20"/>
                <w:color w:val="auto"/>
              </w:rPr>
            </w:pPr>
            <w:r>
              <w:rPr>
                <w:rFonts w:ascii="Arial" w:cs="Arial" w:eastAsia="Arial" w:hAnsi="Arial"/>
                <w:sz w:val="16"/>
                <w:szCs w:val="16"/>
                <w:color w:val="auto"/>
              </w:rPr>
              <w:t>Current Assets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$6,065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$6,215</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Receivables,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13,167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13,813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Other current assets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4,220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3,959</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23,452</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23,987</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Film and television costs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12,853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12,920</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Investments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9,171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9,385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60,507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59,686</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Goodwill</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58,376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59,268</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Franchise rights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59,365</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26,363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27,867</w:t>
            </w:r>
          </w:p>
        </w:tc>
        <w:tc>
          <w:tcPr>
            <w:tcW w:w="0" w:type="dxa"/>
            <w:vAlign w:val="bottom"/>
          </w:tcPr>
          <w:p>
            <w:pPr>
              <w:spacing w:after="0"/>
              <w:rPr>
                <w:sz w:val="1"/>
                <w:szCs w:val="1"/>
                <w:color w:val="auto"/>
              </w:rPr>
            </w:pPr>
          </w:p>
        </w:tc>
      </w:tr>
      <w:tr>
        <w:trPr>
          <w:trHeight w:val="426"/>
        </w:trPr>
        <w:tc>
          <w:tcPr>
            <w:tcW w:w="5300" w:type="dxa"/>
            <w:vAlign w:val="bottom"/>
          </w:tcPr>
          <w:p>
            <w:pPr>
              <w:spacing w:after="0"/>
              <w:rPr>
                <w:sz w:val="20"/>
                <w:szCs w:val="20"/>
                <w:color w:val="auto"/>
              </w:rPr>
            </w:pPr>
            <w:r>
              <w:rPr>
                <w:rFonts w:ascii="Arial" w:cs="Arial" w:eastAsia="Arial" w:hAnsi="Arial"/>
                <w:sz w:val="16"/>
                <w:szCs w:val="16"/>
                <w:color w:val="auto"/>
              </w:rPr>
              <w:t>Other noncurrent assets, net</w:t>
            </w:r>
          </w:p>
        </w:tc>
        <w:tc>
          <w:tcPr>
            <w:tcW w:w="24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12,468</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12,333</w:t>
            </w:r>
          </w:p>
        </w:tc>
        <w:tc>
          <w:tcPr>
            <w:tcW w:w="0" w:type="dxa"/>
            <w:vAlign w:val="bottom"/>
          </w:tcPr>
          <w:p>
            <w:pPr>
              <w:spacing w:after="0"/>
              <w:rPr>
                <w:sz w:val="1"/>
                <w:szCs w:val="1"/>
                <w:color w:val="auto"/>
              </w:rPr>
            </w:pPr>
          </w:p>
        </w:tc>
      </w:tr>
      <w:tr>
        <w:trPr>
          <w:trHeight w:val="385"/>
        </w:trPr>
        <w:tc>
          <w:tcPr>
            <w:tcW w:w="53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$262,555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$264,811</w:t>
            </w:r>
          </w:p>
        </w:tc>
        <w:tc>
          <w:tcPr>
            <w:tcW w:w="0" w:type="dxa"/>
            <w:vAlign w:val="bottom"/>
          </w:tcPr>
          <w:p>
            <w:pPr>
              <w:spacing w:after="0"/>
              <w:rPr>
                <w:sz w:val="1"/>
                <w:szCs w:val="1"/>
                <w:color w:val="auto"/>
              </w:rPr>
            </w:pPr>
          </w:p>
        </w:tc>
      </w:tr>
      <w:tr>
        <w:trPr>
          <w:trHeight w:val="20"/>
        </w:trPr>
        <w:tc>
          <w:tcPr>
            <w:tcW w:w="5300" w:type="dxa"/>
            <w:vAlign w:val="bottom"/>
            <w:vMerge w:val="continu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5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$11,736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$12,437</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participations and residuals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1,520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3,943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7,955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11,613</w:t>
            </w:r>
          </w:p>
        </w:tc>
        <w:tc>
          <w:tcPr>
            <w:tcW w:w="0" w:type="dxa"/>
            <w:vAlign w:val="bottom"/>
          </w:tcPr>
          <w:p>
            <w:pPr>
              <w:spacing w:after="0"/>
              <w:rPr>
                <w:sz w:val="1"/>
                <w:szCs w:val="1"/>
                <w:color w:val="auto"/>
              </w:rPr>
            </w:pPr>
          </w:p>
        </w:tc>
      </w:tr>
      <w:tr>
        <w:trPr>
          <w:trHeight w:val="216"/>
        </w:trPr>
        <w:tc>
          <w:tcPr>
            <w:tcW w:w="5300" w:type="dxa"/>
            <w:vAlign w:val="bottom"/>
          </w:tcPr>
          <w:p>
            <w:pPr>
              <w:ind w:left="340"/>
              <w:spacing w:after="0"/>
              <w:rPr>
                <w:sz w:val="20"/>
                <w:szCs w:val="20"/>
                <w:color w:val="auto"/>
              </w:rPr>
            </w:pPr>
            <w:r>
              <w:rPr>
                <w:rFonts w:ascii="Arial" w:cs="Arial" w:eastAsia="Arial" w:hAnsi="Arial"/>
                <w:sz w:val="16"/>
                <w:szCs w:val="16"/>
                <w:color w:val="auto"/>
              </w:rPr>
              <w:t>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1,021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Advance on sale of investment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9,167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35,342</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40,198</w:t>
            </w:r>
          </w:p>
        </w:tc>
        <w:tc>
          <w:tcPr>
            <w:tcW w:w="0" w:type="dxa"/>
            <w:vAlign w:val="bottom"/>
          </w:tcPr>
          <w:p>
            <w:pPr>
              <w:spacing w:after="0"/>
              <w:rPr>
                <w:sz w:val="1"/>
                <w:szCs w:val="1"/>
                <w:color w:val="auto"/>
              </w:rPr>
            </w:pPr>
          </w:p>
        </w:tc>
      </w:tr>
      <w:tr>
        <w:trPr>
          <w:trHeight w:val="418"/>
        </w:trPr>
        <w:tc>
          <w:tcPr>
            <w:tcW w:w="5300" w:type="dxa"/>
            <w:vAlign w:val="bottom"/>
          </w:tcPr>
          <w:p>
            <w:pPr>
              <w:spacing w:after="0"/>
              <w:rPr>
                <w:sz w:val="20"/>
                <w:szCs w:val="20"/>
                <w:color w:val="auto"/>
              </w:rPr>
            </w:pPr>
            <w:r>
              <w:rPr>
                <w:rFonts w:ascii="Arial" w:cs="Arial" w:eastAsia="Arial" w:hAnsi="Arial"/>
                <w:sz w:val="16"/>
                <w:szCs w:val="16"/>
                <w:color w:val="auto"/>
              </w:rPr>
              <w:t>Noncurrent portion of debt</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97,107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95,021</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Deferred income taxes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26,252</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26,003</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19,914</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20,122</w:t>
            </w:r>
          </w:p>
        </w:tc>
        <w:tc>
          <w:tcPr>
            <w:tcW w:w="0" w:type="dxa"/>
            <w:vAlign w:val="bottom"/>
          </w:tcPr>
          <w:p>
            <w:pPr>
              <w:spacing w:after="0"/>
              <w:rPr>
                <w:sz w:val="1"/>
                <w:szCs w:val="1"/>
                <w:color w:val="auto"/>
              </w:rPr>
            </w:pPr>
          </w:p>
        </w:tc>
      </w:tr>
      <w:tr>
        <w:trPr>
          <w:trHeight w:val="432"/>
        </w:trPr>
        <w:tc>
          <w:tcPr>
            <w:tcW w:w="53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236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424"/>
        </w:trPr>
        <w:tc>
          <w:tcPr>
            <w:tcW w:w="5300" w:type="dxa"/>
            <w:vAlign w:val="bottom"/>
          </w:tcPr>
          <w:p>
            <w:pPr>
              <w:spacing w:after="0"/>
              <w:rPr>
                <w:sz w:val="20"/>
                <w:szCs w:val="20"/>
                <w:color w:val="auto"/>
              </w:rPr>
            </w:pPr>
            <w:r>
              <w:rPr>
                <w:rFonts w:ascii="Arial" w:cs="Arial" w:eastAsia="Arial" w:hAnsi="Arial"/>
                <w:sz w:val="16"/>
                <w:szCs w:val="16"/>
                <w:color w:val="auto"/>
              </w:rPr>
              <w:t>Equity</w:t>
            </w:r>
          </w:p>
        </w:tc>
        <w:tc>
          <w:tcPr>
            <w:tcW w:w="2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Comcast Corporation shareholders' equity</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83,219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82,703</w:t>
            </w:r>
          </w:p>
        </w:tc>
        <w:tc>
          <w:tcPr>
            <w:tcW w:w="0" w:type="dxa"/>
            <w:vAlign w:val="bottom"/>
          </w:tcPr>
          <w:p>
            <w:pPr>
              <w:spacing w:after="0"/>
              <w:rPr>
                <w:sz w:val="1"/>
                <w:szCs w:val="1"/>
                <w:color w:val="auto"/>
              </w:rPr>
            </w:pPr>
          </w:p>
        </w:tc>
      </w:tr>
      <w:tr>
        <w:trPr>
          <w:trHeight w:val="217"/>
        </w:trPr>
        <w:tc>
          <w:tcPr>
            <w:tcW w:w="5300" w:type="dxa"/>
            <w:vAlign w:val="bottom"/>
          </w:tcPr>
          <w:p>
            <w:pPr>
              <w:ind w:left="340"/>
              <w:spacing w:after="0"/>
              <w:rPr>
                <w:sz w:val="20"/>
                <w:szCs w:val="20"/>
                <w:color w:val="auto"/>
              </w:rPr>
            </w:pPr>
            <w:r>
              <w:rPr>
                <w:rFonts w:ascii="Arial" w:cs="Arial" w:eastAsia="Arial" w:hAnsi="Arial"/>
                <w:sz w:val="16"/>
                <w:szCs w:val="16"/>
                <w:color w:val="auto"/>
              </w:rPr>
              <w:t>Noncontrolling interests</w:t>
            </w: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485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09"/>
        </w:trPr>
        <w:tc>
          <w:tcPr>
            <w:tcW w:w="5300" w:type="dxa"/>
            <w:vAlign w:val="bottom"/>
          </w:tcPr>
          <w:p>
            <w:pPr>
              <w:ind w:left="460"/>
              <w:spacing w:after="0"/>
              <w:rPr>
                <w:sz w:val="20"/>
                <w:szCs w:val="20"/>
                <w:color w:val="auto"/>
              </w:rPr>
            </w:pPr>
            <w:r>
              <w:rPr>
                <w:rFonts w:ascii="Arial" w:cs="Arial" w:eastAsia="Arial" w:hAnsi="Arial"/>
                <w:sz w:val="16"/>
                <w:szCs w:val="16"/>
                <w:color w:val="auto"/>
              </w:rPr>
              <w:t>Total equity</w:t>
            </w:r>
          </w:p>
        </w:tc>
        <w:tc>
          <w:tcPr>
            <w:tcW w:w="248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83,704</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83,226</w:t>
            </w:r>
          </w:p>
        </w:tc>
        <w:tc>
          <w:tcPr>
            <w:tcW w:w="0" w:type="dxa"/>
            <w:vAlign w:val="bottom"/>
          </w:tcPr>
          <w:p>
            <w:pPr>
              <w:spacing w:after="0"/>
              <w:rPr>
                <w:sz w:val="1"/>
                <w:szCs w:val="1"/>
                <w:color w:val="auto"/>
              </w:rPr>
            </w:pPr>
          </w:p>
        </w:tc>
      </w:tr>
      <w:tr>
        <w:trPr>
          <w:trHeight w:val="412"/>
        </w:trPr>
        <w:tc>
          <w:tcPr>
            <w:tcW w:w="5300" w:type="dxa"/>
            <w:vAlign w:val="bottom"/>
          </w:tcPr>
          <w:p>
            <w:pPr>
              <w:spacing w:after="0"/>
              <w:rPr>
                <w:sz w:val="24"/>
                <w:szCs w:val="24"/>
                <w:color w:val="auto"/>
              </w:rPr>
            </w:pPr>
          </w:p>
        </w:tc>
        <w:tc>
          <w:tcPr>
            <w:tcW w:w="4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$262,555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$264,811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80" w:type="dxa"/>
            <w:vAlign w:val="bottom"/>
            <w:vMerge w:val="restart"/>
          </w:tcPr>
          <w:p>
            <w:pPr>
              <w:jc w:val="right"/>
              <w:ind w:right="2019"/>
              <w:spacing w:after="0"/>
              <w:rPr>
                <w:sz w:val="20"/>
                <w:szCs w:val="20"/>
                <w:color w:val="auto"/>
              </w:rPr>
            </w:pPr>
            <w:r>
              <w:rPr>
                <w:rFonts w:ascii="Arial" w:cs="Arial" w:eastAsia="Arial" w:hAnsi="Arial"/>
                <w:sz w:val="14"/>
                <w:szCs w:val="14"/>
                <w:color w:val="auto"/>
              </w:rPr>
              <w:t>12</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1"/>
        </w:trPr>
        <w:tc>
          <w:tcPr>
            <w:tcW w:w="5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736" w:right="3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5835015</wp:posOffset>
            </wp:positionH>
            <wp:positionV relativeFrom="paragraph">
              <wp:posOffset>-166370</wp:posOffset>
            </wp:positionV>
            <wp:extent cx="1028700" cy="436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0" cy="436880"/>
                    </a:xfrm>
                    <a:prstGeom prst="rect">
                      <a:avLst/>
                    </a:prstGeom>
                    <a:noFill/>
                  </pic:spPr>
                </pic:pic>
              </a:graphicData>
            </a:graphic>
          </wp:anchor>
        </w:drawing>
      </w:r>
    </w:p>
    <w:p>
      <w:pPr>
        <w:spacing w:after="0" w:line="184" w:lineRule="exact"/>
        <w:rPr>
          <w:sz w:val="20"/>
          <w:szCs w:val="20"/>
          <w:color w:val="auto"/>
        </w:rPr>
      </w:pPr>
    </w:p>
    <w:p>
      <w:pPr>
        <w:ind w:right="3320"/>
        <w:spacing w:after="0" w:line="249" w:lineRule="auto"/>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6883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94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0"/>
                <w:szCs w:val="20"/>
                <w:color w:val="auto"/>
              </w:rPr>
            </w:pPr>
          </w:p>
        </w:tc>
        <w:tc>
          <w:tcPr>
            <w:tcW w:w="1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122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2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$3,929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$4,248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$7,785</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$8,082</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(169)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Income tax expense</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1,336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1,537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2,663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Interest expense</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1,026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2,007</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434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Depreciation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2,153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2,195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4,328</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4,459</w:t>
            </w: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4"/>
                <w:szCs w:val="14"/>
                <w:color w:val="auto"/>
              </w:rPr>
              <w:t>Amortization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1,387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2,762</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2,856</w:t>
            </w:r>
          </w:p>
        </w:tc>
        <w:tc>
          <w:tcPr>
            <w:tcW w:w="0" w:type="dxa"/>
            <w:vAlign w:val="bottom"/>
          </w:tcPr>
          <w:p>
            <w:pPr>
              <w:spacing w:after="0"/>
              <w:rPr>
                <w:sz w:val="1"/>
                <w:szCs w:val="1"/>
                <w:color w:val="auto"/>
              </w:rPr>
            </w:pPr>
          </w:p>
        </w:tc>
      </w:tr>
      <w:tr>
        <w:trPr>
          <w:trHeight w:val="205"/>
        </w:trPr>
        <w:tc>
          <w:tcPr>
            <w:tcW w:w="6820" w:type="dxa"/>
            <w:vAlign w:val="bottom"/>
          </w:tcPr>
          <w:p>
            <w:pPr>
              <w:spacing w:after="0" w:line="20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$10,171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$19,526</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17780</wp:posOffset>
            </wp:positionV>
            <wp:extent cx="6883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Three Months Ended June</w:t>
            </w:r>
          </w:p>
        </w:tc>
        <w:tc>
          <w:tcPr>
            <w:tcW w:w="80" w:type="dxa"/>
            <w:vAlign w:val="bottom"/>
          </w:tcPr>
          <w:p>
            <w:pPr>
              <w:spacing w:after="0"/>
              <w:rPr>
                <w:sz w:val="16"/>
                <w:szCs w:val="16"/>
                <w:color w:val="auto"/>
              </w:rPr>
            </w:pPr>
          </w:p>
        </w:tc>
        <w:tc>
          <w:tcPr>
            <w:tcW w:w="1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3"/>
        </w:trPr>
        <w:tc>
          <w:tcPr>
            <w:tcW w:w="6800" w:type="dxa"/>
            <w:vAlign w:val="bottom"/>
          </w:tcPr>
          <w:p>
            <w:pPr>
              <w:spacing w:after="0"/>
              <w:rPr>
                <w:sz w:val="16"/>
                <w:szCs w:val="16"/>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$4,724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$7,197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$12,572</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$14,426</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(2,724)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(5,354)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(5,627)</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(1,341)</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(1,577)</w:t>
            </w:r>
          </w:p>
        </w:tc>
        <w:tc>
          <w:tcPr>
            <w:tcW w:w="0" w:type="dxa"/>
            <w:vAlign w:val="bottom"/>
          </w:tcPr>
          <w:p>
            <w:pPr>
              <w:spacing w:after="0"/>
              <w:rPr>
                <w:sz w:val="1"/>
                <w:szCs w:val="1"/>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$3,421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$5,877</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$7,221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828282"/>
        </w:rPr>
        <w:t>Alternate Presentation of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17780</wp:posOffset>
            </wp:positionV>
            <wp:extent cx="6883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pacing w:after="0" w:line="62"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6800" w:type="dxa"/>
            <w:vAlign w:val="bottom"/>
          </w:tcPr>
          <w:p>
            <w:pPr>
              <w:spacing w:after="0"/>
              <w:rPr>
                <w:sz w:val="16"/>
                <w:szCs w:val="16"/>
                <w:color w:val="auto"/>
              </w:rPr>
            </w:pPr>
          </w:p>
        </w:tc>
        <w:tc>
          <w:tcPr>
            <w:tcW w:w="200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Three Months Ended June</w:t>
            </w:r>
          </w:p>
        </w:tc>
        <w:tc>
          <w:tcPr>
            <w:tcW w:w="80" w:type="dxa"/>
            <w:vAlign w:val="bottom"/>
          </w:tcPr>
          <w:p>
            <w:pPr>
              <w:spacing w:after="0"/>
              <w:rPr>
                <w:sz w:val="16"/>
                <w:szCs w:val="16"/>
                <w:color w:val="auto"/>
              </w:rPr>
            </w:pPr>
          </w:p>
        </w:tc>
        <w:tc>
          <w:tcPr>
            <w:tcW w:w="1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3"/>
        </w:trPr>
        <w:tc>
          <w:tcPr>
            <w:tcW w:w="6800" w:type="dxa"/>
            <w:vAlign w:val="bottom"/>
          </w:tcPr>
          <w:p>
            <w:pPr>
              <w:spacing w:after="0"/>
              <w:rPr>
                <w:sz w:val="16"/>
                <w:szCs w:val="16"/>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0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96"/>
        </w:trPr>
        <w:tc>
          <w:tcPr>
            <w:tcW w:w="68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$10,171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$10,244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$19,526</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$19,659</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Capital expenditures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(2,724)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(5,354)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(5,627)</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(1,341)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(1,577)</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interest expense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(1,813)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Cash taxes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(2,236)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(4,568)</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(2,384)</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(1,526)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316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b w:val="1"/>
                <w:bCs w:val="1"/>
                <w:color w:val="auto"/>
              </w:rPr>
              <w:t>689</w:t>
            </w:r>
          </w:p>
        </w:tc>
        <w:tc>
          <w:tcPr>
            <w:tcW w:w="12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04"/>
        </w:trPr>
        <w:tc>
          <w:tcPr>
            <w:tcW w:w="6800" w:type="dxa"/>
            <w:vAlign w:val="bottom"/>
          </w:tcPr>
          <w:p>
            <w:pPr>
              <w:spacing w:after="0" w:line="20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264</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36"/>
        </w:trPr>
        <w:tc>
          <w:tcPr>
            <w:tcW w:w="6800" w:type="dxa"/>
            <w:vAlign w:val="bottom"/>
          </w:tcPr>
          <w:p>
            <w:pPr>
              <w:spacing w:after="0"/>
              <w:rPr>
                <w:sz w:val="20"/>
                <w:szCs w:val="20"/>
                <w:color w:val="auto"/>
              </w:rPr>
            </w:pPr>
            <w:r>
              <w:rPr>
                <w:rFonts w:ascii="Arial" w:cs="Arial" w:eastAsia="Arial" w:hAnsi="Arial"/>
                <w:sz w:val="14"/>
                <w:szCs w:val="14"/>
                <w:b w:val="1"/>
                <w:bCs w:val="1"/>
                <w:color w:val="auto"/>
              </w:rPr>
              <w:t>Free Cash Flow</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$1,338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$3,421</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$5,877</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$7,221</w:t>
            </w: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460" w:right="40" w:hanging="358"/>
        <w:spacing w:after="0" w:line="197"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2nd quarter and year to date 2024 Adjusted EBITDA exclude $(3) and $(9) million of other operating and administrative expenses, respectively, related to our investment portfolio. 2nd quarter and year to date 2023 Adjusted EBITDA exclude $(3) and $(11) million of other operating and administrative expenses, respectively, related to our investment portfolio.</w:t>
      </w:r>
    </w:p>
    <w:p>
      <w:pPr>
        <w:spacing w:after="0" w:line="68" w:lineRule="exact"/>
        <w:rPr>
          <w:rFonts w:ascii="Arial" w:cs="Arial" w:eastAsia="Arial" w:hAnsi="Arial"/>
          <w:sz w:val="22"/>
          <w:szCs w:val="22"/>
          <w:color w:val="auto"/>
          <w:vertAlign w:val="superscript"/>
        </w:rPr>
      </w:pPr>
    </w:p>
    <w:p>
      <w:pPr>
        <w:ind w:left="460" w:right="320" w:hanging="358"/>
        <w:spacing w:after="0" w:line="188"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2nd quarter and year to date 2024 include adjustments of $(3) and $(9) million, respectively, related to our investment portfolio and 2nd quarter and year to date 2023 include adjustments of $(3) and $(11) million, respectively, related to our investment portfolio, as these amounts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940"/>
          </w:cols>
          <w:pgMar w:left="440" w:top="898" w:right="519" w:bottom="1440" w:gutter="0" w:footer="0" w:header="0"/>
        </w:sectPr>
      </w:pPr>
    </w:p>
    <w:bookmarkStart w:id="16" w:name="page17"/>
    <w:bookmarkEnd w:id="16"/>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6037580</wp:posOffset>
            </wp:positionH>
            <wp:positionV relativeFrom="page">
              <wp:posOffset>526415</wp:posOffset>
            </wp:positionV>
            <wp:extent cx="1080135" cy="462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116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90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rPr>
              <w:t>June 30,</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100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auto"/>
                <w:w w:val="99"/>
              </w:rPr>
              <w:t>June 30,</w:t>
            </w:r>
          </w:p>
        </w:tc>
        <w:tc>
          <w:tcPr>
            <w:tcW w:w="7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3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5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color w:val="auto"/>
              </w:rPr>
              <w:t>EPS</w:t>
            </w:r>
          </w:p>
        </w:tc>
        <w:tc>
          <w:tcPr>
            <w:tcW w:w="80" w:type="dxa"/>
            <w:vAlign w:val="bottom"/>
          </w:tcPr>
          <w:p>
            <w:pPr>
              <w:spacing w:after="0"/>
              <w:rPr>
                <w:sz w:val="15"/>
                <w:szCs w:val="15"/>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EPS</w:t>
            </w:r>
          </w:p>
        </w:tc>
        <w:tc>
          <w:tcPr>
            <w:tcW w:w="5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208"/>
        </w:trPr>
        <w:tc>
          <w:tcPr>
            <w:tcW w:w="43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w:t>
            </w: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30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earnings per share attributable to Comcast Corporation</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$3,929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$4,248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$7,785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$8,082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95"/>
        </w:trPr>
        <w:tc>
          <w:tcPr>
            <w:tcW w:w="4300" w:type="dxa"/>
            <w:vAlign w:val="bottom"/>
          </w:tcPr>
          <w:p>
            <w:pPr>
              <w:ind w:left="160"/>
              <w:spacing w:after="0"/>
              <w:rPr>
                <w:sz w:val="20"/>
                <w:szCs w:val="20"/>
                <w:color w:val="auto"/>
              </w:rPr>
            </w:pPr>
            <w:r>
              <w:rPr>
                <w:rFonts w:ascii="Arial" w:cs="Arial" w:eastAsia="Arial" w:hAnsi="Arial"/>
                <w:sz w:val="14"/>
                <w:szCs w:val="14"/>
                <w:b w:val="1"/>
                <w:bCs w:val="1"/>
                <w:color w:val="auto"/>
              </w:rPr>
              <w:t>shareholders</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60" w:type="dxa"/>
            <w:vAlign w:val="bottom"/>
          </w:tcPr>
          <w:p>
            <w:pPr>
              <w:jc w:val="right"/>
              <w:spacing w:after="0"/>
              <w:rPr>
                <w:sz w:val="20"/>
                <w:szCs w:val="20"/>
                <w:color w:val="auto"/>
              </w:rPr>
            </w:pPr>
            <w:r>
              <w:rPr>
                <w:rFonts w:ascii="Arial" w:cs="Arial" w:eastAsia="Arial" w:hAnsi="Arial"/>
                <w:sz w:val="14"/>
                <w:szCs w:val="14"/>
                <w:i w:val="1"/>
                <w:iCs w:val="1"/>
                <w:color w:val="auto"/>
              </w:rPr>
              <w:t>(7.5 %)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(1.3 %)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(3.7 %)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2.4 %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30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52"/>
        </w:trPr>
        <w:tc>
          <w:tcPr>
            <w:tcW w:w="430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$8,906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860" w:type="dxa"/>
            <w:vAlign w:val="bottom"/>
          </w:tcPr>
          <w:p>
            <w:pPr>
              <w:jc w:val="right"/>
              <w:ind w:right="8"/>
              <w:spacing w:after="0"/>
              <w:rPr>
                <w:sz w:val="20"/>
                <w:szCs w:val="20"/>
                <w:color w:val="auto"/>
              </w:rPr>
            </w:pPr>
            <w:r>
              <w:rPr>
                <w:rFonts w:ascii="Arial" w:cs="Arial" w:eastAsia="Arial" w:hAnsi="Arial"/>
                <w:sz w:val="14"/>
                <w:szCs w:val="14"/>
                <w:i w:val="1"/>
                <w:iCs w:val="1"/>
                <w:color w:val="auto"/>
              </w:rPr>
              <w:t>0.2 %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i w:val="1"/>
                <w:iCs w:val="1"/>
                <w:color w:val="auto"/>
              </w:rPr>
              <w:t>7.0 %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i w:val="1"/>
                <w:iCs w:val="1"/>
                <w:color w:val="auto"/>
              </w:rPr>
              <w:t>3.6 %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i w:val="1"/>
                <w:iCs w:val="1"/>
                <w:color w:val="auto"/>
              </w:rPr>
              <w:t>10.1 %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260" w:right="40" w:hanging="252"/>
        <w:spacing w:after="0" w:line="251" w:lineRule="auto"/>
        <w:tabs>
          <w:tab w:leader="none" w:pos="25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66"/>
        </w:trPr>
        <w:tc>
          <w:tcPr>
            <w:tcW w:w="6700" w:type="dxa"/>
            <w:vAlign w:val="bottom"/>
          </w:tcPr>
          <w:p>
            <w:pPr>
              <w:spacing w:after="0"/>
              <w:rPr>
                <w:sz w:val="14"/>
                <w:szCs w:val="14"/>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r>
      <w:tr>
        <w:trPr>
          <w:trHeight w:val="171"/>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$1,133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w:t>
            </w:r>
          </w:p>
        </w:tc>
      </w:tr>
      <w:tr>
        <w:trPr>
          <w:trHeight w:val="174"/>
        </w:trPr>
        <w:tc>
          <w:tcPr>
            <w:tcW w:w="670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$444</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$870</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w:t>
            </w:r>
          </w:p>
        </w:tc>
      </w:tr>
      <w:tr>
        <w:trPr>
          <w:trHeight w:val="21"/>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60" w:right="220" w:hanging="252"/>
        <w:spacing w:after="0" w:line="264"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6700" w:type="dxa"/>
            <w:vAlign w:val="bottom"/>
          </w:tcPr>
          <w:p>
            <w:pPr>
              <w:spacing w:after="0"/>
              <w:rPr>
                <w:sz w:val="12"/>
                <w:szCs w:val="12"/>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3"/>
                <w:szCs w:val="13"/>
                <w:color w:val="auto"/>
                <w:w w:val="97"/>
              </w:rPr>
              <w:t>Three Months Ended</w:t>
            </w:r>
          </w:p>
        </w:tc>
        <w:tc>
          <w:tcPr>
            <w:tcW w:w="1820" w:type="dxa"/>
            <w:vAlign w:val="bottom"/>
            <w:gridSpan w:val="4"/>
          </w:tcPr>
          <w:p>
            <w:pPr>
              <w:jc w:val="center"/>
              <w:spacing w:after="0"/>
              <w:rPr>
                <w:sz w:val="20"/>
                <w:szCs w:val="20"/>
                <w:color w:val="auto"/>
              </w:rPr>
            </w:pPr>
            <w:r>
              <w:rPr>
                <w:rFonts w:ascii="Arial" w:cs="Arial" w:eastAsia="Arial" w:hAnsi="Arial"/>
                <w:sz w:val="13"/>
                <w:szCs w:val="13"/>
                <w:color w:val="auto"/>
                <w:w w:val="96"/>
              </w:rPr>
              <w:t>Six Months Ended</w:t>
            </w:r>
          </w:p>
        </w:tc>
      </w:tr>
      <w:tr>
        <w:trPr>
          <w:trHeight w:val="166"/>
        </w:trPr>
        <w:tc>
          <w:tcPr>
            <w:tcW w:w="6700" w:type="dxa"/>
            <w:vAlign w:val="bottom"/>
          </w:tcPr>
          <w:p>
            <w:pPr>
              <w:spacing w:after="0"/>
              <w:rPr>
                <w:sz w:val="14"/>
                <w:szCs w:val="14"/>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left="517"/>
              <w:spacing w:after="0"/>
              <w:rPr>
                <w:sz w:val="20"/>
                <w:szCs w:val="20"/>
                <w:color w:val="auto"/>
              </w:rPr>
            </w:pPr>
            <w:r>
              <w:rPr>
                <w:rFonts w:ascii="Arial" w:cs="Arial" w:eastAsia="Arial" w:hAnsi="Arial"/>
                <w:sz w:val="13"/>
                <w:szCs w:val="13"/>
                <w:color w:val="auto"/>
                <w:w w:val="96"/>
              </w:rPr>
              <w:t>June 30,</w:t>
            </w:r>
          </w:p>
        </w:tc>
        <w:tc>
          <w:tcPr>
            <w:tcW w:w="60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2023</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$89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$38</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$141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79"/>
        </w:trPr>
        <w:tc>
          <w:tcPr>
            <w:tcW w:w="6700" w:type="dxa"/>
            <w:vAlign w:val="bottom"/>
          </w:tcPr>
          <w:p>
            <w:pPr>
              <w:spacing w:after="0"/>
              <w:rPr>
                <w:sz w:val="20"/>
                <w:szCs w:val="20"/>
                <w:color w:val="auto"/>
              </w:rPr>
            </w:pPr>
            <w:r>
              <w:rPr>
                <w:rFonts w:ascii="Arial" w:cs="Arial" w:eastAsia="Arial" w:hAnsi="Arial"/>
                <w:sz w:val="13"/>
                <w:szCs w:val="13"/>
                <w:color w:val="auto"/>
              </w:rPr>
              <w:t>Equity in net (income) losses of investees, net and 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189</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w:t>
            </w: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493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w:t>
            </w: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(474)</w:t>
            </w:r>
          </w:p>
        </w:tc>
      </w:tr>
      <w:tr>
        <w:trPr>
          <w:trHeight w:val="185"/>
        </w:trPr>
        <w:tc>
          <w:tcPr>
            <w:tcW w:w="670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$250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w:t>
            </w:r>
          </w:p>
        </w:tc>
      </w:tr>
      <w:tr>
        <w:trPr>
          <w:trHeight w:val="20"/>
        </w:trPr>
        <w:tc>
          <w:tcPr>
            <w:tcW w:w="6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858" w:right="339" w:bottom="1440" w:gutter="0" w:footer="0" w:header="0"/>
        </w:sectPr>
      </w:pPr>
    </w:p>
    <w:bookmarkStart w:id="17" w:name="page18"/>
    <w:bookmarkEnd w:id="17"/>
    <w:p>
      <w:pPr>
        <w:ind w:left="4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543560</wp:posOffset>
            </wp:positionV>
            <wp:extent cx="1209040" cy="52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828282"/>
        </w:rPr>
        <w:t>Reconciliation of Constant Currency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23495</wp:posOffset>
            </wp:positionV>
            <wp:extent cx="7089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740" w:type="dxa"/>
            <w:vAlign w:val="bottom"/>
          </w:tcPr>
          <w:p>
            <w:pPr>
              <w:spacing w:after="0"/>
              <w:rPr>
                <w:sz w:val="24"/>
                <w:szCs w:val="24"/>
                <w:color w:val="auto"/>
              </w:rPr>
            </w:pPr>
          </w:p>
        </w:tc>
        <w:tc>
          <w:tcPr>
            <w:tcW w:w="316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340" w:type="dxa"/>
            <w:vAlign w:val="bottom"/>
            <w:gridSpan w:val="5"/>
          </w:tcPr>
          <w:p>
            <w:pPr>
              <w:jc w:val="center"/>
              <w:ind w:left="779"/>
              <w:spacing w:after="0"/>
              <w:rPr>
                <w:sz w:val="20"/>
                <w:szCs w:val="20"/>
                <w:color w:val="auto"/>
              </w:rPr>
            </w:pPr>
            <w:r>
              <w:rPr>
                <w:rFonts w:ascii="Arial" w:cs="Arial" w:eastAsia="Arial" w:hAnsi="Arial"/>
                <w:sz w:val="16"/>
                <w:szCs w:val="16"/>
                <w:b w:val="1"/>
                <w:bCs w:val="1"/>
                <w:color w:val="auto"/>
              </w:rPr>
              <w:t>Six Months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June 30, 2023</w:t>
            </w: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rPr>
              <w:t>June 30, 2023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20"/>
              <w:spacing w:after="0" w:line="163" w:lineRule="exact"/>
              <w:rPr>
                <w:sz w:val="20"/>
                <w:szCs w:val="20"/>
                <w:color w:val="auto"/>
              </w:rPr>
            </w:pPr>
            <w:r>
              <w:rPr>
                <w:rFonts w:ascii="Arial" w:cs="Arial" w:eastAsia="Arial" w:hAnsi="Arial"/>
                <w:sz w:val="16"/>
                <w:szCs w:val="16"/>
                <w:color w:val="auto"/>
                <w:w w:val="98"/>
              </w:rPr>
              <w:t>Effects of</w:t>
            </w:r>
          </w:p>
        </w:tc>
        <w:tc>
          <w:tcPr>
            <w:tcW w:w="1060" w:type="dxa"/>
            <w:vAlign w:val="bottom"/>
            <w:tcBorders>
              <w:right w:val="single" w:sz="8" w:color="auto"/>
            </w:tcBorders>
            <w:gridSpan w:val="2"/>
          </w:tcPr>
          <w:p>
            <w:pPr>
              <w:ind w:left="80"/>
              <w:spacing w:after="0" w:line="163" w:lineRule="exact"/>
              <w:rPr>
                <w:sz w:val="20"/>
                <w:szCs w:val="20"/>
                <w:color w:val="auto"/>
              </w:rPr>
            </w:pPr>
            <w:r>
              <w:rPr>
                <w:rFonts w:ascii="Arial" w:cs="Arial" w:eastAsia="Arial" w:hAnsi="Arial"/>
                <w:sz w:val="16"/>
                <w:szCs w:val="16"/>
                <w:color w:val="auto"/>
              </w:rPr>
              <w:t>Constant</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60"/>
              <w:spacing w:after="0" w:line="163" w:lineRule="exact"/>
              <w:rPr>
                <w:sz w:val="20"/>
                <w:szCs w:val="20"/>
                <w:color w:val="auto"/>
              </w:rPr>
            </w:pPr>
            <w:r>
              <w:rPr>
                <w:rFonts w:ascii="Arial" w:cs="Arial" w:eastAsia="Arial" w:hAnsi="Arial"/>
                <w:sz w:val="16"/>
                <w:szCs w:val="16"/>
                <w:color w:val="auto"/>
                <w:w w:val="98"/>
              </w:rPr>
              <w:t>Effects of</w:t>
            </w:r>
          </w:p>
        </w:tc>
        <w:tc>
          <w:tcPr>
            <w:tcW w:w="880" w:type="dxa"/>
            <w:vAlign w:val="bottom"/>
          </w:tcPr>
          <w:p>
            <w:pPr>
              <w:jc w:val="right"/>
              <w:ind w:right="11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7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00" w:type="dxa"/>
            <w:vAlign w:val="bottom"/>
          </w:tcPr>
          <w:p>
            <w:pPr>
              <w:spacing w:after="0"/>
              <w:rPr>
                <w:sz w:val="14"/>
                <w:szCs w:val="14"/>
                <w:color w:val="auto"/>
              </w:rPr>
            </w:pPr>
          </w:p>
        </w:tc>
        <w:tc>
          <w:tcPr>
            <w:tcW w:w="1040" w:type="dxa"/>
            <w:vAlign w:val="bottom"/>
            <w:gridSpan w:val="3"/>
          </w:tcPr>
          <w:p>
            <w:pPr>
              <w:jc w:val="center"/>
              <w:ind w:right="220"/>
              <w:spacing w:after="0" w:line="162" w:lineRule="exact"/>
              <w:rPr>
                <w:sz w:val="20"/>
                <w:szCs w:val="20"/>
                <w:color w:val="auto"/>
              </w:rPr>
            </w:pPr>
            <w:r>
              <w:rPr>
                <w:rFonts w:ascii="Arial" w:cs="Arial" w:eastAsia="Arial" w:hAnsi="Arial"/>
                <w:sz w:val="16"/>
                <w:szCs w:val="16"/>
                <w:color w:val="auto"/>
                <w:w w:val="99"/>
              </w:rPr>
              <w:t>Foreign</w:t>
            </w:r>
          </w:p>
        </w:tc>
        <w:tc>
          <w:tcPr>
            <w:tcW w:w="1060" w:type="dxa"/>
            <w:vAlign w:val="bottom"/>
            <w:tcBorders>
              <w:right w:val="single" w:sz="8" w:color="auto"/>
            </w:tcBorders>
            <w:gridSpan w:val="2"/>
          </w:tcPr>
          <w:p>
            <w:pPr>
              <w:ind w:left="60"/>
              <w:spacing w:after="0" w:line="162" w:lineRule="exact"/>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00" w:type="dxa"/>
            <w:vAlign w:val="bottom"/>
          </w:tcPr>
          <w:p>
            <w:pPr>
              <w:spacing w:after="0"/>
              <w:rPr>
                <w:sz w:val="14"/>
                <w:szCs w:val="14"/>
                <w:color w:val="auto"/>
              </w:rPr>
            </w:pPr>
          </w:p>
        </w:tc>
        <w:tc>
          <w:tcPr>
            <w:tcW w:w="1200" w:type="dxa"/>
            <w:vAlign w:val="bottom"/>
            <w:gridSpan w:val="3"/>
          </w:tcPr>
          <w:p>
            <w:pPr>
              <w:jc w:val="center"/>
              <w:ind w:right="260"/>
              <w:spacing w:after="0" w:line="162" w:lineRule="exact"/>
              <w:rPr>
                <w:sz w:val="20"/>
                <w:szCs w:val="20"/>
                <w:color w:val="auto"/>
              </w:rPr>
            </w:pPr>
            <w:r>
              <w:rPr>
                <w:rFonts w:ascii="Arial" w:cs="Arial" w:eastAsia="Arial" w:hAnsi="Arial"/>
                <w:sz w:val="16"/>
                <w:szCs w:val="16"/>
                <w:color w:val="auto"/>
                <w:w w:val="99"/>
              </w:rPr>
              <w:t>Foreign</w:t>
            </w:r>
          </w:p>
        </w:tc>
        <w:tc>
          <w:tcPr>
            <w:tcW w:w="88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7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color w:val="auto"/>
              </w:rPr>
              <w:t>Currency</w:t>
            </w:r>
          </w:p>
        </w:tc>
        <w:tc>
          <w:tcPr>
            <w:tcW w:w="1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Amounts</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color w:val="auto"/>
              </w:rPr>
              <w:t>Currency</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74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Connectivity &amp; Platforms Constant</w:t>
            </w: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60"/>
              <w:spacing w:after="0"/>
              <w:rPr>
                <w:sz w:val="20"/>
                <w:szCs w:val="20"/>
                <w:color w:val="auto"/>
              </w:rPr>
            </w:pPr>
            <w:r>
              <w:rPr>
                <w:rFonts w:ascii="Arial" w:cs="Arial" w:eastAsia="Arial" w:hAnsi="Arial"/>
                <w:sz w:val="16"/>
                <w:szCs w:val="16"/>
                <w:b w:val="1"/>
                <w:bCs w:val="1"/>
                <w:color w:val="auto"/>
              </w:rPr>
              <w:t>Currency</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740" w:type="dxa"/>
            <w:vAlign w:val="bottom"/>
          </w:tcPr>
          <w:p>
            <w:pPr>
              <w:spacing w:after="0"/>
              <w:rPr>
                <w:sz w:val="20"/>
                <w:szCs w:val="20"/>
                <w:color w:val="auto"/>
              </w:rPr>
            </w:pPr>
            <w:r>
              <w:rPr>
                <w:rFonts w:ascii="Arial" w:cs="Arial" w:eastAsia="Arial" w:hAnsi="Arial"/>
                <w:sz w:val="16"/>
                <w:szCs w:val="16"/>
                <w:b w:val="1"/>
                <w:bCs w:val="1"/>
                <w:color w:val="auto"/>
              </w:rPr>
              <w:t>Connectivity &amp; Platforms Revenue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960" w:type="dxa"/>
            <w:vAlign w:val="bottom"/>
          </w:tcPr>
          <w:p>
            <w:pPr>
              <w:jc w:val="right"/>
              <w:spacing w:after="0"/>
              <w:rPr>
                <w:sz w:val="20"/>
                <w:szCs w:val="20"/>
                <w:color w:val="auto"/>
              </w:rPr>
            </w:pPr>
            <w:r>
              <w:rPr>
                <w:rFonts w:ascii="Arial" w:cs="Arial" w:eastAsia="Arial" w:hAnsi="Arial"/>
                <w:sz w:val="16"/>
                <w:szCs w:val="16"/>
                <w:color w:val="auto"/>
              </w:rPr>
              <w:t>$18,068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$18,088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$35,937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$36,092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960" w:type="dxa"/>
            <w:vAlign w:val="bottom"/>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2,292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4,575</w:t>
            </w:r>
          </w:p>
        </w:tc>
        <w:tc>
          <w:tcPr>
            <w:tcW w:w="1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4,575</w:t>
            </w: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Revenue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$20,360</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$20,380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$40,512</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$40,667</w:t>
            </w:r>
          </w:p>
        </w:tc>
        <w:tc>
          <w:tcPr>
            <w:tcW w:w="0" w:type="dxa"/>
            <w:vAlign w:val="bottom"/>
          </w:tcPr>
          <w:p>
            <w:pPr>
              <w:spacing w:after="0"/>
              <w:rPr>
                <w:sz w:val="1"/>
                <w:szCs w:val="1"/>
                <w:color w:val="auto"/>
              </w:rPr>
            </w:pPr>
          </w:p>
        </w:tc>
      </w:tr>
      <w:tr>
        <w:trPr>
          <w:trHeight w:val="357"/>
        </w:trPr>
        <w:tc>
          <w:tcPr>
            <w:tcW w:w="4740" w:type="dxa"/>
            <w:vAlign w:val="bottom"/>
          </w:tcPr>
          <w:p>
            <w:pPr>
              <w:spacing w:after="0"/>
              <w:rPr>
                <w:sz w:val="20"/>
                <w:szCs w:val="20"/>
                <w:color w:val="auto"/>
              </w:rPr>
            </w:pPr>
            <w:r>
              <w:rPr>
                <w:rFonts w:ascii="Arial" w:cs="Arial" w:eastAsia="Arial" w:hAnsi="Arial"/>
                <w:sz w:val="16"/>
                <w:szCs w:val="16"/>
                <w:b w:val="1"/>
                <w:bCs w:val="1"/>
                <w:color w:val="auto"/>
              </w:rPr>
              <w:t>Connectivity and Platforms Adjusted EBITDA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960" w:type="dxa"/>
            <w:vAlign w:val="bottom"/>
          </w:tcPr>
          <w:p>
            <w:pPr>
              <w:jc w:val="right"/>
              <w:spacing w:after="0"/>
              <w:rPr>
                <w:sz w:val="20"/>
                <w:szCs w:val="20"/>
                <w:color w:val="auto"/>
              </w:rPr>
            </w:pPr>
            <w:r>
              <w:rPr>
                <w:rFonts w:ascii="Arial" w:cs="Arial" w:eastAsia="Arial" w:hAnsi="Arial"/>
                <w:sz w:val="16"/>
                <w:szCs w:val="16"/>
                <w:color w:val="auto"/>
              </w:rPr>
              <w:t>$7,024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$7,029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$13,785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$13,809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96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1,322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2,654</w:t>
            </w:r>
          </w:p>
        </w:tc>
        <w:tc>
          <w:tcPr>
            <w:tcW w:w="1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$8,346</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$8,351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$16,439</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$16,462</w:t>
            </w:r>
          </w:p>
        </w:tc>
        <w:tc>
          <w:tcPr>
            <w:tcW w:w="0" w:type="dxa"/>
            <w:vAlign w:val="bottom"/>
          </w:tcPr>
          <w:p>
            <w:pPr>
              <w:spacing w:after="0"/>
              <w:rPr>
                <w:sz w:val="1"/>
                <w:szCs w:val="1"/>
                <w:color w:val="auto"/>
              </w:rPr>
            </w:pPr>
          </w:p>
        </w:tc>
      </w:tr>
      <w:tr>
        <w:trPr>
          <w:trHeight w:val="357"/>
        </w:trPr>
        <w:tc>
          <w:tcPr>
            <w:tcW w:w="4740" w:type="dxa"/>
            <w:vAlign w:val="bottom"/>
          </w:tcPr>
          <w:p>
            <w:pPr>
              <w:spacing w:after="0"/>
              <w:rPr>
                <w:sz w:val="20"/>
                <w:szCs w:val="20"/>
                <w:color w:val="auto"/>
              </w:rPr>
            </w:pPr>
            <w:r>
              <w:rPr>
                <w:rFonts w:ascii="Arial" w:cs="Arial" w:eastAsia="Arial" w:hAnsi="Arial"/>
                <w:sz w:val="16"/>
                <w:szCs w:val="16"/>
                <w:b w:val="1"/>
                <w:bCs w:val="1"/>
                <w:color w:val="auto"/>
              </w:rPr>
              <w:t>Connectivity &amp; Platforms Adjusted EBITDA Margin</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6"/>
                <w:szCs w:val="16"/>
                <w:color w:val="auto"/>
              </w:rPr>
              <w:t>Residential Connectivity &amp; Platforms</w:t>
            </w:r>
          </w:p>
        </w:tc>
        <w:tc>
          <w:tcPr>
            <w:tcW w:w="960" w:type="dxa"/>
            <w:vAlign w:val="bottom"/>
          </w:tcPr>
          <w:p>
            <w:pPr>
              <w:jc w:val="right"/>
              <w:spacing w:after="0"/>
              <w:rPr>
                <w:sz w:val="20"/>
                <w:szCs w:val="20"/>
                <w:color w:val="auto"/>
              </w:rPr>
            </w:pPr>
            <w:r>
              <w:rPr>
                <w:rFonts w:ascii="Arial" w:cs="Arial" w:eastAsia="Arial" w:hAnsi="Arial"/>
                <w:sz w:val="16"/>
                <w:szCs w:val="16"/>
                <w:color w:val="auto"/>
              </w:rPr>
              <w:t>38.9 %</w:t>
            </w:r>
          </w:p>
        </w:tc>
        <w:tc>
          <w:tcPr>
            <w:tcW w:w="10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 bps</w:t>
            </w:r>
          </w:p>
        </w:tc>
        <w:tc>
          <w:tcPr>
            <w:tcW w:w="920" w:type="dxa"/>
            <w:vAlign w:val="bottom"/>
          </w:tcPr>
          <w:p>
            <w:pPr>
              <w:jc w:val="right"/>
              <w:spacing w:after="0"/>
              <w:rPr>
                <w:sz w:val="20"/>
                <w:szCs w:val="20"/>
                <w:color w:val="auto"/>
              </w:rPr>
            </w:pPr>
            <w:r>
              <w:rPr>
                <w:rFonts w:ascii="Arial" w:cs="Arial" w:eastAsia="Arial" w:hAnsi="Arial"/>
                <w:sz w:val="16"/>
                <w:szCs w:val="16"/>
                <w:color w:val="auto"/>
              </w:rPr>
              <w:t>38.9 %</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38.4 %</w:t>
            </w:r>
          </w:p>
        </w:tc>
        <w:tc>
          <w:tcPr>
            <w:tcW w:w="10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6"/>
                <w:szCs w:val="16"/>
                <w:color w:val="auto"/>
              </w:rPr>
              <w:t>(10) bps</w:t>
            </w:r>
          </w:p>
        </w:tc>
        <w:tc>
          <w:tcPr>
            <w:tcW w:w="880" w:type="dxa"/>
            <w:vAlign w:val="bottom"/>
          </w:tcPr>
          <w:p>
            <w:pPr>
              <w:jc w:val="right"/>
              <w:spacing w:after="0"/>
              <w:rPr>
                <w:sz w:val="20"/>
                <w:szCs w:val="20"/>
                <w:color w:val="auto"/>
              </w:rPr>
            </w:pPr>
            <w:r>
              <w:rPr>
                <w:rFonts w:ascii="Arial" w:cs="Arial" w:eastAsia="Arial" w:hAnsi="Arial"/>
                <w:sz w:val="16"/>
                <w:szCs w:val="16"/>
                <w:color w:val="auto"/>
              </w:rPr>
              <w:t>38.3 %</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6"/>
                <w:szCs w:val="16"/>
                <w:color w:val="auto"/>
              </w:rPr>
              <w:t>Business Services Connectivity</w:t>
            </w:r>
          </w:p>
        </w:tc>
        <w:tc>
          <w:tcPr>
            <w:tcW w:w="960" w:type="dxa"/>
            <w:vAlign w:val="bottom"/>
          </w:tcPr>
          <w:p>
            <w:pPr>
              <w:jc w:val="right"/>
              <w:spacing w:after="0"/>
              <w:rPr>
                <w:sz w:val="20"/>
                <w:szCs w:val="20"/>
                <w:color w:val="auto"/>
              </w:rPr>
            </w:pPr>
            <w:r>
              <w:rPr>
                <w:rFonts w:ascii="Arial" w:cs="Arial" w:eastAsia="Arial" w:hAnsi="Arial"/>
                <w:sz w:val="16"/>
                <w:szCs w:val="16"/>
                <w:color w:val="auto"/>
              </w:rPr>
              <w:t>57.7 %</w:t>
            </w:r>
          </w:p>
        </w:tc>
        <w:tc>
          <w:tcPr>
            <w:tcW w:w="10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 bps</w:t>
            </w:r>
          </w:p>
        </w:tc>
        <w:tc>
          <w:tcPr>
            <w:tcW w:w="920" w:type="dxa"/>
            <w:vAlign w:val="bottom"/>
          </w:tcPr>
          <w:p>
            <w:pPr>
              <w:jc w:val="right"/>
              <w:spacing w:after="0"/>
              <w:rPr>
                <w:sz w:val="20"/>
                <w:szCs w:val="20"/>
                <w:color w:val="auto"/>
              </w:rPr>
            </w:pPr>
            <w:r>
              <w:rPr>
                <w:rFonts w:ascii="Arial" w:cs="Arial" w:eastAsia="Arial" w:hAnsi="Arial"/>
                <w:sz w:val="16"/>
                <w:szCs w:val="16"/>
                <w:color w:val="auto"/>
              </w:rPr>
              <w:t>57.7 %</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58.0 %</w:t>
            </w:r>
          </w:p>
        </w:tc>
        <w:tc>
          <w:tcPr>
            <w:tcW w:w="10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6"/>
                <w:szCs w:val="16"/>
                <w:color w:val="auto"/>
              </w:rPr>
              <w:t>- bps</w:t>
            </w:r>
          </w:p>
        </w:tc>
        <w:tc>
          <w:tcPr>
            <w:tcW w:w="880" w:type="dxa"/>
            <w:vAlign w:val="bottom"/>
          </w:tcPr>
          <w:p>
            <w:pPr>
              <w:jc w:val="right"/>
              <w:spacing w:after="0"/>
              <w:rPr>
                <w:sz w:val="20"/>
                <w:szCs w:val="20"/>
                <w:color w:val="auto"/>
              </w:rPr>
            </w:pPr>
            <w:r>
              <w:rPr>
                <w:rFonts w:ascii="Arial" w:cs="Arial" w:eastAsia="Arial" w:hAnsi="Arial"/>
                <w:sz w:val="16"/>
                <w:szCs w:val="16"/>
                <w:color w:val="auto"/>
              </w:rPr>
              <w:t>58.0 %</w:t>
            </w: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Arial" w:cs="Arial" w:eastAsia="Arial" w:hAnsi="Arial"/>
                <w:sz w:val="16"/>
                <w:szCs w:val="16"/>
                <w:b w:val="1"/>
                <w:bCs w:val="1"/>
                <w:color w:val="auto"/>
              </w:rPr>
              <w:t>Total Connectivity &amp; Platforms Adjusted EBITDA Margin</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41.0 %</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 bps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41.0 %</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40.6 %</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 bps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40.5 %</w:t>
            </w:r>
          </w:p>
        </w:tc>
        <w:tc>
          <w:tcPr>
            <w:tcW w:w="0" w:type="dxa"/>
            <w:vAlign w:val="bottom"/>
          </w:tcPr>
          <w:p>
            <w:pPr>
              <w:spacing w:after="0"/>
              <w:rPr>
                <w:sz w:val="1"/>
                <w:szCs w:val="1"/>
                <w:color w:val="auto"/>
              </w:rPr>
            </w:pPr>
          </w:p>
        </w:tc>
      </w:tr>
      <w:tr>
        <w:trPr>
          <w:trHeight w:val="439"/>
        </w:trPr>
        <w:tc>
          <w:tcPr>
            <w:tcW w:w="4740" w:type="dxa"/>
            <w:vAlign w:val="bottom"/>
          </w:tcPr>
          <w:p>
            <w:pPr>
              <w:spacing w:after="0"/>
              <w:rPr>
                <w:sz w:val="24"/>
                <w:szCs w:val="24"/>
                <w:color w:val="auto"/>
              </w:rPr>
            </w:pPr>
          </w:p>
        </w:tc>
        <w:tc>
          <w:tcPr>
            <w:tcW w:w="3160" w:type="dxa"/>
            <w:vAlign w:val="bottom"/>
            <w:tcBorders>
              <w:right w:val="single" w:sz="8" w:color="auto"/>
            </w:tcBorders>
            <w:gridSpan w:val="7"/>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340" w:type="dxa"/>
            <w:vAlign w:val="bottom"/>
            <w:gridSpan w:val="5"/>
          </w:tcPr>
          <w:p>
            <w:pPr>
              <w:jc w:val="center"/>
              <w:ind w:left="779"/>
              <w:spacing w:after="0"/>
              <w:rPr>
                <w:sz w:val="20"/>
                <w:szCs w:val="20"/>
                <w:color w:val="auto"/>
              </w:rPr>
            </w:pPr>
            <w:r>
              <w:rPr>
                <w:rFonts w:ascii="Arial" w:cs="Arial" w:eastAsia="Arial" w:hAnsi="Arial"/>
                <w:sz w:val="16"/>
                <w:szCs w:val="16"/>
                <w:b w:val="1"/>
                <w:bCs w:val="1"/>
                <w:color w:val="auto"/>
              </w:rPr>
              <w:t>Six Months Ended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rPr>
              <w:t>June 30, 2023</w:t>
            </w:r>
          </w:p>
        </w:tc>
        <w:tc>
          <w:tcPr>
            <w:tcW w:w="9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rPr>
              <w:t>June 30, 2023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20"/>
              <w:spacing w:after="0" w:line="163" w:lineRule="exact"/>
              <w:rPr>
                <w:sz w:val="20"/>
                <w:szCs w:val="20"/>
                <w:color w:val="auto"/>
              </w:rPr>
            </w:pPr>
            <w:r>
              <w:rPr>
                <w:rFonts w:ascii="Arial" w:cs="Arial" w:eastAsia="Arial" w:hAnsi="Arial"/>
                <w:sz w:val="16"/>
                <w:szCs w:val="16"/>
                <w:color w:val="auto"/>
                <w:w w:val="98"/>
              </w:rPr>
              <w:t>Effects of</w:t>
            </w:r>
          </w:p>
        </w:tc>
        <w:tc>
          <w:tcPr>
            <w:tcW w:w="1060" w:type="dxa"/>
            <w:vAlign w:val="bottom"/>
            <w:tcBorders>
              <w:right w:val="single" w:sz="8" w:color="auto"/>
            </w:tcBorders>
            <w:gridSpan w:val="2"/>
          </w:tcPr>
          <w:p>
            <w:pPr>
              <w:ind w:left="80"/>
              <w:spacing w:after="0" w:line="163" w:lineRule="exact"/>
              <w:rPr>
                <w:sz w:val="20"/>
                <w:szCs w:val="20"/>
                <w:color w:val="auto"/>
              </w:rPr>
            </w:pPr>
            <w:r>
              <w:rPr>
                <w:rFonts w:ascii="Arial" w:cs="Arial" w:eastAsia="Arial" w:hAnsi="Arial"/>
                <w:sz w:val="16"/>
                <w:szCs w:val="16"/>
                <w:color w:val="auto"/>
              </w:rPr>
              <w:t>Constant</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60"/>
              <w:spacing w:after="0" w:line="163" w:lineRule="exact"/>
              <w:rPr>
                <w:sz w:val="20"/>
                <w:szCs w:val="20"/>
                <w:color w:val="auto"/>
              </w:rPr>
            </w:pPr>
            <w:r>
              <w:rPr>
                <w:rFonts w:ascii="Arial" w:cs="Arial" w:eastAsia="Arial" w:hAnsi="Arial"/>
                <w:sz w:val="16"/>
                <w:szCs w:val="16"/>
                <w:color w:val="auto"/>
                <w:w w:val="98"/>
              </w:rPr>
              <w:t>Effects of</w:t>
            </w:r>
          </w:p>
        </w:tc>
        <w:tc>
          <w:tcPr>
            <w:tcW w:w="880" w:type="dxa"/>
            <w:vAlign w:val="bottom"/>
          </w:tcPr>
          <w:p>
            <w:pPr>
              <w:jc w:val="right"/>
              <w:ind w:right="119"/>
              <w:spacing w:after="0" w:line="163" w:lineRule="exact"/>
              <w:rPr>
                <w:sz w:val="20"/>
                <w:szCs w:val="20"/>
                <w:color w:val="auto"/>
              </w:rPr>
            </w:pPr>
            <w:r>
              <w:rPr>
                <w:rFonts w:ascii="Arial" w:cs="Arial" w:eastAsia="Arial" w:hAnsi="Arial"/>
                <w:sz w:val="16"/>
                <w:szCs w:val="16"/>
                <w:color w:val="auto"/>
              </w:rPr>
              <w:t>Constant</w:t>
            </w:r>
          </w:p>
        </w:tc>
        <w:tc>
          <w:tcPr>
            <w:tcW w:w="0" w:type="dxa"/>
            <w:vAlign w:val="bottom"/>
          </w:tcPr>
          <w:p>
            <w:pPr>
              <w:spacing w:after="0"/>
              <w:rPr>
                <w:sz w:val="1"/>
                <w:szCs w:val="1"/>
                <w:color w:val="auto"/>
              </w:rPr>
            </w:pPr>
          </w:p>
        </w:tc>
      </w:tr>
      <w:tr>
        <w:trPr>
          <w:trHeight w:val="162"/>
        </w:trPr>
        <w:tc>
          <w:tcPr>
            <w:tcW w:w="4740" w:type="dxa"/>
            <w:vAlign w:val="bottom"/>
            <w:vMerge w:val="restart"/>
          </w:tcPr>
          <w:p>
            <w:pPr>
              <w:spacing w:after="0"/>
              <w:rPr>
                <w:sz w:val="20"/>
                <w:szCs w:val="20"/>
                <w:color w:val="auto"/>
              </w:rPr>
            </w:pPr>
            <w:r>
              <w:rPr>
                <w:rFonts w:ascii="Arial" w:cs="Arial" w:eastAsia="Arial" w:hAnsi="Arial"/>
                <w:sz w:val="16"/>
                <w:szCs w:val="16"/>
                <w:color w:val="auto"/>
              </w:rPr>
              <w:t>(in millions)</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00" w:type="dxa"/>
            <w:vAlign w:val="bottom"/>
          </w:tcPr>
          <w:p>
            <w:pPr>
              <w:spacing w:after="0"/>
              <w:rPr>
                <w:sz w:val="14"/>
                <w:szCs w:val="14"/>
                <w:color w:val="auto"/>
              </w:rPr>
            </w:pPr>
          </w:p>
        </w:tc>
        <w:tc>
          <w:tcPr>
            <w:tcW w:w="1040" w:type="dxa"/>
            <w:vAlign w:val="bottom"/>
            <w:gridSpan w:val="3"/>
          </w:tcPr>
          <w:p>
            <w:pPr>
              <w:jc w:val="center"/>
              <w:ind w:right="220"/>
              <w:spacing w:after="0" w:line="162" w:lineRule="exact"/>
              <w:rPr>
                <w:sz w:val="20"/>
                <w:szCs w:val="20"/>
                <w:color w:val="auto"/>
              </w:rPr>
            </w:pPr>
            <w:r>
              <w:rPr>
                <w:rFonts w:ascii="Arial" w:cs="Arial" w:eastAsia="Arial" w:hAnsi="Arial"/>
                <w:sz w:val="16"/>
                <w:szCs w:val="16"/>
                <w:color w:val="auto"/>
                <w:w w:val="99"/>
              </w:rPr>
              <w:t>Foreign</w:t>
            </w:r>
          </w:p>
        </w:tc>
        <w:tc>
          <w:tcPr>
            <w:tcW w:w="1060" w:type="dxa"/>
            <w:vAlign w:val="bottom"/>
            <w:tcBorders>
              <w:right w:val="single" w:sz="8" w:color="auto"/>
            </w:tcBorders>
            <w:gridSpan w:val="2"/>
          </w:tcPr>
          <w:p>
            <w:pPr>
              <w:ind w:left="60"/>
              <w:spacing w:after="0" w:line="162" w:lineRule="exact"/>
              <w:rPr>
                <w:sz w:val="20"/>
                <w:szCs w:val="20"/>
                <w:color w:val="auto"/>
              </w:rPr>
            </w:pPr>
            <w:r>
              <w:rPr>
                <w:rFonts w:ascii="Arial" w:cs="Arial" w:eastAsia="Arial" w:hAnsi="Arial"/>
                <w:sz w:val="16"/>
                <w:szCs w:val="16"/>
                <w:color w:val="auto"/>
              </w:rPr>
              <w:t>Currency</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As Reported</w:t>
            </w:r>
          </w:p>
        </w:tc>
        <w:tc>
          <w:tcPr>
            <w:tcW w:w="100" w:type="dxa"/>
            <w:vAlign w:val="bottom"/>
          </w:tcPr>
          <w:p>
            <w:pPr>
              <w:spacing w:after="0"/>
              <w:rPr>
                <w:sz w:val="14"/>
                <w:szCs w:val="14"/>
                <w:color w:val="auto"/>
              </w:rPr>
            </w:pPr>
          </w:p>
        </w:tc>
        <w:tc>
          <w:tcPr>
            <w:tcW w:w="1200" w:type="dxa"/>
            <w:vAlign w:val="bottom"/>
            <w:gridSpan w:val="3"/>
          </w:tcPr>
          <w:p>
            <w:pPr>
              <w:jc w:val="center"/>
              <w:ind w:right="260"/>
              <w:spacing w:after="0" w:line="162" w:lineRule="exact"/>
              <w:rPr>
                <w:sz w:val="20"/>
                <w:szCs w:val="20"/>
                <w:color w:val="auto"/>
              </w:rPr>
            </w:pPr>
            <w:r>
              <w:rPr>
                <w:rFonts w:ascii="Arial" w:cs="Arial" w:eastAsia="Arial" w:hAnsi="Arial"/>
                <w:sz w:val="16"/>
                <w:szCs w:val="16"/>
                <w:color w:val="auto"/>
                <w:w w:val="99"/>
              </w:rPr>
              <w:t>Foreign</w:t>
            </w:r>
          </w:p>
        </w:tc>
        <w:tc>
          <w:tcPr>
            <w:tcW w:w="88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Currency</w:t>
            </w:r>
          </w:p>
        </w:tc>
        <w:tc>
          <w:tcPr>
            <w:tcW w:w="0" w:type="dxa"/>
            <w:vAlign w:val="bottom"/>
          </w:tcPr>
          <w:p>
            <w:pPr>
              <w:spacing w:after="0"/>
              <w:rPr>
                <w:sz w:val="1"/>
                <w:szCs w:val="1"/>
                <w:color w:val="auto"/>
              </w:rPr>
            </w:pPr>
          </w:p>
        </w:tc>
      </w:tr>
      <w:tr>
        <w:trPr>
          <w:trHeight w:val="215"/>
        </w:trPr>
        <w:tc>
          <w:tcPr>
            <w:tcW w:w="47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color w:val="auto"/>
              </w:rPr>
              <w:t>Currency</w:t>
            </w:r>
          </w:p>
        </w:tc>
        <w:tc>
          <w:tcPr>
            <w:tcW w:w="106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Amounts</w:t>
            </w: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color w:val="auto"/>
              </w:rPr>
              <w:t>Currency</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Amounts</w:t>
            </w:r>
          </w:p>
        </w:tc>
        <w:tc>
          <w:tcPr>
            <w:tcW w:w="0" w:type="dxa"/>
            <w:vAlign w:val="bottom"/>
          </w:tcPr>
          <w:p>
            <w:pPr>
              <w:spacing w:after="0"/>
              <w:rPr>
                <w:sz w:val="1"/>
                <w:szCs w:val="1"/>
                <w:color w:val="auto"/>
              </w:rPr>
            </w:pPr>
          </w:p>
        </w:tc>
      </w:tr>
      <w:tr>
        <w:trPr>
          <w:trHeight w:val="143"/>
        </w:trPr>
        <w:tc>
          <w:tcPr>
            <w:tcW w:w="4740" w:type="dxa"/>
            <w:vAlign w:val="bottom"/>
          </w:tcPr>
          <w:p>
            <w:pPr>
              <w:spacing w:after="0" w:line="144" w:lineRule="exact"/>
              <w:rPr>
                <w:sz w:val="20"/>
                <w:szCs w:val="20"/>
                <w:color w:val="auto"/>
              </w:rPr>
            </w:pPr>
            <w:r>
              <w:rPr>
                <w:rFonts w:ascii="Arial" w:cs="Arial" w:eastAsia="Arial" w:hAnsi="Arial"/>
                <w:sz w:val="16"/>
                <w:szCs w:val="16"/>
                <w:b w:val="1"/>
                <w:bCs w:val="1"/>
                <w:color w:val="auto"/>
              </w:rPr>
              <w:t>Reconciliation of Residential Connectivity &amp; Platforms</w:t>
            </w: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60"/>
              <w:spacing w:after="0"/>
              <w:rPr>
                <w:sz w:val="20"/>
                <w:szCs w:val="20"/>
                <w:color w:val="auto"/>
              </w:rPr>
            </w:pPr>
            <w:r>
              <w:rPr>
                <w:rFonts w:ascii="Arial" w:cs="Arial" w:eastAsia="Arial" w:hAnsi="Arial"/>
                <w:sz w:val="16"/>
                <w:szCs w:val="16"/>
                <w:b w:val="1"/>
                <w:bCs w:val="1"/>
                <w:color w:val="auto"/>
              </w:rPr>
              <w:t>Constant Currency</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47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340"/>
              <w:spacing w:after="0"/>
              <w:rPr>
                <w:sz w:val="20"/>
                <w:szCs w:val="20"/>
                <w:color w:val="auto"/>
              </w:rPr>
            </w:pPr>
            <w:r>
              <w:rPr>
                <w:rFonts w:ascii="Arial" w:cs="Arial" w:eastAsia="Arial" w:hAnsi="Arial"/>
                <w:sz w:val="16"/>
                <w:szCs w:val="16"/>
                <w:color w:val="auto"/>
              </w:rPr>
              <w:t>Domestic broadband</w:t>
            </w:r>
          </w:p>
        </w:tc>
        <w:tc>
          <w:tcPr>
            <w:tcW w:w="960" w:type="dxa"/>
            <w:vAlign w:val="bottom"/>
          </w:tcPr>
          <w:p>
            <w:pPr>
              <w:jc w:val="right"/>
              <w:spacing w:after="0"/>
              <w:rPr>
                <w:sz w:val="20"/>
                <w:szCs w:val="20"/>
                <w:color w:val="auto"/>
              </w:rPr>
            </w:pPr>
            <w:r>
              <w:rPr>
                <w:rFonts w:ascii="Arial" w:cs="Arial" w:eastAsia="Arial" w:hAnsi="Arial"/>
                <w:sz w:val="16"/>
                <w:szCs w:val="16"/>
                <w:color w:val="auto"/>
              </w:rPr>
              <w:t>$6,377</w:t>
            </w: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$6,377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$12,720</w:t>
            </w:r>
          </w:p>
        </w:tc>
        <w:tc>
          <w:tcPr>
            <w:tcW w:w="1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$12,720</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6"/>
                <w:szCs w:val="16"/>
                <w:color w:val="auto"/>
              </w:rPr>
              <w:t>Domestic wireless</w:t>
            </w:r>
          </w:p>
        </w:tc>
        <w:tc>
          <w:tcPr>
            <w:tcW w:w="960" w:type="dxa"/>
            <w:vAlign w:val="bottom"/>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6"/>
                <w:szCs w:val="16"/>
                <w:color w:val="auto"/>
              </w:rPr>
              <w:t>International connectivity</w:t>
            </w:r>
          </w:p>
        </w:tc>
        <w:tc>
          <w:tcPr>
            <w:tcW w:w="960" w:type="dxa"/>
            <w:vAlign w:val="bottom"/>
          </w:tcPr>
          <w:p>
            <w:pPr>
              <w:jc w:val="right"/>
              <w:spacing w:after="0"/>
              <w:rPr>
                <w:sz w:val="20"/>
                <w:szCs w:val="20"/>
                <w:color w:val="auto"/>
              </w:rPr>
            </w:pPr>
            <w:r>
              <w:rPr>
                <w:rFonts w:ascii="Arial" w:cs="Arial" w:eastAsia="Arial" w:hAnsi="Arial"/>
                <w:sz w:val="16"/>
                <w:szCs w:val="16"/>
                <w:color w:val="auto"/>
              </w:rPr>
              <w:t>1,002</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1,010</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211"/>
        </w:trPr>
        <w:tc>
          <w:tcPr>
            <w:tcW w:w="4740" w:type="dxa"/>
            <w:vAlign w:val="bottom"/>
          </w:tcPr>
          <w:p>
            <w:pPr>
              <w:ind w:left="220"/>
              <w:spacing w:after="0"/>
              <w:rPr>
                <w:sz w:val="20"/>
                <w:szCs w:val="20"/>
                <w:color w:val="auto"/>
              </w:rPr>
            </w:pPr>
            <w:r>
              <w:rPr>
                <w:rFonts w:ascii="Arial" w:cs="Arial" w:eastAsia="Arial" w:hAnsi="Arial"/>
                <w:sz w:val="16"/>
                <w:szCs w:val="16"/>
                <w:color w:val="auto"/>
              </w:rPr>
              <w:t>Total residential connectivity</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$8,248</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$8,255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$16,346</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$16,392</w:t>
            </w: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Video</w:t>
            </w:r>
          </w:p>
        </w:tc>
        <w:tc>
          <w:tcPr>
            <w:tcW w:w="960" w:type="dxa"/>
            <w:vAlign w:val="bottom"/>
          </w:tcPr>
          <w:p>
            <w:pPr>
              <w:jc w:val="right"/>
              <w:spacing w:after="0"/>
              <w:rPr>
                <w:sz w:val="20"/>
                <w:szCs w:val="20"/>
                <w:color w:val="auto"/>
              </w:rPr>
            </w:pPr>
            <w:r>
              <w:rPr>
                <w:rFonts w:ascii="Arial" w:cs="Arial" w:eastAsia="Arial" w:hAnsi="Arial"/>
                <w:sz w:val="16"/>
                <w:szCs w:val="16"/>
                <w:color w:val="auto"/>
              </w:rPr>
              <w:t>7,358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7,366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14,741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14,818</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Advertising</w:t>
            </w:r>
          </w:p>
        </w:tc>
        <w:tc>
          <w:tcPr>
            <w:tcW w:w="960" w:type="dxa"/>
            <w:vAlign w:val="bottom"/>
          </w:tcPr>
          <w:p>
            <w:pPr>
              <w:jc w:val="right"/>
              <w:spacing w:after="0"/>
              <w:rPr>
                <w:sz w:val="20"/>
                <w:szCs w:val="20"/>
                <w:color w:val="auto"/>
              </w:rPr>
            </w:pPr>
            <w:r>
              <w:rPr>
                <w:rFonts w:ascii="Arial" w:cs="Arial" w:eastAsia="Arial" w:hAnsi="Arial"/>
                <w:sz w:val="16"/>
                <w:szCs w:val="16"/>
                <w:color w:val="auto"/>
              </w:rPr>
              <w:t>993</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1,914</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Other</w:t>
            </w:r>
          </w:p>
        </w:tc>
        <w:tc>
          <w:tcPr>
            <w:tcW w:w="960" w:type="dxa"/>
            <w:vAlign w:val="bottom"/>
          </w:tcPr>
          <w:p>
            <w:pPr>
              <w:jc w:val="right"/>
              <w:spacing w:after="0"/>
              <w:rPr>
                <w:sz w:val="20"/>
                <w:szCs w:val="20"/>
                <w:color w:val="auto"/>
              </w:rPr>
            </w:pPr>
            <w:r>
              <w:rPr>
                <w:rFonts w:ascii="Arial" w:cs="Arial" w:eastAsia="Arial" w:hAnsi="Arial"/>
                <w:sz w:val="16"/>
                <w:szCs w:val="16"/>
                <w:color w:val="auto"/>
              </w:rPr>
              <w:t>1,469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2,969</w:t>
            </w: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$18,068</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$18,088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$35,937</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$36,092</w:t>
            </w:r>
          </w:p>
        </w:tc>
        <w:tc>
          <w:tcPr>
            <w:tcW w:w="0" w:type="dxa"/>
            <w:vAlign w:val="bottom"/>
          </w:tcPr>
          <w:p>
            <w:pPr>
              <w:spacing w:after="0"/>
              <w:rPr>
                <w:sz w:val="1"/>
                <w:szCs w:val="1"/>
                <w:color w:val="auto"/>
              </w:rPr>
            </w:pPr>
          </w:p>
        </w:tc>
      </w:tr>
      <w:tr>
        <w:trPr>
          <w:trHeight w:val="357"/>
        </w:trPr>
        <w:tc>
          <w:tcPr>
            <w:tcW w:w="47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20"/>
              <w:spacing w:after="0"/>
              <w:rPr>
                <w:sz w:val="20"/>
                <w:szCs w:val="20"/>
                <w:color w:val="auto"/>
              </w:rPr>
            </w:pPr>
            <w:r>
              <w:rPr>
                <w:rFonts w:ascii="Arial" w:cs="Arial" w:eastAsia="Arial" w:hAnsi="Arial"/>
                <w:sz w:val="16"/>
                <w:szCs w:val="16"/>
                <w:color w:val="auto"/>
              </w:rPr>
              <w:t>Programming</w:t>
            </w:r>
          </w:p>
        </w:tc>
        <w:tc>
          <w:tcPr>
            <w:tcW w:w="960" w:type="dxa"/>
            <w:vAlign w:val="bottom"/>
          </w:tcPr>
          <w:p>
            <w:pPr>
              <w:jc w:val="right"/>
              <w:spacing w:after="0"/>
              <w:rPr>
                <w:sz w:val="20"/>
                <w:szCs w:val="20"/>
                <w:color w:val="auto"/>
              </w:rPr>
            </w:pPr>
            <w:r>
              <w:rPr>
                <w:rFonts w:ascii="Arial" w:cs="Arial" w:eastAsia="Arial" w:hAnsi="Arial"/>
                <w:sz w:val="16"/>
                <w:szCs w:val="16"/>
                <w:color w:val="auto"/>
              </w:rPr>
              <w:t>$4,579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$4,582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$9,178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$9,224</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6"/>
                <w:szCs w:val="16"/>
                <w:color w:val="auto"/>
              </w:rPr>
              <w:t>Non-Programming</w:t>
            </w:r>
          </w:p>
        </w:tc>
        <w:tc>
          <w:tcPr>
            <w:tcW w:w="960" w:type="dxa"/>
            <w:vAlign w:val="bottom"/>
          </w:tcPr>
          <w:p>
            <w:pPr>
              <w:jc w:val="right"/>
              <w:spacing w:after="0"/>
              <w:rPr>
                <w:sz w:val="20"/>
                <w:szCs w:val="20"/>
                <w:color w:val="auto"/>
              </w:rPr>
            </w:pPr>
            <w:r>
              <w:rPr>
                <w:rFonts w:ascii="Arial" w:cs="Arial" w:eastAsia="Arial" w:hAnsi="Arial"/>
                <w:sz w:val="16"/>
                <w:szCs w:val="16"/>
                <w:color w:val="auto"/>
              </w:rPr>
              <w:t>6,465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6,477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12,973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13,059</w:t>
            </w:r>
          </w:p>
        </w:tc>
        <w:tc>
          <w:tcPr>
            <w:tcW w:w="0" w:type="dxa"/>
            <w:vAlign w:val="bottom"/>
          </w:tcPr>
          <w:p>
            <w:pPr>
              <w:spacing w:after="0"/>
              <w:rPr>
                <w:sz w:val="1"/>
                <w:szCs w:val="1"/>
                <w:color w:val="auto"/>
              </w:rPr>
            </w:pPr>
          </w:p>
        </w:tc>
      </w:tr>
      <w:tr>
        <w:trPr>
          <w:trHeight w:val="218"/>
        </w:trPr>
        <w:tc>
          <w:tcPr>
            <w:tcW w:w="4740" w:type="dxa"/>
            <w:vAlign w:val="bottom"/>
          </w:tcPr>
          <w:p>
            <w:pPr>
              <w:spacing w:after="0"/>
              <w:rPr>
                <w:sz w:val="20"/>
                <w:szCs w:val="20"/>
                <w:color w:val="auto"/>
              </w:rPr>
            </w:pPr>
            <w:r>
              <w:rPr>
                <w:rFonts w:ascii="Arial" w:cs="Arial" w:eastAsia="Arial" w:hAnsi="Arial"/>
                <w:sz w:val="16"/>
                <w:szCs w:val="16"/>
                <w:b w:val="1"/>
                <w:bCs w:val="1"/>
                <w:color w:val="auto"/>
              </w:rPr>
              <w:t>Total Operating Expenses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$11,044</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$11,059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$22,152</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$22,283</w:t>
            </w:r>
          </w:p>
        </w:tc>
        <w:tc>
          <w:tcPr>
            <w:tcW w:w="0" w:type="dxa"/>
            <w:vAlign w:val="bottom"/>
          </w:tcPr>
          <w:p>
            <w:pPr>
              <w:spacing w:after="0"/>
              <w:rPr>
                <w:sz w:val="1"/>
                <w:szCs w:val="1"/>
                <w:color w:val="auto"/>
              </w:rPr>
            </w:pPr>
          </w:p>
        </w:tc>
      </w:tr>
      <w:tr>
        <w:trPr>
          <w:trHeight w:val="357"/>
        </w:trPr>
        <w:tc>
          <w:tcPr>
            <w:tcW w:w="47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$7,024</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$7,029</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$13,785</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$13,809</w:t>
            </w:r>
          </w:p>
        </w:tc>
        <w:tc>
          <w:tcPr>
            <w:tcW w:w="0" w:type="dxa"/>
            <w:vAlign w:val="bottom"/>
          </w:tcPr>
          <w:p>
            <w:pPr>
              <w:spacing w:after="0"/>
              <w:rPr>
                <w:sz w:val="1"/>
                <w:szCs w:val="1"/>
                <w:color w:val="auto"/>
              </w:rPr>
            </w:pPr>
          </w:p>
        </w:tc>
      </w:tr>
      <w:tr>
        <w:trPr>
          <w:trHeight w:val="217"/>
        </w:trPr>
        <w:tc>
          <w:tcPr>
            <w:tcW w:w="4740" w:type="dxa"/>
            <w:vAlign w:val="bottom"/>
          </w:tcPr>
          <w:p>
            <w:pPr>
              <w:ind w:left="220"/>
              <w:spacing w:after="0"/>
              <w:rPr>
                <w:sz w:val="20"/>
                <w:szCs w:val="20"/>
                <w:color w:val="auto"/>
              </w:rPr>
            </w:pPr>
            <w:r>
              <w:rPr>
                <w:rFonts w:ascii="Arial" w:cs="Arial" w:eastAsia="Arial" w:hAnsi="Arial"/>
                <w:sz w:val="16"/>
                <w:szCs w:val="16"/>
                <w:i w:val="1"/>
                <w:iCs w:val="1"/>
                <w:color w:val="auto"/>
              </w:rPr>
              <w:t>Adjusted EBITDA Margin</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38.9 %</w:t>
            </w:r>
          </w:p>
        </w:tc>
        <w:tc>
          <w:tcPr>
            <w:tcW w:w="10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 bps</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38.9 %</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38.4 %</w:t>
            </w:r>
          </w:p>
        </w:tc>
        <w:tc>
          <w:tcPr>
            <w:tcW w:w="10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(10) bps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38.3 %</w:t>
            </w:r>
          </w:p>
        </w:tc>
        <w:tc>
          <w:tcPr>
            <w:tcW w:w="0" w:type="dxa"/>
            <w:vAlign w:val="bottom"/>
          </w:tcPr>
          <w:p>
            <w:pPr>
              <w:spacing w:after="0"/>
              <w:rPr>
                <w:sz w:val="1"/>
                <w:szCs w:val="1"/>
                <w:color w:val="auto"/>
              </w:rPr>
            </w:pPr>
          </w:p>
        </w:tc>
      </w:tr>
      <w:tr>
        <w:trPr>
          <w:trHeight w:val="910"/>
        </w:trPr>
        <w:tc>
          <w:tcPr>
            <w:tcW w:w="47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006"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4"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9"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3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30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Statements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Statements of Cash Flows and are therefore excluded from capital expenditures and cash paid for intangible assets for Free Cash Flow.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62"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2024-07-23T06:15:33Z</dcterms:created>
  <dcterms:modified xsi:type="dcterms:W3CDTF">2024-07-23T06:15:33Z</dcterms:modified>
</cp:coreProperties>
</file>