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222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2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Reid Thomas J.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129.649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129.649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1,693.546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economic equivalent to one share of Class A common stock. Phantom shares have been deferred under our deferred compensation plans, may be transferred into alternative investments under the terms of our deferred compensation plans and settle in cash.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cash settlement of shares of phantom stock under, and in accordance with the terms of, our deferred compensation plans.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122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2023-01-27T15:46:00Z</dcterms:created>
  <dcterms:modified xsi:type="dcterms:W3CDTF">2023-01-27T15:46:00Z</dcterms:modified>
</cp:coreProperties>
</file>