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22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04"/>
        </w:trPr>
        <w:tc>
          <w:tcPr>
            <w:tcW w:w="20" w:type="dxa"/>
            <w:vAlign w:val="bottom"/>
          </w:tcPr>
          <w:p>
            <w:pPr>
              <w:spacing w:after="0"/>
              <w:rPr>
                <w:sz w:val="9"/>
                <w:szCs w:val="9"/>
                <w:color w:val="auto"/>
              </w:rPr>
            </w:pPr>
          </w:p>
        </w:tc>
        <w:tc>
          <w:tcPr>
            <w:tcW w:w="824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Borders>
              <w:right w:val="single" w:sz="8" w:color="auto"/>
            </w:tcBorders>
          </w:tcPr>
          <w:p>
            <w:pPr>
              <w:jc w:val="center"/>
              <w:ind w:right="226"/>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6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Borders>
              <w:right w:val="single" w:sz="8" w:color="auto"/>
            </w:tcBorders>
          </w:tcPr>
          <w:p>
            <w:pPr>
              <w:jc w:val="center"/>
              <w:ind w:right="226"/>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60" w:type="dxa"/>
            <w:vAlign w:val="bottom"/>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82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Title of Each Class of</w:t>
            </w:r>
          </w:p>
        </w:tc>
        <w:tc>
          <w:tcPr>
            <w:tcW w:w="380" w:type="dxa"/>
            <w:vAlign w:val="bottom"/>
          </w:tcPr>
          <w:p>
            <w:pPr>
              <w:spacing w:after="0"/>
              <w:rPr>
                <w:sz w:val="13"/>
                <w:szCs w:val="13"/>
                <w:color w:val="auto"/>
              </w:rPr>
            </w:pPr>
          </w:p>
        </w:tc>
        <w:tc>
          <w:tcPr>
            <w:tcW w:w="1220" w:type="dxa"/>
            <w:vAlign w:val="bottom"/>
            <w:tcBorders>
              <w:right w:val="single" w:sz="8" w:color="auto"/>
            </w:tcBorders>
          </w:tcPr>
          <w:p>
            <w:pPr>
              <w:jc w:val="center"/>
              <w:ind w:right="226"/>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60" w:type="dxa"/>
            <w:vAlign w:val="bottom"/>
          </w:tcPr>
          <w:p>
            <w:pPr>
              <w:jc w:val="center"/>
              <w:ind w:left="16"/>
              <w:spacing w:after="0" w:line="160" w:lineRule="exact"/>
              <w:rPr>
                <w:sz w:val="20"/>
                <w:szCs w:val="20"/>
                <w:color w:val="auto"/>
              </w:rPr>
            </w:pPr>
            <w:r>
              <w:rPr>
                <w:rFonts w:ascii="Times New Roman" w:cs="Times New Roman" w:eastAsia="Times New Roman" w:hAnsi="Times New Roman"/>
                <w:sz w:val="14"/>
                <w:szCs w:val="14"/>
                <w:b w:val="1"/>
                <w:bCs w:val="1"/>
                <w:color w:val="auto"/>
              </w:rPr>
              <w:t>Amount of</w:t>
            </w:r>
          </w:p>
        </w:tc>
      </w:tr>
      <w:tr>
        <w:trPr>
          <w:trHeight w:val="176"/>
        </w:trPr>
        <w:tc>
          <w:tcPr>
            <w:tcW w:w="20" w:type="dxa"/>
            <w:vAlign w:val="bottom"/>
          </w:tcPr>
          <w:p>
            <w:pPr>
              <w:spacing w:after="0"/>
              <w:rPr>
                <w:sz w:val="15"/>
                <w:szCs w:val="15"/>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jc w:val="center"/>
              <w:ind w:right="226"/>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56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Registration Fee(1)</w:t>
            </w:r>
          </w:p>
        </w:tc>
      </w:tr>
      <w:tr>
        <w:trPr>
          <w:trHeight w:val="210"/>
        </w:trPr>
        <w:tc>
          <w:tcPr>
            <w:tcW w:w="20" w:type="dxa"/>
            <w:vAlign w:val="bottom"/>
            <w:tcBorders>
              <w:bottom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3.375% Notes due 2025</w:t>
            </w:r>
          </w:p>
        </w:tc>
        <w:tc>
          <w:tcPr>
            <w:tcW w:w="1600" w:type="dxa"/>
            <w:vAlign w:val="bottom"/>
            <w:tcBorders>
              <w:bottom w:val="single" w:sz="8" w:color="auto"/>
              <w:right w:val="single" w:sz="8" w:color="auto"/>
            </w:tcBorders>
            <w:gridSpan w:val="2"/>
          </w:tcPr>
          <w:p>
            <w:pPr>
              <w:jc w:val="right"/>
              <w:ind w:right="126"/>
              <w:spacing w:after="0"/>
              <w:rPr>
                <w:sz w:val="20"/>
                <w:szCs w:val="20"/>
                <w:color w:val="auto"/>
              </w:rPr>
            </w:pPr>
            <w:r>
              <w:rPr>
                <w:rFonts w:ascii="Times New Roman" w:cs="Times New Roman" w:eastAsia="Times New Roman" w:hAnsi="Times New Roman"/>
                <w:sz w:val="18"/>
                <w:szCs w:val="18"/>
                <w:color w:val="auto"/>
              </w:rPr>
              <w:t>$1,500,000,000</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$174,300</w:t>
            </w:r>
          </w:p>
        </w:tc>
      </w:tr>
      <w:tr>
        <w:trPr>
          <w:trHeight w:val="210"/>
        </w:trPr>
        <w:tc>
          <w:tcPr>
            <w:tcW w:w="8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4.400% Notes due 2035</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right"/>
              <w:ind w:right="126"/>
              <w:spacing w:after="0"/>
              <w:rPr>
                <w:sz w:val="20"/>
                <w:szCs w:val="20"/>
                <w:color w:val="auto"/>
              </w:rPr>
            </w:pPr>
            <w:r>
              <w:rPr>
                <w:rFonts w:ascii="Times New Roman" w:cs="Times New Roman" w:eastAsia="Times New Roman" w:hAnsi="Times New Roman"/>
                <w:sz w:val="18"/>
                <w:szCs w:val="18"/>
                <w:color w:val="auto"/>
              </w:rPr>
              <w:t>800,000,000</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$ 92,960</w:t>
            </w:r>
          </w:p>
        </w:tc>
      </w:tr>
      <w:tr>
        <w:trPr>
          <w:trHeight w:val="210"/>
        </w:trPr>
        <w:tc>
          <w:tcPr>
            <w:tcW w:w="8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4.600% Notes due 2045</w:t>
            </w:r>
          </w:p>
        </w:tc>
        <w:tc>
          <w:tcPr>
            <w:tcW w:w="1600" w:type="dxa"/>
            <w:vAlign w:val="bottom"/>
            <w:tcBorders>
              <w:bottom w:val="single" w:sz="8" w:color="auto"/>
              <w:right w:val="single" w:sz="8" w:color="auto"/>
            </w:tcBorders>
            <w:gridSpan w:val="2"/>
          </w:tcPr>
          <w:p>
            <w:pPr>
              <w:jc w:val="right"/>
              <w:ind w:right="126"/>
              <w:spacing w:after="0"/>
              <w:rPr>
                <w:sz w:val="20"/>
                <w:szCs w:val="20"/>
                <w:color w:val="auto"/>
              </w:rPr>
            </w:pPr>
            <w:r>
              <w:rPr>
                <w:rFonts w:ascii="Times New Roman" w:cs="Times New Roman" w:eastAsia="Times New Roman" w:hAnsi="Times New Roman"/>
                <w:sz w:val="18"/>
                <w:szCs w:val="18"/>
                <w:color w:val="auto"/>
              </w:rPr>
              <w:t>$1,700,000,000</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$197,540</w:t>
            </w:r>
          </w:p>
        </w:tc>
      </w:tr>
      <w:tr>
        <w:trPr>
          <w:trHeight w:val="210"/>
        </w:trPr>
        <w:tc>
          <w:tcPr>
            <w:tcW w:w="8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right w:val="single" w:sz="8" w:color="auto"/>
            </w:tcBorders>
            <w:gridSpan w:val="2"/>
          </w:tcPr>
          <w:p>
            <w:pPr>
              <w:jc w:val="right"/>
              <w:ind w:right="126"/>
              <w:spacing w:after="0"/>
              <w:rPr>
                <w:sz w:val="20"/>
                <w:szCs w:val="20"/>
                <w:color w:val="auto"/>
              </w:rPr>
            </w:pPr>
            <w:r>
              <w:rPr>
                <w:rFonts w:ascii="Times New Roman" w:cs="Times New Roman" w:eastAsia="Times New Roman" w:hAnsi="Times New Roman"/>
                <w:sz w:val="18"/>
                <w:szCs w:val="18"/>
                <w:color w:val="auto"/>
              </w:rPr>
              <w:t>$4,000,000,000</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$464,800</w:t>
            </w:r>
          </w:p>
        </w:tc>
      </w:tr>
      <w:tr>
        <w:trPr>
          <w:trHeight w:val="20"/>
        </w:trPr>
        <w:tc>
          <w:tcPr>
            <w:tcW w:w="8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   Calculated in accordance with Rule 457(r) of the Securities Act of 1933, as amended.</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bl>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23"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Registration No. 333-191239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 SUPPLEMENT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September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187325</wp:posOffset>
            </wp:positionV>
            <wp:extent cx="1397635" cy="488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tabs>
          <w:tab w:leader="none" w:pos="380" w:val="left"/>
        </w:tabs>
        <w:rPr>
          <w:sz w:val="20"/>
          <w:szCs w:val="20"/>
          <w:color w:val="auto"/>
        </w:rPr>
      </w:pPr>
      <w:r>
        <w:rPr>
          <w:rFonts w:ascii="Times New Roman" w:cs="Times New Roman" w:eastAsia="Times New Roman" w:hAnsi="Times New Roman"/>
          <w:sz w:val="32"/>
          <w:szCs w:val="32"/>
          <w:b w:val="1"/>
          <w:bCs w:val="1"/>
          <w:color w:val="auto"/>
        </w:rPr>
        <w:t>$1,500,000,000</w:t>
        <w:tab/>
        <w:t>3.375% Notes due 2025</w:t>
      </w:r>
    </w:p>
    <w:p>
      <w:pPr>
        <w:spacing w:after="0" w:line="39" w:lineRule="exact"/>
        <w:rPr>
          <w:sz w:val="20"/>
          <w:szCs w:val="20"/>
          <w:color w:val="auto"/>
        </w:rPr>
      </w:pPr>
    </w:p>
    <w:p>
      <w:pPr>
        <w:jc w:val="both"/>
        <w:ind w:left="2880" w:right="2780" w:firstLine="7"/>
        <w:spacing w:after="0" w:line="250" w:lineRule="auto"/>
        <w:tabs>
          <w:tab w:leader="none" w:pos="3285" w:val="left"/>
        </w:tabs>
        <w:numPr>
          <w:ilvl w:val="0"/>
          <w:numId w:val="1"/>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32"/>
          <w:szCs w:val="32"/>
          <w:b w:val="1"/>
          <w:bCs w:val="1"/>
          <w:color w:val="auto"/>
        </w:rPr>
        <w:t>800,000,000 4.400% Notes due 2035 $1,700,000,000 4.600% Notes due 2045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Notes due 2025 will bear interest at a rate of 3.375% per year and will mature on August 15, 2025, the Notes due 2035 will bear interest at a rate of 4.400% per year and will mature on August 15, 2035, and the Notes due 2045 will bear interest at a rate of 4.600% per year and will mature on August 15, 2045. We refer to the Notes due 2025, the Notes due 2035, and the Notes due 2045 collectively as the “notes.” We will pay interest on the notes on February 15 and August 15 of each year, beginning August 15, 2015. We may redeem any of the notes at any time by paying the applicable Redemption Price described under the heading “Description of the Notes—Optional Redemption.”</w:t>
      </w:r>
    </w:p>
    <w:p>
      <w:pPr>
        <w:spacing w:after="0" w:line="220"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notes will be unsecured and will rank equally with all of our unsecured and unsubordinated indebtedness. The notes will be fully and unconditionally guaranteed by our wholly-owned subsidiaries named in this prospectus supplement and in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213995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60" w:firstLine="456"/>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certain risks. See “Item 1A—Risk Factors” beginning on page 30 of Comcast Corporation’s (“Comcast”) Annual Report on Form 10-K for the year ended December 31, 2014, which is incorporated by reference herein.</w:t>
      </w: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Proceeds to Us</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Price to Investors</w:t>
            </w:r>
          </w:p>
        </w:tc>
        <w:tc>
          <w:tcPr>
            <w:tcW w:w="860" w:type="dxa"/>
            <w:vAlign w:val="bottom"/>
            <w:vMerge w:val="restart"/>
          </w:tcPr>
          <w:p>
            <w:pPr>
              <w:spacing w:after="0"/>
              <w:rPr>
                <w:sz w:val="12"/>
                <w:szCs w:val="12"/>
                <w:color w:val="auto"/>
              </w:rPr>
            </w:pPr>
          </w:p>
        </w:tc>
        <w:tc>
          <w:tcPr>
            <w:tcW w:w="1740" w:type="dxa"/>
            <w:vAlign w:val="bottom"/>
            <w:gridSpan w:val="3"/>
          </w:tcPr>
          <w:p>
            <w:pPr>
              <w:jc w:val="right"/>
              <w:ind w:right="8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Underwriters’</w:t>
            </w:r>
          </w:p>
        </w:tc>
        <w:tc>
          <w:tcPr>
            <w:tcW w:w="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Before</w:t>
            </w:r>
          </w:p>
        </w:tc>
        <w:tc>
          <w:tcPr>
            <w:tcW w:w="0" w:type="dxa"/>
            <w:vAlign w:val="bottom"/>
          </w:tcPr>
          <w:p>
            <w:pPr>
              <w:spacing w:after="0"/>
              <w:rPr>
                <w:sz w:val="1"/>
                <w:szCs w:val="1"/>
                <w:color w:val="auto"/>
              </w:rPr>
            </w:pPr>
          </w:p>
        </w:tc>
      </w:tr>
      <w:tr>
        <w:trPr>
          <w:trHeight w:val="157"/>
        </w:trPr>
        <w:tc>
          <w:tcPr>
            <w:tcW w:w="30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60" w:type="dxa"/>
            <w:vAlign w:val="bottom"/>
            <w:tcBorders>
              <w:bottom w:val="single" w:sz="8" w:color="auto"/>
            </w:tcBorders>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b w:val="1"/>
                <w:bCs w:val="1"/>
                <w:color w:val="auto"/>
              </w:rPr>
              <w:t>Discount</w:t>
            </w:r>
          </w:p>
        </w:tc>
        <w:tc>
          <w:tcPr>
            <w:tcW w:w="80" w:type="dxa"/>
            <w:vAlign w:val="bottom"/>
          </w:tcPr>
          <w:p>
            <w:pPr>
              <w:spacing w:after="0"/>
              <w:rPr>
                <w:sz w:val="13"/>
                <w:szCs w:val="13"/>
                <w:color w:val="auto"/>
              </w:rPr>
            </w:pPr>
          </w:p>
        </w:tc>
        <w:tc>
          <w:tcPr>
            <w:tcW w:w="1220" w:type="dxa"/>
            <w:vAlign w:val="bottom"/>
            <w:gridSpan w:val="2"/>
          </w:tcPr>
          <w:p>
            <w:pPr>
              <w:jc w:val="center"/>
              <w:ind w:right="280"/>
              <w:spacing w:after="0" w:line="152" w:lineRule="exact"/>
              <w:rPr>
                <w:sz w:val="20"/>
                <w:szCs w:val="20"/>
                <w:color w:val="auto"/>
              </w:rPr>
            </w:pPr>
            <w:r>
              <w:rPr>
                <w:rFonts w:ascii="Times New Roman" w:cs="Times New Roman" w:eastAsia="Times New Roman" w:hAnsi="Times New Roman"/>
                <w:sz w:val="14"/>
                <w:szCs w:val="14"/>
                <w:b w:val="1"/>
                <w:bCs w:val="1"/>
                <w:color w:val="auto"/>
                <w:w w:val="97"/>
              </w:rPr>
              <w:t>Expenses</w:t>
            </w:r>
          </w:p>
        </w:tc>
        <w:tc>
          <w:tcPr>
            <w:tcW w:w="0" w:type="dxa"/>
            <w:vAlign w:val="bottom"/>
          </w:tcPr>
          <w:p>
            <w:pPr>
              <w:spacing w:after="0"/>
              <w:rPr>
                <w:sz w:val="1"/>
                <w:szCs w:val="1"/>
                <w:color w:val="auto"/>
              </w:rPr>
            </w:pPr>
          </w:p>
        </w:tc>
      </w:tr>
      <w:tr>
        <w:trPr>
          <w:trHeight w:val="20"/>
        </w:trPr>
        <w:tc>
          <w:tcPr>
            <w:tcW w:w="3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 due 2025</w:t>
            </w:r>
            <w:r>
              <w:rPr>
                <w:rFonts w:ascii="Times New Roman" w:cs="Times New Roman" w:eastAsia="Times New Roman" w:hAnsi="Times New Roman"/>
                <w:sz w:val="11"/>
                <w:szCs w:val="11"/>
                <w:color w:val="auto"/>
              </w:rPr>
              <w:t>(1)</w:t>
            </w:r>
          </w:p>
        </w:tc>
        <w:tc>
          <w:tcPr>
            <w:tcW w:w="1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40" w:type="dxa"/>
            <w:vAlign w:val="bottom"/>
            <w:gridSpan w:val="2"/>
            <w:vMerge w:val="restart"/>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99.875%</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00" w:type="dxa"/>
            <w:vAlign w:val="bottom"/>
            <w:vMerge w:val="continue"/>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00"/>
              <w:spacing w:after="0" w:line="203" w:lineRule="exact"/>
              <w:rPr>
                <w:sz w:val="20"/>
                <w:szCs w:val="20"/>
                <w:color w:val="auto"/>
              </w:rPr>
            </w:pPr>
            <w:r>
              <w:rPr>
                <w:rFonts w:ascii="Times New Roman" w:cs="Times New Roman" w:eastAsia="Times New Roman" w:hAnsi="Times New Roman"/>
                <w:sz w:val="18"/>
                <w:szCs w:val="18"/>
                <w:color w:val="auto"/>
              </w:rPr>
              <w:t>0.450%</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99.425%</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w w:val="94"/>
              </w:rPr>
              <w:t>1,498,125,000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6,750,000</w:t>
            </w:r>
          </w:p>
        </w:tc>
        <w:tc>
          <w:tcPr>
            <w:tcW w:w="8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1,491,375,000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 due 2035</w:t>
            </w:r>
            <w:r>
              <w:rPr>
                <w:rFonts w:ascii="Times New Roman" w:cs="Times New Roman" w:eastAsia="Times New Roman" w:hAnsi="Times New Roman"/>
                <w:sz w:val="11"/>
                <w:szCs w:val="11"/>
                <w:color w:val="auto"/>
              </w:rPr>
              <w:t>(1)</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99.939%</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0.650%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99.289%</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799,512,000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5,200,000</w:t>
            </w:r>
          </w:p>
        </w:tc>
        <w:tc>
          <w:tcPr>
            <w:tcW w:w="8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794,312,000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 due 2045</w:t>
            </w:r>
            <w:r>
              <w:rPr>
                <w:rFonts w:ascii="Times New Roman" w:cs="Times New Roman" w:eastAsia="Times New Roman" w:hAnsi="Times New Roman"/>
                <w:sz w:val="11"/>
                <w:szCs w:val="11"/>
                <w:color w:val="auto"/>
              </w:rPr>
              <w:t>(1)</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99.925%</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0.750%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99.175%</w:t>
            </w:r>
          </w:p>
        </w:tc>
        <w:tc>
          <w:tcPr>
            <w:tcW w:w="0" w:type="dxa"/>
            <w:vAlign w:val="bottom"/>
          </w:tcPr>
          <w:p>
            <w:pPr>
              <w:spacing w:after="0"/>
              <w:rPr>
                <w:sz w:val="1"/>
                <w:szCs w:val="1"/>
                <w:color w:val="auto"/>
              </w:rPr>
            </w:pPr>
          </w:p>
        </w:tc>
      </w:tr>
      <w:tr>
        <w:trPr>
          <w:trHeight w:val="228"/>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w w:val="94"/>
              </w:rPr>
              <w:t>1,698,725,000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12,750,000</w:t>
            </w:r>
          </w:p>
        </w:tc>
        <w:tc>
          <w:tcPr>
            <w:tcW w:w="8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1,685,975,000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accrued interest, if any, from May 27, 2015, if settlement occurs after that date.</w:t>
      </w:r>
    </w:p>
    <w:p>
      <w:pPr>
        <w:spacing w:after="0" w:line="250" w:lineRule="exact"/>
        <w:rPr>
          <w:sz w:val="20"/>
          <w:szCs w:val="20"/>
          <w:color w:val="auto"/>
        </w:rPr>
      </w:pPr>
    </w:p>
    <w:p>
      <w:pPr>
        <w:ind w:right="36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10"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The notes will be ready for delivery only through The Depository Trust Company and its participants, including Euroclear SA/NV (“Euroclear”) and Clearstream Banking SA (“Clearstream”), in book-entry form on or about May 27, 2015, which is the fifth business day following the date of this prospectus supplement. See “Underwriting.”</w:t>
      </w:r>
    </w:p>
    <w:p>
      <w:pPr>
        <w:sectPr>
          <w:pgSz w:w="11900" w:h="16838" w:orient="portrait"/>
          <w:cols w:equalWidth="0" w:num="1">
            <w:col w:w="11320"/>
          </w:cols>
          <w:pgMar w:left="240" w:top="455" w:right="339" w:bottom="1440" w:gutter="0" w:footer="0" w:header="0"/>
        </w:sectPr>
      </w:pPr>
    </w:p>
    <w:bookmarkStart w:id="2" w:name="page3"/>
    <w:bookmarkEnd w:id="2"/>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60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8"/>
              </w:rPr>
              <w:t>Citigroup</w:t>
            </w:r>
          </w:p>
        </w:tc>
        <w:tc>
          <w:tcPr>
            <w:tcW w:w="1140" w:type="dxa"/>
            <w:vAlign w:val="bottom"/>
          </w:tcPr>
          <w:p>
            <w:pPr>
              <w:spacing w:after="0"/>
              <w:rPr>
                <w:sz w:val="24"/>
                <w:szCs w:val="24"/>
                <w:color w:val="auto"/>
              </w:rPr>
            </w:pPr>
          </w:p>
        </w:tc>
        <w:tc>
          <w:tcPr>
            <w:tcW w:w="3580" w:type="dxa"/>
            <w:vAlign w:val="bottom"/>
            <w:gridSpan w:val="2"/>
          </w:tcPr>
          <w:p>
            <w:pPr>
              <w:jc w:val="center"/>
              <w:ind w:right="940"/>
              <w:spacing w:after="0"/>
              <w:rPr>
                <w:sz w:val="20"/>
                <w:szCs w:val="20"/>
                <w:color w:val="auto"/>
              </w:rPr>
            </w:pPr>
            <w:r>
              <w:rPr>
                <w:rFonts w:ascii="Times New Roman" w:cs="Times New Roman" w:eastAsia="Times New Roman" w:hAnsi="Times New Roman"/>
                <w:sz w:val="22"/>
                <w:szCs w:val="22"/>
                <w:b w:val="1"/>
                <w:bCs w:val="1"/>
                <w:color w:val="auto"/>
                <w:w w:val="98"/>
              </w:rPr>
              <w:t>Goldman, Sachs &amp; Co.</w:t>
            </w:r>
          </w:p>
        </w:tc>
        <w:tc>
          <w:tcPr>
            <w:tcW w:w="2660" w:type="dxa"/>
            <w:vAlign w:val="bottom"/>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8"/>
              </w:rPr>
              <w:t>Morgan Stanley</w:t>
            </w:r>
          </w:p>
        </w:tc>
        <w:tc>
          <w:tcPr>
            <w:tcW w:w="0" w:type="dxa"/>
            <w:vAlign w:val="bottom"/>
          </w:tcPr>
          <w:p>
            <w:pPr>
              <w:spacing w:after="0"/>
              <w:rPr>
                <w:sz w:val="1"/>
                <w:szCs w:val="1"/>
                <w:color w:val="auto"/>
              </w:rPr>
            </w:pPr>
          </w:p>
        </w:tc>
      </w:tr>
      <w:tr>
        <w:trPr>
          <w:trHeight w:val="405"/>
        </w:trPr>
        <w:tc>
          <w:tcPr>
            <w:tcW w:w="260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8"/>
              </w:rPr>
              <w:t>Deutsche Bank Securities</w:t>
            </w:r>
          </w:p>
        </w:tc>
        <w:tc>
          <w:tcPr>
            <w:tcW w:w="1140" w:type="dxa"/>
            <w:vAlign w:val="bottom"/>
          </w:tcPr>
          <w:p>
            <w:pPr>
              <w:spacing w:after="0"/>
              <w:rPr>
                <w:sz w:val="24"/>
                <w:szCs w:val="24"/>
                <w:color w:val="auto"/>
              </w:rPr>
            </w:pPr>
          </w:p>
        </w:tc>
        <w:tc>
          <w:tcPr>
            <w:tcW w:w="3580" w:type="dxa"/>
            <w:vAlign w:val="bottom"/>
            <w:gridSpan w:val="2"/>
          </w:tcPr>
          <w:p>
            <w:pPr>
              <w:jc w:val="center"/>
              <w:ind w:right="940"/>
              <w:spacing w:after="0"/>
              <w:rPr>
                <w:sz w:val="20"/>
                <w:szCs w:val="20"/>
                <w:color w:val="auto"/>
              </w:rPr>
            </w:pPr>
            <w:r>
              <w:rPr>
                <w:rFonts w:ascii="Times New Roman" w:cs="Times New Roman" w:eastAsia="Times New Roman" w:hAnsi="Times New Roman"/>
                <w:sz w:val="22"/>
                <w:szCs w:val="22"/>
                <w:b w:val="1"/>
                <w:bCs w:val="1"/>
                <w:color w:val="auto"/>
                <w:w w:val="97"/>
              </w:rPr>
              <w:t>SMBC Nikko</w:t>
            </w:r>
          </w:p>
        </w:tc>
        <w:tc>
          <w:tcPr>
            <w:tcW w:w="2660" w:type="dxa"/>
            <w:vAlign w:val="bottom"/>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UBS Investment Bank</w:t>
            </w:r>
          </w:p>
        </w:tc>
        <w:tc>
          <w:tcPr>
            <w:tcW w:w="0" w:type="dxa"/>
            <w:vAlign w:val="bottom"/>
          </w:tcPr>
          <w:p>
            <w:pPr>
              <w:spacing w:after="0"/>
              <w:rPr>
                <w:sz w:val="1"/>
                <w:szCs w:val="1"/>
                <w:color w:val="auto"/>
              </w:rPr>
            </w:pPr>
          </w:p>
        </w:tc>
      </w:tr>
      <w:tr>
        <w:trPr>
          <w:trHeight w:val="272"/>
        </w:trPr>
        <w:tc>
          <w:tcPr>
            <w:tcW w:w="26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12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0"/>
        </w:trPr>
        <w:tc>
          <w:tcPr>
            <w:tcW w:w="2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i w:val="1"/>
                <w:iCs w:val="1"/>
                <w:color w:val="auto"/>
                <w:w w:val="97"/>
              </w:rPr>
              <w:t>Co-Managers</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260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8"/>
              </w:rPr>
              <w:t>Barclays</w:t>
            </w:r>
          </w:p>
        </w:tc>
        <w:tc>
          <w:tcPr>
            <w:tcW w:w="1140" w:type="dxa"/>
            <w:vAlign w:val="bottom"/>
          </w:tcPr>
          <w:p>
            <w:pPr>
              <w:spacing w:after="0"/>
              <w:rPr>
                <w:sz w:val="24"/>
                <w:szCs w:val="24"/>
                <w:color w:val="auto"/>
              </w:rPr>
            </w:pPr>
          </w:p>
        </w:tc>
        <w:tc>
          <w:tcPr>
            <w:tcW w:w="358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7"/>
              </w:rPr>
              <w:t>BNP PARIBAS</w:t>
            </w:r>
          </w:p>
        </w:tc>
        <w:tc>
          <w:tcPr>
            <w:tcW w:w="2660" w:type="dxa"/>
            <w:vAlign w:val="bottom"/>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6"/>
              </w:rPr>
              <w:t>BofA Merrill Lynch</w:t>
            </w:r>
          </w:p>
        </w:tc>
        <w:tc>
          <w:tcPr>
            <w:tcW w:w="0" w:type="dxa"/>
            <w:vAlign w:val="bottom"/>
          </w:tcPr>
          <w:p>
            <w:pPr>
              <w:spacing w:after="0"/>
              <w:rPr>
                <w:sz w:val="1"/>
                <w:szCs w:val="1"/>
                <w:color w:val="auto"/>
              </w:rPr>
            </w:pPr>
          </w:p>
        </w:tc>
      </w:tr>
      <w:tr>
        <w:trPr>
          <w:trHeight w:val="216"/>
        </w:trPr>
        <w:tc>
          <w:tcPr>
            <w:tcW w:w="260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6"/>
              </w:rPr>
              <w:t>Credit Suisse</w:t>
            </w:r>
          </w:p>
        </w:tc>
        <w:tc>
          <w:tcPr>
            <w:tcW w:w="1140" w:type="dxa"/>
            <w:vAlign w:val="bottom"/>
          </w:tcPr>
          <w:p>
            <w:pPr>
              <w:spacing w:after="0"/>
              <w:rPr>
                <w:sz w:val="18"/>
                <w:szCs w:val="18"/>
                <w:color w:val="auto"/>
              </w:rPr>
            </w:pPr>
          </w:p>
        </w:tc>
        <w:tc>
          <w:tcPr>
            <w:tcW w:w="358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6"/>
              </w:rPr>
              <w:t>J.P. Morgan</w:t>
            </w:r>
          </w:p>
        </w:tc>
        <w:tc>
          <w:tcPr>
            <w:tcW w:w="2660" w:type="dxa"/>
            <w:vAlign w:val="bottom"/>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7"/>
              </w:rPr>
              <w:t>Lloyds Securities</w:t>
            </w:r>
          </w:p>
        </w:tc>
        <w:tc>
          <w:tcPr>
            <w:tcW w:w="0" w:type="dxa"/>
            <w:vAlign w:val="bottom"/>
          </w:tcPr>
          <w:p>
            <w:pPr>
              <w:spacing w:after="0"/>
              <w:rPr>
                <w:sz w:val="1"/>
                <w:szCs w:val="1"/>
                <w:color w:val="auto"/>
              </w:rPr>
            </w:pPr>
          </w:p>
        </w:tc>
      </w:tr>
      <w:tr>
        <w:trPr>
          <w:trHeight w:val="230"/>
        </w:trPr>
        <w:tc>
          <w:tcPr>
            <w:tcW w:w="260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6"/>
              </w:rPr>
              <w:t>Mizuho Securities</w:t>
            </w:r>
          </w:p>
        </w:tc>
        <w:tc>
          <w:tcPr>
            <w:tcW w:w="1140" w:type="dxa"/>
            <w:vAlign w:val="bottom"/>
          </w:tcPr>
          <w:p>
            <w:pPr>
              <w:spacing w:after="0"/>
              <w:rPr>
                <w:sz w:val="19"/>
                <w:szCs w:val="19"/>
                <w:color w:val="auto"/>
              </w:rPr>
            </w:pPr>
          </w:p>
        </w:tc>
        <w:tc>
          <w:tcPr>
            <w:tcW w:w="358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7"/>
              </w:rPr>
              <w:t>RBC Capital Markets</w:t>
            </w:r>
          </w:p>
        </w:tc>
        <w:tc>
          <w:tcPr>
            <w:tcW w:w="2660" w:type="dxa"/>
            <w:vAlign w:val="bottom"/>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7"/>
              </w:rPr>
              <w:t>SunTrust Robinson Humphrey</w:t>
            </w:r>
          </w:p>
        </w:tc>
        <w:tc>
          <w:tcPr>
            <w:tcW w:w="0" w:type="dxa"/>
            <w:vAlign w:val="bottom"/>
          </w:tcPr>
          <w:p>
            <w:pPr>
              <w:spacing w:after="0"/>
              <w:rPr>
                <w:sz w:val="1"/>
                <w:szCs w:val="1"/>
                <w:color w:val="auto"/>
              </w:rPr>
            </w:pPr>
          </w:p>
        </w:tc>
      </w:tr>
      <w:tr>
        <w:trPr>
          <w:trHeight w:val="230"/>
        </w:trPr>
        <w:tc>
          <w:tcPr>
            <w:tcW w:w="260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Santander</w:t>
            </w:r>
          </w:p>
        </w:tc>
        <w:tc>
          <w:tcPr>
            <w:tcW w:w="1140" w:type="dxa"/>
            <w:vAlign w:val="bottom"/>
          </w:tcPr>
          <w:p>
            <w:pPr>
              <w:spacing w:after="0"/>
              <w:rPr>
                <w:sz w:val="20"/>
                <w:szCs w:val="20"/>
                <w:color w:val="auto"/>
              </w:rPr>
            </w:pPr>
          </w:p>
        </w:tc>
        <w:tc>
          <w:tcPr>
            <w:tcW w:w="358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7"/>
              </w:rPr>
              <w:t>Wells Fargo Securities</w:t>
            </w:r>
          </w:p>
        </w:tc>
        <w:tc>
          <w:tcPr>
            <w:tcW w:w="26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US Bancorp</w:t>
            </w:r>
          </w:p>
        </w:tc>
        <w:tc>
          <w:tcPr>
            <w:tcW w:w="0" w:type="dxa"/>
            <w:vAlign w:val="bottom"/>
          </w:tcPr>
          <w:p>
            <w:pPr>
              <w:spacing w:after="0"/>
              <w:rPr>
                <w:sz w:val="1"/>
                <w:szCs w:val="1"/>
                <w:color w:val="auto"/>
              </w:rPr>
            </w:pPr>
          </w:p>
        </w:tc>
      </w:tr>
      <w:tr>
        <w:trPr>
          <w:trHeight w:val="202"/>
        </w:trPr>
        <w:tc>
          <w:tcPr>
            <w:tcW w:w="260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DNB Markets</w:t>
            </w:r>
          </w:p>
        </w:tc>
        <w:tc>
          <w:tcPr>
            <w:tcW w:w="1140" w:type="dxa"/>
            <w:vAlign w:val="bottom"/>
          </w:tcPr>
          <w:p>
            <w:pPr>
              <w:spacing w:after="0"/>
              <w:rPr>
                <w:sz w:val="20"/>
                <w:szCs w:val="20"/>
                <w:color w:val="auto"/>
              </w:rPr>
            </w:pPr>
          </w:p>
        </w:tc>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PNC Capital Markets LLC</w:t>
            </w:r>
          </w:p>
        </w:tc>
        <w:tc>
          <w:tcPr>
            <w:tcW w:w="266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TD Securities</w:t>
            </w:r>
          </w:p>
        </w:tc>
        <w:tc>
          <w:tcPr>
            <w:tcW w:w="0" w:type="dxa"/>
            <w:vAlign w:val="bottom"/>
          </w:tcPr>
          <w:p>
            <w:pPr>
              <w:spacing w:after="0"/>
              <w:rPr>
                <w:sz w:val="1"/>
                <w:szCs w:val="1"/>
                <w:color w:val="auto"/>
              </w:rPr>
            </w:pPr>
          </w:p>
        </w:tc>
      </w:tr>
      <w:tr>
        <w:trPr>
          <w:trHeight w:val="336"/>
        </w:trPr>
        <w:tc>
          <w:tcPr>
            <w:tcW w:w="2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5"/>
              </w:rPr>
              <w:t>The Williams Capital Group, L.P.</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00" w:type="dxa"/>
            <w:vAlign w:val="bottom"/>
          </w:tcPr>
          <w:p>
            <w:pPr>
              <w:jc w:val="center"/>
              <w:ind w:right="192"/>
              <w:spacing w:after="0" w:line="149" w:lineRule="exact"/>
              <w:rPr>
                <w:sz w:val="20"/>
                <w:szCs w:val="20"/>
                <w:color w:val="auto"/>
              </w:rPr>
            </w:pPr>
            <w:r>
              <w:rPr>
                <w:rFonts w:ascii="Times New Roman" w:cs="Times New Roman" w:eastAsia="Times New Roman" w:hAnsi="Times New Roman"/>
                <w:sz w:val="14"/>
                <w:szCs w:val="14"/>
                <w:b w:val="1"/>
                <w:bCs w:val="1"/>
                <w:color w:val="auto"/>
                <w:w w:val="96"/>
              </w:rPr>
              <w:t>Drexel Hamilton</w:t>
            </w:r>
          </w:p>
        </w:tc>
        <w:tc>
          <w:tcPr>
            <w:tcW w:w="1140" w:type="dxa"/>
            <w:vAlign w:val="bottom"/>
          </w:tcPr>
          <w:p>
            <w:pPr>
              <w:spacing w:after="0"/>
              <w:rPr>
                <w:sz w:val="12"/>
                <w:szCs w:val="12"/>
                <w:color w:val="auto"/>
              </w:rPr>
            </w:pPr>
          </w:p>
        </w:tc>
        <w:tc>
          <w:tcPr>
            <w:tcW w:w="358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Lebenthal Capital Markets</w:t>
            </w:r>
          </w:p>
        </w:tc>
        <w:tc>
          <w:tcPr>
            <w:tcW w:w="2660" w:type="dxa"/>
            <w:vAlign w:val="bottom"/>
          </w:tcPr>
          <w:p>
            <w:pPr>
              <w:jc w:val="center"/>
              <w:ind w:left="252"/>
              <w:spacing w:after="0" w:line="149" w:lineRule="exact"/>
              <w:rPr>
                <w:sz w:val="20"/>
                <w:szCs w:val="20"/>
                <w:color w:val="auto"/>
              </w:rPr>
            </w:pPr>
            <w:r>
              <w:rPr>
                <w:rFonts w:ascii="Times New Roman" w:cs="Times New Roman" w:eastAsia="Times New Roman" w:hAnsi="Times New Roman"/>
                <w:sz w:val="14"/>
                <w:szCs w:val="14"/>
                <w:b w:val="1"/>
                <w:bCs w:val="1"/>
                <w:color w:val="auto"/>
                <w:w w:val="97"/>
              </w:rPr>
              <w:t>MFR Securities, Inc.</w:t>
            </w:r>
          </w:p>
        </w:tc>
        <w:tc>
          <w:tcPr>
            <w:tcW w:w="0" w:type="dxa"/>
            <w:vAlign w:val="bottom"/>
          </w:tcPr>
          <w:p>
            <w:pPr>
              <w:spacing w:after="0"/>
              <w:rPr>
                <w:sz w:val="1"/>
                <w:szCs w:val="1"/>
                <w:color w:val="auto"/>
              </w:rPr>
            </w:pPr>
          </w:p>
        </w:tc>
      </w:tr>
      <w:tr>
        <w:trPr>
          <w:trHeight w:val="178"/>
        </w:trPr>
        <w:tc>
          <w:tcPr>
            <w:tcW w:w="260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5"/>
              </w:rPr>
              <w:t>Mischler Financial Group, Inc.</w:t>
            </w:r>
          </w:p>
        </w:tc>
        <w:tc>
          <w:tcPr>
            <w:tcW w:w="1140" w:type="dxa"/>
            <w:vAlign w:val="bottom"/>
          </w:tcPr>
          <w:p>
            <w:pPr>
              <w:spacing w:after="0"/>
              <w:rPr>
                <w:sz w:val="15"/>
                <w:szCs w:val="15"/>
                <w:color w:val="auto"/>
              </w:rPr>
            </w:pPr>
          </w:p>
        </w:tc>
        <w:tc>
          <w:tcPr>
            <w:tcW w:w="358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w w:val="96"/>
              </w:rPr>
              <w:t>Ramirez &amp; Co., Inc.</w:t>
            </w:r>
          </w:p>
        </w:tc>
        <w:tc>
          <w:tcPr>
            <w:tcW w:w="2660" w:type="dxa"/>
            <w:vAlign w:val="bottom"/>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4"/>
              </w:rPr>
              <w:t>Telsey Advisory Group</w:t>
            </w:r>
          </w:p>
        </w:tc>
        <w:tc>
          <w:tcPr>
            <w:tcW w:w="0" w:type="dxa"/>
            <w:vAlign w:val="bottom"/>
          </w:tcPr>
          <w:p>
            <w:pPr>
              <w:spacing w:after="0"/>
              <w:rPr>
                <w:sz w:val="1"/>
                <w:szCs w:val="1"/>
                <w:color w:val="auto"/>
              </w:rPr>
            </w:pPr>
          </w:p>
        </w:tc>
      </w:tr>
      <w:tr>
        <w:trPr>
          <w:trHeight w:val="298"/>
        </w:trPr>
        <w:tc>
          <w:tcPr>
            <w:tcW w:w="2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600" w:type="dxa"/>
            <w:vAlign w:val="bottom"/>
          </w:tcPr>
          <w:p>
            <w:pPr>
              <w:spacing w:after="0"/>
              <w:rPr>
                <w:sz w:val="24"/>
                <w:szCs w:val="24"/>
                <w:color w:val="auto"/>
              </w:rPr>
            </w:pPr>
          </w:p>
        </w:tc>
        <w:tc>
          <w:tcPr>
            <w:tcW w:w="47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The date of this prospectus supplement is May 19, 2015.</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80"/>
          </w:cols>
          <w:pgMar w:left="1020" w:top="123" w:right="8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205105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940" w:type="dxa"/>
            <w:vAlign w:val="bottom"/>
            <w:gridSpan w:val="17"/>
            <w:vMerge w:val="restart"/>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Where You Can Find More Information</w:t>
              </w:r>
            </w:hyperlink>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40" w:type="dxa"/>
            <w:vAlign w:val="bottom"/>
            <w:gridSpan w:val="17"/>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8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Prospectus Supplement Summary</w:t>
              </w:r>
            </w:hyperlink>
          </w:p>
        </w:tc>
        <w:tc>
          <w:tcPr>
            <w:tcW w:w="420" w:type="dxa"/>
            <w:vAlign w:val="bottom"/>
            <w:tcBorders>
              <w:top w:val="single" w:sz="8" w:color="0000EE"/>
            </w:tcBorders>
          </w:tcPr>
          <w:p>
            <w:pPr>
              <w:spacing w:after="0"/>
              <w:rPr>
                <w:sz w:val="18"/>
                <w:szCs w:val="18"/>
                <w:color w:val="auto"/>
              </w:rPr>
            </w:pPr>
          </w:p>
        </w:tc>
        <w:tc>
          <w:tcPr>
            <w:tcW w:w="8140" w:type="dxa"/>
            <w:vAlign w:val="bottom"/>
            <w:gridSpan w:val="5"/>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Use of Proceeds</w:t>
              </w:r>
            </w:hyperlink>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7"/>
          </w:tcPr>
          <w:p>
            <w:pPr>
              <w:spacing w:after="0" w:line="19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Ratios of Earnings to Fixed Charges and of Earnings to Combined Fixed Charges and Preferred Dividends</w:t>
              </w:r>
            </w:hyperlink>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Description of the Notes</w:t>
              </w:r>
            </w:hyperlink>
          </w:p>
        </w:tc>
        <w:tc>
          <w:tcPr>
            <w:tcW w:w="346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17">
              <w:r>
                <w:rPr>
                  <w:rFonts w:ascii="Times New Roman" w:cs="Times New Roman" w:eastAsia="Times New Roman" w:hAnsi="Times New Roman"/>
                  <w:sz w:val="18"/>
                  <w:szCs w:val="18"/>
                  <w:color w:val="0000EE"/>
                  <w:w w:val="97"/>
                </w:rPr>
                <w:t>Material U.S. Federal Income Tax Consequences for Non-U.S. Holders</w:t>
              </w:r>
            </w:hyperlink>
          </w:p>
        </w:tc>
        <w:tc>
          <w:tcPr>
            <w:tcW w:w="592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20">
              <w:r>
                <w:rPr>
                  <w:rFonts w:ascii="Times New Roman" w:cs="Times New Roman" w:eastAsia="Times New Roman" w:hAnsi="Times New Roman"/>
                  <w:sz w:val="18"/>
                  <w:szCs w:val="18"/>
                  <w:color w:val="0000EE"/>
                  <w:w w:val="96"/>
                </w:rPr>
                <w:t>Underwriting</w:t>
              </w:r>
            </w:hyperlink>
          </w:p>
        </w:tc>
        <w:tc>
          <w:tcPr>
            <w:tcW w:w="9980" w:type="dxa"/>
            <w:vAlign w:val="bottom"/>
            <w:gridSpan w:val="1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Legal Matters</w:t>
              </w:r>
            </w:hyperlink>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Experts</w:t>
              </w:r>
            </w:hyperlink>
          </w:p>
        </w:tc>
        <w:tc>
          <w:tcPr>
            <w:tcW w:w="9960" w:type="dxa"/>
            <w:vAlign w:val="bottom"/>
            <w:gridSpan w:val="1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9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6"/>
              </w:rPr>
            </w:pPr>
            <w:hyperlink w:anchor="page27">
              <w:r>
                <w:rPr>
                  <w:rFonts w:ascii="Times New Roman" w:cs="Times New Roman" w:eastAsia="Times New Roman" w:hAnsi="Times New Roman"/>
                  <w:sz w:val="18"/>
                  <w:szCs w:val="18"/>
                  <w:color w:val="0000EE"/>
                  <w:w w:val="96"/>
                </w:rPr>
                <w:t>The Companies</w:t>
              </w:r>
            </w:hyperlink>
          </w:p>
        </w:tc>
        <w:tc>
          <w:tcPr>
            <w:tcW w:w="980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Caution Concerning Forward-Looking Statements</w:t>
              </w:r>
            </w:hyperlink>
          </w:p>
        </w:tc>
        <w:tc>
          <w:tcPr>
            <w:tcW w:w="74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31">
              <w:r>
                <w:rPr>
                  <w:rFonts w:ascii="Times New Roman" w:cs="Times New Roman" w:eastAsia="Times New Roman" w:hAnsi="Times New Roman"/>
                  <w:sz w:val="18"/>
                  <w:szCs w:val="18"/>
                  <w:color w:val="0000EE"/>
                  <w:w w:val="96"/>
                </w:rPr>
                <w:t>Dividend Policy</w:t>
              </w:r>
            </w:hyperlink>
          </w:p>
        </w:tc>
        <w:tc>
          <w:tcPr>
            <w:tcW w:w="978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Ratios of Earnings to Fixed Charges and of Earnings to Combined Fixed Charges and Preferred Dividends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Description of Debt Securities and Guarantees</w:t>
              </w:r>
            </w:hyperlink>
          </w:p>
        </w:tc>
        <w:tc>
          <w:tcPr>
            <w:tcW w:w="34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Global Securities</w:t>
              </w:r>
            </w:hyperlink>
          </w:p>
        </w:tc>
        <w:tc>
          <w:tcPr>
            <w:tcW w:w="768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47">
              <w:r>
                <w:rPr>
                  <w:rFonts w:ascii="Times New Roman" w:cs="Times New Roman" w:eastAsia="Times New Roman" w:hAnsi="Times New Roman"/>
                  <w:sz w:val="18"/>
                  <w:szCs w:val="18"/>
                  <w:color w:val="0000EE"/>
                  <w:w w:val="97"/>
                </w:rPr>
                <w:t>Description of Capital Stock</w:t>
              </w:r>
            </w:hyperlink>
          </w:p>
        </w:tc>
        <w:tc>
          <w:tcPr>
            <w:tcW w:w="892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Plan of Distribution</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Legal Matters</w:t>
              </w:r>
            </w:hyperlink>
          </w:p>
        </w:tc>
        <w:tc>
          <w:tcPr>
            <w:tcW w:w="954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Experts</w:t>
              </w:r>
            </w:hyperlink>
          </w:p>
        </w:tc>
        <w:tc>
          <w:tcPr>
            <w:tcW w:w="996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7"/>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Available Information</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53">
              <w:r>
                <w:rPr>
                  <w:rFonts w:ascii="Times New Roman" w:cs="Times New Roman" w:eastAsia="Times New Roman" w:hAnsi="Times New Roman"/>
                  <w:sz w:val="18"/>
                  <w:szCs w:val="18"/>
                  <w:color w:val="0000EE"/>
                  <w:w w:val="97"/>
                </w:rPr>
                <w:t>Incorporation of Certain Documents by Reference</w:t>
              </w:r>
            </w:hyperlink>
          </w:p>
        </w:tc>
        <w:tc>
          <w:tcPr>
            <w:tcW w:w="74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20"/>
          </w:cols>
          <w:pgMar w:left="240" w:top="455" w:right="3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3"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36"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This prospectus supplement incorporates by reference the documents of Comcast and NBCUniversal Media, LLC (“NBCUniversal”) set forth below that we or NBCUniversal have previously filed with the SEC:</w:t>
      </w:r>
    </w:p>
    <w:p>
      <w:pPr>
        <w:spacing w:after="0" w:line="39" w:lineRule="exact"/>
        <w:rPr>
          <w:sz w:val="20"/>
          <w:szCs w:val="20"/>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Comcast’s and NBCUniversal’s combined Annual Report on Form 10-K for the year ended December 31, 2014, filed on February 27, 2015.</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Comcast’s and NBCUniversal’s combined Quarterly Report on Form 10-Q for the quarter ended March 31, 2015, filed on May 4, 2015.</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Comcast’s Current Reports on Form 8-K filed on January 29, 2015, March 31, 2015, April 24, 2015 and May 11, 2015.</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NBCUniversal’s Current Reports on Form 8-K filed on March 31, 2015 and May 11, 2015.</w:t>
      </w:r>
    </w:p>
    <w:p>
      <w:pPr>
        <w:spacing w:after="0" w:line="90"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Comcast’s Definitive Proxy Statement on Schedule 14A for the 2015 annual meeting of shareholders incorporated by reference in Comcast’s Annual Report on Form 10-K for the year ended December 31, 2014.</w:t>
      </w:r>
    </w:p>
    <w:p>
      <w:pPr>
        <w:spacing w:after="0" w:line="12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and NBCUniversal also incorporate by reference into this prospectus supplement and the accompanying prospectus additional documents that we or NBCUniversal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360"/>
          </w:cols>
          <w:pgMar w:left="240" w:top="455" w:right="2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101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610171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7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92" w:lineRule="exact"/>
        <w:rPr>
          <w:sz w:val="20"/>
          <w:szCs w:val="20"/>
          <w:color w:val="auto"/>
        </w:rPr>
      </w:pPr>
    </w:p>
    <w:p>
      <w:pPr>
        <w:ind w:left="200" w:firstLine="443"/>
        <w:spacing w:after="0" w:line="258" w:lineRule="auto"/>
        <w:rPr>
          <w:sz w:val="20"/>
          <w:szCs w:val="20"/>
          <w:color w:val="auto"/>
        </w:rPr>
      </w:pPr>
      <w:r>
        <w:rPr>
          <w:rFonts w:ascii="Times New Roman" w:cs="Times New Roman" w:eastAsia="Times New Roman" w:hAnsi="Times New Roman"/>
          <w:sz w:val="18"/>
          <w:szCs w:val="18"/>
          <w:color w:val="auto"/>
        </w:rPr>
        <w:t>We are a global media and technology company with two primary businesses, Comcast Cable and NBCUniversal. Comcast was incorporated under the laws of Pennsylvania in 2001, and through its predecessors, Comcast has developed, managed and operated cable systems since 1963. In 2011, we acquired control of the businesses of NBCUniversal from General Electric Company, and in 2013, we acquired the remaining 49% common equity interest in NBCUniversal that we did not already own.</w:t>
      </w:r>
    </w:p>
    <w:p>
      <w:pPr>
        <w:spacing w:after="0" w:line="136" w:lineRule="exact"/>
        <w:rPr>
          <w:sz w:val="20"/>
          <w:szCs w:val="20"/>
          <w:color w:val="auto"/>
        </w:rPr>
      </w:pPr>
    </w:p>
    <w:p>
      <w:pPr>
        <w:ind w:left="200" w:right="580" w:firstLine="443"/>
        <w:spacing w:after="0" w:line="275" w:lineRule="auto"/>
        <w:rPr>
          <w:sz w:val="20"/>
          <w:szCs w:val="20"/>
          <w:color w:val="auto"/>
        </w:rPr>
      </w:pPr>
      <w:r>
        <w:rPr>
          <w:rFonts w:ascii="Times New Roman" w:cs="Times New Roman" w:eastAsia="Times New Roman" w:hAnsi="Times New Roman"/>
          <w:sz w:val="18"/>
          <w:szCs w:val="18"/>
          <w:color w:val="auto"/>
        </w:rPr>
        <w:t>We present our operations for Comcast Cable in one reportable business segment, referred to as Cable Communications, and our operations for NBCUniversal in four reportable business segments.</w:t>
      </w:r>
    </w:p>
    <w:p>
      <w:pPr>
        <w:spacing w:after="0" w:line="37" w:lineRule="exact"/>
        <w:rPr>
          <w:sz w:val="20"/>
          <w:szCs w:val="20"/>
          <w:color w:val="auto"/>
        </w:rPr>
      </w:pPr>
    </w:p>
    <w:p>
      <w:pPr>
        <w:ind w:left="1060" w:right="160" w:hanging="323"/>
        <w:spacing w:after="0" w:line="334" w:lineRule="auto"/>
        <w:tabs>
          <w:tab w:leader="none" w:pos="10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Cable Communications: </w:t>
      </w:r>
      <w:r>
        <w:rPr>
          <w:rFonts w:ascii="Times New Roman" w:cs="Times New Roman" w:eastAsia="Times New Roman" w:hAnsi="Times New Roman"/>
          <w:sz w:val="16"/>
          <w:szCs w:val="16"/>
          <w:color w:val="auto"/>
        </w:rPr>
        <w:t>Consists of the operations of Comcast Cable, which is the nation’s largest provider of video, high-speed Internet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voice services to residential customers under the XFINITY brand, and we also provide similar services to businesses and sell advertising.</w:t>
      </w:r>
    </w:p>
    <w:p>
      <w:pPr>
        <w:spacing w:after="0" w:line="1" w:lineRule="exact"/>
        <w:rPr>
          <w:rFonts w:ascii="Times New Roman" w:cs="Times New Roman" w:eastAsia="Times New Roman" w:hAnsi="Times New Roman"/>
          <w:sz w:val="16"/>
          <w:szCs w:val="16"/>
          <w:color w:val="auto"/>
        </w:rPr>
      </w:pPr>
    </w:p>
    <w:p>
      <w:pPr>
        <w:ind w:left="1060" w:right="220" w:hanging="323"/>
        <w:spacing w:after="0" w:line="277"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Cable Networks: </w:t>
      </w:r>
      <w:r>
        <w:rPr>
          <w:rFonts w:ascii="Times New Roman" w:cs="Times New Roman" w:eastAsia="Times New Roman" w:hAnsi="Times New Roman"/>
          <w:sz w:val="18"/>
          <w:szCs w:val="18"/>
          <w:color w:val="auto"/>
        </w:rPr>
        <w:t>Consists primarily of our national cable networks, our regional sports and news networks, our international cable networks,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our cable television production operations.</w:t>
      </w:r>
    </w:p>
    <w:p>
      <w:pPr>
        <w:spacing w:after="0" w:line="35" w:lineRule="exact"/>
        <w:rPr>
          <w:rFonts w:ascii="Times New Roman" w:cs="Times New Roman" w:eastAsia="Times New Roman" w:hAnsi="Times New Roman"/>
          <w:sz w:val="18"/>
          <w:szCs w:val="18"/>
          <w:color w:val="auto"/>
        </w:rPr>
      </w:pPr>
    </w:p>
    <w:p>
      <w:pPr>
        <w:ind w:left="1060" w:right="400" w:hanging="323"/>
        <w:spacing w:after="0" w:line="277"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Broadcast Television: </w:t>
      </w:r>
      <w:r>
        <w:rPr>
          <w:rFonts w:ascii="Times New Roman" w:cs="Times New Roman" w:eastAsia="Times New Roman" w:hAnsi="Times New Roman"/>
          <w:sz w:val="18"/>
          <w:szCs w:val="18"/>
          <w:color w:val="auto"/>
        </w:rPr>
        <w:t>Consists primarily of the NBC and Telemundo broadcast networks, our NBC and Telemundo owned local broadcast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television stations, and our broadcast television production operations.</w:t>
      </w:r>
    </w:p>
    <w:p>
      <w:pPr>
        <w:spacing w:after="0" w:line="35" w:lineRule="exact"/>
        <w:rPr>
          <w:rFonts w:ascii="Times New Roman" w:cs="Times New Roman" w:eastAsia="Times New Roman" w:hAnsi="Times New Roman"/>
          <w:sz w:val="18"/>
          <w:szCs w:val="18"/>
          <w:color w:val="auto"/>
        </w:rPr>
      </w:pPr>
    </w:p>
    <w:p>
      <w:pPr>
        <w:ind w:left="1060" w:right="320" w:hanging="323"/>
        <w:spacing w:after="0" w:line="277"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Filmed Entertainment: </w:t>
      </w:r>
      <w:r>
        <w:rPr>
          <w:rFonts w:ascii="Times New Roman" w:cs="Times New Roman" w:eastAsia="Times New Roman" w:hAnsi="Times New Roman"/>
          <w:sz w:val="18"/>
          <w:szCs w:val="18"/>
          <w:color w:val="auto"/>
        </w:rPr>
        <w:t>Consists primarily of the studio operations of Universal Pictures, which produces, acquires, markets and distributes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filmed entertainment worldwide.</w:t>
      </w:r>
    </w:p>
    <w:p>
      <w:pPr>
        <w:spacing w:after="0" w:line="35"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Theme Parks: </w:t>
      </w:r>
      <w:r>
        <w:rPr>
          <w:rFonts w:ascii="Times New Roman" w:cs="Times New Roman" w:eastAsia="Times New Roman" w:hAnsi="Times New Roman"/>
          <w:sz w:val="18"/>
          <w:szCs w:val="18"/>
          <w:color w:val="auto"/>
        </w:rPr>
        <w:t>Consists primarily of our Universal theme parks in Orlando and Hollywood.</w:t>
      </w:r>
    </w:p>
    <w:p>
      <w:pPr>
        <w:spacing w:after="0" w:line="173" w:lineRule="exact"/>
        <w:rPr>
          <w:sz w:val="20"/>
          <w:szCs w:val="20"/>
          <w:color w:val="auto"/>
        </w:rPr>
      </w:pPr>
    </w:p>
    <w:p>
      <w:pPr>
        <w:ind w:left="200" w:right="640" w:firstLine="443"/>
        <w:spacing w:after="0" w:line="275" w:lineRule="auto"/>
        <w:rPr>
          <w:sz w:val="20"/>
          <w:szCs w:val="20"/>
          <w:color w:val="auto"/>
        </w:rPr>
      </w:pPr>
      <w:r>
        <w:rPr>
          <w:rFonts w:ascii="Times New Roman" w:cs="Times New Roman" w:eastAsia="Times New Roman" w:hAnsi="Times New Roman"/>
          <w:sz w:val="18"/>
          <w:szCs w:val="18"/>
          <w:color w:val="auto"/>
        </w:rPr>
        <w:t>The Cable Networks, Broadcast Television, Filmed Entertainment and Theme Parks segments comprise the NBCUniversal businesses and are collectively referred to as the “NBCUniversal segments.”</w:t>
      </w:r>
    </w:p>
    <w:p>
      <w:pPr>
        <w:spacing w:after="0" w:line="120" w:lineRule="exact"/>
        <w:rPr>
          <w:sz w:val="20"/>
          <w:szCs w:val="20"/>
          <w:color w:val="auto"/>
        </w:rPr>
      </w:pPr>
    </w:p>
    <w:p>
      <w:pPr>
        <w:ind w:left="200" w:right="860" w:firstLine="443"/>
        <w:spacing w:after="0" w:line="275" w:lineRule="auto"/>
        <w:rPr>
          <w:sz w:val="20"/>
          <w:szCs w:val="20"/>
          <w:color w:val="auto"/>
        </w:rPr>
      </w:pPr>
      <w:r>
        <w:rPr>
          <w:rFonts w:ascii="Times New Roman" w:cs="Times New Roman" w:eastAsia="Times New Roman" w:hAnsi="Times New Roman"/>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20" w:lineRule="exact"/>
        <w:rPr>
          <w:sz w:val="20"/>
          <w:szCs w:val="20"/>
          <w:color w:val="auto"/>
        </w:rPr>
      </w:pPr>
    </w:p>
    <w:p>
      <w:pPr>
        <w:ind w:left="200" w:right="420" w:firstLine="443"/>
        <w:spacing w:after="0" w:line="275" w:lineRule="auto"/>
        <w:rPr>
          <w:sz w:val="20"/>
          <w:szCs w:val="20"/>
          <w:color w:val="auto"/>
        </w:rPr>
      </w:pPr>
      <w:r>
        <w:rPr>
          <w:rFonts w:ascii="Times New Roman" w:cs="Times New Roman" w:eastAsia="Times New Roman" w:hAnsi="Times New Roman"/>
          <w:sz w:val="18"/>
          <w:szCs w:val="18"/>
          <w:color w:val="auto"/>
        </w:rPr>
        <w:t>During the three months ended March 31, 2015, our Cable Communications segment generated 64% of our consolidated revenue and 78% of our operating income before depreciation and amortization.</w:t>
      </w:r>
    </w:p>
    <w:p>
      <w:pPr>
        <w:spacing w:after="0" w:line="120" w:lineRule="exact"/>
        <w:rPr>
          <w:sz w:val="20"/>
          <w:szCs w:val="20"/>
          <w:color w:val="auto"/>
        </w:rPr>
      </w:pPr>
    </w:p>
    <w:p>
      <w:pPr>
        <w:ind w:left="200" w:right="260" w:firstLine="443"/>
        <w:spacing w:after="0" w:line="310" w:lineRule="auto"/>
        <w:rPr>
          <w:sz w:val="20"/>
          <w:szCs w:val="20"/>
          <w:color w:val="auto"/>
        </w:rPr>
      </w:pPr>
      <w:r>
        <w:rPr>
          <w:rFonts w:ascii="Times New Roman" w:cs="Times New Roman" w:eastAsia="Times New Roman" w:hAnsi="Times New Roman"/>
          <w:sz w:val="16"/>
          <w:szCs w:val="16"/>
          <w:color w:val="auto"/>
        </w:rPr>
        <w:t>For a description of our business, financial condition, results of operations and other important information regarding us, see our filings with the Securities and Exchange Commission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Comcast’s principal executive offices are located at One Comcast Center, Philadelphia, Pennsylvania 19103-2838. Comcast’s telephone number is</w:t>
      </w:r>
    </w:p>
    <w:p>
      <w:pPr>
        <w:spacing w:after="0" w:line="21" w:lineRule="exact"/>
        <w:rPr>
          <w:sz w:val="20"/>
          <w:szCs w:val="20"/>
          <w:color w:val="auto"/>
        </w:rPr>
      </w:pPr>
    </w:p>
    <w:p>
      <w:pPr>
        <w:ind w:left="200" w:right="460" w:hanging="3"/>
        <w:spacing w:after="0" w:line="261" w:lineRule="auto"/>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286-1700. The address of our website is www.comcastcorporation.com. The information on, or accessible through, our website is not part of this prospectus supplement or the accompanying prospectus.</w:t>
      </w: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Guarantors</w:t>
      </w:r>
    </w:p>
    <w:p>
      <w:pPr>
        <w:spacing w:after="0" w:line="92" w:lineRule="exact"/>
        <w:rPr>
          <w:sz w:val="20"/>
          <w:szCs w:val="20"/>
          <w:color w:val="auto"/>
        </w:rPr>
      </w:pPr>
    </w:p>
    <w:p>
      <w:pPr>
        <w:ind w:left="200" w:right="80" w:firstLine="443"/>
        <w:spacing w:after="0" w:line="275"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on the notes will be fully and unconditionally guaranteed by each of Comcast Cable Communications, LLC, Comcast Cable Holdings,</w:t>
      </w:r>
    </w:p>
    <w:p>
      <w:pPr>
        <w:spacing w:after="0" w:line="2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60"/>
          </w:cols>
          <w:pgMar w:left="240" w:top="455" w:right="3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1642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164211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00" w:right="660"/>
        <w:spacing w:after="0" w:line="275" w:lineRule="auto"/>
        <w:rPr>
          <w:sz w:val="20"/>
          <w:szCs w:val="20"/>
          <w:color w:val="auto"/>
        </w:rPr>
      </w:pPr>
      <w:r>
        <w:rPr>
          <w:rFonts w:ascii="Times New Roman" w:cs="Times New Roman" w:eastAsia="Times New Roman" w:hAnsi="Times New Roman"/>
          <w:sz w:val="18"/>
          <w:szCs w:val="18"/>
          <w:color w:val="auto"/>
        </w:rPr>
        <w:t>LLC, Comcast MO Group, Inc., Comcast MO of Delaware, LLC and NBCUniversal Media, LLC. In this prospectus supplement, we refer to these guarantors as the guarantors and to these guarantees as the guarantees.</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90" w:lineRule="exact"/>
        <w:rPr>
          <w:sz w:val="20"/>
          <w:szCs w:val="20"/>
          <w:color w:val="auto"/>
        </w:rPr>
      </w:pPr>
    </w:p>
    <w:p>
      <w:pPr>
        <w:ind w:left="1060" w:right="180" w:hanging="323"/>
        <w:spacing w:after="0" w:line="275"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3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Each guarantor’s, other than NBCUniversal Media, LLC, principal place of business is One Comcast Center, Philadelphia, Pennsylvania 19103-2838.</w:t>
      </w:r>
    </w:p>
    <w:p>
      <w:pPr>
        <w:spacing w:after="0" w:line="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NBCUniversal’s principal executive offices are located at 30 Rockefeller Plaza, New York, NY 10112-0015.</w:t>
      </w:r>
    </w:p>
    <w:p>
      <w:pPr>
        <w:spacing w:after="0" w:line="3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60"/>
          </w:cols>
          <w:pgMar w:left="240" w:top="455" w:right="4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060" w:type="dxa"/>
            <w:vAlign w:val="bottom"/>
            <w:tcBorders>
              <w:top w:val="single" w:sz="8" w:color="auto"/>
              <w:left w:val="single" w:sz="8" w:color="auto"/>
            </w:tcBorders>
          </w:tcPr>
          <w:p>
            <w:pPr>
              <w:spacing w:after="0"/>
              <w:rPr>
                <w:sz w:val="24"/>
                <w:szCs w:val="24"/>
                <w:color w:val="auto"/>
              </w:rPr>
            </w:pPr>
          </w:p>
        </w:tc>
        <w:tc>
          <w:tcPr>
            <w:tcW w:w="8400" w:type="dxa"/>
            <w:vAlign w:val="bottom"/>
            <w:tcBorders>
              <w:top w:val="single" w:sz="8" w:color="auto"/>
              <w:right w:val="single" w:sz="8" w:color="auto"/>
            </w:tcBorders>
          </w:tcPr>
          <w:p>
            <w:pPr>
              <w:ind w:left="218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19"/>
        </w:trPr>
        <w:tc>
          <w:tcPr>
            <w:tcW w:w="30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Issuer</w:t>
            </w: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Comcast Corporation.</w:t>
            </w:r>
          </w:p>
        </w:tc>
      </w:tr>
      <w:tr>
        <w:trPr>
          <w:trHeight w:val="432"/>
        </w:trPr>
        <w:tc>
          <w:tcPr>
            <w:tcW w:w="30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Securities Offered</w:t>
            </w: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$1,500,000,000 aggregate principal amount of 3.375% Notes due 2025.</w:t>
            </w:r>
          </w:p>
        </w:tc>
      </w:tr>
      <w:tr>
        <w:trPr>
          <w:trHeight w:val="432"/>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$800,000,000 aggregate principal amount of 4.400% Notes due 2035.</w:t>
            </w:r>
          </w:p>
        </w:tc>
      </w:tr>
      <w:tr>
        <w:trPr>
          <w:trHeight w:val="419"/>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$1,700,000,000 aggregate principal amount of 4.600% Notes due 2045.</w:t>
            </w:r>
          </w:p>
        </w:tc>
      </w:tr>
      <w:tr>
        <w:trPr>
          <w:trHeight w:val="419"/>
        </w:trPr>
        <w:tc>
          <w:tcPr>
            <w:tcW w:w="30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Maturity</w:t>
            </w: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The Notes due 2025 will mature on August 15, 2025.</w:t>
            </w:r>
          </w:p>
        </w:tc>
      </w:tr>
      <w:tr>
        <w:trPr>
          <w:trHeight w:val="432"/>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The Notes due 2035 will mature on August 15, 2035.</w:t>
            </w:r>
          </w:p>
        </w:tc>
      </w:tr>
      <w:tr>
        <w:trPr>
          <w:trHeight w:val="419"/>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The Notes due 2045 will mature on August 15, 2045.</w:t>
            </w:r>
          </w:p>
        </w:tc>
      </w:tr>
      <w:tr>
        <w:trPr>
          <w:trHeight w:val="406"/>
        </w:trPr>
        <w:tc>
          <w:tcPr>
            <w:tcW w:w="30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Interest on the Notes due 2025 will accrue at the rate of 3.375% per year, payable semiannually</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in cash in arrears on February 15 and August 15, beginning August 15, 2015. Interest on the</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Notes due 2035 will accrue at the rate of 4.400% per year, payable semiannually in cash in</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arrears on February 15 and August 15, beginning August 15, 2015. Interest on the Notes due</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2045 will accrue at the rate of 4.600% per year, payable semiannually in cash in arrears on</w:t>
            </w:r>
          </w:p>
        </w:tc>
      </w:tr>
      <w:tr>
        <w:trPr>
          <w:trHeight w:val="228"/>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February 15 and August 15, beginning August 15, 2015.</w:t>
            </w:r>
          </w:p>
        </w:tc>
      </w:tr>
      <w:tr>
        <w:trPr>
          <w:trHeight w:val="406"/>
        </w:trPr>
        <w:tc>
          <w:tcPr>
            <w:tcW w:w="30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Ranking</w:t>
            </w: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The notes will be unsecured and will rank equally with all of our unsecured and unsubordinated</w:t>
            </w:r>
          </w:p>
        </w:tc>
      </w:tr>
      <w:tr>
        <w:trPr>
          <w:trHeight w:val="228"/>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indebtedness.</w:t>
            </w:r>
          </w:p>
        </w:tc>
      </w:tr>
      <w:tr>
        <w:trPr>
          <w:trHeight w:val="406"/>
        </w:trPr>
        <w:tc>
          <w:tcPr>
            <w:tcW w:w="30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Guarantors</w:t>
            </w: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Comcast Cable Communications, LLC, Comcast Cable Holdings, LLC, Comcast MO Group,</w:t>
            </w:r>
          </w:p>
        </w:tc>
      </w:tr>
      <w:tr>
        <w:trPr>
          <w:trHeight w:val="228"/>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Inc., Comcast MO of Delaware, LLC and NBCUniversal Media, LLC.</w:t>
            </w:r>
          </w:p>
        </w:tc>
      </w:tr>
      <w:tr>
        <w:trPr>
          <w:trHeight w:val="406"/>
        </w:trPr>
        <w:tc>
          <w:tcPr>
            <w:tcW w:w="30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Guarantees</w:t>
            </w: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The guarantors will fully and unconditionally guarantee the notes, including the payment of</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principal, premium, if any, and interest. The guarantees will rank equally with all other general</w:t>
            </w:r>
          </w:p>
        </w:tc>
      </w:tr>
      <w:tr>
        <w:trPr>
          <w:trHeight w:val="228"/>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unsecured and unsubordinated obligations of the guarantors.</w:t>
            </w:r>
          </w:p>
        </w:tc>
      </w:tr>
      <w:tr>
        <w:trPr>
          <w:trHeight w:val="406"/>
        </w:trPr>
        <w:tc>
          <w:tcPr>
            <w:tcW w:w="30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Optional Redemption</w:t>
            </w: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We may, at our option, redeem any series of notes, in whole or in part, at any time at the</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applicable Redemption Price determined as set forth under the heading “Description of the Notes</w:t>
            </w:r>
          </w:p>
        </w:tc>
      </w:tr>
      <w:tr>
        <w:trPr>
          <w:trHeight w:val="228"/>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—Optional Redemption.”</w:t>
            </w:r>
          </w:p>
        </w:tc>
      </w:tr>
      <w:tr>
        <w:trPr>
          <w:trHeight w:val="406"/>
        </w:trPr>
        <w:tc>
          <w:tcPr>
            <w:tcW w:w="30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We intend to use the net proceeds from the offering, after deducting underwriters’ discount and</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expenses, for working capital and general corporate purposes, which may include redemption or</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repayment of our 8.75% notes due August 2015 ($673 million principal amount outstanding), of</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our 5.85% notes due November 2015 ($750 million principal amount outstanding), of our 5.9%</w:t>
            </w:r>
          </w:p>
        </w:tc>
      </w:tr>
      <w:tr>
        <w:trPr>
          <w:trHeight w:val="228"/>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notes due March 2016 ($1 billion principal amount outstanding), of our 2.875% notes due April</w:t>
            </w:r>
          </w:p>
        </w:tc>
      </w:tr>
      <w:tr>
        <w:trPr>
          <w:trHeight w:val="161"/>
        </w:trPr>
        <w:tc>
          <w:tcPr>
            <w:tcW w:w="3060" w:type="dxa"/>
            <w:vAlign w:val="bottom"/>
            <w:tcBorders>
              <w:left w:val="single" w:sz="8" w:color="auto"/>
              <w:bottom w:val="single" w:sz="8" w:color="auto"/>
            </w:tcBorders>
          </w:tcPr>
          <w:p>
            <w:pPr>
              <w:spacing w:after="0"/>
              <w:rPr>
                <w:sz w:val="13"/>
                <w:szCs w:val="13"/>
                <w:color w:val="auto"/>
              </w:rPr>
            </w:pPr>
          </w:p>
        </w:tc>
        <w:tc>
          <w:tcPr>
            <w:tcW w:w="8400" w:type="dxa"/>
            <w:vAlign w:val="bottom"/>
            <w:tcBorders>
              <w:bottom w:val="single" w:sz="8" w:color="auto"/>
              <w:right w:val="single" w:sz="8" w:color="auto"/>
            </w:tcBorders>
          </w:tcPr>
          <w:p>
            <w:pPr>
              <w:spacing w:after="0"/>
              <w:rPr>
                <w:sz w:val="13"/>
                <w:szCs w:val="13"/>
                <w:color w:val="auto"/>
              </w:rPr>
            </w:pPr>
          </w:p>
        </w:tc>
      </w:tr>
      <w:tr>
        <w:trPr>
          <w:trHeight w:val="359"/>
        </w:trPr>
        <w:tc>
          <w:tcPr>
            <w:tcW w:w="3060" w:type="dxa"/>
            <w:vAlign w:val="bottom"/>
          </w:tcPr>
          <w:p>
            <w:pPr>
              <w:spacing w:after="0"/>
              <w:rPr>
                <w:sz w:val="24"/>
                <w:szCs w:val="24"/>
                <w:color w:val="auto"/>
              </w:rPr>
            </w:pPr>
          </w:p>
        </w:tc>
        <w:tc>
          <w:tcPr>
            <w:tcW w:w="840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460"/>
          </w:cols>
          <w:pgMar w:left="240" w:top="455" w:right="1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2720" w:type="dxa"/>
            <w:vAlign w:val="bottom"/>
            <w:tcBorders>
              <w:top w:val="single" w:sz="8" w:color="auto"/>
              <w:left w:val="single" w:sz="8" w:color="auto"/>
            </w:tcBorders>
          </w:tcPr>
          <w:p>
            <w:pPr>
              <w:spacing w:after="0"/>
              <w:rPr>
                <w:sz w:val="24"/>
                <w:szCs w:val="24"/>
                <w:color w:val="auto"/>
              </w:rPr>
            </w:pPr>
          </w:p>
        </w:tc>
        <w:tc>
          <w:tcPr>
            <w:tcW w:w="8740" w:type="dxa"/>
            <w:vAlign w:val="bottom"/>
            <w:tcBorders>
              <w:top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2016 ($1 billion principal amount outstanding) and of our 4.95% notes due June 2016 ($750</w:t>
            </w:r>
          </w:p>
        </w:tc>
      </w:tr>
      <w:tr>
        <w:trPr>
          <w:trHeight w:val="216"/>
        </w:trPr>
        <w:tc>
          <w:tcPr>
            <w:tcW w:w="272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million principal amount outstanding) and repayment of a portion of our outstanding commercial</w:t>
            </w:r>
          </w:p>
        </w:tc>
      </w:tr>
      <w:tr>
        <w:trPr>
          <w:trHeight w:val="216"/>
        </w:trPr>
        <w:tc>
          <w:tcPr>
            <w:tcW w:w="272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paper. As of May 19, 2015, our commercial paper had a weighted average annual interest rate of</w:t>
            </w:r>
          </w:p>
        </w:tc>
      </w:tr>
      <w:tr>
        <w:trPr>
          <w:trHeight w:val="216"/>
        </w:trPr>
        <w:tc>
          <w:tcPr>
            <w:tcW w:w="272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approximately 0.47% and a weighted average remaining maturity of approximately 13 days. See</w:t>
            </w:r>
          </w:p>
        </w:tc>
      </w:tr>
      <w:tr>
        <w:trPr>
          <w:trHeight w:val="228"/>
        </w:trPr>
        <w:tc>
          <w:tcPr>
            <w:tcW w:w="2720" w:type="dxa"/>
            <w:vAlign w:val="bottom"/>
            <w:tcBorders>
              <w:left w:val="single" w:sz="8" w:color="auto"/>
            </w:tcBorders>
          </w:tcPr>
          <w:p>
            <w:pPr>
              <w:spacing w:after="0"/>
              <w:rPr>
                <w:sz w:val="19"/>
                <w:szCs w:val="19"/>
                <w:color w:val="auto"/>
              </w:rPr>
            </w:pPr>
          </w:p>
        </w:tc>
        <w:tc>
          <w:tcPr>
            <w:tcW w:w="874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“Use of Proceeds” in this prospectus supplement.</w:t>
            </w:r>
          </w:p>
        </w:tc>
      </w:tr>
      <w:tr>
        <w:trPr>
          <w:trHeight w:val="420"/>
        </w:trPr>
        <w:tc>
          <w:tcPr>
            <w:tcW w:w="27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Book-Entry</w:t>
            </w:r>
          </w:p>
        </w:tc>
        <w:tc>
          <w:tcPr>
            <w:tcW w:w="874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The notes will be issued in book-entry form and will be represented by global notes deposited</w:t>
            </w:r>
          </w:p>
        </w:tc>
      </w:tr>
      <w:tr>
        <w:trPr>
          <w:trHeight w:val="216"/>
        </w:trPr>
        <w:tc>
          <w:tcPr>
            <w:tcW w:w="272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with, or on behalf of, DTC and registered in the name of DTC or its nominees. Beneficial</w:t>
            </w:r>
          </w:p>
        </w:tc>
      </w:tr>
      <w:tr>
        <w:trPr>
          <w:trHeight w:val="216"/>
        </w:trPr>
        <w:tc>
          <w:tcPr>
            <w:tcW w:w="272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w w:val="99"/>
              </w:rPr>
              <w:t>interests in any of the notes will be shown on, and transfers will be effected only through, records</w:t>
            </w:r>
          </w:p>
        </w:tc>
      </w:tr>
      <w:tr>
        <w:trPr>
          <w:trHeight w:val="216"/>
        </w:trPr>
        <w:tc>
          <w:tcPr>
            <w:tcW w:w="272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maintained by DTC or its nominee or indirectly through organizations that have accounts with</w:t>
            </w:r>
          </w:p>
        </w:tc>
      </w:tr>
      <w:tr>
        <w:trPr>
          <w:trHeight w:val="216"/>
        </w:trPr>
        <w:tc>
          <w:tcPr>
            <w:tcW w:w="272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DTC, including Euroclear and Clearstream, and these beneficial interests may not be exchanged</w:t>
            </w:r>
          </w:p>
        </w:tc>
      </w:tr>
      <w:tr>
        <w:trPr>
          <w:trHeight w:val="216"/>
        </w:trPr>
        <w:tc>
          <w:tcPr>
            <w:tcW w:w="272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for certificated notes, except in limited circumstances. See “Description of the Notes—Book-</w:t>
            </w:r>
          </w:p>
        </w:tc>
      </w:tr>
      <w:tr>
        <w:trPr>
          <w:trHeight w:val="228"/>
        </w:trPr>
        <w:tc>
          <w:tcPr>
            <w:tcW w:w="2720" w:type="dxa"/>
            <w:vAlign w:val="bottom"/>
            <w:tcBorders>
              <w:left w:val="single" w:sz="8" w:color="auto"/>
            </w:tcBorders>
          </w:tcPr>
          <w:p>
            <w:pPr>
              <w:spacing w:after="0"/>
              <w:rPr>
                <w:sz w:val="19"/>
                <w:szCs w:val="19"/>
                <w:color w:val="auto"/>
              </w:rPr>
            </w:pPr>
          </w:p>
        </w:tc>
        <w:tc>
          <w:tcPr>
            <w:tcW w:w="874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Entry System” in this prospectus supplement.</w:t>
            </w:r>
          </w:p>
        </w:tc>
      </w:tr>
      <w:tr>
        <w:trPr>
          <w:trHeight w:val="161"/>
        </w:trPr>
        <w:tc>
          <w:tcPr>
            <w:tcW w:w="2720" w:type="dxa"/>
            <w:vAlign w:val="bottom"/>
            <w:tcBorders>
              <w:left w:val="single" w:sz="8" w:color="auto"/>
              <w:bottom w:val="single" w:sz="8" w:color="auto"/>
            </w:tcBorders>
          </w:tcPr>
          <w:p>
            <w:pPr>
              <w:spacing w:after="0"/>
              <w:rPr>
                <w:sz w:val="13"/>
                <w:szCs w:val="13"/>
                <w:color w:val="auto"/>
              </w:rPr>
            </w:pPr>
          </w:p>
        </w:tc>
        <w:tc>
          <w:tcPr>
            <w:tcW w:w="8740" w:type="dxa"/>
            <w:vAlign w:val="bottom"/>
            <w:tcBorders>
              <w:bottom w:val="single" w:sz="8" w:color="auto"/>
              <w:right w:val="single" w:sz="8" w:color="auto"/>
            </w:tcBorders>
          </w:tcPr>
          <w:p>
            <w:pPr>
              <w:spacing w:after="0"/>
              <w:rPr>
                <w:sz w:val="13"/>
                <w:szCs w:val="13"/>
                <w:color w:val="auto"/>
              </w:rPr>
            </w:pPr>
          </w:p>
        </w:tc>
      </w:tr>
      <w:tr>
        <w:trPr>
          <w:trHeight w:val="359"/>
        </w:trPr>
        <w:tc>
          <w:tcPr>
            <w:tcW w:w="2720" w:type="dxa"/>
            <w:vAlign w:val="bottom"/>
          </w:tcPr>
          <w:p>
            <w:pPr>
              <w:spacing w:after="0"/>
              <w:rPr>
                <w:sz w:val="24"/>
                <w:szCs w:val="24"/>
                <w:color w:val="auto"/>
              </w:rPr>
            </w:pPr>
          </w:p>
        </w:tc>
        <w:tc>
          <w:tcPr>
            <w:tcW w:w="874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460"/>
          </w:cols>
          <w:pgMar w:left="240" w:top="455" w:right="1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from the offering, after deducting underwriters’ discount and expenses, for working capital and general corporate purposes, which may include redemption or repayment of our 8.75% notes due August 2015 ($673 million principal amount outstanding), of our 5.85% notes due November 2015 ($750 million principal amount outstanding), of our 5.9% notes due March 2016 ($1 billion principal amount outstanding), of our 2.875% notes due April 2016 ($1 billion principal amount outstanding) and of our 4.95% notes due June 2016 ($750 million principal amount outstanding) and repayment of a portion of our outstanding commercial paper. As of May 19, 2015, our commercial paper had a weighted average annual interest rate of approximately 0.47% and a weighted average remaining maturity of approximately 13 days.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380"/>
          </w:cols>
          <w:pgMar w:left="240" w:top="45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RATIOS OF EARNINGS TO FIXED CHARGES AND OF EARNINGS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FIXED CHARGES AND PREFERRED DIVIDENDS</w:t>
      </w:r>
    </w:p>
    <w:p>
      <w:pPr>
        <w:spacing w:after="0" w:line="159"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Our ratio of earnings to fixed charges and our ratio of earnings to combined fixed charges and preferred dividends were as follows for the respective periods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For the Three Months</w:t>
            </w:r>
          </w:p>
        </w:tc>
        <w:tc>
          <w:tcPr>
            <w:tcW w:w="1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78"/>
        </w:trPr>
        <w:tc>
          <w:tcPr>
            <w:tcW w:w="2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Ended March 31,</w:t>
            </w:r>
          </w:p>
        </w:tc>
        <w:tc>
          <w:tcPr>
            <w:tcW w:w="1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56"/>
        </w:trPr>
        <w:tc>
          <w:tcPr>
            <w:tcW w:w="2420" w:type="dxa"/>
            <w:vAlign w:val="bottom"/>
            <w:tcBorders>
              <w:top w:val="single" w:sz="8" w:color="auto"/>
              <w:bottom w:val="single" w:sz="8" w:color="auto"/>
            </w:tcBorders>
          </w:tcPr>
          <w:p>
            <w:pPr>
              <w:jc w:val="right"/>
              <w:ind w:right="1004"/>
              <w:spacing w:after="0" w:line="156"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702"/>
              <w:spacing w:after="0" w:line="156" w:lineRule="exact"/>
              <w:rPr>
                <w:sz w:val="20"/>
                <w:szCs w:val="20"/>
                <w:color w:val="auto"/>
              </w:rPr>
            </w:pPr>
            <w:r>
              <w:rPr>
                <w:rFonts w:ascii="Times New Roman" w:cs="Times New Roman" w:eastAsia="Times New Roman" w:hAnsi="Times New Roman"/>
                <w:sz w:val="14"/>
                <w:szCs w:val="14"/>
                <w:b w:val="1"/>
                <w:bCs w:val="1"/>
                <w:color w:val="auto"/>
              </w:rPr>
              <w:t>2014</w:t>
            </w:r>
          </w:p>
        </w:tc>
        <w:tc>
          <w:tcPr>
            <w:tcW w:w="1400" w:type="dxa"/>
            <w:vAlign w:val="bottom"/>
            <w:tcBorders>
              <w:top w:val="single" w:sz="8" w:color="auto"/>
              <w:bottom w:val="single" w:sz="8" w:color="auto"/>
            </w:tcBorders>
          </w:tcPr>
          <w:p>
            <w:pPr>
              <w:jc w:val="right"/>
              <w:ind w:right="262"/>
              <w:spacing w:after="0" w:line="156" w:lineRule="exact"/>
              <w:rPr>
                <w:sz w:val="20"/>
                <w:szCs w:val="20"/>
                <w:color w:val="auto"/>
              </w:rPr>
            </w:pPr>
            <w:r>
              <w:rPr>
                <w:rFonts w:ascii="Times New Roman" w:cs="Times New Roman" w:eastAsia="Times New Roman" w:hAnsi="Times New Roman"/>
                <w:sz w:val="14"/>
                <w:szCs w:val="14"/>
                <w:b w:val="1"/>
                <w:bCs w:val="1"/>
                <w:color w:val="auto"/>
              </w:rPr>
              <w:t>2013</w:t>
            </w:r>
          </w:p>
        </w:tc>
        <w:tc>
          <w:tcPr>
            <w:tcW w:w="2880" w:type="dxa"/>
            <w:vAlign w:val="bottom"/>
            <w:tcBorders>
              <w:top w:val="single" w:sz="8" w:color="auto"/>
              <w:bottom w:val="single" w:sz="8" w:color="auto"/>
            </w:tcBorders>
          </w:tcPr>
          <w:p>
            <w:pPr>
              <w:jc w:val="right"/>
              <w:ind w:right="1306"/>
              <w:spacing w:after="0" w:line="156" w:lineRule="exact"/>
              <w:rPr>
                <w:sz w:val="20"/>
                <w:szCs w:val="20"/>
                <w:color w:val="auto"/>
              </w:rPr>
            </w:pPr>
            <w:r>
              <w:rPr>
                <w:rFonts w:ascii="Times New Roman" w:cs="Times New Roman" w:eastAsia="Times New Roman" w:hAnsi="Times New Roman"/>
                <w:sz w:val="14"/>
                <w:szCs w:val="14"/>
                <w:b w:val="1"/>
                <w:bCs w:val="1"/>
                <w:color w:val="auto"/>
              </w:rPr>
              <w:t>2012</w:t>
            </w:r>
          </w:p>
        </w:tc>
        <w:tc>
          <w:tcPr>
            <w:tcW w:w="1160" w:type="dxa"/>
            <w:vAlign w:val="bottom"/>
            <w:tcBorders>
              <w:top w:val="single" w:sz="8" w:color="auto"/>
              <w:bottom w:val="single" w:sz="8" w:color="auto"/>
            </w:tcBorders>
          </w:tcPr>
          <w:p>
            <w:pPr>
              <w:jc w:val="right"/>
              <w:ind w:right="662"/>
              <w:spacing w:after="0" w:line="156" w:lineRule="exact"/>
              <w:rPr>
                <w:sz w:val="20"/>
                <w:szCs w:val="20"/>
                <w:color w:val="auto"/>
              </w:rPr>
            </w:pPr>
            <w:r>
              <w:rPr>
                <w:rFonts w:ascii="Times New Roman" w:cs="Times New Roman" w:eastAsia="Times New Roman" w:hAnsi="Times New Roman"/>
                <w:sz w:val="14"/>
                <w:szCs w:val="14"/>
                <w:b w:val="1"/>
                <w:bCs w:val="1"/>
                <w:color w:val="auto"/>
              </w:rPr>
              <w:t>2011</w:t>
            </w:r>
          </w:p>
        </w:tc>
        <w:tc>
          <w:tcPr>
            <w:tcW w:w="1680" w:type="dxa"/>
            <w:vAlign w:val="bottom"/>
            <w:tcBorders>
              <w:top w:val="single" w:sz="8" w:color="auto"/>
              <w:bottom w:val="single" w:sz="8" w:color="auto"/>
            </w:tcBorders>
          </w:tcPr>
          <w:p>
            <w:pPr>
              <w:jc w:val="right"/>
              <w:ind w:right="582"/>
              <w:spacing w:after="0" w:line="156" w:lineRule="exact"/>
              <w:rPr>
                <w:sz w:val="20"/>
                <w:szCs w:val="20"/>
                <w:color w:val="auto"/>
              </w:rPr>
            </w:pPr>
            <w:r>
              <w:rPr>
                <w:rFonts w:ascii="Times New Roman" w:cs="Times New Roman" w:eastAsia="Times New Roman" w:hAnsi="Times New Roman"/>
                <w:sz w:val="14"/>
                <w:szCs w:val="14"/>
                <w:b w:val="1"/>
                <w:bCs w:val="1"/>
                <w:color w:val="auto"/>
              </w:rPr>
              <w:t>2010</w:t>
            </w:r>
          </w:p>
        </w:tc>
      </w:tr>
      <w:tr>
        <w:trPr>
          <w:trHeight w:val="210"/>
        </w:trPr>
        <w:tc>
          <w:tcPr>
            <w:tcW w:w="85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w w:val="98"/>
              </w:rPr>
              <w:t>Ratio of earnings to fixed charges and ratio of earnings to combined fixed charges and preferred dividends:</w:t>
            </w:r>
          </w:p>
        </w:tc>
        <w:tc>
          <w:tcPr>
            <w:tcW w:w="1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8"/>
        </w:trPr>
        <w:tc>
          <w:tcPr>
            <w:tcW w:w="2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3"/>
              </w:rPr>
              <w:t>5.54x</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5.22x</w:t>
            </w:r>
          </w:p>
        </w:tc>
        <w:tc>
          <w:tcPr>
            <w:tcW w:w="1400" w:type="dxa"/>
            <w:vAlign w:val="bottom"/>
          </w:tcPr>
          <w:p>
            <w:pPr>
              <w:jc w:val="center"/>
              <w:ind w:left="382"/>
              <w:spacing w:after="0"/>
              <w:rPr>
                <w:sz w:val="20"/>
                <w:szCs w:val="20"/>
                <w:color w:val="auto"/>
              </w:rPr>
            </w:pPr>
            <w:r>
              <w:rPr>
                <w:rFonts w:ascii="Times New Roman" w:cs="Times New Roman" w:eastAsia="Times New Roman" w:hAnsi="Times New Roman"/>
                <w:sz w:val="18"/>
                <w:szCs w:val="18"/>
                <w:color w:val="auto"/>
                <w:w w:val="93"/>
              </w:rPr>
              <w:t>4.85x</w:t>
            </w:r>
          </w:p>
        </w:tc>
        <w:tc>
          <w:tcPr>
            <w:tcW w:w="2880" w:type="dxa"/>
            <w:vAlign w:val="bottom"/>
          </w:tcPr>
          <w:p>
            <w:pPr>
              <w:jc w:val="center"/>
              <w:ind w:right="86"/>
              <w:spacing w:after="0"/>
              <w:rPr>
                <w:sz w:val="20"/>
                <w:szCs w:val="20"/>
                <w:color w:val="auto"/>
              </w:rPr>
            </w:pPr>
            <w:r>
              <w:rPr>
                <w:rFonts w:ascii="Times New Roman" w:cs="Times New Roman" w:eastAsia="Times New Roman" w:hAnsi="Times New Roman"/>
                <w:sz w:val="18"/>
                <w:szCs w:val="18"/>
                <w:color w:val="auto"/>
                <w:w w:val="98"/>
              </w:rPr>
              <w:t>4.82x</w:t>
            </w:r>
          </w:p>
        </w:tc>
        <w:tc>
          <w:tcPr>
            <w:tcW w:w="1160" w:type="dxa"/>
            <w:vAlign w:val="bottom"/>
          </w:tcPr>
          <w:p>
            <w:pPr>
              <w:jc w:val="center"/>
              <w:ind w:right="502"/>
              <w:spacing w:after="0"/>
              <w:rPr>
                <w:sz w:val="20"/>
                <w:szCs w:val="20"/>
                <w:color w:val="auto"/>
              </w:rPr>
            </w:pPr>
            <w:r>
              <w:rPr>
                <w:rFonts w:ascii="Times New Roman" w:cs="Times New Roman" w:eastAsia="Times New Roman" w:hAnsi="Times New Roman"/>
                <w:sz w:val="18"/>
                <w:szCs w:val="18"/>
                <w:color w:val="auto"/>
                <w:w w:val="93"/>
              </w:rPr>
              <w:t>4.04x</w:t>
            </w:r>
          </w:p>
        </w:tc>
        <w:tc>
          <w:tcPr>
            <w:tcW w:w="1680" w:type="dxa"/>
            <w:vAlign w:val="bottom"/>
          </w:tcPr>
          <w:p>
            <w:pPr>
              <w:jc w:val="center"/>
              <w:ind w:left="2"/>
              <w:spacing w:after="0"/>
              <w:rPr>
                <w:sz w:val="20"/>
                <w:szCs w:val="20"/>
                <w:color w:val="auto"/>
              </w:rPr>
            </w:pPr>
            <w:r>
              <w:rPr>
                <w:rFonts w:ascii="Times New Roman" w:cs="Times New Roman" w:eastAsia="Times New Roman" w:hAnsi="Times New Roman"/>
                <w:sz w:val="18"/>
                <w:szCs w:val="18"/>
                <w:color w:val="auto"/>
                <w:w w:val="98"/>
              </w:rPr>
              <w:t>3.57x</w:t>
            </w:r>
          </w:p>
        </w:tc>
      </w:tr>
    </w:tbl>
    <w:p>
      <w:pPr>
        <w:spacing w:after="0" w:line="135" w:lineRule="exact"/>
        <w:rPr>
          <w:sz w:val="20"/>
          <w:szCs w:val="20"/>
          <w:color w:val="auto"/>
        </w:rPr>
      </w:pPr>
    </w:p>
    <w:p>
      <w:pPr>
        <w:ind w:right="180" w:firstLine="456"/>
        <w:spacing w:after="0" w:line="287" w:lineRule="auto"/>
        <w:rPr>
          <w:sz w:val="20"/>
          <w:szCs w:val="20"/>
          <w:color w:val="auto"/>
        </w:rPr>
      </w:pPr>
      <w:r>
        <w:rPr>
          <w:rFonts w:ascii="Times New Roman" w:cs="Times New Roman" w:eastAsia="Times New Roman" w:hAnsi="Times New Roman"/>
          <w:sz w:val="16"/>
          <w:szCs w:val="16"/>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290" w:lineRule="auto"/>
        <w:tabs>
          <w:tab w:leader="none" w:pos="23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17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We are offering $1,500,000,000 aggregate principal amount of our 3.375% Notes due 2025, $800,000,000 aggregate principal amount of our 4.400% Notes due 2035 and $1,700,000,000 aggregate principal amount of our 4.600% Notes due 2045. The Notes due 2025, Notes due 2035 and Notes due 2045 will each be a separate series of securities issued under a senior indenture dated September 18, 2013, entered into among us, the guarantors and The Bank of New York Mellon, as trustee. The notes will be our direct unsecured and unsubordinated obligations and will be fully and unconditionally guaranteed by Comcast Cable Communications, LLC, Comcast Cable Holdings, LLC, Comcast MO Group, Inc., Comcast MO of Delaware, LLC and NBCUniversal Media, LLC,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additional notes are not fungible with the notes of the applicable series offered hereby for U.S. federal income tax purposes, such additional notes will have one or more separate CUSIP numbers. Copies of the indenture and the form of notes are available from us upon request.</w:t>
      </w:r>
    </w:p>
    <w:p>
      <w:pPr>
        <w:spacing w:after="0" w:line="13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Terms of the Notes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notes:</w:t>
      </w:r>
    </w:p>
    <w:p>
      <w:pPr>
        <w:spacing w:after="0" w:line="90"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rank equally with all of our other unsecured and unsubordinated debt and will be entitled to the benefits of the guarantees described below;</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an initial aggregate principal amount of $4,000,000,000 comprised as follows:</w:t>
      </w:r>
    </w:p>
    <w:p>
      <w:pPr>
        <w:spacing w:after="0" w:line="90" w:lineRule="exact"/>
        <w:rPr>
          <w:rFonts w:ascii="Times New Roman" w:cs="Times New Roman" w:eastAsia="Times New Roman" w:hAnsi="Times New Roman"/>
          <w:sz w:val="18"/>
          <w:szCs w:val="18"/>
          <w:color w:val="auto"/>
        </w:rPr>
      </w:pPr>
    </w:p>
    <w:p>
      <w:pPr>
        <w:ind w:left="1480" w:right="660" w:hanging="446"/>
        <w:spacing w:after="0" w:line="262" w:lineRule="auto"/>
        <w:tabs>
          <w:tab w:leader="none" w:pos="14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initial aggregate principal amount of 3.375% Notes due 2025, maturing on August 15, 2025, with interest payable semiannually on each February 15 and August 15, beginning August 15, 2015, to holders of record on the preceding February 1 and August 1;</w:t>
      </w:r>
    </w:p>
    <w:p>
      <w:pPr>
        <w:spacing w:after="0" w:line="51" w:lineRule="exact"/>
        <w:rPr>
          <w:rFonts w:ascii="Times New Roman" w:cs="Times New Roman" w:eastAsia="Times New Roman" w:hAnsi="Times New Roman"/>
          <w:sz w:val="18"/>
          <w:szCs w:val="18"/>
          <w:color w:val="auto"/>
        </w:rPr>
      </w:pPr>
    </w:p>
    <w:p>
      <w:pPr>
        <w:ind w:left="1480" w:right="660" w:hanging="446"/>
        <w:spacing w:after="0" w:line="262" w:lineRule="auto"/>
        <w:tabs>
          <w:tab w:leader="none" w:pos="14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$800,000,000 initial aggregate principal amount of 4.400% Notes due 2035, maturing on August 15, 2035, with interest payable semiannually on each February 15 and August 15, beginning August 15, 2015, to holders of record on the preceding February 1 and August 1;</w:t>
      </w:r>
    </w:p>
    <w:p>
      <w:pPr>
        <w:spacing w:after="0" w:line="51" w:lineRule="exact"/>
        <w:rPr>
          <w:rFonts w:ascii="Times New Roman" w:cs="Times New Roman" w:eastAsia="Times New Roman" w:hAnsi="Times New Roman"/>
          <w:sz w:val="18"/>
          <w:szCs w:val="18"/>
          <w:color w:val="auto"/>
        </w:rPr>
      </w:pPr>
    </w:p>
    <w:p>
      <w:pPr>
        <w:ind w:left="1480" w:right="660" w:hanging="446"/>
        <w:spacing w:after="0" w:line="262" w:lineRule="auto"/>
        <w:tabs>
          <w:tab w:leader="none" w:pos="14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$1,700,000,000 initial aggregate principal amount of 4.600% Notes due 2045, maturing on August 15, 2045, with interest payable semiannually on each February 15 and August 15, beginning August 15, 2015, to holders of record on the preceding February 1 and August 1; and</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issuable in fully registered form, in denominations of $2,000 and in multiples of $1,000 in excess thereof.</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Payments</w:t>
      </w:r>
    </w:p>
    <w:p>
      <w:pPr>
        <w:spacing w:after="0" w:line="92"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Interest on the notes will be computed on the basis of a 360-day year consisting of twelve 30-day months. Interest on the notes will accrue from (i) the earlier of May 27, 2015 and the date of original issuance or (ii) from the most recent interest payment date to which interest has been paid, and will be payable semiannually on interest payment dates described for each year.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more information on payment and transfer procedures for the notes, see “—Book-Entry System”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9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20"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92" w:lineRule="exact"/>
        <w:rPr>
          <w:sz w:val="20"/>
          <w:szCs w:val="20"/>
          <w:color w:val="auto"/>
        </w:rPr>
      </w:pPr>
    </w:p>
    <w:p>
      <w:pPr>
        <w:ind w:right="60" w:firstLine="456"/>
        <w:spacing w:after="0" w:line="339" w:lineRule="auto"/>
        <w:rPr>
          <w:sz w:val="20"/>
          <w:szCs w:val="20"/>
          <w:color w:val="auto"/>
        </w:rPr>
      </w:pPr>
      <w:r>
        <w:rPr>
          <w:rFonts w:ascii="Times New Roman" w:cs="Times New Roman" w:eastAsia="Times New Roman" w:hAnsi="Times New Roman"/>
          <w:sz w:val="16"/>
          <w:szCs w:val="16"/>
          <w:color w:val="auto"/>
        </w:rPr>
        <w:t>We will have the right at our option to redeem any of the notes of each series in whole or in part, at any time or from time to time prior to their maturity, on at least 30 days, but not more than 60 days, prior notice mailed to the registered address of each holder of notes, at the applicable Redemption Price.</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“Redemption Price” means:</w:t>
      </w:r>
    </w:p>
    <w:p>
      <w:pPr>
        <w:spacing w:after="0" w:line="90" w:lineRule="exact"/>
        <w:rPr>
          <w:sz w:val="20"/>
          <w:szCs w:val="20"/>
          <w:color w:val="auto"/>
        </w:rPr>
      </w:pPr>
    </w:p>
    <w:p>
      <w:pPr>
        <w:ind w:firstLine="464"/>
        <w:spacing w:after="0" w:line="256" w:lineRule="auto"/>
        <w:tabs>
          <w:tab w:leader="none" w:pos="69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Notes due 2025, at any time prior to May 15, 2025 (three months prior to the maturity of the Notes due 2025),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20 basis points, provided that, if the Notes due 2025 are redeemed on or after May 15, 2025 (three months prior to the maturity of the Notes due 2025) the Redemption Price will equal 100% of the principal amount of such notes;</w:t>
      </w:r>
    </w:p>
    <w:p>
      <w:pPr>
        <w:spacing w:after="0" w:line="138"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Notes due 2035, at any time prior to February 15, 2035 (six months prior to the maturity of the Notes due 2035), the greater of</w:t>
      </w:r>
    </w:p>
    <w:p>
      <w:pPr>
        <w:spacing w:after="0" w:line="21" w:lineRule="exact"/>
        <w:rPr>
          <w:rFonts w:ascii="Times New Roman" w:cs="Times New Roman" w:eastAsia="Times New Roman" w:hAnsi="Times New Roman"/>
          <w:sz w:val="18"/>
          <w:szCs w:val="18"/>
          <w:color w:val="auto"/>
        </w:rPr>
      </w:pPr>
    </w:p>
    <w:p>
      <w:pPr>
        <w:ind w:right="20" w:firstLine="8"/>
        <w:spacing w:after="0" w:line="254" w:lineRule="auto"/>
        <w:tabs>
          <w:tab w:leader="none" w:pos="21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such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20 basis points, provided that, if the Notes due 2035 are redeemed on or after February 15, 2035 (six months prior to the maturity of the Notes due 2035) the Redemption Price will equal 100% of the principal amount of such notes; and</w:t>
      </w:r>
    </w:p>
    <w:p>
      <w:pPr>
        <w:spacing w:after="0" w:line="137"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Notes due 2045, at any time prior to February 15, 2045 (six months prior to the maturity of the Notes due 2045), the greater of</w:t>
      </w:r>
    </w:p>
    <w:p>
      <w:pPr>
        <w:spacing w:after="0" w:line="21" w:lineRule="exact"/>
        <w:rPr>
          <w:sz w:val="20"/>
          <w:szCs w:val="20"/>
          <w:color w:val="auto"/>
        </w:rPr>
      </w:pPr>
    </w:p>
    <w:p>
      <w:pPr>
        <w:ind w:right="20" w:firstLine="8"/>
        <w:spacing w:after="0" w:line="254" w:lineRule="auto"/>
        <w:tabs>
          <w:tab w:leader="none" w:pos="2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such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25 basis points, provided that, if the Notes due 2045 are redeemed on or after February 15, 2045 (six months prior to the maturity of the Notes due 2045) the Redemption Price will equal 100% of the principal amount of such notes;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each case, accrued and unpaid interest thereon to the date of redemption.</w:t>
      </w:r>
    </w:p>
    <w:p>
      <w:pPr>
        <w:spacing w:after="0" w:line="171"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rate per annum equal to the semiannual equivalent yield to maturity or interpolated (on a day count basis) of the Comparable Treasury Issue, assuming a</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for the Comparable Treasury Issue (expressed as a percentage of its principal amount) equal to the Comparable Treasury Price for such redemption date.</w:t>
      </w:r>
    </w:p>
    <w:p>
      <w:pPr>
        <w:spacing w:after="0" w:line="171"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“Comparable Treasury Issue”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97"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“Independent Investment Banker” means one of the Reference Treasury Dealers appointed by us. “Comparable Treasury Price”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3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“Reference Treasury Dealer” means each of Citigroup Global Markets Inc., Goldman, Sachs &amp; Co., and Morgan Stanley &amp; Co. LLC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13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36"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(provided that interests in notes represented by a Global Note will be selected for redemption by The Depository Trust Company in accordance with its standard procedures therefor). Additionally, we may at any time repurchase notes in the open market and may hold or surrender such notes to the trustee for cancellation.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Mandatory Redemption or Sinking Fund</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will be no mandatory redemption prior to maturity or sinking fund payments for the notes.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Debt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indenture does not limit the amount of debt we may issue under the indenture or otherwise.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Holders may hold interests in the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DTC</w:t>
      </w:r>
    </w:p>
    <w:p>
      <w:pPr>
        <w:spacing w:after="0" w:line="94"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3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39"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20" w:lineRule="exact"/>
        <w:rPr>
          <w:sz w:val="20"/>
          <w:szCs w:val="20"/>
          <w:color w:val="auto"/>
        </w:rPr>
      </w:pPr>
    </w:p>
    <w:p>
      <w:pPr>
        <w:ind w:right="80" w:firstLine="456"/>
        <w:spacing w:after="0" w:line="291" w:lineRule="auto"/>
        <w:rPr>
          <w:sz w:val="20"/>
          <w:szCs w:val="20"/>
          <w:color w:val="auto"/>
        </w:rPr>
      </w:pPr>
      <w:r>
        <w:rPr>
          <w:rFonts w:ascii="Times New Roman" w:cs="Times New Roman" w:eastAsia="Times New Roman" w:hAnsi="Times New Roman"/>
          <w:sz w:val="16"/>
          <w:szCs w:val="16"/>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13"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120" w:lineRule="exact"/>
        <w:rPr>
          <w:sz w:val="20"/>
          <w:szCs w:val="20"/>
          <w:color w:val="auto"/>
        </w:rPr>
      </w:pPr>
    </w:p>
    <w:p>
      <w:pPr>
        <w:ind w:right="80" w:firstLine="456"/>
        <w:spacing w:after="0" w:line="339" w:lineRule="auto"/>
        <w:rPr>
          <w:sz w:val="20"/>
          <w:szCs w:val="20"/>
          <w:color w:val="auto"/>
        </w:rPr>
      </w:pPr>
      <w:r>
        <w:rPr>
          <w:rFonts w:ascii="Times New Roman" w:cs="Times New Roman" w:eastAsia="Times New Roman" w:hAnsi="Times New Roman"/>
          <w:sz w:val="16"/>
          <w:szCs w:val="16"/>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4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Certificated Notes</w:t>
      </w:r>
    </w:p>
    <w:p>
      <w:pPr>
        <w:spacing w:after="0" w:line="94"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39" w:lineRule="exact"/>
        <w:rPr>
          <w:sz w:val="20"/>
          <w:szCs w:val="20"/>
          <w:color w:val="auto"/>
        </w:rPr>
      </w:pPr>
    </w:p>
    <w:p>
      <w:pPr>
        <w:ind w:left="900" w:right="580" w:hanging="446"/>
        <w:spacing w:after="0" w:line="27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 our discretion at any time determine not to have all the notes represented by the Global Notes; or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entitling the holders of the applicable notes to accelerate the maturity thereof has occurred and is continuing.</w:t>
      </w:r>
    </w:p>
    <w:p>
      <w:pPr>
        <w:spacing w:after="0" w:line="171"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Same-Day Payment</w:t>
      </w:r>
    </w:p>
    <w:p>
      <w:pPr>
        <w:spacing w:after="0" w:line="9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32" w:lineRule="exact"/>
        <w:rPr>
          <w:sz w:val="20"/>
          <w:szCs w:val="20"/>
          <w:color w:val="auto"/>
        </w:rPr>
      </w:pPr>
    </w:p>
    <w:p>
      <w:pPr>
        <w:ind w:right="100" w:firstLine="456"/>
        <w:spacing w:after="0" w:line="293" w:lineRule="auto"/>
        <w:rPr>
          <w:sz w:val="20"/>
          <w:szCs w:val="20"/>
          <w:color w:val="auto"/>
        </w:rPr>
      </w:pPr>
      <w:r>
        <w:rPr>
          <w:rFonts w:ascii="Times New Roman" w:cs="Times New Roman" w:eastAsia="Times New Roman" w:hAnsi="Times New Roman"/>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380"/>
          </w:cols>
          <w:pgMar w:left="240" w:top="455" w:right="2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FOR NON-U.S. HOLDERS</w:t>
      </w:r>
    </w:p>
    <w:p>
      <w:pPr>
        <w:spacing w:after="0" w:line="173"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following are the material U.S. federal income tax consequences of ownership and disposition of the notes. This discussion only applies to notes that meet all of the following conditions:</w:t>
      </w:r>
    </w:p>
    <w:p>
      <w:pPr>
        <w:spacing w:after="0" w:line="39" w:lineRule="exact"/>
        <w:rPr>
          <w:sz w:val="20"/>
          <w:szCs w:val="20"/>
          <w:color w:val="auto"/>
        </w:rPr>
      </w:pPr>
    </w:p>
    <w:p>
      <w:pPr>
        <w:jc w:val="both"/>
        <w:ind w:left="900" w:hanging="325"/>
        <w:spacing w:after="0" w:line="26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held as capital assets;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beneficially owned by Non-U.S. Holders (as defined below).</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This discussion does not describe all of the tax consequences that may be relevant to holders in light of their particular circumstances or to holders subject to special rules, such as:</w:t>
      </w:r>
    </w:p>
    <w:p>
      <w:pPr>
        <w:spacing w:after="0" w:line="39" w:lineRule="exact"/>
        <w:rPr>
          <w:sz w:val="20"/>
          <w:szCs w:val="20"/>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exempt entities;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the alternative minimum tax;</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foreign currencies;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notes as part of a hedge, straddle or other integrated transaction;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classified as partnerships for U.S. federal income tax purposes.</w:t>
      </w:r>
    </w:p>
    <w:p>
      <w:pPr>
        <w:spacing w:after="0" w:line="171" w:lineRule="exact"/>
        <w:rPr>
          <w:sz w:val="20"/>
          <w:szCs w:val="20"/>
          <w:color w:val="auto"/>
        </w:rPr>
      </w:pPr>
    </w:p>
    <w:p>
      <w:pPr>
        <w:ind w:right="20" w:firstLine="456"/>
        <w:spacing w:after="0" w:line="339" w:lineRule="auto"/>
        <w:rPr>
          <w:sz w:val="20"/>
          <w:szCs w:val="20"/>
          <w:color w:val="auto"/>
        </w:rPr>
      </w:pPr>
      <w:r>
        <w:rPr>
          <w:rFonts w:ascii="Times New Roman" w:cs="Times New Roman" w:eastAsia="Times New Roman" w:hAnsi="Times New Roman"/>
          <w:sz w:val="16"/>
          <w:szCs w:val="16"/>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or her tax advisor.</w:t>
      </w:r>
    </w:p>
    <w:p>
      <w:pPr>
        <w:spacing w:after="0" w:line="7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This summary is based on the Internal Revenue Code of 1986, as amended to the date hereof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foreign taxing jurisdiction.</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herein, the term “Non-U.S. Holder” means a beneficial owner of a note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not a U.S. citizen and who is classified as a nonresident for U.S. federal income tax purposes;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estate or trust.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300"/>
          </w:cols>
          <w:pgMar w:left="240" w:top="455" w:right="3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339" w:lineRule="auto"/>
        <w:rPr>
          <w:sz w:val="20"/>
          <w:szCs w:val="20"/>
          <w:color w:val="auto"/>
        </w:rPr>
      </w:pPr>
      <w:r>
        <w:rPr>
          <w:rFonts w:ascii="Times New Roman" w:cs="Times New Roman" w:eastAsia="Times New Roman" w:hAnsi="Times New Roman"/>
          <w:sz w:val="16"/>
          <w:szCs w:val="16"/>
          <w:color w:val="auto"/>
        </w:rPr>
        <w:t>“Non-U.S. Holder” does not include a holder who is an individual present in the United States for 183 days or more in the taxable year of disposition. Such a holder is urged to consult his or her tax advisor regarding the U.S. federal income tax consequences of the sale, exchange or other disposition of a note.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on a Note</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51" w:lineRule="exact"/>
        <w:rPr>
          <w:sz w:val="20"/>
          <w:szCs w:val="20"/>
          <w:color w:val="auto"/>
        </w:rPr>
      </w:pPr>
    </w:p>
    <w:p>
      <w:pPr>
        <w:ind w:left="900" w:right="120" w:hanging="325"/>
        <w:spacing w:after="0" w:line="275"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requirement described below has been fulfilled with respect to the beneficial owner, as discussed below.</w:t>
      </w:r>
    </w:p>
    <w:p>
      <w:pPr>
        <w:spacing w:after="0" w:line="171"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Interest on a note described above will not be exempt from withholding tax unless the beneficial owner of that note certifies on a properly executed Internal Revenue Service Form W-8BEN or W-8BEN-E, as appropriate, under penalties of perjury, that it is not a U.S. person.</w:t>
      </w:r>
    </w:p>
    <w:p>
      <w:pPr>
        <w:spacing w:after="0" w:line="12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Exchange, Redemption or Other Disposition of a Note</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Subject to the discussions below concerning backup withholding and FATCA, 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3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9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Information returns will be filed with the Internal Revenue Service in connection with interest payments on the notes. Unless the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satisfy the certification requirements necessary to avoid backup withholding as well.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 Legislation</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U.S.-source interest and, if made after December 31, 2016,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advisors regarding the effects of FATCA on their investment in the notes. We will not pay additional amounts with respect to any withholding taxes.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73"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Underwriter</w:t>
            </w: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600" w:type="dxa"/>
            <w:vAlign w:val="bottom"/>
          </w:tcPr>
          <w:p>
            <w:pPr>
              <w:spacing w:after="0"/>
              <w:rPr>
                <w:sz w:val="13"/>
                <w:szCs w:val="13"/>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of Notes due 2025</w:t>
            </w:r>
          </w:p>
        </w:tc>
        <w:tc>
          <w:tcPr>
            <w:tcW w:w="600" w:type="dxa"/>
            <w:vAlign w:val="bottom"/>
          </w:tcPr>
          <w:p>
            <w:pPr>
              <w:spacing w:after="0"/>
              <w:rPr>
                <w:sz w:val="14"/>
                <w:szCs w:val="14"/>
                <w:color w:val="auto"/>
              </w:rPr>
            </w:pPr>
          </w:p>
        </w:tc>
        <w:tc>
          <w:tcPr>
            <w:tcW w:w="1460" w:type="dxa"/>
            <w:vAlign w:val="bottom"/>
            <w:gridSpan w:val="3"/>
          </w:tcPr>
          <w:p>
            <w:pPr>
              <w:ind w:left="80"/>
              <w:spacing w:after="0" w:line="152" w:lineRule="exact"/>
              <w:rPr>
                <w:sz w:val="20"/>
                <w:szCs w:val="20"/>
                <w:color w:val="auto"/>
              </w:rPr>
            </w:pPr>
            <w:r>
              <w:rPr>
                <w:rFonts w:ascii="Times New Roman" w:cs="Times New Roman" w:eastAsia="Times New Roman" w:hAnsi="Times New Roman"/>
                <w:sz w:val="14"/>
                <w:szCs w:val="14"/>
                <w:b w:val="1"/>
                <w:bCs w:val="1"/>
                <w:color w:val="auto"/>
              </w:rPr>
              <w:t>of Notes due 2035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of Notes due 2045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Citigroup Global Markets Inc.</w:t>
            </w:r>
          </w:p>
        </w:tc>
        <w:tc>
          <w:tcPr>
            <w:tcW w:w="2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210,000,000</w:t>
            </w: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112,000,000</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238,000,000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210,000,000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112,000,000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210,000,000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112,000,000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126,000,000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67,200,000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126,000,000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67,200,000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126,000,000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67,200,000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33,750,000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18,000,000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33,750,000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18,000,000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33,750,000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18,000,000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33,750,000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18,000,000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Lloyds Securities Inc.</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33,750,000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18,000,000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Merrill Lynch, Pierce, Fenner &amp; Smith</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Incorporated</w:t>
            </w: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33,750,000</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18,000,000</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38,250,000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Inc.</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33,750,000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18,000,000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33,750,000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18,000,000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SunTrust Robinson Humphrey, Inc.</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33,750,000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18,000,000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33,750,000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18,000,000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Santander Investment Securities Inc.</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11,200,000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21,000,000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11,200,000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DNB Markets, Inc.</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18,750,000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Williams Capital Group, L.P.</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11,250,000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Drexel Hamilton, LLC</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Lebenthal &amp; Co., LLC</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MFR Securities, Inc.</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Mischler Financial Group, Inc.</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Ramirez &amp; Company, Inc.</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Telsey Advisory Group LLC</w:t>
            </w:r>
          </w:p>
        </w:tc>
        <w:tc>
          <w:tcPr>
            <w:tcW w:w="2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1,500,000,000</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800,000,000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3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12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other conditions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 May 27, 2015,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and should consult their own advisors.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underwriters have advised us that they propose initially to offer the notes to the public at the public offering price on the cover page of this prospectus supplement, and to dealers at that price less a concession not in excess of 0.250%, 0.400% and 0.450% of the principal amount of the Notes due 2025, Notes due 2035 and Notes due 2045, respectively. The underwriters may allow, and the dealers may reallow, a discount not in excess of 0.200%, 0.200% and 0.225% of the principal amount of the Notes due 2025, Notes due 2035 and Notes due 2045, respectively, to other dealers. After the initial public offering, the public offering prices, concessions and discounts may be changed.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to be $850,000 and are payable by us.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Each series of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92" w:lineRule="exact"/>
        <w:rPr>
          <w:sz w:val="20"/>
          <w:szCs w:val="20"/>
          <w:color w:val="auto"/>
        </w:rPr>
      </w:pPr>
    </w:p>
    <w:p>
      <w:pPr>
        <w:ind w:right="180" w:firstLine="456"/>
        <w:spacing w:after="0" w:line="254" w:lineRule="auto"/>
        <w:rPr>
          <w:sz w:val="20"/>
          <w:szCs w:val="20"/>
          <w:color w:val="auto"/>
        </w:rPr>
      </w:pPr>
      <w:r>
        <w:rPr>
          <w:rFonts w:ascii="Times New Roman" w:cs="Times New Roman" w:eastAsia="Times New Roman" w:hAnsi="Times New Roman"/>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41"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360"/>
          </w:cols>
          <w:pgMar w:left="240" w:top="455" w:right="2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w:t>
      </w:r>
    </w:p>
    <w:p>
      <w:pPr>
        <w:spacing w:after="0" w:line="13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including the 8.75% Notes due 2015, the 5.85% Notes due 2015, the 5.9% Notes due 2016, the 2.875% Notes due 2016, the 4.95% Notes due 2016 and our outstanding commercial paper, and therefore, the underwriters and/or their respective affiliates may indirectly receive a portion of the net proceeds from this offering.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94"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no offer of notes may be made to the public in that Relevant Member State other than:</w:t>
      </w:r>
    </w:p>
    <w:p>
      <w:pPr>
        <w:spacing w:after="0" w:line="51" w:lineRule="exact"/>
        <w:rPr>
          <w:sz w:val="20"/>
          <w:szCs w:val="20"/>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90"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or</w:t>
      </w:r>
    </w:p>
    <w:p>
      <w:pPr>
        <w:spacing w:after="0" w:line="5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w:t>
      </w:r>
    </w:p>
    <w:p>
      <w:pPr>
        <w:spacing w:after="0" w:line="171"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provided that no such offer of notes shall require the Company or the representative to publish a prospectus pursuant to Article 3 of the Prospectus Directive or supplement a prospectus pursuant to Article 16 of the Prospectus Directive.</w:t>
      </w:r>
    </w:p>
    <w:p>
      <w:pPr>
        <w:spacing w:after="0" w:line="12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any Relevant Member State will be made pursuant to an exemption under the Prospectus Directive from the requirement to publish a prospectus for offers of notes. Accordingly, any person making or intending to make an offer in that Relevant Member State of notes which are the subject of the offering contemplated in this prospectus supplement may only do so in circumstances in which no obligation arises for us or any of the underwriters to publish a prospectus pursuant to Article 3 of the Prospectus Directive in relation to such offer. Neither we nor the underwriters have authorized, nor do we or the underwriters authorize, the making of any offer of notes in circumstances in which an obligation arises for us or the underwriters to publish a prospectus for such offer.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9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guarantors; and it has complied with and will comply with all applicable provisions of FSMA with respect to anything done by it in relation to the notes in, from or otherwise involving the United Kingdom.</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94"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9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55" w:lineRule="exact"/>
        <w:rPr>
          <w:sz w:val="20"/>
          <w:szCs w:val="20"/>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Securities and Futures Act, Chapter 289 of Singapore (the “SFA”);</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or any person pursuant to Section 257(1A), and in accordance with the conditions, specified in Section 275 of the SFA; or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380"/>
          </w:cols>
          <w:pgMar w:left="240" w:top="455" w:right="2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Whether the notes are subscribed or purchased under Section 275 by a relevant person that is:</w:t>
      </w:r>
    </w:p>
    <w:p>
      <w:pPr>
        <w:spacing w:after="0" w:line="90" w:lineRule="exact"/>
        <w:rPr>
          <w:sz w:val="20"/>
          <w:szCs w:val="20"/>
          <w:color w:val="auto"/>
        </w:rPr>
      </w:pPr>
    </w:p>
    <w:p>
      <w:pPr>
        <w:ind w:left="460" w:right="20" w:firstLine="443"/>
        <w:spacing w:after="0" w:line="275" w:lineRule="auto"/>
        <w:tabs>
          <w:tab w:leader="none" w:pos="11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38" w:lineRule="exact"/>
        <w:rPr>
          <w:rFonts w:ascii="Times New Roman" w:cs="Times New Roman" w:eastAsia="Times New Roman" w:hAnsi="Times New Roman"/>
          <w:sz w:val="18"/>
          <w:szCs w:val="18"/>
          <w:color w:val="auto"/>
        </w:rPr>
      </w:pPr>
    </w:p>
    <w:p>
      <w:pPr>
        <w:ind w:left="460" w:firstLine="443"/>
        <w:spacing w:after="0" w:line="256" w:lineRule="auto"/>
        <w:tabs>
          <w:tab w:leader="none" w:pos="114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3" w:lineRule="exact"/>
        <w:rPr>
          <w:sz w:val="20"/>
          <w:szCs w:val="20"/>
          <w:color w:val="auto"/>
        </w:rPr>
      </w:pPr>
    </w:p>
    <w:p>
      <w:pPr>
        <w:ind w:right="380" w:firstLine="456"/>
        <w:spacing w:after="0" w:line="258" w:lineRule="auto"/>
        <w:rPr>
          <w:sz w:val="20"/>
          <w:szCs w:val="20"/>
          <w:color w:val="auto"/>
        </w:rPr>
      </w:pPr>
      <w:r>
        <w:rPr>
          <w:rFonts w:ascii="Times New Roman" w:cs="Times New Roman" w:eastAsia="Times New Roman" w:hAnsi="Times New Roman"/>
          <w:sz w:val="18"/>
          <w:szCs w:val="18"/>
          <w:color w:val="auto"/>
        </w:rPr>
        <w:t>Various legal matters relating to the offering will be passed upon for us by Arthur R. Block, Esquire, Executive Vice President, General Counsel and Secretary of Comcast Corporation, Lynn A. Charytan, Esquire, Senior Vice President, Legal and Regulatory Affairs and Senior Deputy General Counsel of Comcast Corporation, and by Davis Polk &amp; Wardwell LLP, Menlo Park, California. Cahill Gordon &amp; Reindel LLP, New York, New York, is representing the underwriters.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and the related consolidated financial statement schedule of Comcast Corporation and subsidiaries, incorporated herein by reference from Comcast Corporation’s Annual Report on Form 10-K for the year ended December 31, 2014,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39"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and the related consolidated financial statement schedule of NBCUniversal Media, LLC and its subsidiaries, incorporated herein by reference from NBCUniversal Media, LLC’s Annual Report on Form 10-K for the year ended December 31, 2014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873760</wp:posOffset>
            </wp:positionV>
            <wp:extent cx="1517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196215</wp:posOffset>
            </wp:positionV>
            <wp:extent cx="1397635" cy="488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The following are types of securities that may be offered and sold from time to time by Comcast Corporation or by selling security holders under this prospectus: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Unsecured senior debt securities</w:t>
            </w:r>
          </w:p>
        </w:tc>
        <w:tc>
          <w:tcPr>
            <w:tcW w:w="17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stock</w:t>
            </w: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Warrants</w:t>
            </w:r>
          </w:p>
        </w:tc>
        <w:tc>
          <w:tcPr>
            <w:tcW w:w="17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Depositary shares</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Purchase contracts</w:t>
            </w:r>
          </w:p>
        </w:tc>
        <w:tc>
          <w:tcPr>
            <w:tcW w:w="39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 Class A common stock</w:t>
            </w:r>
          </w:p>
        </w:tc>
      </w:tr>
      <w:tr>
        <w:trPr>
          <w:trHeight w:val="22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Units</w:t>
            </w:r>
          </w:p>
        </w:tc>
        <w:tc>
          <w:tcPr>
            <w:tcW w:w="39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w w:val="98"/>
              </w:rPr>
              <w:t>• Class A Special common stock</w:t>
            </w:r>
          </w:p>
        </w:tc>
      </w:tr>
    </w:tbl>
    <w:p>
      <w:pPr>
        <w:spacing w:after="0" w:line="150" w:lineRule="exact"/>
        <w:rPr>
          <w:sz w:val="20"/>
          <w:szCs w:val="20"/>
          <w:color w:val="auto"/>
        </w:rPr>
      </w:pPr>
    </w:p>
    <w:p>
      <w:pPr>
        <w:ind w:right="820" w:firstLine="456"/>
        <w:spacing w:after="0" w:line="275" w:lineRule="auto"/>
        <w:rPr>
          <w:sz w:val="20"/>
          <w:szCs w:val="20"/>
          <w:color w:val="auto"/>
        </w:rPr>
      </w:pPr>
      <w:r>
        <w:rPr>
          <w:rFonts w:ascii="Times New Roman" w:cs="Times New Roman" w:eastAsia="Times New Roman" w:hAnsi="Times New Roman"/>
          <w:sz w:val="18"/>
          <w:szCs w:val="18"/>
          <w:color w:val="auto"/>
        </w:rPr>
        <w:t>If indicated in the relevant prospectus supplement, the securities may be fully and unconditionally guaranteed by a number of our wholly owned subsidiaries named in this prospectus.</w:t>
      </w:r>
    </w:p>
    <w:p>
      <w:pPr>
        <w:spacing w:after="0" w:line="120"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Our Class A common stock and Class A Special common stock are quoted on the Nasdaq Global Select Market under the ticker symbols “CMCSA” and “CMCSK”. On September 17, 2013, the reported last sale prices on the Nasdaq Global Select Market for our Class A common stock and our Class A Special common stock were $44.45 and $43.10, respectively.</w:t>
      </w:r>
    </w:p>
    <w:p>
      <w:pPr>
        <w:spacing w:after="0" w:line="13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Maturity</w:t>
            </w: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Conversion or exchange rights</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w:t>
            </w: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Redemption terms</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Liquidation amount</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Sinking fund terms</w:t>
            </w: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Listing on a securities exchange</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Subsidiary guarantees</w:t>
            </w: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Currency of payments</w:t>
            </w:r>
          </w:p>
        </w:tc>
        <w:tc>
          <w:tcPr>
            <w:tcW w:w="37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Amount payable at maturity</w:t>
            </w: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2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certain risks. See “Item 1A—Risk Factors” beginning on page 29 of Comcast’s annual report on Form 10-K for the year ended December 31, 2012, and beginning on page 14 of NBCUniversal’s annual report on Form 10-K for the year ended December 31, 2012,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168275</wp:posOffset>
            </wp:positionV>
            <wp:extent cx="1517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2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170180</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18, 2013</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52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20" w:type="dxa"/>
            <w:vAlign w:val="bottom"/>
            <w:gridSpan w:val="3"/>
            <w:vMerge w:val="restart"/>
          </w:tcPr>
          <w:p>
            <w:pPr>
              <w:spacing w:after="0"/>
              <w:rPr>
                <w:rFonts w:ascii="Times New Roman" w:cs="Times New Roman" w:eastAsia="Times New Roman" w:hAnsi="Times New Roman"/>
                <w:sz w:val="18"/>
                <w:szCs w:val="18"/>
                <w:color w:val="0000EE"/>
                <w:w w:val="96"/>
              </w:rPr>
            </w:pPr>
            <w:hyperlink w:anchor="page27">
              <w:r>
                <w:rPr>
                  <w:rFonts w:ascii="Times New Roman" w:cs="Times New Roman" w:eastAsia="Times New Roman" w:hAnsi="Times New Roman"/>
                  <w:sz w:val="18"/>
                  <w:szCs w:val="18"/>
                  <w:color w:val="0000EE"/>
                  <w:w w:val="96"/>
                </w:rPr>
                <w:t>The Companies</w:t>
              </w:r>
            </w:hyperlink>
          </w:p>
        </w:tc>
        <w:tc>
          <w:tcPr>
            <w:tcW w:w="9940" w:type="dxa"/>
            <w:vAlign w:val="bottom"/>
            <w:gridSpan w:val="10"/>
            <w:vMerge w:val="restart"/>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Page</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0000EE"/>
            </w:tcBorders>
            <w:gridSpan w:val="3"/>
            <w:vMerge w:val="continue"/>
          </w:tcPr>
          <w:p>
            <w:pPr>
              <w:spacing w:after="0"/>
              <w:rPr>
                <w:sz w:val="14"/>
                <w:szCs w:val="14"/>
                <w:color w:val="auto"/>
              </w:rPr>
            </w:pPr>
          </w:p>
        </w:tc>
        <w:tc>
          <w:tcPr>
            <w:tcW w:w="9940" w:type="dxa"/>
            <w:vAlign w:val="bottom"/>
            <w:gridSpan w:val="10"/>
            <w:vMerge w:val="continue"/>
          </w:tcPr>
          <w:p>
            <w:pPr>
              <w:spacing w:after="0"/>
              <w:rPr>
                <w:sz w:val="14"/>
                <w:szCs w:val="14"/>
                <w:color w:val="auto"/>
              </w:rPr>
            </w:pPr>
          </w:p>
        </w:tc>
        <w:tc>
          <w:tcPr>
            <w:tcW w:w="2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Caution Concerning Forward-Looking Statements</w:t>
              </w:r>
            </w:hyperlink>
          </w:p>
        </w:tc>
        <w:tc>
          <w:tcPr>
            <w:tcW w:w="7520" w:type="dxa"/>
            <w:vAlign w:val="bottom"/>
            <w:gridSpan w:val="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Use of Proceeds</w:t>
              </w:r>
            </w:hyperlink>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31">
              <w:r>
                <w:rPr>
                  <w:rFonts w:ascii="Times New Roman" w:cs="Times New Roman" w:eastAsia="Times New Roman" w:hAnsi="Times New Roman"/>
                  <w:sz w:val="18"/>
                  <w:szCs w:val="18"/>
                  <w:color w:val="0000EE"/>
                  <w:w w:val="96"/>
                </w:rPr>
                <w:t>Dividend Policy</w:t>
              </w:r>
            </w:hyperlink>
          </w:p>
        </w:tc>
        <w:tc>
          <w:tcPr>
            <w:tcW w:w="9900" w:type="dxa"/>
            <w:vAlign w:val="bottom"/>
            <w:gridSpan w:val="8"/>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Ratios of Earnings to Fixed Charges and of Earnings to Combined Fixed Charges and Preferred Dividends</w:t>
              </w:r>
            </w:hyperlink>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Description of Debt Securities and Guarantees</w:t>
              </w:r>
            </w:hyperlink>
          </w:p>
        </w:tc>
        <w:tc>
          <w:tcPr>
            <w:tcW w:w="358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Global Securities</w:t>
              </w:r>
            </w:hyperlink>
          </w:p>
        </w:tc>
        <w:tc>
          <w:tcPr>
            <w:tcW w:w="7800" w:type="dxa"/>
            <w:vAlign w:val="bottom"/>
            <w:gridSpan w:val="3"/>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47">
              <w:r>
                <w:rPr>
                  <w:rFonts w:ascii="Times New Roman" w:cs="Times New Roman" w:eastAsia="Times New Roman" w:hAnsi="Times New Roman"/>
                  <w:sz w:val="18"/>
                  <w:szCs w:val="18"/>
                  <w:color w:val="0000EE"/>
                  <w:w w:val="97"/>
                </w:rPr>
                <w:t>Description of Capital Stock</w:t>
              </w:r>
            </w:hyperlink>
          </w:p>
        </w:tc>
        <w:tc>
          <w:tcPr>
            <w:tcW w:w="9040" w:type="dxa"/>
            <w:vAlign w:val="bottom"/>
            <w:gridSpan w:val="4"/>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Plan of Distribution</w:t>
              </w:r>
            </w:hyperlink>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Legal Matters</w:t>
              </w:r>
            </w:hyperlink>
          </w:p>
        </w:tc>
        <w:tc>
          <w:tcPr>
            <w:tcW w:w="9660" w:type="dxa"/>
            <w:vAlign w:val="bottom"/>
            <w:gridSpan w:val="6"/>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Experts</w:t>
              </w:r>
            </w:hyperlink>
          </w:p>
        </w:tc>
        <w:tc>
          <w:tcPr>
            <w:tcW w:w="10080" w:type="dxa"/>
            <w:vAlign w:val="bottom"/>
            <w:gridSpan w:val="11"/>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3"/>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Available Information</w:t>
              </w:r>
            </w:hyperlink>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53">
              <w:r>
                <w:rPr>
                  <w:rFonts w:ascii="Times New Roman" w:cs="Times New Roman" w:eastAsia="Times New Roman" w:hAnsi="Times New Roman"/>
                  <w:sz w:val="18"/>
                  <w:szCs w:val="18"/>
                  <w:color w:val="0000EE"/>
                  <w:w w:val="97"/>
                </w:rPr>
                <w:t>Incorporation of Certain Documents by Reference</w:t>
              </w:r>
            </w:hyperlink>
          </w:p>
        </w:tc>
        <w:tc>
          <w:tcPr>
            <w:tcW w:w="7520" w:type="dxa"/>
            <w:vAlign w:val="bottom"/>
            <w:gridSpan w:val="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3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Comcast MO Group, Inc. as “Comcast MO Group,” Comcast Cable Holdings, LLC as “Comcast Cable Holdings,” Comcast MO of Delaware, LLC as “Comcast MO of Delaware,” and all of them collectively as the “Guarantors.”</w:t>
      </w:r>
    </w:p>
    <w:p>
      <w:pPr>
        <w:spacing w:after="0" w:line="1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20"/>
          </w:cols>
          <w:pgMar w:left="240" w:top="455" w:right="3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92"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We are a global media and technology company with two primary businesses, Comcast Cable and NBCUniversal. We present our operations in the following five reportable business segments:</w:t>
      </w:r>
    </w:p>
    <w:p>
      <w:pPr>
        <w:spacing w:after="0" w:line="37" w:lineRule="exact"/>
        <w:rPr>
          <w:sz w:val="20"/>
          <w:szCs w:val="20"/>
          <w:color w:val="auto"/>
        </w:rPr>
      </w:pPr>
    </w:p>
    <w:p>
      <w:pPr>
        <w:ind w:left="900" w:hanging="325"/>
        <w:spacing w:after="0" w:line="277"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Cable Communications</w:t>
      </w:r>
      <w:r>
        <w:rPr>
          <w:rFonts w:ascii="Times New Roman" w:cs="Times New Roman" w:eastAsia="Times New Roman" w:hAnsi="Times New Roman"/>
          <w:sz w:val="18"/>
          <w:szCs w:val="18"/>
          <w:color w:val="auto"/>
        </w:rPr>
        <w:t>: Consists of the operations of Comcast Cable, which is the nation’s largest provider of video, high-speed Internet and voice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to residential customers under the XFINITY brand, and Comcast Cable also provides these services to businesses.</w:t>
      </w:r>
    </w:p>
    <w:p>
      <w:pPr>
        <w:spacing w:after="0" w:line="35" w:lineRule="exact"/>
        <w:rPr>
          <w:rFonts w:ascii="Times New Roman" w:cs="Times New Roman" w:eastAsia="Times New Roman" w:hAnsi="Times New Roman"/>
          <w:sz w:val="18"/>
          <w:szCs w:val="18"/>
          <w:color w:val="auto"/>
        </w:rPr>
      </w:pPr>
    </w:p>
    <w:p>
      <w:pPr>
        <w:ind w:left="900" w:right="440" w:hanging="325"/>
        <w:spacing w:after="0" w:line="277"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Cable Networks</w:t>
      </w:r>
      <w:r>
        <w:rPr>
          <w:rFonts w:ascii="Times New Roman" w:cs="Times New Roman" w:eastAsia="Times New Roman" w:hAnsi="Times New Roman"/>
          <w:sz w:val="18"/>
          <w:szCs w:val="18"/>
          <w:color w:val="auto"/>
        </w:rPr>
        <w:t>: Consists primarily of NBCUniversal’s national cable networks, its regional sports and news networks, its international 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its cable television production operations, and its related digital media properties.</w:t>
      </w:r>
    </w:p>
    <w:p>
      <w:pPr>
        <w:spacing w:after="0" w:line="35" w:lineRule="exact"/>
        <w:rPr>
          <w:rFonts w:ascii="Times New Roman" w:cs="Times New Roman" w:eastAsia="Times New Roman" w:hAnsi="Times New Roman"/>
          <w:sz w:val="18"/>
          <w:szCs w:val="18"/>
          <w:color w:val="auto"/>
        </w:rPr>
      </w:pPr>
    </w:p>
    <w:p>
      <w:pPr>
        <w:ind w:left="900" w:right="460" w:hanging="325"/>
        <w:spacing w:after="0" w:line="277"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Broadcast Television</w:t>
      </w:r>
      <w:r>
        <w:rPr>
          <w:rFonts w:ascii="Times New Roman" w:cs="Times New Roman" w:eastAsia="Times New Roman" w:hAnsi="Times New Roman"/>
          <w:sz w:val="18"/>
          <w:szCs w:val="18"/>
          <w:color w:val="auto"/>
        </w:rPr>
        <w:t>: Consists primarily of NBCUniversal’s broadcast networks, NBC and Telemundo, its NBC and Telemundo owned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broadcast television stations, its broadcast television production operations, and its related digital media properties.</w:t>
      </w:r>
    </w:p>
    <w:p>
      <w:pPr>
        <w:spacing w:after="0" w:line="35" w:lineRule="exact"/>
        <w:rPr>
          <w:rFonts w:ascii="Times New Roman" w:cs="Times New Roman" w:eastAsia="Times New Roman" w:hAnsi="Times New Roman"/>
          <w:sz w:val="18"/>
          <w:szCs w:val="18"/>
          <w:color w:val="auto"/>
        </w:rPr>
      </w:pPr>
    </w:p>
    <w:p>
      <w:pPr>
        <w:ind w:left="900" w:right="560" w:hanging="325"/>
        <w:spacing w:after="0" w:line="277"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Filmed Entertainment</w:t>
      </w:r>
      <w:r>
        <w:rPr>
          <w:rFonts w:ascii="Times New Roman" w:cs="Times New Roman" w:eastAsia="Times New Roman" w:hAnsi="Times New Roman"/>
          <w:sz w:val="18"/>
          <w:szCs w:val="18"/>
          <w:color w:val="auto"/>
        </w:rPr>
        <w:t>: Consists primarily of the operations of Universal Pictures, which produces, acquires, markets and distributes filmed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entertainment worldwide.</w:t>
      </w:r>
    </w:p>
    <w:p>
      <w:pPr>
        <w:spacing w:after="0" w:line="3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Theme Parks</w:t>
      </w:r>
      <w:r>
        <w:rPr>
          <w:rFonts w:ascii="Times New Roman" w:cs="Times New Roman" w:eastAsia="Times New Roman" w:hAnsi="Times New Roman"/>
          <w:sz w:val="18"/>
          <w:szCs w:val="18"/>
          <w:color w:val="auto"/>
        </w:rPr>
        <w:t>: Consists primarily of NBCUniversal’s Universal theme parks in Orlando and Hollywood.</w:t>
      </w:r>
    </w:p>
    <w:p>
      <w:pPr>
        <w:spacing w:after="0" w:line="17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2012, the Cable Communications segment generated 63% of Comcast’s consolidated revenue and more than 80% of Comcast’s operating income before depreciation and amortization. The Cable Networks, Broadcast Television, Filmed Entertainment and Theme Parks segments comprise NBCUniversal’s businesses.</w:t>
      </w:r>
    </w:p>
    <w:p>
      <w:pPr>
        <w:spacing w:after="0" w:line="13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20"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For a description of the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other filings incorporated by reference in this prospectus, see “Available Information” in this prospectus.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Guarantors</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90" w:lineRule="exact"/>
        <w:rPr>
          <w:sz w:val="20"/>
          <w:szCs w:val="20"/>
          <w:color w:val="auto"/>
        </w:rPr>
      </w:pPr>
    </w:p>
    <w:p>
      <w:pPr>
        <w:ind w:left="900" w:right="40" w:hanging="325"/>
        <w:spacing w:after="0" w:line="275"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60"/>
          </w:cols>
          <w:pgMar w:left="240" w:top="455" w:right="2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NBCUniversal Media, LLC</w:t>
      </w:r>
    </w:p>
    <w:p>
      <w:pPr>
        <w:spacing w:after="0" w:line="94"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NBCUniversal is one of the world’s leading media and entertainment companies. It develops, produces and distributes entertainment, news and information, sports and other content for global audiences and owns and operates a diversified and integrated portfolio of some of the most recognizable media brands in the world.</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Comcast Cable Communications, LLC</w:t>
      </w:r>
    </w:p>
    <w:p>
      <w:pPr>
        <w:spacing w:after="0" w:line="9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Comcast Cable, which was incorporated in 1981 as a Delaware corporation, became a Delaware limited liability company in 2003 and is an indirect wholly owned subsidiary of ours.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Comcast Cable Holdings, LLC</w:t>
      </w:r>
    </w:p>
    <w:p>
      <w:pPr>
        <w:spacing w:after="0" w:line="9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Comcast Cable Holdings is a Delaware limited liability company (formerly known as AT&amp;T Broadband, LLC) formed in 1994. Comcast Cable Holdings is a wholly owned subsidiary of Comcast Cable.</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Comcast MO Group, Inc.</w:t>
      </w:r>
    </w:p>
    <w:p>
      <w:pPr>
        <w:spacing w:after="0" w:line="94"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Comcast MO Group is a Delaware corporation (formerly known as MediaOne Group, Inc.) incorporated in 1999. Comcast MO Group is a wholly owned subsidiary of Comcast Cable.</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Comcast MO of Delaware, LLC</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Comcast MO of Delaware, which was incorporated in 1996 as a Delaware corporation, became a Delaware limited liability company in 2003. Comcast MO of Delaware is an indirect wholly owned subsidiary of Comcast MO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93980</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8"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The principal executive offices of Comcast and the Guarantors other than NBCUniversal are located at One Comcast Center, Philadelphia, Pennsylvania 19103-2838, and our telephone number is (215) 286-1700.</w:t>
      </w:r>
    </w:p>
    <w:p>
      <w:pPr>
        <w:spacing w:after="0" w:line="12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principal executive offices of NBCUniversal are located at 30 Rockefeller Plaza, New York, New York 10112-0015, and its telephone number is (212) 664-4444.</w:t>
      </w:r>
    </w:p>
    <w:p>
      <w:pPr>
        <w:spacing w:after="0" w:line="120"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We maintain a website at http://www.comcastcorporation.com where general information about us is available. We are not incorporating the contents of the website into this prospectus.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17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and NBCUniversal’s Annual Reports on Form 10-K for the year ended December 31, 2012 incorporated herein by reference. Actual events or our actual results may differ materially from any of our forward-looking statements. We undertake no obligation to update any forward-looking statements.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businesses may be affected by, among other things, the following:</w:t>
      </w:r>
    </w:p>
    <w:p>
      <w:pPr>
        <w:spacing w:after="0" w:line="90" w:lineRule="exact"/>
        <w:rPr>
          <w:sz w:val="20"/>
          <w:szCs w:val="20"/>
          <w:color w:val="auto"/>
        </w:rPr>
      </w:pPr>
    </w:p>
    <w:p>
      <w:pPr>
        <w:ind w:left="900" w:right="420" w:hanging="325"/>
        <w:spacing w:after="0" w:line="27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currently face a wide range of competition, and our businesses and results of operations could be adversely affected if we do not compete effectively;</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driven by new technologies may adversely affect our businesses;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expenses for our video services are increasing, which could adversely affect our businesses;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local and foreign authorities, which may impose additional costs and restrictions on our businesses;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advertising expenditures or changes in advertising markets could negatively impact our businesses;</w:t>
      </w:r>
    </w:p>
    <w:p>
      <w:pPr>
        <w:spacing w:after="0" w:line="90" w:lineRule="exact"/>
        <w:rPr>
          <w:rFonts w:ascii="Times New Roman" w:cs="Times New Roman" w:eastAsia="Times New Roman" w:hAnsi="Times New Roman"/>
          <w:sz w:val="18"/>
          <w:szCs w:val="18"/>
          <w:color w:val="auto"/>
        </w:rPr>
      </w:pPr>
    </w:p>
    <w:p>
      <w:pPr>
        <w:ind w:left="900" w:right="40" w:hanging="325"/>
        <w:spacing w:after="0" w:line="27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NBCUniversal’s success depends on consumer acceptance of its content, which is difficult to predict, and its businesses may be adversely affected if its content fails to achieve sufficient consumer acceptance or our costs to acquire content increase;</w:t>
      </w:r>
    </w:p>
    <w:p>
      <w:pPr>
        <w:spacing w:after="0" w:line="38" w:lineRule="exact"/>
        <w:rPr>
          <w:rFonts w:ascii="Times New Roman" w:cs="Times New Roman" w:eastAsia="Times New Roman" w:hAnsi="Times New Roman"/>
          <w:sz w:val="18"/>
          <w:szCs w:val="18"/>
          <w:color w:val="auto"/>
        </w:rPr>
      </w:pPr>
    </w:p>
    <w:p>
      <w:pPr>
        <w:ind w:left="900" w:right="20" w:hanging="325"/>
        <w:spacing w:after="0" w:line="27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NBCUniversal’s programming distribution agreements, or the renewal of these agreements on less favorable terms, could adversely affect its businesses;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keeping pace with technological developments;</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the intellectual property rights of others;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necessary hardware, software and operational support;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DVDs have been declining;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arising from the outcome of various litigation matters;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relating to doing business internationally that could adversely affect our businesses;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455"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line="275"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other strategic transactions present many risks, and we may not realize the financial and strategic goals that were contemplated at the time of any transaction; and</w:t>
      </w:r>
    </w:p>
    <w:p>
      <w:pPr>
        <w:spacing w:after="0" w:line="38"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3" w:lineRule="exact"/>
        <w:rPr>
          <w:sz w:val="20"/>
          <w:szCs w:val="20"/>
          <w:color w:val="auto"/>
        </w:rPr>
      </w:pPr>
    </w:p>
    <w:p>
      <w:pPr>
        <w:jc w:val="both"/>
        <w:ind w:right="300" w:firstLine="456"/>
        <w:spacing w:after="0" w:line="26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3"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We intend to pay quarterly dividends at an annual rate currently of $0.78 per share. Our Board of Directors retains the right to change our dividend policy at any time.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RATIOS OF EARNINGS TO FIXED CHARGES AND OF EARNINGS TO COMBINED FIXED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CHARGES AND PREFERRED DIVIDENDS</w:t>
      </w:r>
    </w:p>
    <w:p>
      <w:pPr>
        <w:spacing w:after="0" w:line="159"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Our ratio of earnings to fixed charges and our ratio of earnings to combined fixed charges and preferred dividends were as follows for the respective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9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5"/>
              </w:rPr>
              <w:t>For the Six Months</w:t>
            </w:r>
          </w:p>
        </w:tc>
        <w:tc>
          <w:tcPr>
            <w:tcW w:w="2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r>
      <w:tr>
        <w:trPr>
          <w:trHeight w:val="156"/>
        </w:trPr>
        <w:tc>
          <w:tcPr>
            <w:tcW w:w="1960" w:type="dxa"/>
            <w:vAlign w:val="bottom"/>
            <w:tcBorders>
              <w:bottom w:val="single" w:sz="8" w:color="auto"/>
            </w:tcBorders>
          </w:tcPr>
          <w:p>
            <w:pPr>
              <w:jc w:val="center"/>
              <w:ind w:right="42"/>
              <w:spacing w:after="0" w:line="155" w:lineRule="exact"/>
              <w:rPr>
                <w:sz w:val="20"/>
                <w:szCs w:val="20"/>
                <w:color w:val="auto"/>
              </w:rPr>
            </w:pPr>
            <w:r>
              <w:rPr>
                <w:rFonts w:ascii="Times New Roman" w:cs="Times New Roman" w:eastAsia="Times New Roman" w:hAnsi="Times New Roman"/>
                <w:sz w:val="14"/>
                <w:szCs w:val="14"/>
                <w:b w:val="1"/>
                <w:bCs w:val="1"/>
                <w:color w:val="auto"/>
                <w:w w:val="96"/>
              </w:rPr>
              <w:t>Ended June 30, 2013</w:t>
            </w:r>
          </w:p>
        </w:tc>
        <w:tc>
          <w:tcPr>
            <w:tcW w:w="2120" w:type="dxa"/>
            <w:vAlign w:val="bottom"/>
            <w:tcBorders>
              <w:bottom w:val="single" w:sz="8" w:color="auto"/>
            </w:tcBorders>
          </w:tcPr>
          <w:p>
            <w:pPr>
              <w:jc w:val="right"/>
              <w:ind w:right="822"/>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1420" w:type="dxa"/>
            <w:vAlign w:val="bottom"/>
            <w:tcBorders>
              <w:bottom w:val="single" w:sz="8" w:color="auto"/>
            </w:tcBorders>
          </w:tcPr>
          <w:p>
            <w:pPr>
              <w:jc w:val="right"/>
              <w:ind w:right="162"/>
              <w:spacing w:after="0" w:line="155" w:lineRule="exact"/>
              <w:rPr>
                <w:sz w:val="20"/>
                <w:szCs w:val="20"/>
                <w:color w:val="auto"/>
              </w:rPr>
            </w:pPr>
            <w:r>
              <w:rPr>
                <w:rFonts w:ascii="Times New Roman" w:cs="Times New Roman" w:eastAsia="Times New Roman" w:hAnsi="Times New Roman"/>
                <w:sz w:val="14"/>
                <w:szCs w:val="14"/>
                <w:b w:val="1"/>
                <w:bCs w:val="1"/>
                <w:color w:val="auto"/>
              </w:rPr>
              <w:t>2011</w:t>
            </w:r>
          </w:p>
        </w:tc>
        <w:tc>
          <w:tcPr>
            <w:tcW w:w="2800" w:type="dxa"/>
            <w:vAlign w:val="bottom"/>
            <w:tcBorders>
              <w:bottom w:val="single" w:sz="8" w:color="auto"/>
            </w:tcBorders>
          </w:tcPr>
          <w:p>
            <w:pPr>
              <w:jc w:val="right"/>
              <w:ind w:right="1146"/>
              <w:spacing w:after="0" w:line="155" w:lineRule="exact"/>
              <w:rPr>
                <w:sz w:val="20"/>
                <w:szCs w:val="20"/>
                <w:color w:val="auto"/>
              </w:rPr>
            </w:pPr>
            <w:r>
              <w:rPr>
                <w:rFonts w:ascii="Times New Roman" w:cs="Times New Roman" w:eastAsia="Times New Roman" w:hAnsi="Times New Roman"/>
                <w:sz w:val="14"/>
                <w:szCs w:val="14"/>
                <w:b w:val="1"/>
                <w:bCs w:val="1"/>
                <w:color w:val="auto"/>
              </w:rPr>
              <w:t>2010</w:t>
            </w:r>
          </w:p>
        </w:tc>
        <w:tc>
          <w:tcPr>
            <w:tcW w:w="1360" w:type="dxa"/>
            <w:vAlign w:val="bottom"/>
            <w:tcBorders>
              <w:bottom w:val="single" w:sz="8" w:color="auto"/>
            </w:tcBorders>
          </w:tcPr>
          <w:p>
            <w:pPr>
              <w:jc w:val="right"/>
              <w:ind w:right="682"/>
              <w:spacing w:after="0" w:line="155" w:lineRule="exact"/>
              <w:rPr>
                <w:sz w:val="20"/>
                <w:szCs w:val="20"/>
                <w:color w:val="auto"/>
              </w:rPr>
            </w:pPr>
            <w:r>
              <w:rPr>
                <w:rFonts w:ascii="Times New Roman" w:cs="Times New Roman" w:eastAsia="Times New Roman" w:hAnsi="Times New Roman"/>
                <w:sz w:val="14"/>
                <w:szCs w:val="14"/>
                <w:b w:val="1"/>
                <w:bCs w:val="1"/>
                <w:color w:val="auto"/>
              </w:rPr>
              <w:t>2009</w:t>
            </w:r>
          </w:p>
        </w:tc>
        <w:tc>
          <w:tcPr>
            <w:tcW w:w="1760" w:type="dxa"/>
            <w:vAlign w:val="bottom"/>
            <w:tcBorders>
              <w:bottom w:val="single" w:sz="8" w:color="auto"/>
            </w:tcBorders>
          </w:tcPr>
          <w:p>
            <w:pPr>
              <w:jc w:val="right"/>
              <w:ind w:right="642"/>
              <w:spacing w:after="0" w:line="155" w:lineRule="exact"/>
              <w:rPr>
                <w:sz w:val="20"/>
                <w:szCs w:val="20"/>
                <w:color w:val="auto"/>
              </w:rPr>
            </w:pPr>
            <w:r>
              <w:rPr>
                <w:rFonts w:ascii="Times New Roman" w:cs="Times New Roman" w:eastAsia="Times New Roman" w:hAnsi="Times New Roman"/>
                <w:sz w:val="14"/>
                <w:szCs w:val="14"/>
                <w:b w:val="1"/>
                <w:bCs w:val="1"/>
                <w:color w:val="auto"/>
              </w:rPr>
              <w:t>2008</w:t>
            </w:r>
          </w:p>
        </w:tc>
      </w:tr>
      <w:tr>
        <w:trPr>
          <w:trHeight w:val="210"/>
        </w:trPr>
        <w:tc>
          <w:tcPr>
            <w:tcW w:w="8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Ratio of earnings to fixed charges and ratio of earnings to combined fixed charges and preferred dividends:</w:t>
            </w:r>
          </w:p>
        </w:tc>
        <w:tc>
          <w:tcPr>
            <w:tcW w:w="1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8"/>
        </w:trPr>
        <w:tc>
          <w:tcPr>
            <w:tcW w:w="1960" w:type="dxa"/>
            <w:vAlign w:val="bottom"/>
          </w:tcPr>
          <w:p>
            <w:pPr>
              <w:jc w:val="center"/>
              <w:ind w:right="42"/>
              <w:spacing w:after="0"/>
              <w:rPr>
                <w:sz w:val="20"/>
                <w:szCs w:val="20"/>
                <w:color w:val="auto"/>
              </w:rPr>
            </w:pPr>
            <w:r>
              <w:rPr>
                <w:rFonts w:ascii="Times New Roman" w:cs="Times New Roman" w:eastAsia="Times New Roman" w:hAnsi="Times New Roman"/>
                <w:sz w:val="18"/>
                <w:szCs w:val="18"/>
                <w:color w:val="auto"/>
                <w:w w:val="98"/>
              </w:rPr>
              <w:t>4.68x</w:t>
            </w:r>
          </w:p>
        </w:tc>
        <w:tc>
          <w:tcPr>
            <w:tcW w:w="2120" w:type="dxa"/>
            <w:vAlign w:val="bottom"/>
          </w:tcPr>
          <w:p>
            <w:pPr>
              <w:jc w:val="center"/>
              <w:ind w:left="2"/>
              <w:spacing w:after="0"/>
              <w:rPr>
                <w:sz w:val="20"/>
                <w:szCs w:val="20"/>
                <w:color w:val="auto"/>
              </w:rPr>
            </w:pPr>
            <w:r>
              <w:rPr>
                <w:rFonts w:ascii="Times New Roman" w:cs="Times New Roman" w:eastAsia="Times New Roman" w:hAnsi="Times New Roman"/>
                <w:sz w:val="18"/>
                <w:szCs w:val="18"/>
                <w:color w:val="auto"/>
                <w:w w:val="98"/>
              </w:rPr>
              <w:t>4.82x</w:t>
            </w:r>
          </w:p>
        </w:tc>
        <w:tc>
          <w:tcPr>
            <w:tcW w:w="1420" w:type="dxa"/>
            <w:vAlign w:val="bottom"/>
          </w:tcPr>
          <w:p>
            <w:pPr>
              <w:jc w:val="center"/>
              <w:ind w:left="582"/>
              <w:spacing w:after="0"/>
              <w:rPr>
                <w:sz w:val="20"/>
                <w:szCs w:val="20"/>
                <w:color w:val="auto"/>
              </w:rPr>
            </w:pPr>
            <w:r>
              <w:rPr>
                <w:rFonts w:ascii="Times New Roman" w:cs="Times New Roman" w:eastAsia="Times New Roman" w:hAnsi="Times New Roman"/>
                <w:sz w:val="18"/>
                <w:szCs w:val="18"/>
                <w:color w:val="auto"/>
                <w:w w:val="98"/>
              </w:rPr>
              <w:t>4.04x</w:t>
            </w:r>
          </w:p>
        </w:tc>
        <w:tc>
          <w:tcPr>
            <w:tcW w:w="2800" w:type="dxa"/>
            <w:vAlign w:val="bottom"/>
          </w:tcPr>
          <w:p>
            <w:pPr>
              <w:jc w:val="center"/>
              <w:ind w:left="26"/>
              <w:spacing w:after="0"/>
              <w:rPr>
                <w:sz w:val="20"/>
                <w:szCs w:val="20"/>
                <w:color w:val="auto"/>
              </w:rPr>
            </w:pPr>
            <w:r>
              <w:rPr>
                <w:rFonts w:ascii="Times New Roman" w:cs="Times New Roman" w:eastAsia="Times New Roman" w:hAnsi="Times New Roman"/>
                <w:sz w:val="18"/>
                <w:szCs w:val="18"/>
                <w:color w:val="auto"/>
                <w:w w:val="93"/>
              </w:rPr>
              <w:t>3.57x</w:t>
            </w:r>
          </w:p>
        </w:tc>
        <w:tc>
          <w:tcPr>
            <w:tcW w:w="1360" w:type="dxa"/>
            <w:vAlign w:val="bottom"/>
          </w:tcPr>
          <w:p>
            <w:pPr>
              <w:jc w:val="center"/>
              <w:ind w:right="362"/>
              <w:spacing w:after="0"/>
              <w:rPr>
                <w:sz w:val="20"/>
                <w:szCs w:val="20"/>
                <w:color w:val="auto"/>
              </w:rPr>
            </w:pPr>
            <w:r>
              <w:rPr>
                <w:rFonts w:ascii="Times New Roman" w:cs="Times New Roman" w:eastAsia="Times New Roman" w:hAnsi="Times New Roman"/>
                <w:sz w:val="18"/>
                <w:szCs w:val="18"/>
                <w:color w:val="auto"/>
                <w:w w:val="98"/>
              </w:rPr>
              <w:t>3.01x</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2.49x</w:t>
            </w:r>
          </w:p>
        </w:tc>
      </w:tr>
    </w:tbl>
    <w:p>
      <w:pPr>
        <w:spacing w:after="0" w:line="149" w:lineRule="exact"/>
        <w:rPr>
          <w:sz w:val="20"/>
          <w:szCs w:val="20"/>
          <w:color w:val="auto"/>
        </w:rPr>
      </w:pPr>
    </w:p>
    <w:p>
      <w:pPr>
        <w:ind w:right="180" w:firstLine="456"/>
        <w:spacing w:after="0" w:line="287" w:lineRule="auto"/>
        <w:rPr>
          <w:sz w:val="20"/>
          <w:szCs w:val="20"/>
          <w:color w:val="auto"/>
        </w:rPr>
      </w:pPr>
      <w:r>
        <w:rPr>
          <w:rFonts w:ascii="Times New Roman" w:cs="Times New Roman" w:eastAsia="Times New Roman" w:hAnsi="Times New Roman"/>
          <w:sz w:val="16"/>
          <w:szCs w:val="16"/>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290" w:lineRule="auto"/>
        <w:tabs>
          <w:tab w:leader="none" w:pos="23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DEBT SECURITIES AND GUARANTEES</w:t>
      </w:r>
    </w:p>
    <w:p>
      <w:pPr>
        <w:spacing w:after="0" w:line="173"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Our debt securities, consisting of notes, debentures or other evidences of indebtedness, may be issued from time to time in one or more series under a senior indenture dated September 18, 2013, entered into among us, the Guarantors and The Bank of New York Mellon, as trustee.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senior indenture is included as an exhibit to the registration statement of which this prospectus is a part.</w:t>
      </w:r>
    </w:p>
    <w:p>
      <w:pPr>
        <w:spacing w:after="0" w:line="17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74"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debt securities;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their principal amount (i.e., price) at which the debt securities will be issued;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mature and the right, if any, to extend such date or dates;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per year, at which the debt securities will bear interest, or the method of determining such rate or rates;</w:t>
      </w:r>
    </w:p>
    <w:p>
      <w:pPr>
        <w:spacing w:after="0" w:line="90" w:lineRule="exact"/>
        <w:rPr>
          <w:rFonts w:ascii="Times New Roman" w:cs="Times New Roman" w:eastAsia="Times New Roman" w:hAnsi="Times New Roman"/>
          <w:sz w:val="18"/>
          <w:szCs w:val="18"/>
          <w:color w:val="auto"/>
        </w:rPr>
      </w:pPr>
    </w:p>
    <w:p>
      <w:pPr>
        <w:ind w:left="900" w:right="560" w:hanging="325"/>
        <w:spacing w:after="0" w:line="26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90" w:lineRule="exact"/>
        <w:rPr>
          <w:rFonts w:ascii="Times New Roman" w:cs="Times New Roman" w:eastAsia="Times New Roman" w:hAnsi="Times New Roman"/>
          <w:sz w:val="18"/>
          <w:szCs w:val="18"/>
          <w:color w:val="auto"/>
        </w:rPr>
      </w:pPr>
    </w:p>
    <w:p>
      <w:pPr>
        <w:ind w:left="900" w:right="320" w:hanging="325"/>
        <w:spacing w:after="0" w:line="275"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455" w:right="2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90" w:lineRule="exact"/>
        <w:rPr>
          <w:rFonts w:ascii="Times New Roman" w:cs="Times New Roman" w:eastAsia="Times New Roman" w:hAnsi="Times New Roman"/>
          <w:sz w:val="18"/>
          <w:szCs w:val="18"/>
          <w:color w:val="auto"/>
        </w:rPr>
      </w:pPr>
    </w:p>
    <w:p>
      <w:pPr>
        <w:ind w:left="900" w:right="680" w:hanging="325"/>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w:t>
      </w:r>
    </w:p>
    <w:p>
      <w:pPr>
        <w:spacing w:after="0" w:line="90" w:lineRule="exact"/>
        <w:rPr>
          <w:rFonts w:ascii="Times New Roman" w:cs="Times New Roman" w:eastAsia="Times New Roman" w:hAnsi="Times New Roman"/>
          <w:sz w:val="18"/>
          <w:szCs w:val="18"/>
          <w:color w:val="auto"/>
        </w:rPr>
      </w:pPr>
    </w:p>
    <w:p>
      <w:pPr>
        <w:ind w:left="900" w:right="140" w:hanging="325"/>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payment of additional amounts for taxes and any provision for redemption, if we must pay such additional amounts in respect of any debt security;</w:t>
      </w:r>
    </w:p>
    <w:p>
      <w:pPr>
        <w:spacing w:after="0" w:line="38"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38"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may be converted or exchanged for the cash value of other securities issued by us or by a third party;</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“reopen” a series of the debt securities and issue additional debt securities of such series; and</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20"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3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in this section, the following terms have the meanings set forth below.</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Debt</w:t>
      </w:r>
      <w:r>
        <w:rPr>
          <w:rFonts w:ascii="Times New Roman" w:cs="Times New Roman" w:eastAsia="Times New Roman" w:hAnsi="Times New Roman"/>
          <w:sz w:val="18"/>
          <w:szCs w:val="18"/>
          <w:color w:val="auto"/>
        </w:rPr>
        <w:t>” means, with respect to an Obligor, the sum of the following as of the date of determination:</w:t>
      </w:r>
    </w:p>
    <w:p>
      <w:pPr>
        <w:spacing w:after="0" w:line="92" w:lineRule="exact"/>
        <w:rPr>
          <w:sz w:val="20"/>
          <w:szCs w:val="20"/>
          <w:color w:val="auto"/>
        </w:rPr>
      </w:pPr>
    </w:p>
    <w:p>
      <w:pPr>
        <w:ind w:right="320" w:firstLine="464"/>
        <w:spacing w:after="0" w:line="275"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Obligor’s Indebtedness incurred after the date of initial issuance of the senior debt securities and secured by Liens not permitted by the first sentence under “—</w:t>
      </w:r>
      <w:r>
        <w:rPr>
          <w:rFonts w:ascii="Times New Roman" w:cs="Times New Roman" w:eastAsia="Times New Roman" w:hAnsi="Times New Roman"/>
          <w:sz w:val="18"/>
          <w:szCs w:val="18"/>
          <w:i w:val="1"/>
          <w:iCs w:val="1"/>
          <w:color w:val="auto"/>
        </w:rPr>
        <w:t>Limitation on Liens Securing Indebtedness</w:t>
      </w:r>
      <w:r>
        <w:rPr>
          <w:rFonts w:ascii="Times New Roman" w:cs="Times New Roman" w:eastAsia="Times New Roman" w:hAnsi="Times New Roman"/>
          <w:sz w:val="18"/>
          <w:szCs w:val="18"/>
          <w:color w:val="auto"/>
        </w:rPr>
        <w:t>”; and</w:t>
      </w:r>
    </w:p>
    <w:p>
      <w:pPr>
        <w:spacing w:after="0" w:line="119" w:lineRule="exact"/>
        <w:rPr>
          <w:rFonts w:ascii="Times New Roman" w:cs="Times New Roman" w:eastAsia="Times New Roman" w:hAnsi="Times New Roman"/>
          <w:sz w:val="18"/>
          <w:szCs w:val="18"/>
          <w:color w:val="auto"/>
        </w:rPr>
      </w:pPr>
    </w:p>
    <w:p>
      <w:pPr>
        <w:ind w:right="460" w:firstLine="464"/>
        <w:spacing w:after="0" w:line="275" w:lineRule="auto"/>
        <w:tabs>
          <w:tab w:leader="none" w:pos="70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Obligor’s Attributable Liens in respect of sale and lease-back transactions entered into after the date of the initial issuance of the senior debt securities pursuant to the second paragraph of “—</w:t>
      </w:r>
      <w:r>
        <w:rPr>
          <w:rFonts w:ascii="Times New Roman" w:cs="Times New Roman" w:eastAsia="Times New Roman" w:hAnsi="Times New Roman"/>
          <w:sz w:val="18"/>
          <w:szCs w:val="18"/>
          <w:i w:val="1"/>
          <w:iCs w:val="1"/>
          <w:color w:val="auto"/>
        </w:rPr>
        <w:t>Limitation on Sale and Lease-Back Transactions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455" w:right="2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Attributable Liens</w:t>
      </w:r>
      <w:r>
        <w:rPr>
          <w:rFonts w:ascii="Times New Roman" w:cs="Times New Roman" w:eastAsia="Times New Roman" w:hAnsi="Times New Roman"/>
          <w:sz w:val="18"/>
          <w:szCs w:val="18"/>
          <w:color w:val="auto"/>
        </w:rPr>
        <w:t>” means in connection with a sale and lease-back transaction of an Obligor the lesser of:</w:t>
      </w:r>
    </w:p>
    <w:p>
      <w:pPr>
        <w:spacing w:after="0" w:line="92" w:lineRule="exact"/>
        <w:rPr>
          <w:sz w:val="20"/>
          <w:szCs w:val="20"/>
          <w:color w:val="auto"/>
        </w:rPr>
      </w:pPr>
    </w:p>
    <w:p>
      <w:pPr>
        <w:ind w:right="480" w:firstLine="464"/>
        <w:spacing w:after="0" w:line="275"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(as determined in good faith by our board of directors (in our case) or the equivalent governing body of any Guarantor); and</w:t>
      </w:r>
    </w:p>
    <w:p>
      <w:pPr>
        <w:spacing w:after="0" w:line="119" w:lineRule="exact"/>
        <w:rPr>
          <w:rFonts w:ascii="Times New Roman" w:cs="Times New Roman" w:eastAsia="Times New Roman" w:hAnsi="Times New Roman"/>
          <w:sz w:val="18"/>
          <w:szCs w:val="18"/>
          <w:color w:val="auto"/>
        </w:rPr>
      </w:pPr>
    </w:p>
    <w:p>
      <w:pPr>
        <w:ind w:right="60" w:firstLine="464"/>
        <w:spacing w:after="0" w:line="262" w:lineRule="auto"/>
        <w:tabs>
          <w:tab w:leader="none" w:pos="7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30" w:lineRule="exact"/>
        <w:rPr>
          <w:sz w:val="20"/>
          <w:szCs w:val="20"/>
          <w:color w:val="auto"/>
        </w:rPr>
      </w:pPr>
    </w:p>
    <w:p>
      <w:pPr>
        <w:ind w:right="16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127" w:lineRule="exact"/>
        <w:rPr>
          <w:sz w:val="20"/>
          <w:szCs w:val="20"/>
          <w:color w:val="auto"/>
        </w:rPr>
      </w:pPr>
    </w:p>
    <w:p>
      <w:pPr>
        <w:ind w:right="80" w:firstLine="45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Worth</w:t>
      </w:r>
      <w:r>
        <w:rPr>
          <w:rFonts w:ascii="Times New Roman" w:cs="Times New Roman" w:eastAsia="Times New Roman" w:hAnsi="Times New Roman"/>
          <w:sz w:val="18"/>
          <w:szCs w:val="18"/>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116" w:lineRule="exact"/>
        <w:rPr>
          <w:sz w:val="20"/>
          <w:szCs w:val="20"/>
          <w:color w:val="auto"/>
        </w:rPr>
      </w:pPr>
    </w:p>
    <w:p>
      <w:pPr>
        <w:ind w:right="80" w:firstLine="456"/>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GAAP</w:t>
      </w:r>
      <w:r>
        <w:rPr>
          <w:rFonts w:ascii="Times New Roman" w:cs="Times New Roman" w:eastAsia="Times New Roman" w:hAnsi="Times New Roman"/>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100" w:lineRule="exact"/>
        <w:rPr>
          <w:sz w:val="20"/>
          <w:szCs w:val="20"/>
          <w:color w:val="auto"/>
        </w:rPr>
      </w:pPr>
    </w:p>
    <w:p>
      <w:pPr>
        <w:ind w:right="160" w:firstLine="456"/>
        <w:spacing w:after="0" w:line="29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Governmental Obligations</w:t>
      </w:r>
      <w:r>
        <w:rPr>
          <w:rFonts w:ascii="Times New Roman" w:cs="Times New Roman" w:eastAsia="Times New Roman" w:hAnsi="Times New Roman"/>
          <w:sz w:val="16"/>
          <w:szCs w:val="16"/>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12"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34" w:lineRule="exact"/>
        <w:rPr>
          <w:sz w:val="20"/>
          <w:szCs w:val="20"/>
          <w:color w:val="auto"/>
        </w:rPr>
      </w:pPr>
    </w:p>
    <w:p>
      <w:pPr>
        <w:ind w:right="80" w:firstLine="45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means us and the Guarantors.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with respect to an Obligor:</w:t>
      </w:r>
    </w:p>
    <w:p>
      <w:pPr>
        <w:spacing w:after="0" w:line="92" w:lineRule="exact"/>
        <w:rPr>
          <w:sz w:val="20"/>
          <w:szCs w:val="20"/>
          <w:color w:val="auto"/>
        </w:rPr>
      </w:pPr>
    </w:p>
    <w:p>
      <w:pPr>
        <w:ind w:right="120" w:firstLine="464"/>
        <w:spacing w:after="0" w:line="262"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3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39" w:lineRule="exact"/>
        <w:rPr>
          <w:sz w:val="20"/>
          <w:szCs w:val="20"/>
          <w:color w:val="auto"/>
        </w:rPr>
      </w:pPr>
    </w:p>
    <w:p>
      <w:pPr>
        <w:ind w:left="700" w:hanging="236"/>
        <w:spacing w:after="0"/>
        <w:tabs>
          <w:tab w:leader="none" w:pos="7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in favor of customs and revenue authorities arising as a matter of law to secure payment of customs duties in connection with the importation of</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goods;</w:t>
      </w:r>
    </w:p>
    <w:p>
      <w:pPr>
        <w:spacing w:after="0" w:line="158" w:lineRule="exact"/>
        <w:rPr>
          <w:rFonts w:ascii="Times New Roman" w:cs="Times New Roman" w:eastAsia="Times New Roman" w:hAnsi="Times New Roman"/>
          <w:sz w:val="16"/>
          <w:szCs w:val="16"/>
          <w:color w:val="auto"/>
        </w:rPr>
      </w:pPr>
    </w:p>
    <w:p>
      <w:pPr>
        <w:ind w:right="60" w:firstLine="464"/>
        <w:spacing w:after="0" w:line="275" w:lineRule="auto"/>
        <w:tabs>
          <w:tab w:leader="none" w:pos="7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19" w:lineRule="exact"/>
        <w:rPr>
          <w:rFonts w:ascii="Times New Roman" w:cs="Times New Roman" w:eastAsia="Times New Roman" w:hAnsi="Times New Roman"/>
          <w:sz w:val="18"/>
          <w:szCs w:val="18"/>
          <w:color w:val="auto"/>
        </w:rPr>
      </w:pPr>
    </w:p>
    <w:p>
      <w:pPr>
        <w:ind w:right="160" w:firstLine="464"/>
        <w:spacing w:after="0" w:line="275"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reimbursement obligations with respect to letters of credit that encumber documents and other Property relating to such letters of credit and the products and proceeds thereof;</w:t>
      </w:r>
    </w:p>
    <w:p>
      <w:pPr>
        <w:spacing w:after="0" w:line="119" w:lineRule="exact"/>
        <w:rPr>
          <w:rFonts w:ascii="Times New Roman" w:cs="Times New Roman" w:eastAsia="Times New Roman" w:hAnsi="Times New Roman"/>
          <w:sz w:val="18"/>
          <w:szCs w:val="18"/>
          <w:color w:val="auto"/>
        </w:rPr>
      </w:pPr>
    </w:p>
    <w:p>
      <w:pPr>
        <w:ind w:right="360" w:firstLine="464"/>
        <w:spacing w:after="0" w:line="262" w:lineRule="auto"/>
        <w:tabs>
          <w:tab w:leader="none" w:pos="67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32"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us or any Guarantor;</w:t>
      </w:r>
    </w:p>
    <w:p>
      <w:pPr>
        <w:spacing w:after="0" w:line="171" w:lineRule="exact"/>
        <w:rPr>
          <w:rFonts w:ascii="Times New Roman" w:cs="Times New Roman" w:eastAsia="Times New Roman" w:hAnsi="Times New Roman"/>
          <w:sz w:val="18"/>
          <w:szCs w:val="18"/>
          <w:color w:val="auto"/>
        </w:rPr>
      </w:pPr>
    </w:p>
    <w:p>
      <w:pPr>
        <w:ind w:right="320" w:firstLine="464"/>
        <w:spacing w:after="0" w:line="262" w:lineRule="auto"/>
        <w:tabs>
          <w:tab w:leader="none" w:pos="7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32" w:lineRule="exact"/>
        <w:rPr>
          <w:rFonts w:ascii="Times New Roman" w:cs="Times New Roman" w:eastAsia="Times New Roman" w:hAnsi="Times New Roman"/>
          <w:sz w:val="18"/>
          <w:szCs w:val="18"/>
          <w:color w:val="auto"/>
        </w:rPr>
      </w:pPr>
    </w:p>
    <w:p>
      <w:pPr>
        <w:ind w:right="360" w:firstLine="464"/>
        <w:spacing w:after="0" w:line="275" w:lineRule="auto"/>
        <w:tabs>
          <w:tab w:leader="none" w:pos="6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19" w:lineRule="exact"/>
        <w:rPr>
          <w:rFonts w:ascii="Times New Roman" w:cs="Times New Roman" w:eastAsia="Times New Roman" w:hAnsi="Times New Roman"/>
          <w:sz w:val="18"/>
          <w:szCs w:val="18"/>
          <w:color w:val="auto"/>
        </w:rPr>
      </w:pPr>
    </w:p>
    <w:p>
      <w:pPr>
        <w:ind w:right="380" w:firstLine="464"/>
        <w:spacing w:after="0" w:line="275" w:lineRule="auto"/>
        <w:tabs>
          <w:tab w:leader="none" w:pos="6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19" w:lineRule="exact"/>
        <w:rPr>
          <w:rFonts w:ascii="Times New Roman" w:cs="Times New Roman" w:eastAsia="Times New Roman" w:hAnsi="Times New Roman"/>
          <w:sz w:val="18"/>
          <w:szCs w:val="18"/>
          <w:color w:val="auto"/>
        </w:rPr>
      </w:pPr>
    </w:p>
    <w:p>
      <w:pPr>
        <w:ind w:firstLine="464"/>
        <w:spacing w:after="0" w:line="262" w:lineRule="auto"/>
        <w:tabs>
          <w:tab w:leader="none" w:pos="7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32"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64"/>
        <w:spacing w:after="0" w:line="275" w:lineRule="auto"/>
        <w:tabs>
          <w:tab w:leader="none" w:pos="75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19"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“margin stock” (as defined in Regulation U of the Board of Governors of the Federal Reserve System);</w:t>
      </w:r>
    </w:p>
    <w:p>
      <w:pPr>
        <w:spacing w:after="0" w:line="171" w:lineRule="exact"/>
        <w:rPr>
          <w:rFonts w:ascii="Times New Roman" w:cs="Times New Roman" w:eastAsia="Times New Roman" w:hAnsi="Times New Roman"/>
          <w:sz w:val="18"/>
          <w:szCs w:val="18"/>
          <w:color w:val="auto"/>
        </w:rPr>
      </w:pPr>
    </w:p>
    <w:p>
      <w:pPr>
        <w:ind w:right="240" w:firstLine="464"/>
        <w:spacing w:after="0" w:line="275" w:lineRule="auto"/>
        <w:tabs>
          <w:tab w:leader="none" w:pos="70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permitted under sale and lease-back transactions, and any renewals or extensions thereof, so long as the Indebtedness secured thereby does not exceed $300,000,000 in the aggregate;</w:t>
      </w:r>
    </w:p>
    <w:p>
      <w:pPr>
        <w:spacing w:after="0" w:line="119" w:lineRule="exact"/>
        <w:rPr>
          <w:rFonts w:ascii="Times New Roman" w:cs="Times New Roman" w:eastAsia="Times New Roman" w:hAnsi="Times New Roman"/>
          <w:sz w:val="18"/>
          <w:szCs w:val="18"/>
          <w:color w:val="auto"/>
        </w:rPr>
      </w:pPr>
    </w:p>
    <w:p>
      <w:pPr>
        <w:ind w:right="600" w:firstLine="464"/>
        <w:spacing w:after="0" w:line="275" w:lineRule="auto"/>
        <w:tabs>
          <w:tab w:leader="none" w:pos="70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19" w:lineRule="exact"/>
        <w:rPr>
          <w:rFonts w:ascii="Times New Roman" w:cs="Times New Roman" w:eastAsia="Times New Roman" w:hAnsi="Times New Roman"/>
          <w:sz w:val="18"/>
          <w:szCs w:val="18"/>
          <w:color w:val="auto"/>
        </w:rPr>
      </w:pPr>
    </w:p>
    <w:p>
      <w:pPr>
        <w:ind w:firstLine="464"/>
        <w:spacing w:after="0" w:line="275" w:lineRule="auto"/>
        <w:tabs>
          <w:tab w:leader="none" w:pos="70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119" w:lineRule="exact"/>
        <w:rPr>
          <w:rFonts w:ascii="Times New Roman" w:cs="Times New Roman" w:eastAsia="Times New Roman" w:hAnsi="Times New Roman"/>
          <w:sz w:val="18"/>
          <w:szCs w:val="18"/>
          <w:color w:val="auto"/>
        </w:rPr>
      </w:pPr>
    </w:p>
    <w:p>
      <w:pPr>
        <w:ind w:right="200" w:firstLine="464"/>
        <w:spacing w:after="0" w:line="289" w:lineRule="auto"/>
        <w:tabs>
          <w:tab w:leader="none" w:pos="676"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w:t>
      </w:r>
    </w:p>
    <w:p>
      <w:pPr>
        <w:spacing w:after="0" w:line="1"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attaching to other prepayments, deposits or earnest money in the ordinary course of business; and</w:t>
      </w:r>
    </w:p>
    <w:p>
      <w:pPr>
        <w:spacing w:after="0" w:line="158"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Take-or-pay obligations arising in the ordinary course of business.</w:t>
      </w:r>
    </w:p>
    <w:p>
      <w:pPr>
        <w:spacing w:after="0" w:line="169" w:lineRule="exact"/>
        <w:rPr>
          <w:sz w:val="20"/>
          <w:szCs w:val="20"/>
          <w:color w:val="auto"/>
        </w:rPr>
      </w:pPr>
    </w:p>
    <w:p>
      <w:pPr>
        <w:ind w:right="200" w:firstLine="45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Property</w:t>
      </w:r>
      <w:r>
        <w:rPr>
          <w:rFonts w:ascii="Times New Roman" w:cs="Times New Roman" w:eastAsia="Times New Roman" w:hAnsi="Times New Roman"/>
          <w:sz w:val="16"/>
          <w:szCs w:val="16"/>
          <w:color w:val="auto"/>
        </w:rPr>
        <w:t>” means with respect to any Person any property or asset, whether real, personal or mixed, or tangible or intangible, including shares of capital</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157"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 of the Senior Debt Securities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94" w:lineRule="exact"/>
        <w:rPr>
          <w:sz w:val="20"/>
          <w:szCs w:val="20"/>
          <w:color w:val="auto"/>
        </w:rPr>
      </w:pPr>
    </w:p>
    <w:p>
      <w:pPr>
        <w:ind w:right="480" w:firstLine="456"/>
        <w:spacing w:after="0" w:line="339" w:lineRule="auto"/>
        <w:rPr>
          <w:sz w:val="20"/>
          <w:szCs w:val="20"/>
          <w:color w:val="auto"/>
        </w:rPr>
      </w:pPr>
      <w:r>
        <w:rPr>
          <w:rFonts w:ascii="Times New Roman" w:cs="Times New Roman" w:eastAsia="Times New Roman" w:hAnsi="Times New Roman"/>
          <w:sz w:val="16"/>
          <w:szCs w:val="16"/>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90" w:lineRule="exact"/>
        <w:rPr>
          <w:sz w:val="20"/>
          <w:szCs w:val="20"/>
          <w:color w:val="auto"/>
        </w:rPr>
      </w:pPr>
    </w:p>
    <w:p>
      <w:pPr>
        <w:ind w:left="900" w:right="120" w:hanging="325"/>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3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30"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Limitation on Liens Securing Indebtedness. </w:t>
      </w:r>
      <w:r>
        <w:rPr>
          <w:rFonts w:ascii="Times New Roman" w:cs="Times New Roman" w:eastAsia="Times New Roman" w:hAnsi="Times New Roman"/>
          <w:sz w:val="18"/>
          <w:szCs w:val="18"/>
          <w:color w:val="auto"/>
        </w:rPr>
        <w:t>With respect to the senior debt securities of each series, each Obligor will covenant under the senior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r>
        <w:rPr>
          <w:rFonts w:ascii="Times New Roman" w:cs="Times New Roman" w:eastAsia="Times New Roman" w:hAnsi="Times New Roman"/>
          <w:sz w:val="18"/>
          <w:szCs w:val="18"/>
          <w:i w:val="1"/>
          <w:iCs w:val="1"/>
          <w:color w:val="auto"/>
        </w:rPr>
        <w:t>:</w:t>
      </w:r>
    </w:p>
    <w:p>
      <w:pPr>
        <w:spacing w:after="0" w:line="54" w:lineRule="exact"/>
        <w:rPr>
          <w:sz w:val="20"/>
          <w:szCs w:val="20"/>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as of the date of initial issuance of the senior debt securities of such series;</w:t>
      </w:r>
    </w:p>
    <w:p>
      <w:pPr>
        <w:spacing w:after="0" w:line="90"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after the date of initial issuance of the senior debt securities of such series, created in favor of the registered holders of the senior debt securities of such series;</w:t>
      </w:r>
    </w:p>
    <w:p>
      <w:pPr>
        <w:spacing w:after="0" w:line="38" w:lineRule="exact"/>
        <w:rPr>
          <w:rFonts w:ascii="Times New Roman" w:cs="Times New Roman" w:eastAsia="Times New Roman" w:hAnsi="Times New Roman"/>
          <w:sz w:val="18"/>
          <w:szCs w:val="18"/>
          <w:color w:val="auto"/>
        </w:rPr>
      </w:pPr>
    </w:p>
    <w:p>
      <w:pPr>
        <w:ind w:left="900" w:right="20" w:hanging="325"/>
        <w:spacing w:after="0" w:line="301" w:lineRule="auto"/>
        <w:tabs>
          <w:tab w:leader="none" w:pos="9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22"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17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39" w:lineRule="exact"/>
        <w:rPr>
          <w:sz w:val="20"/>
          <w:szCs w:val="20"/>
          <w:color w:val="auto"/>
        </w:rPr>
      </w:pPr>
    </w:p>
    <w:p>
      <w:pPr>
        <w:jc w:val="both"/>
        <w:ind w:right="3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Limitation on Sale and Lease-Back Transactions</w:t>
      </w:r>
      <w:r>
        <w:rPr>
          <w:rFonts w:ascii="Times New Roman" w:cs="Times New Roman" w:eastAsia="Times New Roman" w:hAnsi="Times New Roman"/>
          <w:sz w:val="18"/>
          <w:szCs w:val="18"/>
          <w:color w:val="auto"/>
        </w:rPr>
        <w:t>. With respect to the senior debt securities of each series, each Obligor will covenant under the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48" w:lineRule="exact"/>
        <w:rPr>
          <w:sz w:val="20"/>
          <w:szCs w:val="20"/>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entered into prior to the date of the initial issuance of the senior debt securities of such series;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for the sale and leasing back to such Obligor of any Property by one of its Subsidiaries;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involves a lease for less than three years;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455" w:right="2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20" w:hanging="325"/>
        <w:spacing w:after="0" w:line="26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w:t>
      </w:r>
      <w:r>
        <w:rPr>
          <w:rFonts w:ascii="Times New Roman" w:cs="Times New Roman" w:eastAsia="Times New Roman" w:hAnsi="Times New Roman"/>
          <w:sz w:val="18"/>
          <w:szCs w:val="18"/>
          <w:i w:val="1"/>
          <w:iCs w:val="1"/>
          <w:color w:val="auto"/>
        </w:rPr>
        <w:t>Limitation on Liens Securing Indebtedness</w:t>
      </w:r>
      <w:r>
        <w:rPr>
          <w:rFonts w:ascii="Times New Roman" w:cs="Times New Roman" w:eastAsia="Times New Roman" w:hAnsi="Times New Roman"/>
          <w:sz w:val="18"/>
          <w:szCs w:val="18"/>
          <w:color w:val="auto"/>
        </w:rPr>
        <w:t>” above; or</w:t>
      </w:r>
    </w:p>
    <w:p>
      <w:pPr>
        <w:spacing w:after="0" w:line="51" w:lineRule="exact"/>
        <w:rPr>
          <w:rFonts w:ascii="Times New Roman" w:cs="Times New Roman" w:eastAsia="Times New Roman" w:hAnsi="Times New Roman"/>
          <w:sz w:val="18"/>
          <w:szCs w:val="18"/>
          <w:color w:val="auto"/>
        </w:rPr>
      </w:pPr>
    </w:p>
    <w:p>
      <w:pPr>
        <w:ind w:left="900" w:right="100" w:hanging="325"/>
        <w:spacing w:after="0" w:line="258"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37" w:lineRule="exact"/>
        <w:rPr>
          <w:sz w:val="20"/>
          <w:szCs w:val="20"/>
          <w:color w:val="auto"/>
        </w:rPr>
      </w:pPr>
    </w:p>
    <w:p>
      <w:pPr>
        <w:ind w:right="2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Consolidation, Merger and Sale of Assets. </w:t>
      </w:r>
      <w:r>
        <w:rPr>
          <w:rFonts w:ascii="Times New Roman" w:cs="Times New Roman" w:eastAsia="Times New Roman" w:hAnsi="Times New Roman"/>
          <w:sz w:val="18"/>
          <w:szCs w:val="18"/>
          <w:color w:val="auto"/>
        </w:rPr>
        <w:t>We will not consolidate or combine with or merge with or into or, directly or indirectly, sell, assign, convey,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48" w:lineRule="exact"/>
        <w:rPr>
          <w:sz w:val="20"/>
          <w:szCs w:val="20"/>
          <w:color w:val="auto"/>
        </w:rPr>
      </w:pPr>
    </w:p>
    <w:p>
      <w:pPr>
        <w:ind w:left="900" w:right="300" w:hanging="325"/>
        <w:spacing w:after="0" w:line="26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1" w:lineRule="exact"/>
        <w:rPr>
          <w:rFonts w:ascii="Times New Roman" w:cs="Times New Roman" w:eastAsia="Times New Roman" w:hAnsi="Times New Roman"/>
          <w:sz w:val="18"/>
          <w:szCs w:val="18"/>
          <w:color w:val="auto"/>
        </w:rPr>
      </w:pPr>
    </w:p>
    <w:p>
      <w:pPr>
        <w:ind w:left="900" w:right="280" w:hanging="325"/>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or series of transactions on a pro forma basis, no default has occurred and is continuing; and</w:t>
      </w:r>
    </w:p>
    <w:p>
      <w:pPr>
        <w:spacing w:after="0" w:line="90" w:lineRule="exact"/>
        <w:rPr>
          <w:rFonts w:ascii="Times New Roman" w:cs="Times New Roman" w:eastAsia="Times New Roman" w:hAnsi="Times New Roman"/>
          <w:sz w:val="18"/>
          <w:szCs w:val="18"/>
          <w:color w:val="auto"/>
        </w:rPr>
      </w:pPr>
    </w:p>
    <w:p>
      <w:pPr>
        <w:ind w:left="900" w:right="420" w:hanging="325"/>
        <w:spacing w:after="0" w:line="26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restrictions in the third bullet above shall not be applicable to:</w:t>
      </w:r>
    </w:p>
    <w:p>
      <w:pPr>
        <w:spacing w:after="0" w:line="90" w:lineRule="exact"/>
        <w:rPr>
          <w:sz w:val="20"/>
          <w:szCs w:val="20"/>
          <w:color w:val="auto"/>
        </w:rPr>
      </w:pPr>
    </w:p>
    <w:p>
      <w:pPr>
        <w:ind w:left="900" w:right="20" w:hanging="325"/>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38" w:lineRule="exact"/>
        <w:rPr>
          <w:rFonts w:ascii="Times New Roman" w:cs="Times New Roman" w:eastAsia="Times New Roman" w:hAnsi="Times New Roman"/>
          <w:sz w:val="18"/>
          <w:szCs w:val="18"/>
          <w:color w:val="auto"/>
        </w:rPr>
      </w:pPr>
    </w:p>
    <w:p>
      <w:pPr>
        <w:ind w:left="900" w:hanging="325"/>
        <w:spacing w:after="0" w:line="26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32"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If any consolidation or merger or any sale, assignment, conveyance, lease, transfer or other disposition of all or substantially all of our assets occurs in accordance with the indenture, the successor person will succeed to,</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and be substituted for, and may exercise every right and power of ours under the indenture with the same effect 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130"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Existence</w:t>
      </w:r>
      <w:r>
        <w:rPr>
          <w:rFonts w:ascii="Times New Roman" w:cs="Times New Roman" w:eastAsia="Times New Roman" w:hAnsi="Times New Roman"/>
          <w:sz w:val="18"/>
          <w:szCs w:val="18"/>
          <w:color w:val="auto"/>
        </w:rPr>
        <w:t>. Except as permitted under “—</w:t>
      </w:r>
      <w:r>
        <w:rPr>
          <w:rFonts w:ascii="Times New Roman" w:cs="Times New Roman" w:eastAsia="Times New Roman" w:hAnsi="Times New Roman"/>
          <w:sz w:val="18"/>
          <w:szCs w:val="18"/>
          <w:i w:val="1"/>
          <w:iCs w:val="1"/>
          <w:color w:val="auto"/>
        </w:rPr>
        <w:t>Consolidation, Merger and Sale of Assets</w:t>
      </w:r>
      <w:r>
        <w:rPr>
          <w:rFonts w:ascii="Times New Roman" w:cs="Times New Roman" w:eastAsia="Times New Roman" w:hAnsi="Times New Roman"/>
          <w:sz w:val="18"/>
          <w:szCs w:val="18"/>
          <w:color w:val="auto"/>
        </w:rPr>
        <w:t>,” the indenture requires us to do or cause to be done all things necessary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2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We will furnish to the trustee any document or report we are required to file with the SEC pursuant to Section 13 or Section 15(d)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of the following will constitute an event of default in the senior indenture with respect to the senior debt securities of any series:</w:t>
      </w:r>
    </w:p>
    <w:p>
      <w:pPr>
        <w:spacing w:after="0" w:line="90" w:lineRule="exact"/>
        <w:rPr>
          <w:sz w:val="20"/>
          <w:szCs w:val="20"/>
          <w:color w:val="auto"/>
        </w:rPr>
      </w:pPr>
    </w:p>
    <w:p>
      <w:pPr>
        <w:ind w:left="700" w:hanging="236"/>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paying interest on the senior debt securities of such series when it becomes due and the default continues for a period of 30 days or more;</w:t>
      </w:r>
    </w:p>
    <w:p>
      <w:pPr>
        <w:spacing w:after="0" w:line="17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paying principal on the senior debt securities of such series when due;</w:t>
      </w:r>
    </w:p>
    <w:p>
      <w:pPr>
        <w:spacing w:after="0" w:line="171" w:lineRule="exact"/>
        <w:rPr>
          <w:rFonts w:ascii="Times New Roman" w:cs="Times New Roman" w:eastAsia="Times New Roman" w:hAnsi="Times New Roman"/>
          <w:sz w:val="18"/>
          <w:szCs w:val="18"/>
          <w:color w:val="auto"/>
        </w:rPr>
      </w:pPr>
    </w:p>
    <w:p>
      <w:pPr>
        <w:jc w:val="both"/>
        <w:ind w:right="180" w:firstLine="464"/>
        <w:spacing w:after="0" w:line="258"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36"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reorganization, administration or similar proceedings with respect to us or any Obligor have occurred; or</w:t>
      </w:r>
    </w:p>
    <w:p>
      <w:pPr>
        <w:spacing w:after="0" w:line="171"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36"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3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36"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4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38"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3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We are required to furnish to the trustee an annual statement as to compliance with all conditions and covenants under the senior indenture within 120 days of the end of each fiscal year.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Discharge and Defeasance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may terminate our obligations and the obligations of the Guarantors under the indenture with respect to the senior debt securities of any series and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Guarantees of such series of senior debt securities, when:</w:t>
      </w:r>
    </w:p>
    <w:p>
      <w:pPr>
        <w:spacing w:after="0" w:line="78" w:lineRule="exact"/>
        <w:rPr>
          <w:sz w:val="20"/>
          <w:szCs w:val="20"/>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90" w:lineRule="exact"/>
        <w:rPr>
          <w:rFonts w:ascii="Times New Roman" w:cs="Times New Roman" w:eastAsia="Times New Roman" w:hAnsi="Times New Roman"/>
          <w:sz w:val="18"/>
          <w:szCs w:val="18"/>
          <w:color w:val="auto"/>
        </w:rPr>
      </w:pPr>
    </w:p>
    <w:p>
      <w:pPr>
        <w:ind w:left="1480" w:right="440" w:hanging="446"/>
        <w:spacing w:after="0" w:line="275" w:lineRule="auto"/>
        <w:tabs>
          <w:tab w:leader="none" w:pos="14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senior debt securities of such series that have been authenticated and delivered have been canceled or delivered to the trustee for cancellation; or</w:t>
      </w:r>
    </w:p>
    <w:p>
      <w:pPr>
        <w:spacing w:after="0" w:line="38" w:lineRule="exact"/>
        <w:rPr>
          <w:rFonts w:ascii="Times New Roman" w:cs="Times New Roman" w:eastAsia="Times New Roman" w:hAnsi="Times New Roman"/>
          <w:sz w:val="18"/>
          <w:szCs w:val="18"/>
          <w:color w:val="auto"/>
        </w:rPr>
      </w:pPr>
    </w:p>
    <w:p>
      <w:pPr>
        <w:ind w:left="1480" w:right="40" w:hanging="446"/>
        <w:spacing w:after="0" w:line="256" w:lineRule="auto"/>
        <w:tabs>
          <w:tab w:leader="none" w:pos="14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57" w:lineRule="exact"/>
        <w:rPr>
          <w:rFonts w:ascii="Times New Roman" w:cs="Times New Roman" w:eastAsia="Times New Roman" w:hAnsi="Times New Roman"/>
          <w:sz w:val="18"/>
          <w:szCs w:val="18"/>
          <w:color w:val="auto"/>
        </w:rPr>
      </w:pPr>
    </w:p>
    <w:p>
      <w:pPr>
        <w:ind w:left="900" w:right="240" w:hanging="325"/>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then due and payable under the indenture with respect to the senior debt securities of such series; and</w:t>
      </w:r>
    </w:p>
    <w:p>
      <w:pPr>
        <w:spacing w:after="0" w:line="38" w:lineRule="exact"/>
        <w:rPr>
          <w:rFonts w:ascii="Times New Roman" w:cs="Times New Roman" w:eastAsia="Times New Roman" w:hAnsi="Times New Roman"/>
          <w:sz w:val="18"/>
          <w:szCs w:val="18"/>
          <w:color w:val="auto"/>
        </w:rPr>
      </w:pPr>
    </w:p>
    <w:p>
      <w:pPr>
        <w:ind w:left="900" w:right="460" w:hanging="325"/>
        <w:spacing w:after="0" w:line="339" w:lineRule="auto"/>
        <w:tabs>
          <w:tab w:leader="none" w:pos="9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7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51" w:lineRule="exact"/>
        <w:rPr>
          <w:sz w:val="20"/>
          <w:szCs w:val="20"/>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senior debt securities of such series to receive principal or interest when due;</w:t>
      </w:r>
    </w:p>
    <w:p>
      <w:pPr>
        <w:spacing w:after="0" w:line="90" w:lineRule="exact"/>
        <w:rPr>
          <w:rFonts w:ascii="Times New Roman" w:cs="Times New Roman" w:eastAsia="Times New Roman" w:hAnsi="Times New Roman"/>
          <w:sz w:val="18"/>
          <w:szCs w:val="18"/>
          <w:color w:val="auto"/>
        </w:rPr>
      </w:pPr>
    </w:p>
    <w:p>
      <w:pPr>
        <w:jc w:val="both"/>
        <w:ind w:left="900" w:right="200" w:hanging="325"/>
        <w:spacing w:after="0" w:line="26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51" w:lineRule="exact"/>
        <w:rPr>
          <w:rFonts w:ascii="Times New Roman" w:cs="Times New Roman" w:eastAsia="Times New Roman" w:hAnsi="Times New Roman"/>
          <w:sz w:val="18"/>
          <w:szCs w:val="18"/>
          <w:color w:val="auto"/>
        </w:rPr>
      </w:pPr>
    </w:p>
    <w:p>
      <w:pPr>
        <w:ind w:left="900" w:right="580" w:hanging="325"/>
        <w:spacing w:after="0" w:line="275"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 the provisions relating to the resignation and removal of the trustee and the appointment of a successor trustee;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will no longer constitute an event of default for that series.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with respect to outstanding senior debt securities and Guarantees of any series:</w:t>
      </w:r>
    </w:p>
    <w:p>
      <w:pPr>
        <w:spacing w:after="0" w:line="90" w:lineRule="exact"/>
        <w:rPr>
          <w:sz w:val="20"/>
          <w:szCs w:val="20"/>
          <w:color w:val="auto"/>
        </w:rPr>
      </w:pPr>
    </w:p>
    <w:p>
      <w:pPr>
        <w:ind w:left="900" w:right="440" w:hanging="325"/>
        <w:spacing w:after="0" w:line="275"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38"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(measured with respect to the scheduled payments of principal and interest thereon);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480" w:hanging="446"/>
        <w:spacing w:after="0"/>
        <w:tabs>
          <w:tab w:leader="none" w:pos="1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cash and U.S. Government Obligations;</w:t>
      </w:r>
    </w:p>
    <w:p>
      <w:pPr>
        <w:spacing w:after="0" w:line="90"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55" w:lineRule="exact"/>
        <w:rPr>
          <w:sz w:val="20"/>
          <w:szCs w:val="20"/>
          <w:color w:val="auto"/>
        </w:rPr>
      </w:pPr>
    </w:p>
    <w:p>
      <w:pPr>
        <w:ind w:left="900" w:right="100" w:hanging="325"/>
        <w:spacing w:after="0" w:line="258"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have delivered to the trustee an opinion of counsel stating that, as a result of an Internal Revenue Service (“IRS”) ruling or a change in applicable federal income tax law, the holders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55" w:lineRule="exact"/>
        <w:rPr>
          <w:rFonts w:ascii="Times New Roman" w:cs="Times New Roman" w:eastAsia="Times New Roman" w:hAnsi="Times New Roman"/>
          <w:sz w:val="18"/>
          <w:szCs w:val="18"/>
          <w:color w:val="auto"/>
        </w:rPr>
      </w:pPr>
    </w:p>
    <w:p>
      <w:pPr>
        <w:ind w:left="900" w:right="60" w:hanging="325"/>
        <w:spacing w:after="0" w:line="26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have delivered to the trustee an opinion of counsel to the effect that the holders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51" w:lineRule="exact"/>
        <w:rPr>
          <w:rFonts w:ascii="Times New Roman" w:cs="Times New Roman" w:eastAsia="Times New Roman" w:hAnsi="Times New Roman"/>
          <w:sz w:val="18"/>
          <w:szCs w:val="18"/>
          <w:color w:val="auto"/>
        </w:rPr>
      </w:pPr>
    </w:p>
    <w:p>
      <w:pPr>
        <w:ind w:left="900" w:hanging="325"/>
        <w:spacing w:after="0" w:line="301" w:lineRule="auto"/>
        <w:tabs>
          <w:tab w:leader="none" w:pos="9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22" w:lineRule="exact"/>
        <w:rPr>
          <w:rFonts w:ascii="Times New Roman" w:cs="Times New Roman" w:eastAsia="Times New Roman" w:hAnsi="Times New Roman"/>
          <w:sz w:val="16"/>
          <w:szCs w:val="16"/>
          <w:color w:val="auto"/>
        </w:rPr>
      </w:pPr>
    </w:p>
    <w:p>
      <w:pPr>
        <w:ind w:left="900" w:right="280" w:hanging="325"/>
        <w:spacing w:after="0" w:line="275"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38" w:lineRule="exact"/>
        <w:rPr>
          <w:rFonts w:ascii="Times New Roman" w:cs="Times New Roman" w:eastAsia="Times New Roman" w:hAnsi="Times New Roman"/>
          <w:sz w:val="18"/>
          <w:szCs w:val="18"/>
          <w:color w:val="auto"/>
        </w:rPr>
      </w:pPr>
    </w:p>
    <w:p>
      <w:pPr>
        <w:jc w:val="both"/>
        <w:ind w:left="900" w:right="60" w:hanging="325"/>
        <w:spacing w:after="0" w:line="26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1" w:lineRule="exact"/>
        <w:rPr>
          <w:rFonts w:ascii="Times New Roman" w:cs="Times New Roman" w:eastAsia="Times New Roman" w:hAnsi="Times New Roman"/>
          <w:sz w:val="18"/>
          <w:szCs w:val="18"/>
          <w:color w:val="auto"/>
        </w:rPr>
      </w:pPr>
    </w:p>
    <w:p>
      <w:pPr>
        <w:ind w:left="900" w:right="460" w:hanging="325"/>
        <w:spacing w:after="0" w:line="334" w:lineRule="auto"/>
        <w:tabs>
          <w:tab w:leader="none" w:pos="9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1" w:lineRule="exact"/>
        <w:rPr>
          <w:rFonts w:ascii="Times New Roman" w:cs="Times New Roman" w:eastAsia="Times New Roman" w:hAnsi="Times New Roman"/>
          <w:sz w:val="16"/>
          <w:szCs w:val="16"/>
          <w:color w:val="auto"/>
        </w:rPr>
      </w:pPr>
    </w:p>
    <w:p>
      <w:pPr>
        <w:ind w:left="900" w:right="40" w:hanging="325"/>
        <w:spacing w:after="0" w:line="275"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Modification and Waiver</w:t>
      </w:r>
    </w:p>
    <w:p>
      <w:pPr>
        <w:spacing w:after="0" w:line="94"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We, the Guarantors and the trustee may amend or modify the senior indenture or the senior debt securities of any series without notice to or the consent of any holder in order to:</w:t>
      </w:r>
    </w:p>
    <w:p>
      <w:pPr>
        <w:spacing w:after="0" w:line="39" w:lineRule="exact"/>
        <w:rPr>
          <w:sz w:val="20"/>
          <w:szCs w:val="20"/>
          <w:color w:val="auto"/>
        </w:rPr>
      </w:pPr>
    </w:p>
    <w:p>
      <w:pPr>
        <w:ind w:left="900" w:right="460" w:hanging="325"/>
        <w:spacing w:after="0" w:line="275"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ambiguities, omissions, defects or inconsistencies in the senior indenture in a manner that does not adversely affect the interests of the holders in any material respect;</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would provide any additional rights or benefits to the holders of the senior debt securities;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or add guarantors with respect to the senior debt securities;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senior debt securities of any series;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or terms of senior debt securities of any series;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senior debt securities in addition to or in place of certificated senior debt securities;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the indenture under the Trust Indenture Act;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any provision in the indenture to this “Description of Debt Securities and Guarantees”;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in any material respect.</w:t>
      </w:r>
    </w:p>
    <w:p>
      <w:pPr>
        <w:spacing w:after="0" w:line="171" w:lineRule="exact"/>
        <w:rPr>
          <w:sz w:val="20"/>
          <w:szCs w:val="20"/>
          <w:color w:val="auto"/>
        </w:rPr>
      </w:pPr>
    </w:p>
    <w:p>
      <w:pPr>
        <w:ind w:right="80" w:firstLine="456"/>
        <w:spacing w:after="0" w:line="293" w:lineRule="auto"/>
        <w:rPr>
          <w:sz w:val="20"/>
          <w:szCs w:val="20"/>
          <w:color w:val="auto"/>
        </w:rPr>
      </w:pPr>
      <w:r>
        <w:rPr>
          <w:rFonts w:ascii="Times New Roman" w:cs="Times New Roman" w:eastAsia="Times New Roman" w:hAnsi="Times New Roman"/>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0" w:lineRule="exact"/>
        <w:rPr>
          <w:sz w:val="20"/>
          <w:szCs w:val="20"/>
          <w:color w:val="auto"/>
        </w:rPr>
      </w:pPr>
    </w:p>
    <w:p>
      <w:pPr>
        <w:ind w:left="900" w:right="180" w:hanging="325"/>
        <w:spacing w:after="0" w:line="275"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extend the fixed maturity, of the senior debt securities of such series or alter or waive the redemption provisions of the senior debt securities of such series;</w:t>
      </w:r>
    </w:p>
    <w:p>
      <w:pPr>
        <w:spacing w:after="0" w:line="38" w:lineRule="exact"/>
        <w:rPr>
          <w:rFonts w:ascii="Times New Roman" w:cs="Times New Roman" w:eastAsia="Times New Roman" w:hAnsi="Times New Roman"/>
          <w:sz w:val="18"/>
          <w:szCs w:val="18"/>
          <w:color w:val="auto"/>
        </w:rPr>
      </w:pPr>
    </w:p>
    <w:p>
      <w:pPr>
        <w:ind w:left="900" w:right="240" w:hanging="325"/>
        <w:spacing w:after="0" w:line="275"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principal, any premium or interest is paid;</w:t>
      </w:r>
    </w:p>
    <w:p>
      <w:pPr>
        <w:spacing w:after="0" w:line="90"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outstanding of senior debt securities of such series which must consent to an amendment, supplement or waiver or consent to take any action;</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the senior debt securities of such series;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payment default with respect to the senior debt securities of such series;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interest rate or extend the time for payment of interest on the senior debt securities of such series;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ranking of the senior debt securities of such series.</w:t>
      </w:r>
    </w:p>
    <w:p>
      <w:pPr>
        <w:spacing w:after="0" w:line="17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 Personal Liability of Incorporators, Stockholders, Officers, Directors, or Employees</w:t>
      </w:r>
    </w:p>
    <w:p>
      <w:pPr>
        <w:spacing w:after="0" w:line="94"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60"/>
          </w:cols>
          <w:pgMar w:left="240" w:top="455" w:right="2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senior indenture, including any Guarantee, and each senior debt security is governed by and construed in accordance with the laws of the State of New</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w:t>
      </w: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Trustee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Gerald L. Hassell, one of our directors, is the Chairman and Chief Executive Officer and a director of the trustee.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Debt Securities</w:t>
      </w:r>
    </w:p>
    <w:p>
      <w:pPr>
        <w:spacing w:after="0" w:line="92"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73"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4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20"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12"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47"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32" w:lineRule="exact"/>
        <w:rPr>
          <w:sz w:val="20"/>
          <w:szCs w:val="20"/>
          <w:color w:val="auto"/>
        </w:rPr>
      </w:pPr>
    </w:p>
    <w:p>
      <w:pPr>
        <w:ind w:right="360" w:firstLine="456"/>
        <w:spacing w:after="0" w:line="255" w:lineRule="auto"/>
        <w:rPr>
          <w:sz w:val="20"/>
          <w:szCs w:val="20"/>
          <w:color w:val="auto"/>
        </w:rPr>
      </w:pPr>
      <w:r>
        <w:rPr>
          <w:rFonts w:ascii="Times New Roman" w:cs="Times New Roman" w:eastAsia="Times New Roman" w:hAnsi="Times New Roman"/>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39"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00"/>
          </w:cols>
          <w:pgMar w:left="240" w:top="455" w:right="3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3"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9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stock dividends on, or stock splits of, our Class B common stock may also be paid or issued in shares of our Class A Special common stock.</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intend to pay quarterly dividends at an annual rate currently of $0.78 per share. See “Dividend Policy” above.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92" w:lineRule="exact"/>
        <w:rPr>
          <w:sz w:val="20"/>
          <w:szCs w:val="20"/>
          <w:color w:val="auto"/>
        </w:rPr>
      </w:pPr>
    </w:p>
    <w:p>
      <w:pPr>
        <w:ind w:right="200" w:firstLine="456"/>
        <w:spacing w:after="0" w:line="339" w:lineRule="auto"/>
        <w:rPr>
          <w:sz w:val="20"/>
          <w:szCs w:val="20"/>
          <w:color w:val="auto"/>
        </w:rPr>
      </w:pPr>
      <w:r>
        <w:rPr>
          <w:rFonts w:ascii="Times New Roman" w:cs="Times New Roman" w:eastAsia="Times New Roman" w:hAnsi="Times New Roman"/>
          <w:sz w:val="16"/>
          <w:szCs w:val="16"/>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7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2012, on all matters submitted for a vote of holders of all classes of our voting stock, holders of our Class A common stock in the aggregate hold 66 </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 xml:space="preserve">% of the aggregate voting power of our capital stock. As of December 31, 2012, our Class B common stock has a nondilutable 33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 of the combined voting power of our common stock. This nondilutable voting power is subject to proportional decrease to the extent the number of shares of Class B common stock is reduced below 9,444,375, subject to adjustment in specified situations. Stock dividends payable on the Class B common stock in the form of Class B or Class A Special common stock do not decrease the nondilutable voting power of the Class B common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Rights</w:t>
      </w:r>
    </w:p>
    <w:p>
      <w:pPr>
        <w:spacing w:after="0" w:line="92"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Except as required by law, holders of Class A Special common stock and Class A common stock have no specific approval rights over any corporate actions. Holders of our Class B common stock have an approval right</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color w:val="auto"/>
        </w:rPr>
        <w:t>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Shareholder</w:t>
      </w:r>
    </w:p>
    <w:p>
      <w:pPr>
        <w:spacing w:after="0" w:line="92"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 xml:space="preserve">Brian L. Roberts, our Chairman, Chief Executive Officer and President, beneficially owns all outstanding shares of our Class B common stock, which has a nondilutable 33 </w:t>
      </w:r>
      <w:r>
        <w:rPr>
          <w:rFonts w:ascii="Times New Roman" w:cs="Times New Roman" w:eastAsia="Times New Roman" w:hAnsi="Times New Roman"/>
          <w:sz w:val="10"/>
          <w:szCs w:val="10"/>
          <w:color w:val="auto"/>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10"/>
          <w:szCs w:val="10"/>
          <w:color w:val="auto"/>
        </w:rPr>
        <w:t>3</w:t>
      </w:r>
      <w:r>
        <w:rPr>
          <w:rFonts w:ascii="Times New Roman" w:cs="Times New Roman" w:eastAsia="Times New Roman" w:hAnsi="Times New Roman"/>
          <w:sz w:val="16"/>
          <w:szCs w:val="16"/>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or Class A Special common stock. As of June 30, 2013, if Mr. Roberts were to convert the Class B common stock he beneficially owns into Class A common stock, Mr. Roberts would beneficially own 13,993,718 shares of Class A common stock, which is less than 1% of the Class A common stock that would be outstanding after the conversion.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Class B Common Stock</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Class B common stock is convertible share for share into either the Class A common stock or the Class A Special common stock.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on Liquidation</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Mergers, Consolidations, Etc.</w:t>
      </w:r>
    </w:p>
    <w:p>
      <w:pPr>
        <w:spacing w:after="0" w:line="9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stock offered hereby, or issuable upon conversion, exchange or exercise of securities offered hereby, will, when issued, be, fully paid and nonassessable.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been advised that the Class A common stock and Class A Special common stock are exempt from existing Pennsylvania personal property tax.</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transfer agent and registrar for our Class A Special common stock and Class A common stock is Wells Fargo Shareowner Services, P.O. Box 64874, 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Minnesota 55164-0874 . Their telephone number is (888) 883-8903.</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71"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3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32" w:lineRule="exact"/>
        <w:rPr>
          <w:sz w:val="20"/>
          <w:szCs w:val="20"/>
          <w:color w:val="auto"/>
        </w:rPr>
      </w:pPr>
    </w:p>
    <w:p>
      <w:pPr>
        <w:ind w:right="40" w:firstLine="456"/>
        <w:spacing w:after="0" w:line="339" w:lineRule="auto"/>
        <w:rPr>
          <w:sz w:val="20"/>
          <w:szCs w:val="20"/>
          <w:color w:val="auto"/>
        </w:rPr>
      </w:pPr>
      <w:r>
        <w:rPr>
          <w:rFonts w:ascii="Times New Roman" w:cs="Times New Roman" w:eastAsia="Times New Roman" w:hAnsi="Times New Roman"/>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74"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3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38" w:lineRule="exact"/>
        <w:rPr>
          <w:sz w:val="20"/>
          <w:szCs w:val="20"/>
          <w:color w:val="auto"/>
        </w:rPr>
      </w:pPr>
    </w:p>
    <w:p>
      <w:pPr>
        <w:ind w:right="660" w:firstLine="456"/>
        <w:spacing w:after="0" w:line="275" w:lineRule="auto"/>
        <w:rPr>
          <w:sz w:val="20"/>
          <w:szCs w:val="20"/>
          <w:color w:val="auto"/>
        </w:rPr>
      </w:pPr>
      <w:r>
        <w:rPr>
          <w:rFonts w:ascii="Times New Roman" w:cs="Times New Roman" w:eastAsia="Times New Roman" w:hAnsi="Times New Roman"/>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3"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As to matters governed by Pennsylvania law, Arthur R. Block, Esquire, Senior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w:t>
      </w:r>
      <w:r>
        <w:rPr>
          <w:rFonts w:ascii="Times New Roman" w:cs="Times New Roman" w:eastAsia="Times New Roman" w:hAnsi="Times New Roman"/>
          <w:sz w:val="14"/>
          <w:szCs w:val="14"/>
          <w:color w:val="auto"/>
        </w:rPr>
        <w:t>LLP</w:t>
      </w:r>
      <w:r>
        <w:rPr>
          <w:rFonts w:ascii="Times New Roman" w:cs="Times New Roman" w:eastAsia="Times New Roman" w:hAnsi="Times New Roman"/>
          <w:sz w:val="18"/>
          <w:szCs w:val="18"/>
          <w:color w:val="auto"/>
        </w:rPr>
        <w:t xml:space="preserve"> will represent the underwriters.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3"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Comcast Corporation and subsidiaries, incorporated herein by reference from Comcast Corporation’s Current Report on Form 8-K filed with the SEC on September 18, 2013, the related financial statement schedule incorporated in this prospectus by reference from Comcast Corporation’s Annual Report on Form 10-K for the year ended December 31, 2012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3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and the related consolidated financial statement schedule, of NBC Universal, Inc. and its subsidiaries (predecessor) and NBCUniversal Media, LLC and its subsidiaries (successor) for the period from January 1, 2011 to January 28, 2011 (predecessor period) and for the period from January 29, 2011 to December 31, 2011 and for the year ended December 31, 2012 (successor period), incorporated in this prospectus by reference from NBCUniversal Media, LLC’s Annual Report on Form 10-K for the year ended December 31, 2012 have been audited by Deloitte &amp; Touche LLP, an independent registered public accounting firm, as stated in their reports (which report on the consolidated financial statements expresses an unqualified opinion and includes an explanatory paragraph referring to General Electric Company’s transaction with Comcast Corporation on January 28, 2011),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38" w:lineRule="exact"/>
        <w:rPr>
          <w:sz w:val="20"/>
          <w:szCs w:val="20"/>
          <w:color w:val="auto"/>
        </w:rPr>
      </w:pPr>
    </w:p>
    <w:p>
      <w:pPr>
        <w:ind w:right="340" w:firstLine="456"/>
        <w:spacing w:after="0" w:line="296" w:lineRule="auto"/>
        <w:rPr>
          <w:sz w:val="20"/>
          <w:szCs w:val="20"/>
          <w:color w:val="auto"/>
        </w:rPr>
      </w:pPr>
      <w:r>
        <w:rPr>
          <w:rFonts w:ascii="Times New Roman" w:cs="Times New Roman" w:eastAsia="Times New Roman" w:hAnsi="Times New Roman"/>
          <w:sz w:val="16"/>
          <w:szCs w:val="16"/>
          <w:color w:val="auto"/>
        </w:rPr>
        <w:t>The consolidated financial statements and financial statement schedule of NBC Universal, Inc. and its consolidated subsidiaries for the year ended December 31, 2010 (predecessor), appearing in the 2012 Annual Report on Form 10-K of NBCUniversal Media, LLC incorporated in this prospectus by reference from NBCUniversal Media, LLC’s Annual Report on Form 10-K for the year ended December 31, 2012, have been audited by KPMG LLP, an independent registered public accounting firm, as stated in their report, which is incorporated herein by reference. Such consolidated financial statements and consolidated financial statement schedule have been so incorporated in reliance upon the report of KPMG LLP as experts in accounting and auditing.</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36"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Comcast and NBCUniversal file annual, quarterly and special reports and other information with the SEC. Comcast Cable, Comcast Cable Holdings, Comcast MO Group and Comcast MO of Delaware do not currently file information with the SEC. Although the Guarantors other than NBCUniversal would normally be required to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80"/>
        <w:spacing w:after="0" w:line="301" w:lineRule="auto"/>
        <w:rPr>
          <w:sz w:val="20"/>
          <w:szCs w:val="20"/>
          <w:color w:val="auto"/>
        </w:rPr>
      </w:pPr>
      <w:r>
        <w:rPr>
          <w:rFonts w:ascii="Times New Roman" w:cs="Times New Roman" w:eastAsia="Times New Roman" w:hAnsi="Times New Roman"/>
          <w:sz w:val="16"/>
          <w:szCs w:val="16"/>
          <w:color w:val="auto"/>
        </w:rPr>
        <w:t xml:space="preserve">file information with the SEC on an ongoing basis, we expect that these Guarantors will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w:t>
      </w:r>
      <w:r>
        <w:rPr>
          <w:rFonts w:ascii="Times New Roman" w:cs="Times New Roman" w:eastAsia="Times New Roman" w:hAnsi="Times New Roman"/>
          <w:sz w:val="16"/>
          <w:szCs w:val="16"/>
          <w:i w:val="1"/>
          <w:iCs w:val="1"/>
          <w:color w:val="auto"/>
        </w:rPr>
        <w:t>http://www.sec.gov</w:t>
      </w:r>
      <w:r>
        <w:rPr>
          <w:rFonts w:ascii="Times New Roman" w:cs="Times New Roman" w:eastAsia="Times New Roman" w:hAnsi="Times New Roman"/>
          <w:sz w:val="16"/>
          <w:szCs w:val="16"/>
          <w:color w:val="auto"/>
        </w:rPr>
        <w:t>.</w:t>
      </w:r>
    </w:p>
    <w:p>
      <w:pPr>
        <w:spacing w:after="0" w:line="10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73"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and NBCUniversal file with them, which means that we and NBCUniversal can disclose important information to you by referring you directly to those documents. The information incorporated by reference is considered to be part of this prospectus. In addition, information we or NBCUniversal files with the SEC in the future will automatically update and supersede information contained in this prospectus and any accompanying prospectus supplement.</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Comcast’s Annual Report on Form 10-K for the year ended December 31, 2012, filed on February 21, 2013.</w:t>
      </w:r>
    </w:p>
    <w:p>
      <w:pPr>
        <w:spacing w:after="0" w:line="90" w:lineRule="exact"/>
        <w:rPr>
          <w:rFonts w:ascii="Times New Roman" w:cs="Times New Roman" w:eastAsia="Times New Roman" w:hAnsi="Times New Roman"/>
          <w:sz w:val="18"/>
          <w:szCs w:val="18"/>
          <w:color w:val="auto"/>
        </w:rPr>
      </w:pPr>
    </w:p>
    <w:p>
      <w:pPr>
        <w:ind w:left="900" w:right="140" w:hanging="325"/>
        <w:spacing w:after="0" w:line="275"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Comcast’s Quarterly Report on Form 10-Q for the quarterly period ended March 31, 2013, filed on May 1, 2013 and for the quarterly period ended June 30, 2013, filed on July 31, 2013.</w:t>
      </w:r>
    </w:p>
    <w:p>
      <w:pPr>
        <w:spacing w:after="0" w:line="38"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Comcast’s Current Reports on Form 8-K filed on January 9, 2013, February 12, 2013 (except to the extent information is furnished pursuant to Item 7.01), March 19, 2013, March 27, 2013, May 16, 2013, July 24, 2013, August 16, 2013 and September 18, 2013.</w:t>
      </w:r>
    </w:p>
    <w:p>
      <w:pPr>
        <w:spacing w:after="0" w:line="38" w:lineRule="exact"/>
        <w:rPr>
          <w:rFonts w:ascii="Times New Roman" w:cs="Times New Roman" w:eastAsia="Times New Roman" w:hAnsi="Times New Roman"/>
          <w:sz w:val="18"/>
          <w:szCs w:val="18"/>
          <w:color w:val="auto"/>
        </w:rPr>
      </w:pPr>
    </w:p>
    <w:p>
      <w:pPr>
        <w:ind w:left="900" w:right="280" w:hanging="325"/>
        <w:spacing w:after="0" w:line="275"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of Comcast’s Definitive Proxy Statement on Schedule 14A for the 2013 annual meeting of shareholders incorporated by reference in Comcast’s Annual Report on Form 10-K for the year ended December 31, 2012.</w:t>
      </w:r>
    </w:p>
    <w:p>
      <w:pPr>
        <w:spacing w:after="0" w:line="38" w:lineRule="exact"/>
        <w:rPr>
          <w:rFonts w:ascii="Times New Roman" w:cs="Times New Roman" w:eastAsia="Times New Roman" w:hAnsi="Times New Roman"/>
          <w:sz w:val="18"/>
          <w:szCs w:val="18"/>
          <w:color w:val="auto"/>
        </w:rPr>
      </w:pPr>
    </w:p>
    <w:p>
      <w:pPr>
        <w:jc w:val="both"/>
        <w:ind w:left="900" w:hanging="325"/>
        <w:spacing w:after="0" w:line="26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capital stock incorporated in Comcast’s Current Report on Form 8-K12G3 and Registration Statement on Form 8-A12G, each filed on November 18, 2002, as amended by our Registration Statement on Form 8-A12B/A filed on December 20, 2010, as the same may be further amended from time to time.</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NBCUniversal’s Annual Report on Form 10-K for the year ended December 31, 2012, filed on February 21, 2013.</w:t>
      </w:r>
    </w:p>
    <w:p>
      <w:pPr>
        <w:spacing w:after="0" w:line="90"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NBCUniversal’s Quarterly Report on Form 10-Q for the quarterly period ended March 31, 2013, filed on May 1, 2013 and for the quarterly period ended June 30, 2013, filed on July 31, 2013.</w:t>
      </w:r>
    </w:p>
    <w:p>
      <w:pPr>
        <w:spacing w:after="0" w:line="38" w:lineRule="exact"/>
        <w:rPr>
          <w:rFonts w:ascii="Times New Roman" w:cs="Times New Roman" w:eastAsia="Times New Roman" w:hAnsi="Times New Roman"/>
          <w:sz w:val="18"/>
          <w:szCs w:val="18"/>
          <w:color w:val="auto"/>
        </w:rPr>
      </w:pPr>
    </w:p>
    <w:p>
      <w:pPr>
        <w:ind w:left="900" w:right="40" w:hanging="325"/>
        <w:spacing w:after="0" w:line="275"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NBCUniversal’s Current Reports on Form 8-K dated February 12, 2013 (except to the extent information is furnished pursuant to Item 7.01), March 19, 2013 and March 27, 2013.</w:t>
      </w:r>
    </w:p>
    <w:p>
      <w:pPr>
        <w:spacing w:after="0" w:line="120"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60"/>
          </w:cols>
          <w:pgMar w:left="240" w:top="455" w:right="299" w:bottom="1440" w:gutter="0" w:footer="0" w:header="0"/>
        </w:sectPr>
      </w:pPr>
    </w:p>
    <w:bookmarkStart w:id="53" w:name="page54"/>
    <w:bookmarkEnd w:id="5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695960</wp:posOffset>
            </wp:positionV>
            <wp:extent cx="1397635" cy="4889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ectPr>
          <w:pgSz w:w="11900" w:h="16838" w:orient="portrait"/>
          <w:cols w:equalWidth="0" w:num="1">
            <w:col w:w="11020"/>
          </w:cols>
          <w:pgMar w:left="24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880"/>
        <w:spacing w:after="0"/>
        <w:tabs>
          <w:tab w:leader="none" w:pos="5300" w:val="left"/>
        </w:tabs>
        <w:rPr>
          <w:sz w:val="20"/>
          <w:szCs w:val="20"/>
          <w:color w:val="auto"/>
        </w:rPr>
      </w:pPr>
      <w:r>
        <w:rPr>
          <w:rFonts w:ascii="Times New Roman" w:cs="Times New Roman" w:eastAsia="Times New Roman" w:hAnsi="Times New Roman"/>
          <w:sz w:val="32"/>
          <w:szCs w:val="32"/>
          <w:b w:val="1"/>
          <w:bCs w:val="1"/>
          <w:color w:val="auto"/>
        </w:rPr>
        <w:t>$1,500,000,000</w:t>
        <w:tab/>
        <w:t>3.375% Notes due 2025</w:t>
      </w:r>
    </w:p>
    <w:p>
      <w:pPr>
        <w:spacing w:after="0" w:line="39" w:lineRule="exact"/>
        <w:rPr>
          <w:sz w:val="20"/>
          <w:szCs w:val="20"/>
          <w:color w:val="auto"/>
        </w:rPr>
      </w:pPr>
    </w:p>
    <w:p>
      <w:pPr>
        <w:jc w:val="both"/>
        <w:ind w:left="2880" w:right="2480" w:firstLine="7"/>
        <w:spacing w:after="0" w:line="250" w:lineRule="auto"/>
        <w:tabs>
          <w:tab w:leader="none" w:pos="3285" w:val="left"/>
        </w:tabs>
        <w:numPr>
          <w:ilvl w:val="0"/>
          <w:numId w:val="50"/>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32"/>
          <w:szCs w:val="32"/>
          <w:b w:val="1"/>
          <w:bCs w:val="1"/>
          <w:color w:val="auto"/>
        </w:rPr>
        <w:t>800,000,000 4.400% Notes due 2035 $1,700,000,000 4.600% Notes due 2045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528320</wp:posOffset>
            </wp:positionV>
            <wp:extent cx="15176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i w:val="1"/>
          <w:iCs w:val="1"/>
          <w:color w:val="auto"/>
        </w:rPr>
        <w:t>Joint Book-Running Managers</w:t>
      </w:r>
    </w:p>
    <w:p>
      <w:pPr>
        <w:spacing w:after="0" w:line="192" w:lineRule="exact"/>
        <w:rPr>
          <w:sz w:val="20"/>
          <w:szCs w:val="20"/>
          <w:color w:val="auto"/>
        </w:rPr>
      </w:pPr>
    </w:p>
    <w:tbl>
      <w:tblPr>
        <w:tblLayout w:type="fixed"/>
        <w:tblInd w:w="620" w:type="dxa"/>
        <w:tblCellMar>
          <w:top w:w="0" w:type="dxa"/>
          <w:left w:w="0" w:type="dxa"/>
          <w:bottom w:w="0" w:type="dxa"/>
          <w:right w:w="0" w:type="dxa"/>
        </w:tblCellMar>
      </w:tblPr>
      <w:tr>
        <w:trPr>
          <w:trHeight w:val="284"/>
        </w:trPr>
        <w:tc>
          <w:tcPr>
            <w:tcW w:w="3900" w:type="dxa"/>
            <w:vAlign w:val="bottom"/>
          </w:tcPr>
          <w:p>
            <w:pPr>
              <w:jc w:val="center"/>
              <w:ind w:right="1142"/>
              <w:spacing w:after="0"/>
              <w:rPr>
                <w:sz w:val="20"/>
                <w:szCs w:val="20"/>
                <w:color w:val="auto"/>
              </w:rPr>
            </w:pPr>
            <w:r>
              <w:rPr>
                <w:rFonts w:ascii="Times New Roman" w:cs="Times New Roman" w:eastAsia="Times New Roman" w:hAnsi="Times New Roman"/>
                <w:sz w:val="24"/>
                <w:szCs w:val="24"/>
                <w:b w:val="1"/>
                <w:bCs w:val="1"/>
                <w:color w:val="auto"/>
              </w:rPr>
              <w:t>Citigroup</w:t>
            </w:r>
          </w:p>
        </w:tc>
        <w:tc>
          <w:tcPr>
            <w:tcW w:w="3080" w:type="dxa"/>
            <w:vAlign w:val="bottom"/>
            <w:gridSpan w:val="2"/>
          </w:tcPr>
          <w:p>
            <w:pPr>
              <w:jc w:val="center"/>
              <w:ind w:right="440"/>
              <w:spacing w:after="0"/>
              <w:rPr>
                <w:sz w:val="20"/>
                <w:szCs w:val="20"/>
                <w:color w:val="auto"/>
              </w:rPr>
            </w:pPr>
            <w:r>
              <w:rPr>
                <w:rFonts w:ascii="Times New Roman" w:cs="Times New Roman" w:eastAsia="Times New Roman" w:hAnsi="Times New Roman"/>
                <w:sz w:val="24"/>
                <w:szCs w:val="24"/>
                <w:b w:val="1"/>
                <w:bCs w:val="1"/>
                <w:color w:val="auto"/>
              </w:rPr>
              <w:t>Goldman, Sachs &amp; Co.</w:t>
            </w:r>
          </w:p>
        </w:tc>
        <w:tc>
          <w:tcPr>
            <w:tcW w:w="3420" w:type="dxa"/>
            <w:vAlign w:val="bottom"/>
          </w:tcPr>
          <w:p>
            <w:pPr>
              <w:jc w:val="center"/>
              <w:ind w:left="482"/>
              <w:spacing w:after="0"/>
              <w:rPr>
                <w:sz w:val="20"/>
                <w:szCs w:val="20"/>
                <w:color w:val="auto"/>
              </w:rPr>
            </w:pPr>
            <w:r>
              <w:rPr>
                <w:rFonts w:ascii="Times New Roman" w:cs="Times New Roman" w:eastAsia="Times New Roman" w:hAnsi="Times New Roman"/>
                <w:sz w:val="24"/>
                <w:szCs w:val="24"/>
                <w:b w:val="1"/>
                <w:bCs w:val="1"/>
                <w:color w:val="auto"/>
              </w:rPr>
              <w:t>Morgan Stanley</w:t>
            </w:r>
          </w:p>
        </w:tc>
        <w:tc>
          <w:tcPr>
            <w:tcW w:w="0" w:type="dxa"/>
            <w:vAlign w:val="bottom"/>
          </w:tcPr>
          <w:p>
            <w:pPr>
              <w:spacing w:after="0"/>
              <w:rPr>
                <w:sz w:val="1"/>
                <w:szCs w:val="1"/>
                <w:color w:val="auto"/>
              </w:rPr>
            </w:pPr>
          </w:p>
        </w:tc>
      </w:tr>
      <w:tr>
        <w:trPr>
          <w:trHeight w:val="323"/>
        </w:trPr>
        <w:tc>
          <w:tcPr>
            <w:tcW w:w="3900" w:type="dxa"/>
            <w:vAlign w:val="bottom"/>
          </w:tcPr>
          <w:p>
            <w:pPr>
              <w:jc w:val="center"/>
              <w:ind w:right="1162"/>
              <w:spacing w:after="0"/>
              <w:rPr>
                <w:sz w:val="20"/>
                <w:szCs w:val="20"/>
                <w:color w:val="auto"/>
              </w:rPr>
            </w:pPr>
            <w:r>
              <w:rPr>
                <w:rFonts w:ascii="Times New Roman" w:cs="Times New Roman" w:eastAsia="Times New Roman" w:hAnsi="Times New Roman"/>
                <w:sz w:val="24"/>
                <w:szCs w:val="24"/>
                <w:b w:val="1"/>
                <w:bCs w:val="1"/>
                <w:color w:val="auto"/>
              </w:rPr>
              <w:t>Deutsche Bank Securities</w:t>
            </w:r>
          </w:p>
        </w:tc>
        <w:tc>
          <w:tcPr>
            <w:tcW w:w="3080" w:type="dxa"/>
            <w:vAlign w:val="bottom"/>
            <w:gridSpan w:val="2"/>
          </w:tcPr>
          <w:p>
            <w:pPr>
              <w:jc w:val="center"/>
              <w:ind w:right="440"/>
              <w:spacing w:after="0"/>
              <w:rPr>
                <w:sz w:val="20"/>
                <w:szCs w:val="20"/>
                <w:color w:val="auto"/>
              </w:rPr>
            </w:pPr>
            <w:r>
              <w:rPr>
                <w:rFonts w:ascii="Times New Roman" w:cs="Times New Roman" w:eastAsia="Times New Roman" w:hAnsi="Times New Roman"/>
                <w:sz w:val="24"/>
                <w:szCs w:val="24"/>
                <w:b w:val="1"/>
                <w:bCs w:val="1"/>
                <w:color w:val="auto"/>
              </w:rPr>
              <w:t>SMBC Nikko</w:t>
            </w:r>
          </w:p>
        </w:tc>
        <w:tc>
          <w:tcPr>
            <w:tcW w:w="3420" w:type="dxa"/>
            <w:vAlign w:val="bottom"/>
          </w:tcPr>
          <w:p>
            <w:pPr>
              <w:jc w:val="center"/>
              <w:ind w:left="482"/>
              <w:spacing w:after="0"/>
              <w:rPr>
                <w:sz w:val="20"/>
                <w:szCs w:val="20"/>
                <w:color w:val="auto"/>
              </w:rPr>
            </w:pPr>
            <w:r>
              <w:rPr>
                <w:rFonts w:ascii="Times New Roman" w:cs="Times New Roman" w:eastAsia="Times New Roman" w:hAnsi="Times New Roman"/>
                <w:sz w:val="24"/>
                <w:szCs w:val="24"/>
                <w:b w:val="1"/>
                <w:bCs w:val="1"/>
                <w:color w:val="auto"/>
              </w:rPr>
              <w:t>UBS Investment Bank</w:t>
            </w:r>
          </w:p>
        </w:tc>
        <w:tc>
          <w:tcPr>
            <w:tcW w:w="0" w:type="dxa"/>
            <w:vAlign w:val="bottom"/>
          </w:tcPr>
          <w:p>
            <w:pPr>
              <w:spacing w:after="0"/>
              <w:rPr>
                <w:sz w:val="1"/>
                <w:szCs w:val="1"/>
                <w:color w:val="auto"/>
              </w:rPr>
            </w:pPr>
          </w:p>
        </w:tc>
      </w:tr>
      <w:tr>
        <w:trPr>
          <w:trHeight w:val="291"/>
        </w:trPr>
        <w:tc>
          <w:tcPr>
            <w:tcW w:w="39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900" w:type="dxa"/>
            <w:vAlign w:val="bottom"/>
          </w:tcPr>
          <w:p>
            <w:pPr>
              <w:spacing w:after="0"/>
              <w:rPr>
                <w:sz w:val="24"/>
                <w:szCs w:val="24"/>
                <w:color w:val="auto"/>
              </w:rPr>
            </w:pPr>
          </w:p>
        </w:tc>
        <w:tc>
          <w:tcPr>
            <w:tcW w:w="3080" w:type="dxa"/>
            <w:vAlign w:val="bottom"/>
            <w:gridSpan w:val="2"/>
          </w:tcPr>
          <w:p>
            <w:pPr>
              <w:ind w:left="700"/>
              <w:spacing w:after="0"/>
              <w:rPr>
                <w:sz w:val="20"/>
                <w:szCs w:val="20"/>
                <w:color w:val="auto"/>
              </w:rPr>
            </w:pPr>
            <w:r>
              <w:rPr>
                <w:rFonts w:ascii="Times New Roman" w:cs="Times New Roman" w:eastAsia="Times New Roman" w:hAnsi="Times New Roman"/>
                <w:sz w:val="18"/>
                <w:szCs w:val="18"/>
                <w:i w:val="1"/>
                <w:iCs w:val="1"/>
                <w:color w:val="auto"/>
              </w:rPr>
              <w:t>Co-Managers</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900" w:type="dxa"/>
            <w:vAlign w:val="bottom"/>
          </w:tcPr>
          <w:p>
            <w:pPr>
              <w:jc w:val="center"/>
              <w:ind w:right="1162"/>
              <w:spacing w:after="0"/>
              <w:rPr>
                <w:sz w:val="20"/>
                <w:szCs w:val="20"/>
                <w:color w:val="auto"/>
              </w:rPr>
            </w:pPr>
            <w:r>
              <w:rPr>
                <w:rFonts w:ascii="Times New Roman" w:cs="Times New Roman" w:eastAsia="Times New Roman" w:hAnsi="Times New Roman"/>
                <w:sz w:val="22"/>
                <w:szCs w:val="22"/>
                <w:b w:val="1"/>
                <w:bCs w:val="1"/>
                <w:color w:val="auto"/>
                <w:w w:val="97"/>
              </w:rPr>
              <w:t>Barclays</w:t>
            </w:r>
          </w:p>
        </w:tc>
        <w:tc>
          <w:tcPr>
            <w:tcW w:w="3080" w:type="dxa"/>
            <w:vAlign w:val="bottom"/>
            <w:gridSpan w:val="2"/>
          </w:tcPr>
          <w:p>
            <w:pPr>
              <w:jc w:val="center"/>
              <w:ind w:right="420"/>
              <w:spacing w:after="0"/>
              <w:rPr>
                <w:sz w:val="20"/>
                <w:szCs w:val="20"/>
                <w:color w:val="auto"/>
              </w:rPr>
            </w:pPr>
            <w:r>
              <w:rPr>
                <w:rFonts w:ascii="Times New Roman" w:cs="Times New Roman" w:eastAsia="Times New Roman" w:hAnsi="Times New Roman"/>
                <w:sz w:val="22"/>
                <w:szCs w:val="22"/>
                <w:b w:val="1"/>
                <w:bCs w:val="1"/>
                <w:color w:val="auto"/>
                <w:w w:val="97"/>
              </w:rPr>
              <w:t>BNP PARIBAS</w:t>
            </w:r>
          </w:p>
        </w:tc>
        <w:tc>
          <w:tcPr>
            <w:tcW w:w="3420" w:type="dxa"/>
            <w:vAlign w:val="bottom"/>
          </w:tcPr>
          <w:p>
            <w:pPr>
              <w:jc w:val="center"/>
              <w:ind w:left="482"/>
              <w:spacing w:after="0"/>
              <w:rPr>
                <w:sz w:val="20"/>
                <w:szCs w:val="20"/>
                <w:color w:val="auto"/>
              </w:rPr>
            </w:pPr>
            <w:r>
              <w:rPr>
                <w:rFonts w:ascii="Times New Roman" w:cs="Times New Roman" w:eastAsia="Times New Roman" w:hAnsi="Times New Roman"/>
                <w:sz w:val="22"/>
                <w:szCs w:val="22"/>
                <w:b w:val="1"/>
                <w:bCs w:val="1"/>
                <w:color w:val="auto"/>
                <w:w w:val="97"/>
              </w:rPr>
              <w:t>BofA Merrill Lynch</w:t>
            </w:r>
          </w:p>
        </w:tc>
        <w:tc>
          <w:tcPr>
            <w:tcW w:w="0" w:type="dxa"/>
            <w:vAlign w:val="bottom"/>
          </w:tcPr>
          <w:p>
            <w:pPr>
              <w:spacing w:after="0"/>
              <w:rPr>
                <w:sz w:val="1"/>
                <w:szCs w:val="1"/>
                <w:color w:val="auto"/>
              </w:rPr>
            </w:pPr>
          </w:p>
        </w:tc>
      </w:tr>
      <w:tr>
        <w:trPr>
          <w:trHeight w:val="243"/>
        </w:trPr>
        <w:tc>
          <w:tcPr>
            <w:tcW w:w="3900" w:type="dxa"/>
            <w:vAlign w:val="bottom"/>
          </w:tcPr>
          <w:p>
            <w:pPr>
              <w:jc w:val="center"/>
              <w:ind w:right="1142"/>
              <w:spacing w:after="0" w:line="243" w:lineRule="exact"/>
              <w:rPr>
                <w:sz w:val="20"/>
                <w:szCs w:val="20"/>
                <w:color w:val="auto"/>
              </w:rPr>
            </w:pPr>
            <w:r>
              <w:rPr>
                <w:rFonts w:ascii="Times New Roman" w:cs="Times New Roman" w:eastAsia="Times New Roman" w:hAnsi="Times New Roman"/>
                <w:sz w:val="22"/>
                <w:szCs w:val="22"/>
                <w:b w:val="1"/>
                <w:bCs w:val="1"/>
                <w:color w:val="auto"/>
                <w:w w:val="98"/>
              </w:rPr>
              <w:t>Credit Suisse</w:t>
            </w:r>
          </w:p>
        </w:tc>
        <w:tc>
          <w:tcPr>
            <w:tcW w:w="3080" w:type="dxa"/>
            <w:vAlign w:val="bottom"/>
            <w:gridSpan w:val="2"/>
          </w:tcPr>
          <w:p>
            <w:pPr>
              <w:jc w:val="center"/>
              <w:ind w:right="440"/>
              <w:spacing w:after="0" w:line="243" w:lineRule="exact"/>
              <w:rPr>
                <w:sz w:val="20"/>
                <w:szCs w:val="20"/>
                <w:color w:val="auto"/>
              </w:rPr>
            </w:pPr>
            <w:r>
              <w:rPr>
                <w:rFonts w:ascii="Times New Roman" w:cs="Times New Roman" w:eastAsia="Times New Roman" w:hAnsi="Times New Roman"/>
                <w:sz w:val="22"/>
                <w:szCs w:val="22"/>
                <w:b w:val="1"/>
                <w:bCs w:val="1"/>
                <w:color w:val="auto"/>
                <w:w w:val="95"/>
              </w:rPr>
              <w:t>J.P. Morgan</w:t>
            </w:r>
          </w:p>
        </w:tc>
        <w:tc>
          <w:tcPr>
            <w:tcW w:w="3420" w:type="dxa"/>
            <w:vAlign w:val="bottom"/>
          </w:tcPr>
          <w:p>
            <w:pPr>
              <w:jc w:val="center"/>
              <w:ind w:left="462"/>
              <w:spacing w:after="0" w:line="243" w:lineRule="exact"/>
              <w:rPr>
                <w:sz w:val="20"/>
                <w:szCs w:val="20"/>
                <w:color w:val="auto"/>
              </w:rPr>
            </w:pPr>
            <w:r>
              <w:rPr>
                <w:rFonts w:ascii="Times New Roman" w:cs="Times New Roman" w:eastAsia="Times New Roman" w:hAnsi="Times New Roman"/>
                <w:sz w:val="22"/>
                <w:szCs w:val="22"/>
                <w:b w:val="1"/>
                <w:bCs w:val="1"/>
                <w:color w:val="auto"/>
                <w:w w:val="98"/>
              </w:rPr>
              <w:t>Lloyds Securities</w:t>
            </w:r>
          </w:p>
        </w:tc>
        <w:tc>
          <w:tcPr>
            <w:tcW w:w="0" w:type="dxa"/>
            <w:vAlign w:val="bottom"/>
          </w:tcPr>
          <w:p>
            <w:pPr>
              <w:spacing w:after="0"/>
              <w:rPr>
                <w:sz w:val="1"/>
                <w:szCs w:val="1"/>
                <w:color w:val="auto"/>
              </w:rPr>
            </w:pPr>
          </w:p>
        </w:tc>
      </w:tr>
      <w:tr>
        <w:trPr>
          <w:trHeight w:val="257"/>
        </w:trPr>
        <w:tc>
          <w:tcPr>
            <w:tcW w:w="3900" w:type="dxa"/>
            <w:vAlign w:val="bottom"/>
          </w:tcPr>
          <w:p>
            <w:pPr>
              <w:jc w:val="center"/>
              <w:ind w:right="1142"/>
              <w:spacing w:after="0"/>
              <w:rPr>
                <w:sz w:val="20"/>
                <w:szCs w:val="20"/>
                <w:color w:val="auto"/>
              </w:rPr>
            </w:pPr>
            <w:r>
              <w:rPr>
                <w:rFonts w:ascii="Times New Roman" w:cs="Times New Roman" w:eastAsia="Times New Roman" w:hAnsi="Times New Roman"/>
                <w:sz w:val="22"/>
                <w:szCs w:val="22"/>
                <w:b w:val="1"/>
                <w:bCs w:val="1"/>
                <w:color w:val="auto"/>
                <w:w w:val="98"/>
              </w:rPr>
              <w:t>Mizuho Securities</w:t>
            </w:r>
          </w:p>
        </w:tc>
        <w:tc>
          <w:tcPr>
            <w:tcW w:w="3080" w:type="dxa"/>
            <w:vAlign w:val="bottom"/>
            <w:gridSpan w:val="2"/>
          </w:tcPr>
          <w:p>
            <w:pPr>
              <w:jc w:val="center"/>
              <w:ind w:right="440"/>
              <w:spacing w:after="0"/>
              <w:rPr>
                <w:sz w:val="20"/>
                <w:szCs w:val="20"/>
                <w:color w:val="auto"/>
              </w:rPr>
            </w:pPr>
            <w:r>
              <w:rPr>
                <w:rFonts w:ascii="Times New Roman" w:cs="Times New Roman" w:eastAsia="Times New Roman" w:hAnsi="Times New Roman"/>
                <w:sz w:val="22"/>
                <w:szCs w:val="22"/>
                <w:b w:val="1"/>
                <w:bCs w:val="1"/>
                <w:color w:val="auto"/>
                <w:w w:val="98"/>
              </w:rPr>
              <w:t>RBC Capital Markets</w:t>
            </w:r>
          </w:p>
        </w:tc>
        <w:tc>
          <w:tcPr>
            <w:tcW w:w="3420" w:type="dxa"/>
            <w:vAlign w:val="bottom"/>
          </w:tcPr>
          <w:p>
            <w:pPr>
              <w:jc w:val="center"/>
              <w:ind w:left="482"/>
              <w:spacing w:after="0"/>
              <w:rPr>
                <w:sz w:val="20"/>
                <w:szCs w:val="20"/>
                <w:color w:val="auto"/>
              </w:rPr>
            </w:pPr>
            <w:r>
              <w:rPr>
                <w:rFonts w:ascii="Times New Roman" w:cs="Times New Roman" w:eastAsia="Times New Roman" w:hAnsi="Times New Roman"/>
                <w:sz w:val="22"/>
                <w:szCs w:val="22"/>
                <w:b w:val="1"/>
                <w:bCs w:val="1"/>
                <w:color w:val="auto"/>
                <w:w w:val="97"/>
              </w:rPr>
              <w:t>SunTrust Robinson Humphrey</w:t>
            </w:r>
          </w:p>
        </w:tc>
        <w:tc>
          <w:tcPr>
            <w:tcW w:w="0" w:type="dxa"/>
            <w:vAlign w:val="bottom"/>
          </w:tcPr>
          <w:p>
            <w:pPr>
              <w:spacing w:after="0"/>
              <w:rPr>
                <w:sz w:val="1"/>
                <w:szCs w:val="1"/>
                <w:color w:val="auto"/>
              </w:rPr>
            </w:pPr>
          </w:p>
        </w:tc>
      </w:tr>
      <w:tr>
        <w:trPr>
          <w:trHeight w:val="287"/>
        </w:trPr>
        <w:tc>
          <w:tcPr>
            <w:tcW w:w="3900" w:type="dxa"/>
            <w:vAlign w:val="bottom"/>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auto"/>
              </w:rPr>
              <w:t>Santander</w:t>
            </w:r>
          </w:p>
        </w:tc>
        <w:tc>
          <w:tcPr>
            <w:tcW w:w="3080" w:type="dxa"/>
            <w:vAlign w:val="bottom"/>
            <w:gridSpan w:val="2"/>
          </w:tcPr>
          <w:p>
            <w:pPr>
              <w:jc w:val="center"/>
              <w:ind w:right="420"/>
              <w:spacing w:after="0"/>
              <w:rPr>
                <w:sz w:val="20"/>
                <w:szCs w:val="20"/>
                <w:color w:val="auto"/>
              </w:rPr>
            </w:pPr>
            <w:r>
              <w:rPr>
                <w:rFonts w:ascii="Times New Roman" w:cs="Times New Roman" w:eastAsia="Times New Roman" w:hAnsi="Times New Roman"/>
                <w:sz w:val="22"/>
                <w:szCs w:val="22"/>
                <w:b w:val="1"/>
                <w:bCs w:val="1"/>
                <w:color w:val="auto"/>
                <w:w w:val="97"/>
              </w:rPr>
              <w:t>Wells Fargo Securities</w:t>
            </w:r>
          </w:p>
        </w:tc>
        <w:tc>
          <w:tcPr>
            <w:tcW w:w="3420" w:type="dxa"/>
            <w:vAlign w:val="bottom"/>
            <w:vMerge w:val="restart"/>
          </w:tcPr>
          <w:p>
            <w:pPr>
              <w:ind w:left="820"/>
              <w:spacing w:after="0"/>
              <w:rPr>
                <w:sz w:val="20"/>
                <w:szCs w:val="20"/>
                <w:color w:val="auto"/>
              </w:rPr>
            </w:pPr>
            <w:r>
              <w:rPr>
                <w:rFonts w:ascii="Times New Roman" w:cs="Times New Roman" w:eastAsia="Times New Roman" w:hAnsi="Times New Roman"/>
                <w:sz w:val="18"/>
                <w:szCs w:val="18"/>
                <w:b w:val="1"/>
                <w:bCs w:val="1"/>
                <w:color w:val="auto"/>
              </w:rPr>
              <w:t>US Bancorp</w:t>
            </w:r>
          </w:p>
        </w:tc>
        <w:tc>
          <w:tcPr>
            <w:tcW w:w="0" w:type="dxa"/>
            <w:vAlign w:val="bottom"/>
          </w:tcPr>
          <w:p>
            <w:pPr>
              <w:spacing w:after="0"/>
              <w:rPr>
                <w:sz w:val="1"/>
                <w:szCs w:val="1"/>
                <w:color w:val="auto"/>
              </w:rPr>
            </w:pPr>
          </w:p>
        </w:tc>
      </w:tr>
      <w:tr>
        <w:trPr>
          <w:trHeight w:val="188"/>
        </w:trPr>
        <w:tc>
          <w:tcPr>
            <w:tcW w:w="3900" w:type="dxa"/>
            <w:vAlign w:val="bottom"/>
            <w:vMerge w:val="continue"/>
          </w:tcPr>
          <w:p>
            <w:pPr>
              <w:spacing w:after="0"/>
              <w:rPr>
                <w:sz w:val="16"/>
                <w:szCs w:val="16"/>
                <w:color w:val="auto"/>
              </w:rPr>
            </w:pPr>
          </w:p>
        </w:tc>
        <w:tc>
          <w:tcPr>
            <w:tcW w:w="2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DNB Markets</w:t>
            </w:r>
          </w:p>
        </w:tc>
        <w:tc>
          <w:tcPr>
            <w:tcW w:w="30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PNC Capital Markets LLC</w:t>
            </w:r>
          </w:p>
        </w:tc>
        <w:tc>
          <w:tcPr>
            <w:tcW w:w="342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TD Securities</w:t>
            </w:r>
          </w:p>
        </w:tc>
        <w:tc>
          <w:tcPr>
            <w:tcW w:w="0" w:type="dxa"/>
            <w:vAlign w:val="bottom"/>
          </w:tcPr>
          <w:p>
            <w:pPr>
              <w:spacing w:after="0"/>
              <w:rPr>
                <w:sz w:val="1"/>
                <w:szCs w:val="1"/>
                <w:color w:val="auto"/>
              </w:rPr>
            </w:pPr>
          </w:p>
        </w:tc>
      </w:tr>
      <w:tr>
        <w:trPr>
          <w:trHeight w:val="255"/>
        </w:trPr>
        <w:tc>
          <w:tcPr>
            <w:tcW w:w="3900" w:type="dxa"/>
            <w:vAlign w:val="bottom"/>
          </w:tcPr>
          <w:p>
            <w:pPr>
              <w:spacing w:after="0"/>
              <w:rPr>
                <w:sz w:val="22"/>
                <w:szCs w:val="22"/>
                <w:color w:val="auto"/>
              </w:rPr>
            </w:pPr>
          </w:p>
        </w:tc>
        <w:tc>
          <w:tcPr>
            <w:tcW w:w="3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The Williams Capital Group, L.P.</w:t>
            </w:r>
          </w:p>
        </w:tc>
        <w:tc>
          <w:tcPr>
            <w:tcW w:w="3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00" w:type="dxa"/>
            <w:vAlign w:val="bottom"/>
          </w:tcPr>
          <w:p>
            <w:pPr>
              <w:jc w:val="center"/>
              <w:ind w:right="1162"/>
              <w:spacing w:after="0" w:line="149" w:lineRule="exact"/>
              <w:rPr>
                <w:sz w:val="20"/>
                <w:szCs w:val="20"/>
                <w:color w:val="auto"/>
              </w:rPr>
            </w:pPr>
            <w:r>
              <w:rPr>
                <w:rFonts w:ascii="Times New Roman" w:cs="Times New Roman" w:eastAsia="Times New Roman" w:hAnsi="Times New Roman"/>
                <w:sz w:val="14"/>
                <w:szCs w:val="14"/>
                <w:b w:val="1"/>
                <w:bCs w:val="1"/>
                <w:color w:val="auto"/>
                <w:w w:val="96"/>
              </w:rPr>
              <w:t>Drexel Hamilton</w:t>
            </w:r>
          </w:p>
        </w:tc>
        <w:tc>
          <w:tcPr>
            <w:tcW w:w="30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Lebenthal Capital Markets</w:t>
            </w:r>
          </w:p>
        </w:tc>
        <w:tc>
          <w:tcPr>
            <w:tcW w:w="3420" w:type="dxa"/>
            <w:vAlign w:val="bottom"/>
          </w:tcPr>
          <w:p>
            <w:pPr>
              <w:jc w:val="center"/>
              <w:ind w:left="482"/>
              <w:spacing w:after="0" w:line="149" w:lineRule="exact"/>
              <w:rPr>
                <w:sz w:val="20"/>
                <w:szCs w:val="20"/>
                <w:color w:val="auto"/>
              </w:rPr>
            </w:pPr>
            <w:r>
              <w:rPr>
                <w:rFonts w:ascii="Times New Roman" w:cs="Times New Roman" w:eastAsia="Times New Roman" w:hAnsi="Times New Roman"/>
                <w:sz w:val="14"/>
                <w:szCs w:val="14"/>
                <w:b w:val="1"/>
                <w:bCs w:val="1"/>
                <w:color w:val="auto"/>
                <w:w w:val="97"/>
              </w:rPr>
              <w:t>MFR Securities, Inc.</w:t>
            </w:r>
          </w:p>
        </w:tc>
        <w:tc>
          <w:tcPr>
            <w:tcW w:w="0" w:type="dxa"/>
            <w:vAlign w:val="bottom"/>
          </w:tcPr>
          <w:p>
            <w:pPr>
              <w:spacing w:after="0"/>
              <w:rPr>
                <w:sz w:val="1"/>
                <w:szCs w:val="1"/>
                <w:color w:val="auto"/>
              </w:rPr>
            </w:pPr>
          </w:p>
        </w:tc>
      </w:tr>
      <w:tr>
        <w:trPr>
          <w:trHeight w:val="178"/>
        </w:trPr>
        <w:tc>
          <w:tcPr>
            <w:tcW w:w="3900" w:type="dxa"/>
            <w:vAlign w:val="bottom"/>
          </w:tcPr>
          <w:p>
            <w:pPr>
              <w:jc w:val="center"/>
              <w:ind w:right="1142"/>
              <w:spacing w:after="0"/>
              <w:rPr>
                <w:sz w:val="20"/>
                <w:szCs w:val="20"/>
                <w:color w:val="auto"/>
              </w:rPr>
            </w:pPr>
            <w:r>
              <w:rPr>
                <w:rFonts w:ascii="Times New Roman" w:cs="Times New Roman" w:eastAsia="Times New Roman" w:hAnsi="Times New Roman"/>
                <w:sz w:val="14"/>
                <w:szCs w:val="14"/>
                <w:b w:val="1"/>
                <w:bCs w:val="1"/>
                <w:color w:val="auto"/>
                <w:w w:val="95"/>
              </w:rPr>
              <w:t>Mischler Financial Group, Inc.</w:t>
            </w:r>
          </w:p>
        </w:tc>
        <w:tc>
          <w:tcPr>
            <w:tcW w:w="3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Ramirez &amp; Co., Inc.</w:t>
            </w:r>
          </w:p>
        </w:tc>
        <w:tc>
          <w:tcPr>
            <w:tcW w:w="342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w w:val="94"/>
              </w:rPr>
              <w:t>Telsey Advisory Group</w:t>
            </w:r>
          </w:p>
        </w:tc>
        <w:tc>
          <w:tcPr>
            <w:tcW w:w="0" w:type="dxa"/>
            <w:vAlign w:val="bottom"/>
          </w:tcPr>
          <w:p>
            <w:pPr>
              <w:spacing w:after="0"/>
              <w:rPr>
                <w:sz w:val="1"/>
                <w:szCs w:val="1"/>
                <w:color w:val="auto"/>
              </w:rPr>
            </w:pPr>
          </w:p>
        </w:tc>
      </w:tr>
      <w:tr>
        <w:trPr>
          <w:trHeight w:val="365"/>
        </w:trPr>
        <w:tc>
          <w:tcPr>
            <w:tcW w:w="39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May 19,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2466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020"/>
      </w:cols>
      <w:pgMar w:left="240" w:top="455"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215"/>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lowerLetter"/>
      <w:start w:val="3"/>
    </w:lvl>
  </w:abstractNum>
  <w:abstractNum w:abstractNumId="7">
    <w:nsid w:val="2901D82"/>
    <w:multiLevelType w:val="hybridMultilevel"/>
    <w:lvl w:ilvl="0">
      <w:lvlJc w:val="left"/>
      <w:lvlText w:val="•"/>
      <w:numFmt w:val="bullet"/>
      <w:start w:val="1"/>
    </w:lvl>
    <w:lvl w:ilvl="1">
      <w:lvlJc w:val="left"/>
      <w:lvlText w:val="•"/>
      <w:numFmt w:val="bullet"/>
      <w:start w:val="1"/>
    </w:lvl>
  </w:abstractNum>
  <w:abstractNum w:abstractNumId="8">
    <w:nsid w:val="3A95F874"/>
    <w:multiLevelType w:val="hybridMultilevel"/>
    <w:lvl w:ilvl="0">
      <w:lvlJc w:val="left"/>
      <w:lvlText w:val="%1"/>
      <w:numFmt w:val="lowerLetter"/>
      <w:start w:val="1"/>
    </w:lvl>
    <w:lvl w:ilvl="1">
      <w:lvlJc w:val="left"/>
      <w:lvlText w:val="(%2)"/>
      <w:numFmt w:val="lowerLetter"/>
      <w:start w:val="1"/>
    </w:lvl>
  </w:abstractNum>
  <w:abstractNum w:abstractNumId="9">
    <w:nsid w:val="8138641"/>
    <w:multiLevelType w:val="hybridMultilevel"/>
    <w:lvl w:ilvl="0">
      <w:lvlJc w:val="left"/>
      <w:lvlText w:val="(%1)"/>
      <w:numFmt w:val="lowerLetter"/>
      <w:start w:val="9"/>
    </w:lvl>
    <w:lvl w:ilvl="1">
      <w:lvlJc w:val="left"/>
      <w:lvlText w:val="(%2)"/>
      <w:numFmt w:val="lowerLetter"/>
      <w:start w:val="3"/>
    </w:lvl>
  </w:abstractNum>
  <w:abstractNum w:abstractNumId="10">
    <w:nsid w:val="1E7FF521"/>
    <w:multiLevelType w:val="hybridMultilevel"/>
    <w:lvl w:ilvl="0">
      <w:lvlJc w:val="left"/>
      <w:lvlText w:val="(%1)"/>
      <w:numFmt w:val="lowerRoman"/>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upperLetter"/>
      <w:start w:val="1"/>
    </w:lvl>
  </w:abstractNum>
  <w:abstractNum w:abstractNumId="17">
    <w:nsid w:val="614FD4A1"/>
    <w:multiLevelType w:val="hybridMultilevel"/>
    <w:lvl w:ilvl="0">
      <w:lvlJc w:val="left"/>
      <w:lvlText w:val="(%1)"/>
      <w:numFmt w:val="lowerRoman"/>
      <w:start w:val="1"/>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lowerLetter"/>
      <w:start w:val="3"/>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3"/>
    </w:lvl>
  </w:abstractNum>
  <w:abstractNum w:abstractNumId="30">
    <w:nsid w:val="580BD78F"/>
    <w:multiLevelType w:val="hybridMultilevel"/>
    <w:lvl w:ilvl="0">
      <w:lvlJc w:val="left"/>
      <w:lvlText w:val="%1"/>
      <w:numFmt w:val="lowerLetter"/>
      <w:start w:val="1"/>
    </w:lvl>
    <w:lvl w:ilvl="1">
      <w:lvlJc w:val="left"/>
      <w:lvlText w:val="(%2)"/>
      <w:numFmt w:val="lowerLetter"/>
      <w:start w:val="13"/>
    </w:lvl>
  </w:abstractNum>
  <w:abstractNum w:abstractNumId="31">
    <w:nsid w:val="153EA438"/>
    <w:multiLevelType w:val="hybridMultilevel"/>
    <w:lvl w:ilvl="0">
      <w:lvlJc w:val="left"/>
      <w:lvlText w:val="(%1)"/>
      <w:numFmt w:val="lowerLetter"/>
      <w:start w:val="61"/>
    </w:lvl>
    <w:lvl w:ilvl="1">
      <w:lvlJc w:val="left"/>
      <w:lvlText w:val="(%2)"/>
      <w:numFmt w:val="lowerLetter"/>
      <w:start w:val="19"/>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
      <w:numFmt w:val="bullet"/>
      <w:start w:val="1"/>
    </w:lvl>
    <w:lvl w:ilvl="1">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lvl w:ilvl="1">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2019-12-08T00:13:41Z</dcterms:created>
  <dcterms:modified xsi:type="dcterms:W3CDTF">2019-12-08T00:13:41Z</dcterms:modified>
</cp:coreProperties>
</file>