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As filed with the Securities and Exchange Commission on January 17, 1995</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99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AMENDMENT NO. 14</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to</w:t>
      </w:r>
    </w:p>
    <w:p>
      <w:pPr>
        <w:spacing w:after="0" w:line="201"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13E-3</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Rule 13e-3 Transaction Statement (Pursuant to Section 13(e)</w:t>
      </w:r>
    </w:p>
    <w:p>
      <w:pPr>
        <w:jc w:val="center"/>
        <w:ind w:right="1879"/>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32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QVC, INC.</w:t>
      </w:r>
    </w:p>
    <w:p>
      <w:pPr>
        <w:ind w:left="2540"/>
        <w:spacing w:after="0" w:line="238" w:lineRule="auto"/>
        <w:rPr>
          <w:sz w:val="20"/>
          <w:szCs w:val="20"/>
          <w:color w:val="auto"/>
        </w:rPr>
      </w:pPr>
      <w:r>
        <w:rPr>
          <w:rFonts w:ascii="Courier New" w:cs="Courier New" w:eastAsia="Courier New" w:hAnsi="Courier New"/>
          <w:sz w:val="18"/>
          <w:szCs w:val="18"/>
          <w:color w:val="auto"/>
        </w:rPr>
        <w:t>QVC PROGRAMMING HOLDINGS, INC.</w:t>
      </w:r>
    </w:p>
    <w:p>
      <w:pPr>
        <w:ind w:left="3160"/>
        <w:spacing w:after="0"/>
        <w:rPr>
          <w:sz w:val="20"/>
          <w:szCs w:val="20"/>
          <w:color w:val="auto"/>
        </w:rPr>
      </w:pPr>
      <w:r>
        <w:rPr>
          <w:rFonts w:ascii="Courier New" w:cs="Courier New" w:eastAsia="Courier New" w:hAnsi="Courier New"/>
          <w:sz w:val="18"/>
          <w:szCs w:val="18"/>
          <w:color w:val="auto"/>
        </w:rPr>
        <w:t>COMCAST CORPORATION</w:t>
      </w:r>
    </w:p>
    <w:p>
      <w:pPr>
        <w:ind w:left="2860"/>
        <w:spacing w:after="0" w:line="237" w:lineRule="auto"/>
        <w:rPr>
          <w:sz w:val="20"/>
          <w:szCs w:val="20"/>
          <w:color w:val="auto"/>
        </w:rPr>
      </w:pPr>
      <w:r>
        <w:rPr>
          <w:rFonts w:ascii="Courier New" w:cs="Courier New" w:eastAsia="Courier New" w:hAnsi="Courier New"/>
          <w:sz w:val="18"/>
          <w:szCs w:val="18"/>
          <w:color w:val="auto"/>
        </w:rPr>
        <w:t>TELE-COMMUNICATIONS, INC.</w:t>
      </w:r>
    </w:p>
    <w:p>
      <w:pPr>
        <w:ind w:left="2220"/>
        <w:spacing w:after="0" w:line="238" w:lineRule="auto"/>
        <w:rPr>
          <w:sz w:val="20"/>
          <w:szCs w:val="20"/>
          <w:color w:val="auto"/>
        </w:rPr>
      </w:pPr>
      <w:r>
        <w:rPr>
          <w:rFonts w:ascii="Courier New" w:cs="Courier New" w:eastAsia="Courier New" w:hAnsi="Courier New"/>
          <w:sz w:val="18"/>
          <w:szCs w:val="18"/>
          <w:color w:val="auto"/>
        </w:rPr>
        <w:t>(Name of Person(s) Filing Statement)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 $.01 par value per share</w:t>
      </w:r>
    </w:p>
    <w:p>
      <w:pPr>
        <w:jc w:val="center"/>
        <w:ind w:right="19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17"/>
                <w:szCs w:val="17"/>
                <w:color w:val="auto"/>
              </w:rPr>
            </w:pPr>
          </w:p>
        </w:tc>
        <w:tc>
          <w:tcPr>
            <w:tcW w:w="1740" w:type="dxa"/>
            <w:vAlign w:val="bottom"/>
          </w:tcPr>
          <w:p>
            <w:pPr>
              <w:jc w:val="center"/>
              <w:ind w:left="892"/>
              <w:spacing w:after="0"/>
              <w:rPr>
                <w:sz w:val="20"/>
                <w:szCs w:val="20"/>
                <w:color w:val="auto"/>
              </w:rPr>
            </w:pPr>
            <w:r>
              <w:rPr>
                <w:rFonts w:ascii="Courier New" w:cs="Courier New" w:eastAsia="Courier New" w:hAnsi="Courier New"/>
                <w:sz w:val="18"/>
                <w:szCs w:val="18"/>
                <w:color w:val="auto"/>
                <w:w w:val="98"/>
              </w:rPr>
              <w:t>747262</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w:t>
            </w:r>
          </w:p>
        </w:tc>
        <w:tc>
          <w:tcPr>
            <w:tcW w:w="640" w:type="dxa"/>
            <w:vAlign w:val="bottom"/>
          </w:tcPr>
          <w:p>
            <w:pPr>
              <w:jc w:val="right"/>
              <w:ind w:right="452"/>
              <w:spacing w:after="0"/>
              <w:rPr>
                <w:sz w:val="20"/>
                <w:szCs w:val="20"/>
                <w:color w:val="auto"/>
              </w:rPr>
            </w:pPr>
            <w:r>
              <w:rPr>
                <w:rFonts w:ascii="Courier New" w:cs="Courier New" w:eastAsia="Courier New" w:hAnsi="Courier New"/>
                <w:sz w:val="18"/>
                <w:szCs w:val="18"/>
                <w:color w:val="auto"/>
                <w:w w:val="73"/>
              </w:rPr>
              <w:t>3</w:t>
            </w:r>
          </w:p>
        </w:tc>
        <w:tc>
          <w:tcPr>
            <w:tcW w:w="2840" w:type="dxa"/>
            <w:vAlign w:val="bottom"/>
          </w:tcPr>
          <w:p>
            <w:pPr>
              <w:spacing w:after="0"/>
              <w:rPr>
                <w:sz w:val="17"/>
                <w:szCs w:val="17"/>
                <w:color w:val="auto"/>
              </w:rPr>
            </w:pPr>
          </w:p>
        </w:tc>
      </w:tr>
      <w:tr>
        <w:trPr>
          <w:trHeight w:val="203"/>
        </w:trPr>
        <w:tc>
          <w:tcPr>
            <w:tcW w:w="8120" w:type="dxa"/>
            <w:vAlign w:val="bottom"/>
            <w:gridSpan w:val="5"/>
          </w:tcPr>
          <w:p>
            <w:pPr>
              <w:ind w:left="2220"/>
              <w:spacing w:after="0" w:line="203" w:lineRule="exact"/>
              <w:rPr>
                <w:sz w:val="20"/>
                <w:szCs w:val="20"/>
                <w:color w:val="auto"/>
              </w:rPr>
            </w:pPr>
            <w:r>
              <w:rPr>
                <w:rFonts w:ascii="Courier New" w:cs="Courier New" w:eastAsia="Courier New" w:hAnsi="Courier New"/>
                <w:sz w:val="18"/>
                <w:szCs w:val="18"/>
                <w:color w:val="auto"/>
              </w:rPr>
              <w:t>(CUSIP Number of Class of Securities)</w:t>
            </w:r>
          </w:p>
        </w:tc>
      </w:tr>
      <w:tr>
        <w:trPr>
          <w:trHeight w:val="810"/>
        </w:trPr>
        <w:tc>
          <w:tcPr>
            <w:tcW w:w="2540" w:type="dxa"/>
            <w:vAlign w:val="bottom"/>
          </w:tcPr>
          <w:p>
            <w:pPr>
              <w:spacing w:after="0"/>
              <w:rPr>
                <w:sz w:val="24"/>
                <w:szCs w:val="24"/>
                <w:color w:val="auto"/>
              </w:rPr>
            </w:pPr>
          </w:p>
        </w:tc>
        <w:tc>
          <w:tcPr>
            <w:tcW w:w="2740" w:type="dxa"/>
            <w:vAlign w:val="bottom"/>
            <w:gridSpan w:val="3"/>
          </w:tcPr>
          <w:p>
            <w:pPr>
              <w:ind w:left="620"/>
              <w:spacing w:after="0"/>
              <w:rPr>
                <w:sz w:val="20"/>
                <w:szCs w:val="20"/>
                <w:color w:val="auto"/>
              </w:rPr>
            </w:pPr>
            <w:r>
              <w:rPr>
                <w:rFonts w:ascii="Courier New" w:cs="Courier New" w:eastAsia="Courier New" w:hAnsi="Courier New"/>
                <w:sz w:val="18"/>
                <w:szCs w:val="18"/>
                <w:color w:val="auto"/>
              </w:rPr>
              <w:t>------------------</w:t>
            </w:r>
          </w:p>
        </w:tc>
        <w:tc>
          <w:tcPr>
            <w:tcW w:w="2840" w:type="dxa"/>
            <w:vAlign w:val="bottom"/>
          </w:tcPr>
          <w:p>
            <w:pPr>
              <w:spacing w:after="0"/>
              <w:rPr>
                <w:sz w:val="24"/>
                <w:szCs w:val="24"/>
                <w:color w:val="auto"/>
              </w:rPr>
            </w:pPr>
          </w:p>
        </w:tc>
      </w:tr>
      <w:tr>
        <w:trPr>
          <w:trHeight w:val="608"/>
        </w:trPr>
        <w:tc>
          <w:tcPr>
            <w:tcW w:w="2540" w:type="dxa"/>
            <w:vAlign w:val="bottom"/>
          </w:tcPr>
          <w:p>
            <w:pPr>
              <w:jc w:val="center"/>
              <w:ind w:right="232"/>
              <w:spacing w:after="0"/>
              <w:rPr>
                <w:sz w:val="20"/>
                <w:szCs w:val="20"/>
                <w:color w:val="auto"/>
              </w:rPr>
            </w:pPr>
            <w:r>
              <w:rPr>
                <w:rFonts w:ascii="Courier New" w:cs="Courier New" w:eastAsia="Courier New" w:hAnsi="Courier New"/>
                <w:sz w:val="18"/>
                <w:szCs w:val="18"/>
                <w:color w:val="auto"/>
                <w:w w:val="97"/>
              </w:rPr>
              <w:t>Neal S. Grabell</w:t>
            </w:r>
          </w:p>
        </w:tc>
        <w:tc>
          <w:tcPr>
            <w:tcW w:w="2100" w:type="dxa"/>
            <w:vAlign w:val="bottom"/>
            <w:gridSpan w:val="2"/>
          </w:tcPr>
          <w:p>
            <w:pPr>
              <w:jc w:val="center"/>
              <w:ind w:left="432"/>
              <w:spacing w:after="0"/>
              <w:rPr>
                <w:sz w:val="20"/>
                <w:szCs w:val="20"/>
                <w:color w:val="auto"/>
              </w:rPr>
            </w:pPr>
            <w:r>
              <w:rPr>
                <w:rFonts w:ascii="Courier New" w:cs="Courier New" w:eastAsia="Courier New" w:hAnsi="Courier New"/>
                <w:sz w:val="18"/>
                <w:szCs w:val="18"/>
                <w:color w:val="auto"/>
                <w:w w:val="97"/>
              </w:rPr>
              <w:t>Stanley L. Wang</w:t>
            </w:r>
          </w:p>
        </w:tc>
        <w:tc>
          <w:tcPr>
            <w:tcW w:w="640" w:type="dxa"/>
            <w:vAlign w:val="bottom"/>
          </w:tcPr>
          <w:p>
            <w:pPr>
              <w:spacing w:after="0"/>
              <w:rPr>
                <w:sz w:val="24"/>
                <w:szCs w:val="24"/>
                <w:color w:val="auto"/>
              </w:rPr>
            </w:pPr>
          </w:p>
        </w:tc>
        <w:tc>
          <w:tcPr>
            <w:tcW w:w="28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Stephen M. Brett</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QVC, Inc.</w:t>
            </w:r>
          </w:p>
        </w:tc>
        <w:tc>
          <w:tcPr>
            <w:tcW w:w="2740" w:type="dxa"/>
            <w:vAlign w:val="bottom"/>
            <w:gridSpan w:val="3"/>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Comcast Corporation</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Tele-Communications, Inc.</w:t>
            </w:r>
          </w:p>
        </w:tc>
      </w:tr>
      <w:tr>
        <w:trPr>
          <w:trHeight w:val="203"/>
        </w:trPr>
        <w:tc>
          <w:tcPr>
            <w:tcW w:w="2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1365 Enterprise Drive</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1500 Market Street</w:t>
            </w: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5619 DTC Parkway</w:t>
            </w:r>
          </w:p>
        </w:tc>
      </w:tr>
      <w:tr>
        <w:trPr>
          <w:trHeight w:val="203"/>
        </w:trPr>
        <w:tc>
          <w:tcPr>
            <w:tcW w:w="254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West Chester, PA 19380</w:t>
            </w:r>
          </w:p>
        </w:tc>
        <w:tc>
          <w:tcPr>
            <w:tcW w:w="27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Philadelphia, PA 19102</w:t>
            </w:r>
          </w:p>
        </w:tc>
        <w:tc>
          <w:tcPr>
            <w:tcW w:w="284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Englewood, CO 80111</w:t>
            </w:r>
          </w:p>
        </w:tc>
      </w:tr>
      <w:tr>
        <w:trPr>
          <w:trHeight w:val="203"/>
        </w:trPr>
        <w:tc>
          <w:tcPr>
            <w:tcW w:w="25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(610) 701-1000</w:t>
            </w:r>
          </w:p>
        </w:tc>
        <w:tc>
          <w:tcPr>
            <w:tcW w:w="210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w w:val="96"/>
              </w:rPr>
              <w:t>(215) 665-1700</w:t>
            </w:r>
          </w:p>
        </w:tc>
        <w:tc>
          <w:tcPr>
            <w:tcW w:w="640" w:type="dxa"/>
            <w:vAlign w:val="bottom"/>
          </w:tcPr>
          <w:p>
            <w:pPr>
              <w:spacing w:after="0"/>
              <w:rPr>
                <w:sz w:val="17"/>
                <w:szCs w:val="17"/>
                <w:color w:val="auto"/>
              </w:rPr>
            </w:pPr>
          </w:p>
        </w:tc>
        <w:tc>
          <w:tcPr>
            <w:tcW w:w="28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6"/>
              </w:rPr>
              <w:t>(303) 267-5500</w:t>
            </w:r>
          </w:p>
        </w:tc>
      </w:tr>
    </w:tbl>
    <w:p>
      <w:pPr>
        <w:spacing w:after="0" w:line="207" w:lineRule="exact"/>
        <w:rPr>
          <w:sz w:val="24"/>
          <w:szCs w:val="24"/>
          <w:color w:val="auto"/>
        </w:rPr>
      </w:pPr>
    </w:p>
    <w:p>
      <w:pPr>
        <w:jc w:val="right"/>
        <w:ind w:left="540" w:right="2519"/>
        <w:spacing w:after="0" w:line="290" w:lineRule="auto"/>
        <w:rPr>
          <w:sz w:val="20"/>
          <w:szCs w:val="20"/>
          <w:color w:val="auto"/>
        </w:rPr>
      </w:pPr>
      <w:r>
        <w:rPr>
          <w:rFonts w:ascii="Courier New" w:cs="Courier New" w:eastAsia="Courier New" w:hAnsi="Courier New"/>
          <w:sz w:val="16"/>
          <w:szCs w:val="16"/>
          <w:color w:val="auto"/>
        </w:rPr>
        <w:t>(Name, Address and Telephone Number of Persons Authorized to Receive Notices and Communications on Behalf of Person(s) Filing Statement)</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2540" w:type="dxa"/>
            <w:vAlign w:val="bottom"/>
          </w:tcPr>
          <w:p>
            <w:pPr>
              <w:ind w:left="260"/>
              <w:spacing w:after="0"/>
              <w:rPr>
                <w:sz w:val="20"/>
                <w:szCs w:val="20"/>
                <w:color w:val="auto"/>
              </w:rPr>
            </w:pPr>
            <w:r>
              <w:rPr>
                <w:rFonts w:ascii="Courier New" w:cs="Courier New" w:eastAsia="Courier New" w:hAnsi="Courier New"/>
                <w:sz w:val="18"/>
                <w:szCs w:val="18"/>
                <w:color w:val="auto"/>
              </w:rPr>
              <w:t>Copies to:</w:t>
            </w:r>
          </w:p>
        </w:tc>
        <w:tc>
          <w:tcPr>
            <w:tcW w:w="2360" w:type="dxa"/>
            <w:vAlign w:val="bottom"/>
          </w:tcPr>
          <w:p>
            <w:pPr>
              <w:spacing w:after="0"/>
              <w:rPr>
                <w:sz w:val="17"/>
                <w:szCs w:val="17"/>
                <w:color w:val="auto"/>
              </w:rPr>
            </w:pPr>
          </w:p>
        </w:tc>
      </w:tr>
      <w:tr>
        <w:trPr>
          <w:trHeight w:val="608"/>
        </w:trPr>
        <w:tc>
          <w:tcPr>
            <w:tcW w:w="3320" w:type="dxa"/>
            <w:vAlign w:val="bottom"/>
          </w:tcPr>
          <w:p>
            <w:pPr>
              <w:jc w:val="center"/>
              <w:ind w:right="52"/>
              <w:spacing w:after="0"/>
              <w:rPr>
                <w:sz w:val="20"/>
                <w:szCs w:val="20"/>
                <w:color w:val="auto"/>
              </w:rPr>
            </w:pPr>
            <w:r>
              <w:rPr>
                <w:rFonts w:ascii="Courier New" w:cs="Courier New" w:eastAsia="Courier New" w:hAnsi="Courier New"/>
                <w:sz w:val="18"/>
                <w:szCs w:val="18"/>
                <w:color w:val="auto"/>
                <w:w w:val="98"/>
              </w:rPr>
              <w:t>Pamela S. Seymon</w:t>
            </w:r>
          </w:p>
        </w:tc>
        <w:tc>
          <w:tcPr>
            <w:tcW w:w="25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Dennis S. Hersch</w:t>
            </w:r>
          </w:p>
        </w:tc>
        <w:tc>
          <w:tcPr>
            <w:tcW w:w="2360" w:type="dxa"/>
            <w:vAlign w:val="bottom"/>
          </w:tcPr>
          <w:p>
            <w:pPr>
              <w:jc w:val="center"/>
              <w:spacing w:after="0"/>
              <w:rPr>
                <w:sz w:val="20"/>
                <w:szCs w:val="20"/>
                <w:color w:val="auto"/>
              </w:rPr>
            </w:pPr>
            <w:r>
              <w:rPr>
                <w:rFonts w:ascii="Courier New" w:cs="Courier New" w:eastAsia="Courier New" w:hAnsi="Courier New"/>
                <w:sz w:val="18"/>
                <w:szCs w:val="18"/>
                <w:color w:val="auto"/>
                <w:w w:val="97"/>
              </w:rPr>
              <w:t>Frederick H. McGrath</w:t>
            </w:r>
          </w:p>
        </w:tc>
      </w:tr>
      <w:tr>
        <w:trPr>
          <w:trHeight w:val="203"/>
        </w:trPr>
        <w:tc>
          <w:tcPr>
            <w:tcW w:w="3320" w:type="dxa"/>
            <w:vAlign w:val="bottom"/>
          </w:tcPr>
          <w:p>
            <w:pPr>
              <w:jc w:val="center"/>
              <w:ind w:right="72"/>
              <w:spacing w:after="0" w:line="203" w:lineRule="exact"/>
              <w:rPr>
                <w:sz w:val="20"/>
                <w:szCs w:val="20"/>
                <w:color w:val="auto"/>
              </w:rPr>
            </w:pPr>
            <w:r>
              <w:rPr>
                <w:rFonts w:ascii="Courier New" w:cs="Courier New" w:eastAsia="Courier New" w:hAnsi="Courier New"/>
                <w:sz w:val="18"/>
                <w:szCs w:val="18"/>
                <w:color w:val="auto"/>
                <w:w w:val="97"/>
              </w:rPr>
              <w:t>Wachtell, Lipton, Rosen &amp; Katz</w:t>
            </w:r>
          </w:p>
        </w:tc>
        <w:tc>
          <w:tcPr>
            <w:tcW w:w="25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Davis Polk &amp; Wardwell</w:t>
            </w:r>
          </w:p>
        </w:tc>
        <w:tc>
          <w:tcPr>
            <w:tcW w:w="2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6"/>
              </w:rPr>
              <w:t>Baker &amp; Botts, L.L.P.</w:t>
            </w:r>
          </w:p>
        </w:tc>
      </w:tr>
      <w:tr>
        <w:trPr>
          <w:trHeight w:val="203"/>
        </w:trPr>
        <w:tc>
          <w:tcPr>
            <w:tcW w:w="33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51 West 52nd Street</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8"/>
              </w:rPr>
              <w:t>450 Lexington Avenue</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885 Third Avenue</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7"/>
              </w:rPr>
              <w:t>New York, NY 10019</w:t>
            </w:r>
          </w:p>
        </w:tc>
        <w:tc>
          <w:tcPr>
            <w:tcW w:w="254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New York, NY 10017</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New York, NY 10022</w:t>
            </w:r>
          </w:p>
        </w:tc>
      </w:tr>
      <w:tr>
        <w:trPr>
          <w:trHeight w:val="203"/>
        </w:trPr>
        <w:tc>
          <w:tcPr>
            <w:tcW w:w="3320" w:type="dxa"/>
            <w:vAlign w:val="bottom"/>
          </w:tcPr>
          <w:p>
            <w:pPr>
              <w:jc w:val="center"/>
              <w:ind w:right="52"/>
              <w:spacing w:after="0" w:line="203" w:lineRule="exact"/>
              <w:rPr>
                <w:sz w:val="20"/>
                <w:szCs w:val="20"/>
                <w:color w:val="auto"/>
              </w:rPr>
            </w:pPr>
            <w:r>
              <w:rPr>
                <w:rFonts w:ascii="Courier New" w:cs="Courier New" w:eastAsia="Courier New" w:hAnsi="Courier New"/>
                <w:sz w:val="18"/>
                <w:szCs w:val="18"/>
                <w:color w:val="auto"/>
                <w:w w:val="96"/>
              </w:rPr>
              <w:t>(212) 403-1000</w:t>
            </w:r>
          </w:p>
        </w:tc>
        <w:tc>
          <w:tcPr>
            <w:tcW w:w="25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(212) 450-4000</w:t>
            </w:r>
          </w:p>
        </w:tc>
        <w:tc>
          <w:tcPr>
            <w:tcW w:w="23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(212) 705-5000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August 11, 1994</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 Tender Offer First Published,</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Sent or Given to Securityholders)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right="1999" w:firstLine="1264"/>
        <w:spacing w:after="0" w:line="272" w:lineRule="auto"/>
        <w:rPr>
          <w:sz w:val="20"/>
          <w:szCs w:val="20"/>
          <w:color w:val="auto"/>
        </w:rPr>
      </w:pPr>
      <w:r>
        <w:rPr>
          <w:rFonts w:ascii="Courier New" w:cs="Courier New" w:eastAsia="Courier New" w:hAnsi="Courier New"/>
          <w:sz w:val="16"/>
          <w:szCs w:val="16"/>
          <w:color w:val="auto"/>
        </w:rPr>
        <w:t>QVC Programming Holdings, Inc., Comcast Corporation, Tele-Communications, Inc. and QVC, Inc. hereby amend and supplement their Rule 13e-3 Transaction Statement on Schedule 13E-3 filed with the Securities and Exchange Commission on August 11, 1994 (as previously amended and supplemented the "Schedule 13E-3"), with respect to Bidders' Offer to Purchase for cash all outstanding shares of Common Stock and Preferred Stock of QVC.</w:t>
      </w:r>
    </w:p>
    <w:p>
      <w:pPr>
        <w:spacing w:after="0" w:line="186" w:lineRule="exact"/>
        <w:rPr>
          <w:sz w:val="24"/>
          <w:szCs w:val="24"/>
          <w:color w:val="auto"/>
        </w:rPr>
      </w:pPr>
    </w:p>
    <w:p>
      <w:pPr>
        <w:ind w:right="1999" w:firstLine="1264"/>
        <w:spacing w:after="0" w:line="275" w:lineRule="auto"/>
        <w:rPr>
          <w:sz w:val="20"/>
          <w:szCs w:val="20"/>
          <w:color w:val="auto"/>
        </w:rPr>
      </w:pPr>
      <w:r>
        <w:rPr>
          <w:rFonts w:ascii="Courier New" w:cs="Courier New" w:eastAsia="Courier New" w:hAnsi="Courier New"/>
          <w:sz w:val="16"/>
          <w:szCs w:val="16"/>
          <w:color w:val="auto"/>
        </w:rPr>
        <w:t>Information contained in the Schedule 13E-3 as hereby amended and supplemented with respect to Comcast, Liberty, TCI, the Purchaser and the Company and their respective executive officers, directors and controlling persons is given solely by such person, and no other person has responsibility</w:t>
      </w:r>
    </w:p>
    <w:p>
      <w:pPr>
        <w:sectPr>
          <w:pgSz w:w="11900" w:h="16880" w:orient="portrait"/>
          <w:cols w:equalWidth="0" w:num="1">
            <w:col w:w="10219"/>
          </w:cols>
          <w:pgMar w:left="240" w:top="447"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for the accuracy or completeness of information supplied by such other persons.</w:t>
      </w:r>
    </w:p>
    <w:p>
      <w:pPr>
        <w:spacing w:after="0" w:line="224" w:lineRule="exact"/>
        <w:rPr>
          <w:sz w:val="20"/>
          <w:szCs w:val="20"/>
          <w:color w:val="auto"/>
        </w:rPr>
      </w:pPr>
    </w:p>
    <w:p>
      <w:pPr>
        <w:ind w:right="2619" w:firstLine="1264"/>
        <w:spacing w:after="0" w:line="235" w:lineRule="auto"/>
        <w:rPr>
          <w:sz w:val="20"/>
          <w:szCs w:val="20"/>
          <w:color w:val="auto"/>
        </w:rPr>
      </w:pPr>
      <w:r>
        <w:rPr>
          <w:rFonts w:ascii="Courier New" w:cs="Courier New" w:eastAsia="Courier New" w:hAnsi="Courier New"/>
          <w:sz w:val="18"/>
          <w:szCs w:val="18"/>
          <w:color w:val="auto"/>
        </w:rPr>
        <w:t>Capitalized terms used but not defined herein shall have the meaning assigned to them in the Schedule 13E-3.</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Terms of the Transaction.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14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1999" w:firstLine="1272"/>
        <w:spacing w:after="0" w:line="235" w:lineRule="auto"/>
        <w:tabs>
          <w:tab w:leader="none" w:pos="1685"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(c) The answer to Items 4(a) and 4(b) of Amendment No. 14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16.</w:t>
      </w:r>
      <w:r>
        <w:rPr>
          <w:sz w:val="20"/>
          <w:szCs w:val="20"/>
          <w:color w:val="auto"/>
        </w:rPr>
        <w:tab/>
      </w:r>
      <w:r>
        <w:rPr>
          <w:rFonts w:ascii="Courier New" w:cs="Courier New" w:eastAsia="Courier New" w:hAnsi="Courier New"/>
          <w:sz w:val="16"/>
          <w:szCs w:val="16"/>
          <w:color w:val="auto"/>
        </w:rPr>
        <w:t>Additional Information.</w:t>
      </w:r>
    </w:p>
    <w:p>
      <w:pPr>
        <w:spacing w:after="0" w:line="207" w:lineRule="exact"/>
        <w:rPr>
          <w:sz w:val="20"/>
          <w:szCs w:val="20"/>
          <w:color w:val="auto"/>
        </w:rPr>
      </w:pPr>
    </w:p>
    <w:p>
      <w:pPr>
        <w:ind w:right="2419" w:firstLine="1264"/>
        <w:spacing w:after="0" w:line="235" w:lineRule="auto"/>
        <w:rPr>
          <w:sz w:val="20"/>
          <w:szCs w:val="20"/>
          <w:color w:val="auto"/>
        </w:rPr>
      </w:pPr>
      <w:r>
        <w:rPr>
          <w:rFonts w:ascii="Courier New" w:cs="Courier New" w:eastAsia="Courier New" w:hAnsi="Courier New"/>
          <w:sz w:val="18"/>
          <w:szCs w:val="18"/>
          <w:color w:val="auto"/>
        </w:rPr>
        <w:t>The answer to Items 10(c) and 10(f) of Amendment No. 14 to the Schedule 14D-1 is incorporated herein by reference.</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17.</w:t>
      </w:r>
      <w:r>
        <w:rPr>
          <w:sz w:val="20"/>
          <w:szCs w:val="20"/>
          <w:color w:val="auto"/>
        </w:rPr>
        <w:tab/>
      </w:r>
      <w:r>
        <w:rPr>
          <w:rFonts w:ascii="Courier New" w:cs="Courier New" w:eastAsia="Courier New" w:hAnsi="Courier New"/>
          <w:sz w:val="16"/>
          <w:szCs w:val="16"/>
          <w:color w:val="auto"/>
        </w:rPr>
        <w:t>Material to be Filed as Exhibits.</w:t>
      </w:r>
    </w:p>
    <w:p>
      <w:pPr>
        <w:spacing w:after="0" w:line="207"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(a)(1) -- Commmitment Letter, dated January 13, 1994, by and between Comcast and certain banks.(*)</w:t>
      </w:r>
    </w:p>
    <w:p>
      <w:pPr>
        <w:spacing w:after="0" w:line="208" w:lineRule="exact"/>
        <w:rPr>
          <w:sz w:val="20"/>
          <w:szCs w:val="20"/>
          <w:color w:val="auto"/>
        </w:rPr>
      </w:pPr>
    </w:p>
    <w:p>
      <w:pPr>
        <w:ind w:right="2519" w:firstLine="1264"/>
        <w:spacing w:after="0" w:line="235" w:lineRule="auto"/>
        <w:rPr>
          <w:sz w:val="20"/>
          <w:szCs w:val="20"/>
          <w:color w:val="auto"/>
        </w:rPr>
      </w:pPr>
      <w:r>
        <w:rPr>
          <w:rFonts w:ascii="Courier New" w:cs="Courier New" w:eastAsia="Courier New" w:hAnsi="Courier New"/>
          <w:sz w:val="18"/>
          <w:szCs w:val="18"/>
          <w:color w:val="auto"/>
        </w:rPr>
        <w:t>(d)(18) -- Text of Press Release issued by Comcast and TCI on January 13, 1995.(*)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320" w:hanging="312"/>
        <w:spacing w:after="0" w:line="238"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Incorporated by Reference to Amendment No. 14 to the Schedule 14D-1.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999" w:firstLine="1264"/>
        <w:spacing w:after="0" w:line="236" w:lineRule="auto"/>
        <w:rPr>
          <w:sz w:val="20"/>
          <w:szCs w:val="20"/>
          <w:color w:val="auto"/>
        </w:rPr>
      </w:pPr>
      <w:r>
        <w:rPr>
          <w:rFonts w:ascii="Courier New" w:cs="Courier New" w:eastAsia="Courier New" w:hAnsi="Courier New"/>
          <w:sz w:val="18"/>
          <w:szCs w:val="18"/>
          <w:color w:val="auto"/>
        </w:rPr>
        <w:t>After due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17, 1995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INC.</w:t>
      </w:r>
    </w:p>
    <w:p>
      <w:pPr>
        <w:spacing w:after="0" w:line="200" w:lineRule="exact"/>
        <w:rPr>
          <w:sz w:val="20"/>
          <w:szCs w:val="20"/>
          <w:color w:val="auto"/>
        </w:rPr>
      </w:pPr>
    </w:p>
    <w:p>
      <w:pPr>
        <w:spacing w:after="0" w:line="204" w:lineRule="exact"/>
        <w:rPr>
          <w:sz w:val="20"/>
          <w:szCs w:val="20"/>
          <w:color w:val="auto"/>
        </w:rPr>
      </w:pPr>
    </w:p>
    <w:p>
      <w:pPr>
        <w:jc w:val="center"/>
        <w:ind w:right="-120"/>
        <w:spacing w:after="0"/>
        <w:tabs>
          <w:tab w:leader="none" w:pos="300" w:val="left"/>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NEAL S. GRABELL</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4440"/>
        <w:spacing w:after="0"/>
        <w:rPr>
          <w:sz w:val="20"/>
          <w:szCs w:val="20"/>
          <w:color w:val="auto"/>
        </w:rPr>
      </w:pPr>
      <w:r>
        <w:rPr>
          <w:rFonts w:ascii="Courier New" w:cs="Courier New" w:eastAsia="Courier New" w:hAnsi="Courier New"/>
          <w:sz w:val="18"/>
          <w:szCs w:val="18"/>
          <w:color w:val="auto"/>
        </w:rPr>
        <w:t>Name: Neal S. Grabell</w:t>
      </w:r>
    </w:p>
    <w:p>
      <w:pPr>
        <w:ind w:left="4440"/>
        <w:spacing w:after="0" w:line="237" w:lineRule="auto"/>
        <w:rPr>
          <w:sz w:val="20"/>
          <w:szCs w:val="20"/>
          <w:color w:val="auto"/>
        </w:rPr>
      </w:pPr>
      <w:r>
        <w:rPr>
          <w:rFonts w:ascii="Courier New" w:cs="Courier New" w:eastAsia="Courier New" w:hAnsi="Courier New"/>
          <w:sz w:val="18"/>
          <w:szCs w:val="18"/>
          <w:color w:val="auto"/>
        </w:rPr>
        <w:t>Title: Senior Vice President,</w:t>
      </w:r>
    </w:p>
    <w:p>
      <w:pPr>
        <w:ind w:left="5700"/>
        <w:spacing w:after="0" w:line="238" w:lineRule="auto"/>
        <w:rPr>
          <w:sz w:val="20"/>
          <w:szCs w:val="20"/>
          <w:color w:val="auto"/>
        </w:rPr>
      </w:pPr>
      <w:r>
        <w:rPr>
          <w:rFonts w:ascii="Courier New" w:cs="Courier New" w:eastAsia="Courier New" w:hAnsi="Courier New"/>
          <w:sz w:val="18"/>
          <w:szCs w:val="18"/>
          <w:color w:val="auto"/>
        </w:rPr>
        <w:t>General Counsel and</w:t>
      </w:r>
    </w:p>
    <w:p>
      <w:pPr>
        <w:ind w:left="5700"/>
        <w:spacing w:after="0"/>
        <w:rPr>
          <w:sz w:val="20"/>
          <w:szCs w:val="20"/>
          <w:color w:val="auto"/>
        </w:rPr>
      </w:pPr>
      <w:r>
        <w:rPr>
          <w:rFonts w:ascii="Courier New" w:cs="Courier New" w:eastAsia="Courier New" w:hAnsi="Courier New"/>
          <w:sz w:val="18"/>
          <w:szCs w:val="18"/>
          <w:color w:val="auto"/>
        </w:rPr>
        <w:t>Corporate Secretary</w:t>
      </w:r>
    </w:p>
    <w:p>
      <w:pPr>
        <w:spacing w:after="0" w:line="200" w:lineRule="exact"/>
        <w:rPr>
          <w:sz w:val="20"/>
          <w:szCs w:val="20"/>
          <w:color w:val="auto"/>
        </w:rPr>
      </w:pP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QVC PROGRAMMING HOLDINGS, INC.</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COMCAST CORPORATION</w:t>
      </w:r>
    </w:p>
    <w:p>
      <w:pPr>
        <w:spacing w:after="0" w:line="200" w:lineRule="exact"/>
        <w:rPr>
          <w:sz w:val="20"/>
          <w:szCs w:val="20"/>
          <w:color w:val="auto"/>
        </w:rPr>
      </w:pPr>
    </w:p>
    <w:p>
      <w:pPr>
        <w:spacing w:after="0" w:line="204" w:lineRule="exact"/>
        <w:rPr>
          <w:sz w:val="20"/>
          <w:szCs w:val="20"/>
          <w:color w:val="auto"/>
        </w:rPr>
      </w:pPr>
    </w:p>
    <w:p>
      <w:pPr>
        <w:jc w:val="center"/>
        <w:ind w:right="-2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JULIAN A. BRODSKY</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4440"/>
        <w:spacing w:after="0"/>
        <w:rPr>
          <w:sz w:val="20"/>
          <w:szCs w:val="20"/>
          <w:color w:val="auto"/>
        </w:rPr>
      </w:pPr>
      <w:r>
        <w:rPr>
          <w:rFonts w:ascii="Courier New" w:cs="Courier New" w:eastAsia="Courier New" w:hAnsi="Courier New"/>
          <w:sz w:val="18"/>
          <w:szCs w:val="18"/>
          <w:color w:val="auto"/>
        </w:rPr>
        <w:t>Name: Julian A. Brodsky</w:t>
      </w:r>
    </w:p>
    <w:p>
      <w:pPr>
        <w:ind w:left="4440"/>
        <w:spacing w:after="0" w:line="237" w:lineRule="auto"/>
        <w:rPr>
          <w:sz w:val="20"/>
          <w:szCs w:val="20"/>
          <w:color w:val="auto"/>
        </w:rPr>
      </w:pPr>
      <w:r>
        <w:rPr>
          <w:rFonts w:ascii="Courier New" w:cs="Courier New" w:eastAsia="Courier New" w:hAnsi="Courier New"/>
          <w:sz w:val="18"/>
          <w:szCs w:val="18"/>
          <w:color w:val="auto"/>
        </w:rPr>
        <w:t>Title: Vice Chairman</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TELE-COMMUNICATIONS, INC.</w:t>
      </w:r>
    </w:p>
    <w:p>
      <w:pPr>
        <w:sectPr>
          <w:pgSz w:w="11900" w:h="16838" w:orient="portrait"/>
          <w:cols w:equalWidth="0" w:num="1">
            <w:col w:w="10219"/>
          </w:cols>
          <w:pgMar w:left="240" w:top="142" w:right="1440" w:bottom="132" w:gutter="0" w:footer="0" w:header="0"/>
        </w:sectPr>
      </w:pPr>
    </w:p>
    <w:bookmarkStart w:id="2" w:name="page3"/>
    <w:bookmarkEnd w:id="2"/>
    <w:p>
      <w:pPr>
        <w:jc w:val="center"/>
        <w:ind w:right="-120"/>
        <w:spacing w:after="0"/>
        <w:tabs>
          <w:tab w:leader="none" w:pos="180" w:val="left"/>
          <w:tab w:leader="none" w:pos="200" w:val="left"/>
        </w:tabs>
        <w:rPr>
          <w:sz w:val="20"/>
          <w:szCs w:val="20"/>
          <w:color w:val="auto"/>
        </w:rPr>
      </w:pPr>
      <w:r>
        <w:rPr>
          <w:rFonts w:ascii="Courier New" w:cs="Courier New" w:eastAsia="Courier New" w:hAnsi="Courier New"/>
          <w:sz w:val="18"/>
          <w:szCs w:val="18"/>
          <w:color w:val="auto"/>
        </w:rPr>
        <w:t>By:</w:t>
        <w:tab/>
        <w:t>/s/</w:t>
      </w:r>
      <w:r>
        <w:rPr>
          <w:sz w:val="20"/>
          <w:szCs w:val="20"/>
          <w:color w:val="auto"/>
        </w:rPr>
        <w:tab/>
      </w:r>
      <w:r>
        <w:rPr>
          <w:rFonts w:ascii="Courier New" w:cs="Courier New" w:eastAsia="Courier New" w:hAnsi="Courier New"/>
          <w:sz w:val="16"/>
          <w:szCs w:val="16"/>
          <w:color w:val="auto"/>
        </w:rPr>
        <w:t>STEPHEN M. BRETT</w:t>
      </w:r>
    </w:p>
    <w:p>
      <w:pPr>
        <w:ind w:left="4440"/>
        <w:spacing w:after="0" w:line="238" w:lineRule="auto"/>
        <w:rPr>
          <w:sz w:val="20"/>
          <w:szCs w:val="20"/>
          <w:color w:val="auto"/>
        </w:rPr>
      </w:pPr>
      <w:r>
        <w:rPr>
          <w:rFonts w:ascii="Courier New" w:cs="Courier New" w:eastAsia="Courier New" w:hAnsi="Courier New"/>
          <w:sz w:val="18"/>
          <w:szCs w:val="18"/>
          <w:color w:val="auto"/>
        </w:rPr>
        <w:t>_______________________________</w:t>
      </w:r>
    </w:p>
    <w:p>
      <w:pPr>
        <w:ind w:left="4440"/>
        <w:spacing w:after="0"/>
        <w:rPr>
          <w:sz w:val="20"/>
          <w:szCs w:val="20"/>
          <w:color w:val="auto"/>
        </w:rPr>
      </w:pPr>
      <w:r>
        <w:rPr>
          <w:rFonts w:ascii="Courier New" w:cs="Courier New" w:eastAsia="Courier New" w:hAnsi="Courier New"/>
          <w:sz w:val="18"/>
          <w:szCs w:val="18"/>
          <w:color w:val="auto"/>
        </w:rPr>
        <w:t>Name: Stephen M. Brett</w:t>
      </w:r>
    </w:p>
    <w:p>
      <w:pPr>
        <w:ind w:left="444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200" w:lineRule="exact"/>
        <w:rPr>
          <w:sz w:val="20"/>
          <w:szCs w:val="20"/>
          <w:color w:val="auto"/>
        </w:rPr>
      </w:pPr>
    </w:p>
    <w:p>
      <w:pPr>
        <w:spacing w:after="0" w:line="204"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40" w:type="dxa"/>
            <w:vAlign w:val="bottom"/>
          </w:tcPr>
          <w:p>
            <w:pPr>
              <w:ind w:left="460"/>
              <w:spacing w:after="0"/>
              <w:rPr>
                <w:sz w:val="20"/>
                <w:szCs w:val="20"/>
                <w:color w:val="auto"/>
              </w:rPr>
            </w:pPr>
            <w:r>
              <w:rPr>
                <w:rFonts w:ascii="Courier New" w:cs="Courier New" w:eastAsia="Courier New" w:hAnsi="Courier New"/>
                <w:sz w:val="18"/>
                <w:szCs w:val="18"/>
                <w:color w:val="auto"/>
              </w:rPr>
              <w:t>EXHIBIT INDEX</w:t>
            </w:r>
          </w:p>
        </w:tc>
        <w:tc>
          <w:tcPr>
            <w:tcW w:w="2160" w:type="dxa"/>
            <w:vAlign w:val="bottom"/>
          </w:tcPr>
          <w:p>
            <w:pPr>
              <w:spacing w:after="0"/>
              <w:rPr>
                <w:sz w:val="17"/>
                <w:szCs w:val="17"/>
                <w:color w:val="auto"/>
              </w:rPr>
            </w:pPr>
          </w:p>
        </w:tc>
      </w:tr>
      <w:tr>
        <w:trPr>
          <w:trHeight w:val="608"/>
        </w:trPr>
        <w:tc>
          <w:tcPr>
            <w:tcW w:w="132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13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60" w:type="dxa"/>
            <w:vAlign w:val="bottom"/>
          </w:tcPr>
          <w:p>
            <w:pPr>
              <w:ind w:left="780"/>
              <w:spacing w:after="0"/>
              <w:rPr>
                <w:sz w:val="20"/>
                <w:szCs w:val="20"/>
                <w:color w:val="auto"/>
              </w:rPr>
            </w:pPr>
            <w:r>
              <w:rPr>
                <w:rFonts w:ascii="Courier New" w:cs="Courier New" w:eastAsia="Courier New" w:hAnsi="Courier New"/>
                <w:sz w:val="18"/>
                <w:szCs w:val="18"/>
                <w:color w:val="auto"/>
              </w:rPr>
              <w:t>Sequentially</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4220" w:type="dxa"/>
            <w:vAlign w:val="bottom"/>
            <w:gridSpan w:val="2"/>
          </w:tcPr>
          <w:p>
            <w:pPr>
              <w:ind w:left="1220"/>
              <w:spacing w:after="0" w:line="203" w:lineRule="exact"/>
              <w:rPr>
                <w:sz w:val="20"/>
                <w:szCs w:val="20"/>
                <w:color w:val="auto"/>
              </w:rPr>
            </w:pPr>
            <w:r>
              <w:rPr>
                <w:rFonts w:ascii="Courier New" w:cs="Courier New" w:eastAsia="Courier New" w:hAnsi="Courier New"/>
                <w:sz w:val="18"/>
                <w:szCs w:val="18"/>
                <w:color w:val="auto"/>
              </w:rPr>
              <w:t>Description</w:t>
            </w:r>
          </w:p>
        </w:tc>
        <w:tc>
          <w:tcPr>
            <w:tcW w:w="2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Numbered Page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20" w:type="dxa"/>
            <w:vAlign w:val="bottom"/>
            <w:gridSpan w:val="2"/>
          </w:tcPr>
          <w:p>
            <w:pPr>
              <w:jc w:val="right"/>
              <w:ind w:right="1752"/>
              <w:spacing w:after="0" w:line="203" w:lineRule="exact"/>
              <w:rPr>
                <w:sz w:val="20"/>
                <w:szCs w:val="20"/>
                <w:color w:val="auto"/>
              </w:rPr>
            </w:pPr>
            <w:r>
              <w:rPr>
                <w:rFonts w:ascii="Courier New" w:cs="Courier New" w:eastAsia="Courier New" w:hAnsi="Courier New"/>
                <w:sz w:val="18"/>
                <w:szCs w:val="18"/>
                <w:color w:val="auto"/>
              </w:rPr>
              <w:t>-----------</w:t>
            </w:r>
          </w:p>
        </w:tc>
        <w:tc>
          <w:tcPr>
            <w:tcW w:w="21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(a)(1)</w:t>
            </w:r>
          </w:p>
        </w:tc>
        <w:tc>
          <w:tcPr>
            <w:tcW w:w="422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Commitment Letter, dated</w:t>
            </w:r>
          </w:p>
        </w:tc>
        <w:tc>
          <w:tcPr>
            <w:tcW w:w="2160" w:type="dxa"/>
            <w:vAlign w:val="bottom"/>
          </w:tcPr>
          <w:p>
            <w:pPr>
              <w:spacing w:after="0"/>
              <w:rPr>
                <w:sz w:val="24"/>
                <w:szCs w:val="24"/>
                <w:color w:val="auto"/>
              </w:rPr>
            </w:pPr>
          </w:p>
        </w:tc>
      </w:tr>
      <w:tr>
        <w:trPr>
          <w:trHeight w:val="203"/>
        </w:trPr>
        <w:tc>
          <w:tcPr>
            <w:tcW w:w="1320" w:type="dxa"/>
            <w:vAlign w:val="bottom"/>
          </w:tcPr>
          <w:p>
            <w:pPr>
              <w:spacing w:after="0"/>
              <w:rPr>
                <w:sz w:val="17"/>
                <w:szCs w:val="17"/>
                <w:color w:val="auto"/>
              </w:rPr>
            </w:pPr>
          </w:p>
        </w:tc>
        <w:tc>
          <w:tcPr>
            <w:tcW w:w="1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January</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13, 1994, by and</w:t>
            </w:r>
          </w:p>
        </w:tc>
        <w:tc>
          <w:tcPr>
            <w:tcW w:w="21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between</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Comcast and certain</w:t>
            </w:r>
          </w:p>
        </w:tc>
        <w:tc>
          <w:tcPr>
            <w:tcW w:w="21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4220" w:type="dxa"/>
            <w:vAlign w:val="bottom"/>
            <w:gridSpan w:val="2"/>
          </w:tcPr>
          <w:p>
            <w:pPr>
              <w:ind w:left="580"/>
              <w:spacing w:after="0" w:line="203" w:lineRule="exact"/>
              <w:rPr>
                <w:sz w:val="20"/>
                <w:szCs w:val="20"/>
                <w:color w:val="auto"/>
              </w:rPr>
            </w:pPr>
            <w:r>
              <w:rPr>
                <w:rFonts w:ascii="Courier New" w:cs="Courier New" w:eastAsia="Courier New" w:hAnsi="Courier New"/>
                <w:sz w:val="18"/>
                <w:szCs w:val="18"/>
                <w:color w:val="auto"/>
              </w:rPr>
              <w:t>banks.(*)</w:t>
            </w:r>
          </w:p>
        </w:tc>
        <w:tc>
          <w:tcPr>
            <w:tcW w:w="216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(d)(19)</w:t>
            </w:r>
          </w:p>
        </w:tc>
        <w:tc>
          <w:tcPr>
            <w:tcW w:w="1380" w:type="dxa"/>
            <w:vAlign w:val="bottom"/>
          </w:tcPr>
          <w:p>
            <w:pPr>
              <w:ind w:left="580"/>
              <w:spacing w:after="0"/>
              <w:rPr>
                <w:sz w:val="20"/>
                <w:szCs w:val="20"/>
                <w:color w:val="auto"/>
              </w:rPr>
            </w:pPr>
            <w:r>
              <w:rPr>
                <w:rFonts w:ascii="Courier New" w:cs="Courier New" w:eastAsia="Courier New" w:hAnsi="Courier New"/>
                <w:sz w:val="18"/>
                <w:szCs w:val="18"/>
                <w:color w:val="auto"/>
              </w:rPr>
              <w:t>Text of</w:t>
            </w:r>
          </w:p>
        </w:tc>
        <w:tc>
          <w:tcPr>
            <w:tcW w:w="5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Press Release issued by Comcast and TCI on</w:t>
            </w:r>
          </w:p>
        </w:tc>
      </w:tr>
      <w:tr>
        <w:trPr>
          <w:trHeight w:val="203"/>
        </w:trPr>
        <w:tc>
          <w:tcPr>
            <w:tcW w:w="1320" w:type="dxa"/>
            <w:vAlign w:val="bottom"/>
          </w:tcPr>
          <w:p>
            <w:pPr>
              <w:spacing w:after="0"/>
              <w:rPr>
                <w:sz w:val="17"/>
                <w:szCs w:val="17"/>
                <w:color w:val="auto"/>
              </w:rPr>
            </w:pPr>
          </w:p>
        </w:tc>
        <w:tc>
          <w:tcPr>
            <w:tcW w:w="13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January</w:t>
            </w:r>
          </w:p>
        </w:tc>
        <w:tc>
          <w:tcPr>
            <w:tcW w:w="284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w w:val="98"/>
              </w:rPr>
              <w:t>13, 1995.(*)</w:t>
            </w:r>
          </w:p>
        </w:tc>
        <w:tc>
          <w:tcPr>
            <w:tcW w:w="216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w:t>
      </w:r>
    </w:p>
    <w:p>
      <w:pPr>
        <w:spacing w:after="0" w:line="238" w:lineRule="auto"/>
        <w:rPr>
          <w:sz w:val="20"/>
          <w:szCs w:val="20"/>
          <w:color w:val="auto"/>
        </w:rPr>
      </w:pPr>
      <w:r>
        <w:rPr>
          <w:rFonts w:ascii="Courier New" w:cs="Courier New" w:eastAsia="Courier New" w:hAnsi="Courier New"/>
          <w:sz w:val="18"/>
          <w:szCs w:val="18"/>
          <w:color w:val="auto"/>
        </w:rPr>
        <w:t>* Incorporated by reference to Amendment No. 14 to the Schedule 14D-1.</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2019-12-16T12:27:39Z</dcterms:created>
  <dcterms:modified xsi:type="dcterms:W3CDTF">2019-12-16T12:27:39Z</dcterms:modified>
</cp:coreProperties>
</file>