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118110</wp:posOffset>
            </wp:positionV>
            <wp:extent cx="293306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520" w:firstLine="5"/>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March 31, 2011, there were 2,084,367,723 shares of our Class A common stock, 672,382,858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4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960" w:type="dxa"/>
            <w:vAlign w:val="bottom"/>
            <w:gridSpan w:val="17"/>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6840" w:type="dxa"/>
            <w:vAlign w:val="bottom"/>
            <w:gridSpan w:val="11"/>
          </w:tcPr>
          <w:p>
            <w:pPr>
              <w:spacing w:after="0"/>
              <w:rPr>
                <w:sz w:val="12"/>
                <w:szCs w:val="12"/>
                <w:color w:val="auto"/>
              </w:rPr>
            </w:pPr>
          </w:p>
        </w:tc>
        <w:tc>
          <w:tcPr>
            <w:tcW w:w="1440" w:type="dxa"/>
            <w:vAlign w:val="bottom"/>
          </w:tcPr>
          <w:p>
            <w:pPr>
              <w:jc w:val="right"/>
              <w:spacing w:after="0" w:line="14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980" w:type="dxa"/>
            <w:vAlign w:val="bottom"/>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March 31, 2011 and December 31, 2010 (Unaudited)</w:t>
              </w:r>
            </w:hyperlink>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980" w:type="dxa"/>
            <w:vAlign w:val="bottom"/>
            <w:gridSpan w:val="15"/>
          </w:tcPr>
          <w:p>
            <w:pPr>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Condensed Consolidated Statement of Income for the Three Months Ended March 31, 2011 and 2010 (Unaudited)</w:t>
              </w:r>
            </w:hyperlink>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980" w:type="dxa"/>
            <w:vAlign w:val="bottom"/>
            <w:gridSpan w:val="15"/>
          </w:tcPr>
          <w:p>
            <w:pPr>
              <w:spacing w:after="0" w:line="129" w:lineRule="exact"/>
              <w:rPr>
                <w:rFonts w:ascii="Arial" w:cs="Arial" w:eastAsia="Arial" w:hAnsi="Arial"/>
                <w:sz w:val="14"/>
                <w:szCs w:val="14"/>
                <w:color w:val="0000EE"/>
                <w:w w:val="98"/>
              </w:rPr>
            </w:pPr>
            <w:hyperlink w:anchor="page5">
              <w:r>
                <w:rPr>
                  <w:rFonts w:ascii="Arial" w:cs="Arial" w:eastAsia="Arial" w:hAnsi="Arial"/>
                  <w:sz w:val="14"/>
                  <w:szCs w:val="14"/>
                  <w:color w:val="0000EE"/>
                  <w:w w:val="98"/>
                </w:rPr>
                <w:t>Condensed Consolidated Statement of Comprehensive Income for the Three Months Ended March 31, 2011 and 2010 (Unaudited)</w:t>
              </w:r>
            </w:hyperlink>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20" w:type="dxa"/>
            <w:vAlign w:val="bottom"/>
            <w:tcBorders>
              <w:top w:val="single" w:sz="8" w:color="0000EE"/>
              <w:bottom w:val="single" w:sz="8" w:color="0000EE"/>
            </w:tcBorders>
            <w:gridSpan w:val="12"/>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Three Months Ended March 31, 2011 and 2010 (Unaudited)</w:t>
              </w:r>
            </w:hyperlink>
          </w:p>
        </w:tc>
        <w:tc>
          <w:tcPr>
            <w:tcW w:w="640" w:type="dxa"/>
            <w:vAlign w:val="bottom"/>
            <w:tcBorders>
              <w:top w:val="single" w:sz="8" w:color="0000EE"/>
            </w:tcBorders>
            <w:gridSpan w:val="2"/>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980" w:type="dxa"/>
            <w:vAlign w:val="bottom"/>
            <w:gridSpan w:val="15"/>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Three Months Ended March 31, 2011 and 2010 (Unaudited)</w:t>
              </w:r>
            </w:hyperlink>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78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200" w:type="dxa"/>
            <w:vAlign w:val="bottom"/>
            <w:gridSpan w:val="2"/>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8"/>
          </w:tcPr>
          <w:p>
            <w:pPr>
              <w:spacing w:after="0" w:line="129" w:lineRule="exact"/>
              <w:rPr>
                <w:rFonts w:ascii="Arial" w:cs="Arial" w:eastAsia="Arial" w:hAnsi="Arial"/>
                <w:sz w:val="14"/>
                <w:szCs w:val="14"/>
                <w:color w:val="0000EE"/>
                <w:w w:val="89"/>
              </w:rPr>
            </w:pPr>
            <w:hyperlink w:anchor="page34">
              <w:r>
                <w:rPr>
                  <w:rFonts w:ascii="Arial" w:cs="Arial" w:eastAsia="Arial" w:hAnsi="Arial"/>
                  <w:sz w:val="14"/>
                  <w:szCs w:val="14"/>
                  <w:color w:val="0000EE"/>
                  <w:w w:val="89"/>
                </w:rPr>
                <w:t>Management’s Discussion and Analysis of Financial Condition and</w:t>
              </w:r>
            </w:hyperlink>
          </w:p>
        </w:tc>
        <w:tc>
          <w:tcPr>
            <w:tcW w:w="4280" w:type="dxa"/>
            <w:vAlign w:val="bottom"/>
            <w:gridSpan w:val="7"/>
          </w:tcPr>
          <w:p>
            <w:pPr>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Results of Operations</w:t>
              </w:r>
            </w:hyperlink>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Quantitative and Qualitative Disclosures About Market Risk</w:t>
              </w:r>
            </w:hyperlink>
          </w:p>
        </w:tc>
        <w:tc>
          <w:tcPr>
            <w:tcW w:w="3120" w:type="dxa"/>
            <w:vAlign w:val="bottom"/>
            <w:gridSpan w:val="6"/>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52">
              <w:r>
                <w:rPr>
                  <w:rFonts w:ascii="Arial" w:cs="Arial" w:eastAsia="Arial" w:hAnsi="Arial"/>
                  <w:sz w:val="14"/>
                  <w:szCs w:val="14"/>
                  <w:color w:val="0000EE"/>
                </w:rPr>
                <w:t>Controls and Procedures</w:t>
              </w:r>
            </w:hyperlink>
          </w:p>
        </w:tc>
        <w:tc>
          <w:tcPr>
            <w:tcW w:w="4700" w:type="dxa"/>
            <w:vAlign w:val="bottom"/>
            <w:gridSpan w:val="8"/>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2"/>
          </w:tcPr>
          <w:p>
            <w:pPr>
              <w:spacing w:after="0"/>
              <w:rPr>
                <w:sz w:val="11"/>
                <w:szCs w:val="11"/>
                <w:color w:val="auto"/>
              </w:rPr>
            </w:pPr>
          </w:p>
        </w:tc>
        <w:tc>
          <w:tcPr>
            <w:tcW w:w="1920" w:type="dxa"/>
            <w:vAlign w:val="bottom"/>
          </w:tcPr>
          <w:p>
            <w:pPr>
              <w:spacing w:after="0"/>
              <w:rPr>
                <w:sz w:val="11"/>
                <w:szCs w:val="11"/>
                <w:color w:val="auto"/>
              </w:rPr>
            </w:pPr>
          </w:p>
        </w:tc>
        <w:tc>
          <w:tcPr>
            <w:tcW w:w="4720" w:type="dxa"/>
            <w:vAlign w:val="bottom"/>
            <w:gridSpan w:val="9"/>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7980" w:type="dxa"/>
            <w:vAlign w:val="bottom"/>
            <w:gridSpan w:val="15"/>
          </w:tcPr>
          <w:p>
            <w:pPr>
              <w:spacing w:after="0" w:line="148" w:lineRule="exact"/>
              <w:rPr>
                <w:rFonts w:ascii="Arial" w:cs="Arial" w:eastAsia="Arial" w:hAnsi="Arial"/>
                <w:sz w:val="14"/>
                <w:szCs w:val="14"/>
                <w:color w:val="0000EE"/>
              </w:rPr>
            </w:pPr>
            <w:hyperlink w:anchor="page52">
              <w:r>
                <w:rPr>
                  <w:rFonts w:ascii="Arial" w:cs="Arial" w:eastAsia="Arial" w:hAnsi="Arial"/>
                  <w:sz w:val="14"/>
                  <w:szCs w:val="14"/>
                  <w:color w:val="0000EE"/>
                </w:rPr>
                <w:t>Legal Proceedings</w:t>
              </w:r>
            </w:hyperlink>
          </w:p>
        </w:tc>
        <w:tc>
          <w:tcPr>
            <w:tcW w:w="1440" w:type="dxa"/>
            <w:vAlign w:val="bottom"/>
          </w:tcPr>
          <w:p>
            <w:pPr>
              <w:jc w:val="right"/>
              <w:spacing w:after="0" w:line="148"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52">
              <w:r>
                <w:rPr>
                  <w:rFonts w:ascii="Arial" w:cs="Arial" w:eastAsia="Arial" w:hAnsi="Arial"/>
                  <w:sz w:val="14"/>
                  <w:szCs w:val="14"/>
                  <w:color w:val="0000EE"/>
                </w:rPr>
                <w:t>Risk Factors</w:t>
              </w:r>
            </w:hyperlink>
          </w:p>
        </w:tc>
        <w:tc>
          <w:tcPr>
            <w:tcW w:w="2260" w:type="dxa"/>
            <w:vAlign w:val="bottom"/>
            <w:gridSpan w:val="3"/>
          </w:tcPr>
          <w:p>
            <w:pPr>
              <w:spacing w:after="0"/>
              <w:rPr>
                <w:sz w:val="11"/>
                <w:szCs w:val="11"/>
                <w:color w:val="auto"/>
              </w:rPr>
            </w:pPr>
          </w:p>
        </w:tc>
        <w:tc>
          <w:tcPr>
            <w:tcW w:w="4720" w:type="dxa"/>
            <w:vAlign w:val="bottom"/>
            <w:gridSpan w:val="9"/>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53">
              <w:r>
                <w:rPr>
                  <w:rFonts w:ascii="Arial" w:cs="Arial" w:eastAsia="Arial" w:hAnsi="Arial"/>
                  <w:sz w:val="14"/>
                  <w:szCs w:val="14"/>
                  <w:color w:val="0000EE"/>
                  <w:w w:val="82"/>
                </w:rPr>
                <w:t>Unregistered</w:t>
              </w:r>
            </w:hyperlink>
          </w:p>
        </w:tc>
        <w:tc>
          <w:tcPr>
            <w:tcW w:w="7300" w:type="dxa"/>
            <w:vAlign w:val="bottom"/>
            <w:gridSpan w:val="13"/>
          </w:tcPr>
          <w:p>
            <w:pPr>
              <w:ind w:left="60"/>
              <w:spacing w:after="0" w:line="129" w:lineRule="exact"/>
              <w:rPr>
                <w:rFonts w:ascii="Arial" w:cs="Arial" w:eastAsia="Arial" w:hAnsi="Arial"/>
                <w:sz w:val="14"/>
                <w:szCs w:val="14"/>
                <w:color w:val="0000EE"/>
              </w:rPr>
            </w:pPr>
            <w:hyperlink w:anchor="page53">
              <w:r>
                <w:rPr>
                  <w:rFonts w:ascii="Arial" w:cs="Arial" w:eastAsia="Arial" w:hAnsi="Arial"/>
                  <w:sz w:val="14"/>
                  <w:szCs w:val="14"/>
                  <w:color w:val="0000EE"/>
                </w:rPr>
                <w:t>Sales of Equity Securities and Use of Proceeds</w:t>
              </w:r>
            </w:hyperlink>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53">
              <w:r>
                <w:rPr>
                  <w:rFonts w:ascii="Arial" w:cs="Arial" w:eastAsia="Arial" w:hAnsi="Arial"/>
                  <w:sz w:val="14"/>
                  <w:szCs w:val="14"/>
                  <w:color w:val="0000EE"/>
                </w:rPr>
                <w:t>Exhibits</w:t>
              </w:r>
            </w:hyperlink>
          </w:p>
        </w:tc>
        <w:tc>
          <w:tcPr>
            <w:tcW w:w="4720" w:type="dxa"/>
            <w:vAlign w:val="bottom"/>
            <w:gridSpan w:val="9"/>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54">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is for the three months ended March 31, 2011.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as “we,” “us” and “our;” and Comcast Holdings Corporation as “Comcast Holdings.”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technology and consumer behavior may adversely affect our businesses and results of operations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future results of operations</w:t>
      </w:r>
    </w:p>
    <w:p>
      <w:pPr>
        <w:spacing w:after="0" w:line="55" w:lineRule="exact"/>
        <w:rPr>
          <w:rFonts w:ascii="Arial" w:cs="Arial" w:eastAsia="Arial" w:hAnsi="Arial"/>
          <w:sz w:val="14"/>
          <w:szCs w:val="14"/>
          <w:color w:val="auto"/>
        </w:rPr>
      </w:pPr>
    </w:p>
    <w:p>
      <w:pPr>
        <w:ind w:left="1020" w:right="1260" w:hanging="215"/>
        <w:spacing w:after="0" w:line="317" w:lineRule="auto"/>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a result of the NBCUniversal transaction, our businesses are subject to the conditions set forth in the NBCUniversal Order and the NBCUniversal Consent Decree, and there can be no assurance that these conditions will not have an adverse effect on our businesses and results of operations</w:t>
      </w: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results of operations and financial condition</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technology, as well as key properties, and a disruption, failure or destruction of such networks, systems, technology or properties may disrupt our business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our own employees or sports leagues, may disrupt our operations and adversely affect our business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face a significant withdrawal liability if we withdraw from multiemployer pension plans or be required to make additional contributions under such plans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other risk factors that are described in our Annual Report on Form 10-K for the year ended December 31,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260" w:type="dxa"/>
            <w:vAlign w:val="bottom"/>
            <w:gridSpan w:val="2"/>
          </w:tcPr>
          <w:p>
            <w:pPr>
              <w:jc w:val="right"/>
              <w:ind w:right="293"/>
              <w:spacing w:after="0"/>
              <w:rPr>
                <w:sz w:val="20"/>
                <w:szCs w:val="20"/>
                <w:color w:val="auto"/>
              </w:rPr>
            </w:pPr>
            <w:r>
              <w:rPr>
                <w:rFonts w:ascii="Arial" w:cs="Arial" w:eastAsia="Arial" w:hAnsi="Arial"/>
                <w:sz w:val="14"/>
                <w:szCs w:val="14"/>
                <w:color w:val="auto"/>
              </w:rPr>
              <w:t>March 31,</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60" w:type="dxa"/>
            <w:vAlign w:val="bottom"/>
          </w:tcPr>
          <w:p>
            <w:pPr>
              <w:spacing w:after="0"/>
              <w:rPr>
                <w:sz w:val="13"/>
                <w:szCs w:val="13"/>
                <w:color w:val="auto"/>
              </w:rPr>
            </w:pPr>
          </w:p>
        </w:tc>
        <w:tc>
          <w:tcPr>
            <w:tcW w:w="900" w:type="dxa"/>
            <w:vAlign w:val="bottom"/>
          </w:tcPr>
          <w:p>
            <w:pPr>
              <w:jc w:val="right"/>
              <w:ind w:right="433"/>
              <w:spacing w:after="0" w:line="159"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1,822</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3,708</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776</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1,167</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7,547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4,945</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10,711</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24,911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Franchise rights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59,442</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27,001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17,725</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1,977</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6"/>
              </w:rPr>
              <w:t>154,259</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118,534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4,858</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1,152</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5,441</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2,296</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13,747</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38,130</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28,919</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11,617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16)</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15,239</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2,449,828,473 and 2,437,281,651;</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outstanding, 2,084,367,723 and 2,071,820,901</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24</w:t>
            </w: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743,317,622 and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766,168,658; outstanding, 672,382,858 and 695,233,894</w:t>
            </w:r>
          </w:p>
        </w:tc>
        <w:tc>
          <w:tcPr>
            <w:tcW w:w="36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41,407</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12,504</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6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(7,517)</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46,328</w:t>
            </w:r>
          </w:p>
        </w:tc>
        <w:tc>
          <w:tcPr>
            <w:tcW w:w="4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279</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46,607</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86"/>
              </w:rPr>
              <w:t>154,259</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2"/>
              </w:rPr>
              <w:t>118,534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335"/>
              <w:spacing w:after="0" w:line="142" w:lineRule="exact"/>
              <w:rPr>
                <w:sz w:val="20"/>
                <w:szCs w:val="20"/>
                <w:color w:val="auto"/>
              </w:rPr>
            </w:pPr>
            <w:r>
              <w:rPr>
                <w:rFonts w:ascii="Arial" w:cs="Arial" w:eastAsia="Arial" w:hAnsi="Arial"/>
                <w:sz w:val="14"/>
                <w:szCs w:val="14"/>
                <w:color w:val="auto"/>
                <w:w w:val="96"/>
              </w:rPr>
              <w:t>2011</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w w:val="83"/>
              </w:rPr>
              <w:t>12,128</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 (excluding depreciation and amortization)</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8,062</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1,486</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356</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9,904</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2,224</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1,635</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(596)</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1,039</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5"/>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b w:val="1"/>
                <w:bCs w:val="1"/>
                <w:color w:val="auto"/>
              </w:rPr>
              <w:t>943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866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0.34</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b w:val="1"/>
                <w:bCs w:val="1"/>
                <w:color w:val="auto"/>
              </w:rPr>
              <w:t>0.34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w w:val="83"/>
              </w:rPr>
              <w:t>0.1125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0.0945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right"/>
              <w:ind w:right="314"/>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5"/>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color w:val="auto"/>
                <w:w w:val="83"/>
              </w:rPr>
              <w:t>2011</w:t>
            </w:r>
          </w:p>
        </w:tc>
        <w:tc>
          <w:tcPr>
            <w:tcW w:w="70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1,039</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Unrealized gains (losses) on marketable securities, net of deferred taxes of $(3) and $—</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$(6) and $—</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Realized (gains) losses on marketable securities, net of deferred taxes of $4 and $—</w:t>
            </w:r>
          </w:p>
        </w:tc>
        <w:tc>
          <w:tcPr>
            <w:tcW w:w="660" w:type="dxa"/>
            <w:vAlign w:val="bottom"/>
            <w:shd w:val="clear" w:color="auto" w:fill="E5E5E5"/>
          </w:tcPr>
          <w:p>
            <w:pPr>
              <w:spacing w:after="0"/>
              <w:rPr>
                <w:sz w:val="20"/>
                <w:szCs w:val="20"/>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700" w:type="dxa"/>
            <w:vAlign w:val="bottom"/>
            <w:shd w:val="clear" w:color="auto" w:fill="E5E5E5"/>
          </w:tcPr>
          <w:p>
            <w:pPr>
              <w:spacing w:after="0"/>
              <w:rPr>
                <w:sz w:val="20"/>
                <w:szCs w:val="20"/>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Realized (gains) losses on cash flow hedges, net of deferred taxes of $7 and $(1)</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$(2) and $—</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from consolidated operations</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1,043</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6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865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2"/>
          </w:tcPr>
          <w:p>
            <w:pPr>
              <w:jc w:val="right"/>
              <w:ind w:right="2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1520" w:type="dxa"/>
            <w:vAlign w:val="bottom"/>
          </w:tcPr>
          <w:p>
            <w:pPr>
              <w:jc w:val="right"/>
              <w:ind w:right="595"/>
              <w:spacing w:after="0" w:line="142" w:lineRule="exact"/>
              <w:rPr>
                <w:sz w:val="20"/>
                <w:szCs w:val="20"/>
                <w:color w:val="auto"/>
              </w:rPr>
            </w:pPr>
            <w:r>
              <w:rPr>
                <w:rFonts w:ascii="Arial" w:cs="Arial" w:eastAsia="Arial" w:hAnsi="Arial"/>
                <w:sz w:val="14"/>
                <w:szCs w:val="14"/>
                <w:color w:val="auto"/>
              </w:rPr>
              <w:t>2011</w:t>
            </w:r>
          </w:p>
        </w:tc>
        <w:tc>
          <w:tcPr>
            <w:tcW w:w="66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20" w:type="dxa"/>
            <w:vAlign w:val="bottom"/>
            <w:tcBorders>
              <w:top w:val="single" w:sz="8" w:color="auto"/>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$ 3,468</w:t>
            </w:r>
          </w:p>
        </w:tc>
        <w:tc>
          <w:tcPr>
            <w:tcW w:w="66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$ 2,903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(1,106)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(123)</w:t>
            </w: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(5,658)</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520" w:type="dxa"/>
            <w:vAlign w:val="bottom"/>
          </w:tcPr>
          <w:p>
            <w:pPr>
              <w:jc w:val="right"/>
              <w:ind w:right="455"/>
              <w:spacing w:after="0"/>
              <w:rPr>
                <w:sz w:val="20"/>
                <w:szCs w:val="20"/>
                <w:color w:val="auto"/>
              </w:rPr>
            </w:pPr>
            <w:r>
              <w:rPr>
                <w:rFonts w:ascii="Arial" w:cs="Arial" w:eastAsia="Arial" w:hAnsi="Arial"/>
                <w:sz w:val="18"/>
                <w:szCs w:val="18"/>
                <w:color w:val="auto"/>
              </w:rPr>
              <w:t>18</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(16)</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52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(6,887)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1,677</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1520" w:type="dxa"/>
            <w:vAlign w:val="bottom"/>
          </w:tcPr>
          <w:p>
            <w:pPr>
              <w:jc w:val="right"/>
              <w:ind w:right="45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(1,759)</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(525)</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(46)</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color w:val="auto"/>
              </w:rPr>
              <w:t>171</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(743)</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(4,162)</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5,984</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$ 1,822</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$ 3,483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color w:val="auto"/>
              </w:rPr>
              <w:t>Redeemable</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right="396"/>
              <w:spacing w:after="0" w:line="149" w:lineRule="exact"/>
              <w:rPr>
                <w:sz w:val="20"/>
                <w:szCs w:val="20"/>
                <w:color w:val="auto"/>
              </w:rPr>
            </w:pPr>
            <w:r>
              <w:rPr>
                <w:rFonts w:ascii="Arial" w:cs="Arial" w:eastAsia="Arial" w:hAnsi="Arial"/>
                <w:sz w:val="14"/>
                <w:szCs w:val="14"/>
                <w:color w:val="auto"/>
                <w:w w:val="92"/>
              </w:rPr>
              <w:t>Non-</w:t>
            </w:r>
          </w:p>
        </w:tc>
        <w:tc>
          <w:tcPr>
            <w:tcW w:w="28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56"/>
              <w:spacing w:after="0" w:line="149" w:lineRule="exact"/>
              <w:rPr>
                <w:sz w:val="20"/>
                <w:szCs w:val="20"/>
                <w:color w:val="auto"/>
              </w:rPr>
            </w:pPr>
            <w:r>
              <w:rPr>
                <w:rFonts w:ascii="Arial" w:cs="Arial" w:eastAsia="Arial" w:hAnsi="Arial"/>
                <w:sz w:val="14"/>
                <w:szCs w:val="14"/>
                <w:color w:val="auto"/>
              </w:rPr>
              <w:t>Additional</w:t>
            </w:r>
          </w:p>
        </w:tc>
        <w:tc>
          <w:tcPr>
            <w:tcW w:w="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Treasury</w:t>
            </w:r>
          </w:p>
        </w:tc>
        <w:tc>
          <w:tcPr>
            <w:tcW w:w="280" w:type="dxa"/>
            <w:vAlign w:val="bottom"/>
          </w:tcPr>
          <w:p>
            <w:pPr>
              <w:spacing w:after="0"/>
              <w:rPr>
                <w:sz w:val="12"/>
                <w:szCs w:val="12"/>
                <w:color w:val="auto"/>
              </w:rPr>
            </w:pPr>
          </w:p>
        </w:tc>
        <w:tc>
          <w:tcPr>
            <w:tcW w:w="820" w:type="dxa"/>
            <w:vAlign w:val="bottom"/>
          </w:tcPr>
          <w:p>
            <w:pPr>
              <w:jc w:val="center"/>
              <w:ind w:right="235"/>
              <w:spacing w:after="0" w:line="149" w:lineRule="exact"/>
              <w:rPr>
                <w:sz w:val="20"/>
                <w:szCs w:val="20"/>
                <w:color w:val="auto"/>
              </w:rPr>
            </w:pPr>
            <w:r>
              <w:rPr>
                <w:rFonts w:ascii="Arial" w:cs="Arial" w:eastAsia="Arial" w:hAnsi="Arial"/>
                <w:sz w:val="14"/>
                <w:szCs w:val="14"/>
                <w:color w:val="auto"/>
                <w:w w:val="85"/>
              </w:rPr>
              <w:t>Other</w:t>
            </w:r>
          </w:p>
        </w:tc>
        <w:tc>
          <w:tcPr>
            <w:tcW w:w="220" w:type="dxa"/>
            <w:vAlign w:val="bottom"/>
          </w:tcPr>
          <w:p>
            <w:pPr>
              <w:spacing w:after="0"/>
              <w:rPr>
                <w:sz w:val="12"/>
                <w:szCs w:val="12"/>
                <w:color w:val="auto"/>
              </w:rPr>
            </w:pPr>
          </w:p>
        </w:tc>
        <w:tc>
          <w:tcPr>
            <w:tcW w:w="620" w:type="dxa"/>
            <w:vAlign w:val="bottom"/>
          </w:tcPr>
          <w:p>
            <w:pPr>
              <w:jc w:val="right"/>
              <w:ind w:right="234"/>
              <w:spacing w:after="0" w:line="149" w:lineRule="exact"/>
              <w:rPr>
                <w:sz w:val="20"/>
                <w:szCs w:val="20"/>
                <w:color w:val="auto"/>
              </w:rPr>
            </w:pPr>
            <w:r>
              <w:rPr>
                <w:rFonts w:ascii="Arial" w:cs="Arial" w:eastAsia="Arial" w:hAnsi="Arial"/>
                <w:sz w:val="14"/>
                <w:szCs w:val="14"/>
                <w:color w:val="auto"/>
                <w:w w:val="92"/>
              </w:rPr>
              <w:t>Non-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80" w:type="dxa"/>
            <w:vAlign w:val="bottom"/>
            <w:gridSpan w:val="2"/>
          </w:tcPr>
          <w:p>
            <w:pPr>
              <w:jc w:val="center"/>
              <w:ind w:right="76"/>
              <w:spacing w:after="0" w:line="149" w:lineRule="exact"/>
              <w:rPr>
                <w:sz w:val="20"/>
                <w:szCs w:val="20"/>
                <w:color w:val="auto"/>
              </w:rPr>
            </w:pPr>
            <w:r>
              <w:rPr>
                <w:rFonts w:ascii="Arial" w:cs="Arial" w:eastAsia="Arial" w:hAnsi="Arial"/>
                <w:sz w:val="14"/>
                <w:szCs w:val="14"/>
                <w:color w:val="auto"/>
                <w:w w:val="93"/>
              </w:rPr>
              <w:t>controlling</w:t>
            </w:r>
          </w:p>
        </w:tc>
        <w:tc>
          <w:tcPr>
            <w:tcW w:w="28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jc w:val="right"/>
              <w:ind w:right="216"/>
              <w:spacing w:after="0" w:line="149" w:lineRule="exact"/>
              <w:rPr>
                <w:sz w:val="20"/>
                <w:szCs w:val="20"/>
                <w:color w:val="auto"/>
              </w:rPr>
            </w:pPr>
            <w:r>
              <w:rPr>
                <w:rFonts w:ascii="Arial" w:cs="Arial" w:eastAsia="Arial" w:hAnsi="Arial"/>
                <w:sz w:val="14"/>
                <w:szCs w:val="14"/>
                <w:color w:val="auto"/>
              </w:rPr>
              <w:t>A</w:t>
            </w:r>
          </w:p>
        </w:tc>
        <w:tc>
          <w:tcPr>
            <w:tcW w:w="520" w:type="dxa"/>
            <w:vAlign w:val="bottom"/>
          </w:tcPr>
          <w:p>
            <w:pPr>
              <w:spacing w:after="0"/>
              <w:rPr>
                <w:sz w:val="12"/>
                <w:szCs w:val="12"/>
                <w:color w:val="auto"/>
              </w:rPr>
            </w:pPr>
          </w:p>
        </w:tc>
        <w:tc>
          <w:tcPr>
            <w:tcW w:w="86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Paid-In</w:t>
            </w:r>
          </w:p>
        </w:tc>
        <w:tc>
          <w:tcPr>
            <w:tcW w:w="84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Retained</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Comprehensive</w:t>
            </w: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controlling</w:t>
            </w:r>
          </w:p>
        </w:tc>
        <w:tc>
          <w:tcPr>
            <w:tcW w:w="78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2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960" w:type="dxa"/>
            <w:vAlign w:val="bottom"/>
          </w:tcPr>
          <w:p>
            <w:pPr>
              <w:jc w:val="center"/>
              <w:ind w:right="396"/>
              <w:spacing w:after="0"/>
              <w:rPr>
                <w:sz w:val="20"/>
                <w:szCs w:val="20"/>
                <w:color w:val="auto"/>
              </w:rPr>
            </w:pPr>
            <w:r>
              <w:rPr>
                <w:rFonts w:ascii="Arial" w:cs="Arial" w:eastAsia="Arial" w:hAnsi="Arial"/>
                <w:sz w:val="14"/>
                <w:szCs w:val="14"/>
                <w:color w:val="auto"/>
                <w:w w:val="81"/>
              </w:rPr>
              <w:t>Interests</w:t>
            </w:r>
          </w:p>
        </w:tc>
        <w:tc>
          <w:tcPr>
            <w:tcW w:w="280" w:type="dxa"/>
            <w:vAlign w:val="bottom"/>
            <w:tcBorders>
              <w:left w:val="single" w:sz="8" w:color="auto"/>
            </w:tcBorders>
          </w:tcPr>
          <w:p>
            <w:pPr>
              <w:spacing w:after="0"/>
              <w:rPr>
                <w:sz w:val="15"/>
                <w:szCs w:val="15"/>
                <w:color w:val="auto"/>
              </w:rPr>
            </w:pPr>
          </w:p>
        </w:tc>
        <w:tc>
          <w:tcPr>
            <w:tcW w:w="420" w:type="dxa"/>
            <w:vAlign w:val="bottom"/>
          </w:tcPr>
          <w:p>
            <w:pPr>
              <w:jc w:val="center"/>
              <w:ind w:left="36"/>
              <w:spacing w:after="0"/>
              <w:rPr>
                <w:sz w:val="20"/>
                <w:szCs w:val="20"/>
                <w:color w:val="auto"/>
              </w:rPr>
            </w:pPr>
            <w:r>
              <w:rPr>
                <w:rFonts w:ascii="Arial" w:cs="Arial" w:eastAsia="Arial" w:hAnsi="Arial"/>
                <w:sz w:val="14"/>
                <w:szCs w:val="14"/>
                <w:color w:val="auto"/>
              </w:rPr>
              <w:t>A</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Special</w:t>
            </w:r>
          </w:p>
        </w:tc>
        <w:tc>
          <w:tcPr>
            <w:tcW w:w="520" w:type="dxa"/>
            <w:vAlign w:val="bottom"/>
          </w:tcPr>
          <w:p>
            <w:pPr>
              <w:jc w:val="center"/>
              <w:spacing w:after="0"/>
              <w:rPr>
                <w:sz w:val="20"/>
                <w:szCs w:val="20"/>
                <w:color w:val="auto"/>
              </w:rPr>
            </w:pPr>
            <w:r>
              <w:rPr>
                <w:rFonts w:ascii="Arial" w:cs="Arial" w:eastAsia="Arial" w:hAnsi="Arial"/>
                <w:sz w:val="14"/>
                <w:szCs w:val="14"/>
                <w:color w:val="auto"/>
                <w:w w:val="85"/>
              </w:rPr>
              <w:t>B</w:t>
            </w:r>
          </w:p>
        </w:tc>
        <w:tc>
          <w:tcPr>
            <w:tcW w:w="860" w:type="dxa"/>
            <w:vAlign w:val="bottom"/>
          </w:tcPr>
          <w:p>
            <w:pPr>
              <w:jc w:val="right"/>
              <w:ind w:right="156"/>
              <w:spacing w:after="0"/>
              <w:rPr>
                <w:sz w:val="20"/>
                <w:szCs w:val="20"/>
                <w:color w:val="auto"/>
              </w:rPr>
            </w:pPr>
            <w:r>
              <w:rPr>
                <w:rFonts w:ascii="Arial" w:cs="Arial" w:eastAsia="Arial" w:hAnsi="Arial"/>
                <w:sz w:val="14"/>
                <w:szCs w:val="14"/>
                <w:color w:val="auto"/>
              </w:rPr>
              <w:t>Capital</w:t>
            </w:r>
          </w:p>
        </w:tc>
        <w:tc>
          <w:tcPr>
            <w:tcW w:w="840" w:type="dxa"/>
            <w:vAlign w:val="bottom"/>
          </w:tcPr>
          <w:p>
            <w:pPr>
              <w:jc w:val="right"/>
              <w:ind w:right="135"/>
              <w:spacing w:after="0"/>
              <w:rPr>
                <w:sz w:val="20"/>
                <w:szCs w:val="20"/>
                <w:color w:val="auto"/>
              </w:rPr>
            </w:pPr>
            <w:r>
              <w:rPr>
                <w:rFonts w:ascii="Arial" w:cs="Arial" w:eastAsia="Arial" w:hAnsi="Arial"/>
                <w:sz w:val="14"/>
                <w:szCs w:val="14"/>
                <w:color w:val="auto"/>
              </w:rPr>
              <w:t>Earnings</w:t>
            </w:r>
          </w:p>
        </w:tc>
        <w:tc>
          <w:tcPr>
            <w:tcW w:w="780" w:type="dxa"/>
            <w:vAlign w:val="bottom"/>
          </w:tcPr>
          <w:p>
            <w:pPr>
              <w:jc w:val="center"/>
              <w:spacing w:after="0"/>
              <w:rPr>
                <w:sz w:val="20"/>
                <w:szCs w:val="20"/>
                <w:color w:val="auto"/>
              </w:rPr>
            </w:pPr>
            <w:r>
              <w:rPr>
                <w:rFonts w:ascii="Arial" w:cs="Arial" w:eastAsia="Arial" w:hAnsi="Arial"/>
                <w:sz w:val="14"/>
                <w:szCs w:val="14"/>
                <w:color w:val="auto"/>
                <w:w w:val="83"/>
              </w:rPr>
              <w:t>Cost</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840" w:type="dxa"/>
            <w:vAlign w:val="bottom"/>
            <w:gridSpan w:val="2"/>
          </w:tcPr>
          <w:p>
            <w:pPr>
              <w:jc w:val="right"/>
              <w:ind w:right="134"/>
              <w:spacing w:after="0"/>
              <w:rPr>
                <w:sz w:val="20"/>
                <w:szCs w:val="20"/>
                <w:color w:val="auto"/>
              </w:rPr>
            </w:pPr>
            <w:r>
              <w:rPr>
                <w:rFonts w:ascii="Arial" w:cs="Arial" w:eastAsia="Arial" w:hAnsi="Arial"/>
                <w:sz w:val="14"/>
                <w:szCs w:val="14"/>
                <w:color w:val="auto"/>
              </w:rPr>
              <w:t>Interests</w:t>
            </w:r>
          </w:p>
        </w:tc>
        <w:tc>
          <w:tcPr>
            <w:tcW w:w="780" w:type="dxa"/>
            <w:vAlign w:val="bottom"/>
          </w:tcPr>
          <w:p>
            <w:pPr>
              <w:jc w:val="right"/>
              <w:ind w:right="13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2010</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auto"/>
              <w:left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jc w:val="center"/>
              <w:ind w:left="36"/>
              <w:spacing w:after="0"/>
              <w:rPr>
                <w:sz w:val="20"/>
                <w:szCs w:val="20"/>
                <w:color w:val="auto"/>
              </w:rPr>
            </w:pPr>
            <w:r>
              <w:rPr>
                <w:rFonts w:ascii="Arial" w:cs="Arial" w:eastAsia="Arial" w:hAnsi="Arial"/>
                <w:sz w:val="18"/>
                <w:szCs w:val="18"/>
                <w:color w:val="auto"/>
                <w:w w:val="86"/>
              </w:rPr>
              <w:t>$24</w:t>
            </w:r>
          </w:p>
        </w:tc>
        <w:tc>
          <w:tcPr>
            <w:tcW w:w="3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8</w:t>
            </w:r>
          </w:p>
        </w:tc>
        <w:tc>
          <w:tcPr>
            <w:tcW w:w="52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860" w:type="dxa"/>
            <w:vAlign w:val="bottom"/>
            <w:tcBorders>
              <w:top w:val="single" w:sz="8" w:color="auto"/>
            </w:tcBorders>
            <w:shd w:val="clear" w:color="auto" w:fill="E5E5E5"/>
          </w:tcPr>
          <w:p>
            <w:pPr>
              <w:jc w:val="right"/>
              <w:ind w:right="56"/>
              <w:spacing w:after="0"/>
              <w:rPr>
                <w:sz w:val="20"/>
                <w:szCs w:val="20"/>
                <w:color w:val="auto"/>
              </w:rPr>
            </w:pPr>
            <w:r>
              <w:rPr>
                <w:rFonts w:ascii="Arial" w:cs="Arial" w:eastAsia="Arial" w:hAnsi="Arial"/>
                <w:sz w:val="18"/>
                <w:szCs w:val="18"/>
                <w:color w:val="auto"/>
              </w:rPr>
              <w:t>$40,247</w:t>
            </w:r>
          </w:p>
        </w:tc>
        <w:tc>
          <w:tcPr>
            <w:tcW w:w="840" w:type="dxa"/>
            <w:vAlign w:val="bottom"/>
            <w:tcBorders>
              <w:top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$10,005</w:t>
            </w:r>
          </w:p>
        </w:tc>
        <w:tc>
          <w:tcPr>
            <w:tcW w:w="780" w:type="dxa"/>
            <w:vAlign w:val="bottom"/>
            <w:tcBorders>
              <w:top w:val="single" w:sz="8" w:color="auto"/>
            </w:tcBorders>
            <w:shd w:val="clear" w:color="auto" w:fill="E5E5E5"/>
          </w:tcPr>
          <w:p>
            <w:pPr>
              <w:jc w:val="right"/>
              <w:ind w:right="1"/>
              <w:spacing w:after="0"/>
              <w:rPr>
                <w:sz w:val="20"/>
                <w:szCs w:val="20"/>
                <w:color w:val="auto"/>
              </w:rPr>
            </w:pPr>
            <w:r>
              <w:rPr>
                <w:rFonts w:ascii="Arial" w:cs="Arial" w:eastAsia="Arial" w:hAnsi="Arial"/>
                <w:sz w:val="18"/>
                <w:szCs w:val="18"/>
                <w:color w:val="auto"/>
              </w:rPr>
              <w:t>$(7,517)</w:t>
            </w:r>
          </w:p>
        </w:tc>
        <w:tc>
          <w:tcPr>
            <w:tcW w:w="28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90</w:t>
            </w:r>
          </w:p>
        </w:tc>
        <w:tc>
          <w:tcPr>
            <w:tcW w:w="7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40</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w w:val="93"/>
              </w:rPr>
              <w:t>Repurchase and retirement of common</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stock</w:t>
            </w: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280" w:type="dxa"/>
            <w:vAlign w:val="bottom"/>
            <w:tcBorders>
              <w:left w:val="single" w:sz="8" w:color="auto"/>
            </w:tcBorders>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(85)</w:t>
            </w:r>
          </w:p>
        </w:tc>
        <w:tc>
          <w:tcPr>
            <w:tcW w:w="7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(267)</w:t>
            </w: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w w:val="93"/>
              </w:rPr>
              <w:t>Sale (purchase) of subsidiary shares to</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9"/>
              </w:rPr>
              <w:t>(from) noncontrolling interests, net</w:t>
            </w: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(20)</w:t>
            </w:r>
          </w:p>
        </w:tc>
        <w:tc>
          <w:tcPr>
            <w:tcW w:w="280" w:type="dxa"/>
            <w:vAlign w:val="bottom"/>
            <w:tcBorders>
              <w:left w:val="single" w:sz="8" w:color="auto"/>
            </w:tcBorders>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11</w:t>
            </w:r>
          </w:p>
        </w:tc>
        <w:tc>
          <w:tcPr>
            <w:tcW w:w="8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2</w:t>
            </w:r>
          </w:p>
        </w:tc>
        <w:tc>
          <w:tcPr>
            <w:tcW w:w="280" w:type="dxa"/>
            <w:vAlign w:val="bottom"/>
            <w:tcBorders>
              <w:left w:val="single" w:sz="8" w:color="auto"/>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866</w:t>
            </w:r>
          </w:p>
        </w:tc>
        <w:tc>
          <w:tcPr>
            <w:tcW w:w="78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11</w:t>
            </w: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2010</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148</w:t>
            </w:r>
          </w:p>
        </w:tc>
        <w:tc>
          <w:tcPr>
            <w:tcW w:w="280" w:type="dxa"/>
            <w:vAlign w:val="bottom"/>
            <w:tcBorders>
              <w:left w:val="single" w:sz="8" w:color="auto"/>
              <w:bottom w:val="single" w:sz="8" w:color="auto"/>
            </w:tcBorders>
          </w:tcPr>
          <w:p>
            <w:pPr>
              <w:spacing w:after="0"/>
              <w:rPr>
                <w:sz w:val="18"/>
                <w:szCs w:val="18"/>
                <w:color w:val="auto"/>
              </w:rPr>
            </w:pPr>
          </w:p>
        </w:tc>
        <w:tc>
          <w:tcPr>
            <w:tcW w:w="42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b w:val="1"/>
                <w:bCs w:val="1"/>
                <w:color w:val="auto"/>
                <w:w w:val="86"/>
              </w:rPr>
              <w:t>$24</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8</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$40,097</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$10,517</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$(7,517)</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97</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143</w:t>
            </w: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jc w:val="center"/>
              <w:ind w:left="36"/>
              <w:spacing w:after="0"/>
              <w:rPr>
                <w:sz w:val="20"/>
                <w:szCs w:val="20"/>
                <w:color w:val="auto"/>
              </w:rPr>
            </w:pPr>
            <w:r>
              <w:rPr>
                <w:rFonts w:ascii="Arial" w:cs="Arial" w:eastAsia="Arial" w:hAnsi="Arial"/>
                <w:sz w:val="18"/>
                <w:szCs w:val="18"/>
                <w:color w:val="auto"/>
                <w:w w:val="86"/>
              </w:rPr>
              <w:t>$24</w:t>
            </w:r>
          </w:p>
        </w:tc>
        <w:tc>
          <w:tcPr>
            <w:tcW w:w="340" w:type="dxa"/>
            <w:vAlign w:val="bottom"/>
            <w:shd w:val="clear" w:color="auto" w:fill="E5E5E5"/>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8</w:t>
            </w:r>
          </w:p>
        </w:tc>
        <w:tc>
          <w:tcPr>
            <w:tcW w:w="5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86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$39,780</w:t>
            </w:r>
          </w:p>
        </w:tc>
        <w:tc>
          <w:tcPr>
            <w:tcW w:w="84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$12,158</w:t>
            </w:r>
          </w:p>
        </w:tc>
        <w:tc>
          <w:tcPr>
            <w:tcW w:w="780" w:type="dxa"/>
            <w:vAlign w:val="bottom"/>
            <w:shd w:val="clear" w:color="auto" w:fill="E5E5E5"/>
          </w:tcPr>
          <w:p>
            <w:pPr>
              <w:jc w:val="right"/>
              <w:ind w:right="1"/>
              <w:spacing w:after="0"/>
              <w:rPr>
                <w:sz w:val="20"/>
                <w:szCs w:val="20"/>
                <w:color w:val="auto"/>
              </w:rPr>
            </w:pPr>
            <w:r>
              <w:rPr>
                <w:rFonts w:ascii="Arial" w:cs="Arial" w:eastAsia="Arial" w:hAnsi="Arial"/>
                <w:sz w:val="18"/>
                <w:szCs w:val="18"/>
                <w:color w:val="auto"/>
              </w:rPr>
              <w:t>$(7,517)</w:t>
            </w:r>
          </w:p>
        </w:tc>
        <w:tc>
          <w:tcPr>
            <w:tcW w:w="2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(99)</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80</w:t>
            </w: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182</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w w:val="93"/>
              </w:rPr>
              <w:t>Repurchase and retirement of common</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stock</w:t>
            </w: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280" w:type="dxa"/>
            <w:vAlign w:val="bottom"/>
            <w:tcBorders>
              <w:left w:val="single" w:sz="8" w:color="auto"/>
            </w:tcBorders>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(263)</w:t>
            </w:r>
          </w:p>
        </w:tc>
        <w:tc>
          <w:tcPr>
            <w:tcW w:w="7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(312)</w:t>
            </w: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8"/>
                <w:szCs w:val="18"/>
                <w:color w:val="auto"/>
              </w:rPr>
            </w:pPr>
          </w:p>
        </w:tc>
        <w:tc>
          <w:tcPr>
            <w:tcW w:w="960" w:type="dxa"/>
            <w:vAlign w:val="bottom"/>
          </w:tcPr>
          <w:p>
            <w:pPr>
              <w:jc w:val="right"/>
              <w:ind w:right="296"/>
              <w:spacing w:after="0"/>
              <w:rPr>
                <w:sz w:val="20"/>
                <w:szCs w:val="20"/>
                <w:color w:val="auto"/>
              </w:rPr>
            </w:pPr>
            <w:r>
              <w:rPr>
                <w:rFonts w:ascii="Arial" w:cs="Arial" w:eastAsia="Arial" w:hAnsi="Arial"/>
                <w:sz w:val="18"/>
                <w:szCs w:val="18"/>
                <w:color w:val="auto"/>
              </w:rPr>
              <w:t>2</w:t>
            </w: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NBCUniversal transaction</w:t>
            </w:r>
          </w:p>
        </w:tc>
        <w:tc>
          <w:tcPr>
            <w:tcW w:w="32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15,166</w:t>
            </w:r>
          </w:p>
        </w:tc>
        <w:tc>
          <w:tcPr>
            <w:tcW w:w="280" w:type="dxa"/>
            <w:vAlign w:val="bottom"/>
            <w:tcBorders>
              <w:left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1,692</w:t>
            </w:r>
          </w:p>
        </w:tc>
        <w:tc>
          <w:tcPr>
            <w:tcW w:w="8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188</w:t>
            </w: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960" w:type="dxa"/>
            <w:vAlign w:val="bottom"/>
          </w:tcPr>
          <w:p>
            <w:pPr>
              <w:jc w:val="right"/>
              <w:ind w:right="236"/>
              <w:spacing w:after="0"/>
              <w:rPr>
                <w:sz w:val="20"/>
                <w:szCs w:val="20"/>
                <w:color w:val="auto"/>
              </w:rPr>
            </w:pPr>
            <w:r>
              <w:rPr>
                <w:rFonts w:ascii="Arial" w:cs="Arial" w:eastAsia="Arial" w:hAnsi="Arial"/>
                <w:sz w:val="18"/>
                <w:szCs w:val="18"/>
                <w:color w:val="auto"/>
              </w:rPr>
              <w:t>(126)</w:t>
            </w:r>
          </w:p>
        </w:tc>
        <w:tc>
          <w:tcPr>
            <w:tcW w:w="28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54</w:t>
            </w:r>
          </w:p>
        </w:tc>
        <w:tc>
          <w:tcPr>
            <w:tcW w:w="280" w:type="dxa"/>
            <w:vAlign w:val="bottom"/>
            <w:tcBorders>
              <w:left w:val="single" w:sz="8" w:color="auto"/>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943</w:t>
            </w:r>
          </w:p>
        </w:tc>
        <w:tc>
          <w:tcPr>
            <w:tcW w:w="78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42</w:t>
            </w: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2011</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15,239</w:t>
            </w:r>
          </w:p>
        </w:tc>
        <w:tc>
          <w:tcPr>
            <w:tcW w:w="280" w:type="dxa"/>
            <w:vAlign w:val="bottom"/>
            <w:tcBorders>
              <w:left w:val="single" w:sz="8" w:color="auto"/>
              <w:bottom w:val="single" w:sz="8" w:color="auto"/>
            </w:tcBorders>
          </w:tcPr>
          <w:p>
            <w:pPr>
              <w:spacing w:after="0"/>
              <w:rPr>
                <w:sz w:val="18"/>
                <w:szCs w:val="18"/>
                <w:color w:val="auto"/>
              </w:rPr>
            </w:pPr>
          </w:p>
        </w:tc>
        <w:tc>
          <w:tcPr>
            <w:tcW w:w="42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b w:val="1"/>
                <w:bCs w:val="1"/>
                <w:color w:val="auto"/>
                <w:w w:val="86"/>
              </w:rPr>
              <w:t>$24</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7</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$41,407</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$12,504</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$(7,517)</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279</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$46,607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We also evaluated events or transactions that occurred after the balance sheet date through the issuance date of these financial statements to determine if financial statement recognition or additional disclosure is required. The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January 28, 2011, we closed our transaction with General Electric Company (“GE”) in which we acquired control of the businesses of NBC Universal, Inc. (now named NBCUniversal Media, LLC (“NBCUniversal”)), a leading media and entertainment company that develops, produces and distributes entertainment, news, sports and other content to global audiences. NBCUniversal’s results of operations from January 29 through March 31, 2011 are included in our consolidated results of operations. See Note 4 for more information on the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82" w:lineRule="exact"/>
        <w:rPr>
          <w:sz w:val="20"/>
          <w:szCs w:val="20"/>
          <w:color w:val="auto"/>
        </w:rPr>
      </w:pPr>
    </w:p>
    <w:p>
      <w:pPr>
        <w:ind w:right="1480"/>
        <w:spacing w:after="0" w:line="352" w:lineRule="auto"/>
        <w:rPr>
          <w:sz w:val="20"/>
          <w:szCs w:val="20"/>
          <w:color w:val="auto"/>
        </w:rPr>
      </w:pPr>
      <w:r>
        <w:rPr>
          <w:rFonts w:ascii="Arial" w:cs="Arial" w:eastAsia="Arial" w:hAnsi="Arial"/>
          <w:sz w:val="18"/>
          <w:szCs w:val="18"/>
          <w:color w:val="auto"/>
        </w:rPr>
        <w:t xml:space="preserve">The accounting policies described below became significant to our business as a result of the NBCUniversal transaction on January 28, 2011. </w:t>
      </w:r>
      <w:r>
        <w:rPr>
          <w:rFonts w:ascii="Arial" w:cs="Arial" w:eastAsia="Arial" w:hAnsi="Arial"/>
          <w:sz w:val="18"/>
          <w:szCs w:val="18"/>
          <w:b w:val="1"/>
          <w:bCs w:val="1"/>
          <w:color w:val="auto"/>
        </w:rPr>
        <w:t>Use of Estimates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NBCUniversal transaction, we have performed a preliminary allocation of purchase price to the assets and liabilities of the businesses acquired using preliminary estimates. The estimates are subject to change as discussed in Note 4. Estimates are also used when accounting for various items, including capitalized film and television costs, amortization of owned and acquired programming, participation and residual payments, and estimates of DVD returns and customer incentives. Actual results could differ from those estimates.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capitalize film and television production costs, including direct costs, production overhead, print costs, development costs and interest. We amortize capitalized film and television production costs, as well as costs associated with participation and residual payments, on an individual production basis using the ratio of the current period’s actual revenue to the estimated total remaining gross revenue from all sources, which is referred to as ultimate revenue. Estimates of total revenue and total costs are based on anticipated release patterns, public acceptance and historical results for similar productions. We state unamortized film and television costs at the lower of unamortized cost or fair value. We do not capitalize costs related to film exploitation, which are primarily costs associated with the marketing and distribution of film and television programming.</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state acquired film and television libraries at the lower of unamortized cost or fair value. In determining the estimated lives and method of amortization, we generally use the method and life that most closely follows the undiscounted cash flows over the estimated life of the asset.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capitalize the costs to license programming content, including rights to multiyear live-event sports programming, at the earlier of the acquisition date or when the license period begins and the content is available for use. We amortize capitalized programming costs as the associated programs are broadcast. We amortize multiyear, live-event sports programming rights using the ratio of the current period’s actual direct revenue to the estimated total remaining direct revenue or based on the contract terms.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state the cost of acquired programming at the lower of unamortized cost or net realizable value on a program-by-program, package, channel or daypart basis. A daypart is defined as an aggregation of programs broadcast during a particular time of day or programs of a similar type. Acquired programming used by our cable programming networks is tested on a channel basis for impairment, whereas the programming for the NBC and Telemundo broadcast networks is tested on a daypart basis. If we determine that the estimates of future cash flows are insufficient or there is no plan to broadcast certain programming, we will recognize an impairment charge in other costs and expenses.</w:t>
      </w:r>
    </w:p>
    <w:p>
      <w:pPr>
        <w:spacing w:after="0" w:line="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enter into arrangements with third parties to jointly finance and distribute many of our film productions. These arrangements, which are referred to as cofinancing arrangements, can take various forms. In most cases, the form of the arrangement involves the grant of an economic interest in a film to a third-party investor. The number of investors and the terms of these arrangements can also vary, yet in most cases an investor assumes the full risk for the portion of the film acquired in these arrangements. We account for our proceeds under these arrangements as a reduction to our capitalized film costs. In these arrangements, the investor owns an undivided copyright interest in the film and, therefore, in each period we record either a charge or benefit to operating costs and expenses to reflect the estimate of the third-party investor’s interest in the profit or loss of the film. The estimate of the third-party investor’s interest in the profit or loss of a film is determined by reference to the ratio of actual revenue earned to date in relation to the ultimate revenue expected to be recognized over a film’s useful life.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on film and television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 revenue from the theatrical distribution of films when films are exhibited. We recognize revenue from the licensing of film and television productions when the content is available for use by the licensee, and when certain other conditions are met. When license fees are contracted as part cash and part advertising time, we recognize the advertising time component when the advertising units are aired. We recognize revenue from home entertainment units, net of estimated returns and customer incentives, on the date that units are delivered to and made available for sale by retailers.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from advance theme park ticket sales when the tickets are used. For nonexpiring, multiday or annual passes, we recognize revenue over the period of benefit based on estimated usage patterns that are derived from historical experience. We recognize revenue from corporate sponsors at the theme parks over the period of the applicable contract.</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enter into nonmonetary exchanges of advertising units for other advertising units, products or services. Advertising units exchanged for advertising units are recorded at the fair value of advertising units provided and recognized when aired. Advertising units exchanged for products or services are recorded at the fair value of the goods or services received or advertising units provided. Advertising units provided are recognized when aired and costs are recognized in the period the products or services are used.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Functional currencies are determined based on entity-specific economic and management indicators. We translate the assets and liabilities of our foreign subsidiaries where the functional currency is the local currency, primarily the euro and the British pound, into U.S. dollars at the exchange rate in effect at the balance sheet date. We translate revenue and expenses using average exchange rates prevailing during the period. The related translation adjustments are recorded as a component of accumulated other comprehensive income (loss).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Reclassifications have been made to the prior year’s condensed consolidated balance sheet to programming rights, other current assets, film and television costs, other intangible assets, net and other noncurrent assets, net to adjust to classifications used in the current period as a result of the acquisition of the NBCUniversal businesses.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Diluted EPS for the three months ended March 31, 2011 and 2010 excludes approximately 32 million and 192 million, respectively, of potential common shares related to our share-based compensation plans, because the inclusion of the potential common shares would have had an antidilutive effect.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Three Months Ended March 31</w:t>
            </w: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400" w:type="dxa"/>
            <w:vAlign w:val="bottom"/>
            <w:gridSpan w:val="2"/>
          </w:tcPr>
          <w:p>
            <w:pPr>
              <w:jc w:val="center"/>
              <w:ind w:left="104"/>
              <w:spacing w:after="0" w:line="131" w:lineRule="exact"/>
              <w:rPr>
                <w:sz w:val="20"/>
                <w:szCs w:val="20"/>
                <w:color w:val="auto"/>
              </w:rPr>
            </w:pPr>
            <w:r>
              <w:rPr>
                <w:rFonts w:ascii="Arial" w:cs="Arial" w:eastAsia="Arial" w:hAnsi="Arial"/>
                <w:sz w:val="14"/>
                <w:szCs w:val="14"/>
                <w:color w:val="auto"/>
                <w:w w:val="86"/>
              </w:rPr>
              <w:t>Net Income</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40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90"/>
              </w:rPr>
              <w:t>Attributable to</w:t>
            </w: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3"/>
              </w:rPr>
              <w:t>Comcast</w:t>
            </w:r>
          </w:p>
        </w:tc>
        <w:tc>
          <w:tcPr>
            <w:tcW w:w="920" w:type="dxa"/>
            <w:vAlign w:val="bottom"/>
          </w:tcPr>
          <w:p>
            <w:pPr>
              <w:spacing w:after="0"/>
              <w:rPr>
                <w:sz w:val="12"/>
                <w:szCs w:val="12"/>
                <w:color w:val="auto"/>
              </w:rPr>
            </w:pPr>
          </w:p>
        </w:tc>
        <w:tc>
          <w:tcPr>
            <w:tcW w:w="10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Per Share</w:t>
            </w:r>
          </w:p>
        </w:tc>
        <w:tc>
          <w:tcPr>
            <w:tcW w:w="380" w:type="dxa"/>
            <w:vAlign w:val="bottom"/>
          </w:tcPr>
          <w:p>
            <w:pPr>
              <w:spacing w:after="0"/>
              <w:rPr>
                <w:sz w:val="12"/>
                <w:szCs w:val="12"/>
                <w:color w:val="auto"/>
              </w:rPr>
            </w:pPr>
          </w:p>
        </w:tc>
        <w:tc>
          <w:tcPr>
            <w:tcW w:w="88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3"/>
              </w:rPr>
              <w:t>Comcast</w:t>
            </w:r>
          </w:p>
        </w:tc>
        <w:tc>
          <w:tcPr>
            <w:tcW w:w="960" w:type="dxa"/>
            <w:vAlign w:val="bottom"/>
          </w:tcPr>
          <w:p>
            <w:pPr>
              <w:spacing w:after="0"/>
              <w:rPr>
                <w:sz w:val="12"/>
                <w:szCs w:val="12"/>
                <w:color w:val="auto"/>
              </w:rPr>
            </w:pP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02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00" w:type="dxa"/>
            <w:vAlign w:val="bottom"/>
            <w:gridSpan w:val="2"/>
          </w:tcPr>
          <w:p>
            <w:pPr>
              <w:jc w:val="center"/>
              <w:ind w:left="104"/>
              <w:spacing w:after="0" w:line="159" w:lineRule="exact"/>
              <w:rPr>
                <w:sz w:val="20"/>
                <w:szCs w:val="20"/>
                <w:color w:val="auto"/>
              </w:rPr>
            </w:pPr>
            <w:r>
              <w:rPr>
                <w:rFonts w:ascii="Arial" w:cs="Arial" w:eastAsia="Arial" w:hAnsi="Arial"/>
                <w:sz w:val="14"/>
                <w:szCs w:val="14"/>
                <w:color w:val="auto"/>
                <w:w w:val="90"/>
              </w:rPr>
              <w:t>Corporation</w:t>
            </w:r>
          </w:p>
        </w:tc>
        <w:tc>
          <w:tcPr>
            <w:tcW w:w="920" w:type="dxa"/>
            <w:vAlign w:val="bottom"/>
          </w:tcPr>
          <w:p>
            <w:pPr>
              <w:jc w:val="right"/>
              <w:ind w:right="160"/>
              <w:spacing w:after="0" w:line="159" w:lineRule="exact"/>
              <w:rPr>
                <w:sz w:val="20"/>
                <w:szCs w:val="20"/>
                <w:color w:val="auto"/>
              </w:rPr>
            </w:pPr>
            <w:r>
              <w:rPr>
                <w:rFonts w:ascii="Arial" w:cs="Arial" w:eastAsia="Arial" w:hAnsi="Arial"/>
                <w:sz w:val="14"/>
                <w:szCs w:val="14"/>
                <w:color w:val="auto"/>
              </w:rPr>
              <w:t>Shares</w:t>
            </w:r>
          </w:p>
        </w:tc>
        <w:tc>
          <w:tcPr>
            <w:tcW w:w="10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Amount</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960" w:type="dxa"/>
            <w:vAlign w:val="bottom"/>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943</w:t>
            </w:r>
          </w:p>
        </w:tc>
        <w:tc>
          <w:tcPr>
            <w:tcW w:w="920" w:type="dxa"/>
            <w:vAlign w:val="bottom"/>
            <w:tcBorders>
              <w:top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2,772</w:t>
            </w:r>
          </w:p>
        </w:tc>
        <w:tc>
          <w:tcPr>
            <w:tcW w:w="42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96"/>
              </w:rPr>
              <w:t>0.34</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866</w:t>
            </w:r>
          </w:p>
        </w:tc>
        <w:tc>
          <w:tcPr>
            <w:tcW w:w="96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2,829</w:t>
            </w:r>
          </w:p>
        </w:tc>
        <w:tc>
          <w:tcPr>
            <w:tcW w:w="38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6"/>
              </w:rPr>
              <w:t>0.31</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0"/>
              </w:rPr>
              <w:t>Assumed exercise or issuance of shares relating to stock plans</w:t>
            </w:r>
          </w:p>
        </w:tc>
        <w:tc>
          <w:tcPr>
            <w:tcW w:w="5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943</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2,805</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0.34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866</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2,837</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0.31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existing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investments and related assets. We contributed our national cable programming networks, our regional sports and news networks, certain of our Internet businesses, including DailyCandy and Fandango, and other related assets (the “Comcast Content Business”). The combination of businesses creates a leading media and entertainment company capable of providing entertainment, news, sports and other content to a global audience across all platforms. In addition to contributing the Comcast Content Business, we also made a cash payment to GE of $6.2 billion, which included transaction-related costs. We expect to receive tax benefits related to the transaction and have agreed to share with GE certain of these future tax benefits, as they are realized.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connection with the NBCUniversal transaction, NBCUniversal issued $9.1 billion of senior debt securities with maturities ranging from 2014 to 2041 and repaid approximately $1.7 billion of existing debt during 2010. Prior to the closing, NBCUniversal made a cash distribution of approximately $7.4 billion to GE.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operating agreement of NBCUniversal Holdings, during the six month period beginning on July 28, 2014, GE has the right to cause NBCUniversal Holdings to redeem half of GE’s interest in NBCUniversal Holdings, and during the six month period beginning January 28, 2018, GE has the right to cause NBCUniversal Holdings to redeem GE’s remaining interest, if any. If GE exercises its first redemption right, we have the immediate right to purchase the remainder of GE’s interest. If GE does not exercise its first redemption right, during the six month period beginning on January 28, 2016, we have the right to purchase half of GE’s interest in NBCUniversal Holdings. During the six month period beginning January 28, 2019, we have the right to purchase GE’s remaining interest, if any, in NBCUniversal Holdings. The purchase price to be paid in connection with any purchase described in this paragraph will be equal to the ownership percentage being purchased multiplied by an amount equal to 120% of the fully distributed public market trading value of NBCUniversal Holdings (determined pursuant to an appraisal process if NBCUniversal Holdings is not then publicly traded), less 50% of an amount (not less than zero) equal to the excess of 120% of the fully distributed public market trading value over $28.4 billion. Subject to various limitations, we are committed to fund up to $2.875 billion in cash or our common stock for each of the two redemptions (up to an aggregate of $5.75 billion), with amounts not used in the first redemption to be available for the second redemption to the extent NBCUniversal Holdings cannot fund the redemptions.</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July 28, 2014, GE may not directly or indirectly transfer its interest in NBCUniversal Holdings. Thereafter, GE may transfer its interest to a third party, subject to our right of first offer. The right of first offer would permit us to purchase all, but not less than all, of the interests proposed to be transferred. In the event that GE makes a registration request in accordance with certain registration rights that are granted to it under the agreement, we will have the right to purchase, for cash at the market value (determined pursuant to an appraisal process if NBCUniversal Holdings is not then publicly traded), all of GE’s interest in NBCUniversal Holdings that GE is seeking to register.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incurred significant transaction costs directly related to the NBCUniversal transaction. The incremental expenses related to legal, accounting and valuation services, and investment banking fees, are reflected in operating costs and expenses. We also incurred certain financing costs and other shared costs with GE associated with NBCUniversal’s debt facilities that were entered into in December 2009 and with the issuance of NBCUniversal’s senior notes in 2010, which are reflected in other income (expense), net and interest expense.</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during the three months ended March 31, 2011, NBCUniversal incurred transaction-related costs associated with severance and other related compensation charges, which are reflected in operating costs and expenses.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amounts related to these expenses included in our consolidated statement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3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95"/>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ind w:right="97"/>
              <w:spacing w:after="0" w:line="142" w:lineRule="exact"/>
              <w:rPr>
                <w:sz w:val="20"/>
                <w:szCs w:val="20"/>
                <w:color w:val="auto"/>
              </w:rPr>
            </w:pPr>
            <w:r>
              <w:rPr>
                <w:rFonts w:ascii="Arial" w:cs="Arial" w:eastAsia="Arial" w:hAnsi="Arial"/>
                <w:sz w:val="14"/>
                <w:szCs w:val="14"/>
                <w:color w:val="auto"/>
                <w:w w:val="89"/>
              </w:rPr>
              <w:t>2011</w:t>
            </w:r>
          </w:p>
        </w:tc>
        <w:tc>
          <w:tcPr>
            <w:tcW w:w="80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7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Transaction costs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Transaction-related costs</w:t>
            </w:r>
          </w:p>
        </w:tc>
        <w:tc>
          <w:tcPr>
            <w:tcW w:w="7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8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Other expense</w:t>
            </w:r>
          </w:p>
        </w:tc>
        <w:tc>
          <w:tcPr>
            <w:tcW w:w="7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123</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we now control NBCUniversal Holdings, we have applied acquisition accounting to the NBCUniversal contributed businesses and their results of operations are included in our consolidated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the acquisition date. The net assets of NBCUniversal contributed businesses were recorded at their estimated fair value using Level 3 inputs (see Note 10 for an explanation of Level 3 inputs). In valuing acquired assets and liabilities, fair value estimates are based on, but are not limited to, future expected cash flows, market rate assumptions for contractual obligations, actuarial assumptions for benefit plans, and appropriate discount rates. The Comcast Content Business continues at its historical or carry-over basis. GE’s interest in NBCUniversal Holdings is recorded as a redeemable noncontrolling interest in our consolidated financial statements due to the redemption provisions outlined above. GE’s redeemable noncontrolling interest has been recorded at fair value for the portion attributable to the net assets we acquired, and at our historical cost for the portion attributable to the Comcast Content Business. The estimated values are not yet final and are subject to change, and the changes could be significant. We will finalize the amounts recognized as soon as possible as we obtain the information necessary to complete the analysis, but no later than one year from the acquisition date.</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preliminary fair value of the consideration exchanged and the preliminary allocation of purchase price to the assets and liabilities of the NBCUniversal businesses acquired as a result of the NBCUniversal transaction.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Exchanged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Cash</w:t>
            </w:r>
          </w:p>
        </w:tc>
        <w:tc>
          <w:tcPr>
            <w:tcW w:w="1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6,127</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Fair value of 49% of the Comcast Content Business</w:t>
            </w:r>
          </w:p>
        </w:tc>
        <w:tc>
          <w:tcPr>
            <w:tcW w:w="16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4,278</w:t>
            </w:r>
          </w:p>
        </w:tc>
      </w:tr>
      <w:tr>
        <w:trPr>
          <w:trHeight w:val="216"/>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Fair value of contingent consideration</w:t>
            </w:r>
          </w:p>
        </w:tc>
        <w:tc>
          <w:tcPr>
            <w:tcW w:w="16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639</w:t>
            </w:r>
          </w:p>
        </w:tc>
      </w:tr>
      <w:tr>
        <w:trPr>
          <w:trHeight w:val="216"/>
        </w:trPr>
        <w:tc>
          <w:tcPr>
            <w:tcW w:w="20" w:type="dxa"/>
            <w:vAlign w:val="bottom"/>
          </w:tcPr>
          <w:p>
            <w:pPr>
              <w:spacing w:after="0"/>
              <w:rPr>
                <w:sz w:val="18"/>
                <w:szCs w:val="18"/>
                <w:color w:val="auto"/>
              </w:rPr>
            </w:pPr>
          </w:p>
        </w:tc>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redeemable noncontrolling interest associated with net assets acquired</w:t>
            </w:r>
          </w:p>
        </w:tc>
        <w:tc>
          <w:tcPr>
            <w:tcW w:w="1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13,032</w:t>
            </w:r>
          </w:p>
        </w:tc>
      </w:tr>
      <w:tr>
        <w:trPr>
          <w:trHeight w:val="217"/>
        </w:trPr>
        <w:tc>
          <w:tcPr>
            <w:tcW w:w="20" w:type="dxa"/>
            <w:vAlign w:val="bottom"/>
          </w:tcPr>
          <w:p>
            <w:pPr>
              <w:spacing w:after="0"/>
              <w:rPr>
                <w:sz w:val="18"/>
                <w:szCs w:val="18"/>
                <w:color w:val="auto"/>
              </w:rPr>
            </w:pPr>
          </w:p>
        </w:tc>
        <w:tc>
          <w:tcPr>
            <w:tcW w:w="9160" w:type="dxa"/>
            <w:vAlign w:val="bottom"/>
            <w:tcBorders>
              <w:bottom w:val="single" w:sz="8" w:color="auto"/>
            </w:tcBorders>
            <w:shd w:val="clear" w:color="auto" w:fill="E5E5E5"/>
          </w:tcPr>
          <w:p>
            <w:pPr>
              <w:spacing w:after="0"/>
              <w:rPr>
                <w:sz w:val="18"/>
                <w:szCs w:val="18"/>
                <w:color w:val="auto"/>
              </w:rPr>
            </w:pPr>
          </w:p>
        </w:tc>
        <w:tc>
          <w:tcPr>
            <w:tcW w:w="1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3"/>
              </w:rPr>
              <w:t>24,076</w:t>
            </w:r>
          </w:p>
        </w:tc>
      </w:tr>
      <w:tr>
        <w:trPr>
          <w:trHeight w:val="403"/>
        </w:trPr>
        <w:tc>
          <w:tcPr>
            <w:tcW w:w="20" w:type="dxa"/>
            <w:vAlign w:val="bottom"/>
          </w:tcPr>
          <w:p>
            <w:pPr>
              <w:spacing w:after="0"/>
              <w:rPr>
                <w:sz w:val="24"/>
                <w:szCs w:val="24"/>
                <w:color w:val="auto"/>
              </w:rPr>
            </w:pPr>
          </w:p>
        </w:tc>
        <w:tc>
          <w:tcPr>
            <w:tcW w:w="9160" w:type="dxa"/>
            <w:vAlign w:val="bottom"/>
          </w:tcPr>
          <w:p>
            <w:pPr>
              <w:ind w:left="3780"/>
              <w:spacing w:after="0"/>
              <w:rPr>
                <w:sz w:val="20"/>
                <w:szCs w:val="20"/>
                <w:color w:val="auto"/>
              </w:rPr>
            </w:pPr>
            <w:r>
              <w:rPr>
                <w:rFonts w:ascii="Arial" w:cs="Arial" w:eastAsia="Arial" w:hAnsi="Arial"/>
                <w:sz w:val="18"/>
                <w:szCs w:val="18"/>
                <w:b w:val="1"/>
                <w:bCs w:val="1"/>
                <w:color w:val="auto"/>
              </w:rPr>
              <w:t>Assets and Liabilities of Acquired Businesses</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9"/>
        </w:trPr>
        <w:tc>
          <w:tcPr>
            <w:tcW w:w="9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9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Film and television costs (see Note 5)</w:t>
            </w:r>
          </w:p>
        </w:tc>
        <w:tc>
          <w:tcPr>
            <w:tcW w:w="1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4,900</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Investments (see Note 6)</w:t>
            </w:r>
          </w:p>
        </w:tc>
        <w:tc>
          <w:tcPr>
            <w:tcW w:w="16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3,845</w:t>
            </w:r>
          </w:p>
        </w:tc>
      </w:tr>
      <w:tr>
        <w:trPr>
          <w:trHeight w:val="216"/>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(see Note 14)</w:t>
            </w:r>
          </w:p>
        </w:tc>
        <w:tc>
          <w:tcPr>
            <w:tcW w:w="16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Intangible assets (see Note 7)</w:t>
            </w:r>
          </w:p>
        </w:tc>
        <w:tc>
          <w:tcPr>
            <w:tcW w:w="2240" w:type="dxa"/>
            <w:vAlign w:val="bottom"/>
            <w:gridSpan w:val="2"/>
          </w:tcPr>
          <w:p>
            <w:pPr>
              <w:jc w:val="right"/>
              <w:ind w:right="12"/>
              <w:spacing w:after="0"/>
              <w:rPr>
                <w:sz w:val="20"/>
                <w:szCs w:val="20"/>
                <w:color w:val="auto"/>
              </w:rPr>
            </w:pPr>
            <w:r>
              <w:rPr>
                <w:rFonts w:ascii="Arial" w:cs="Arial" w:eastAsia="Arial" w:hAnsi="Arial"/>
                <w:sz w:val="18"/>
                <w:szCs w:val="18"/>
                <w:color w:val="auto"/>
              </w:rPr>
              <w:t>14,525</w:t>
            </w:r>
          </w:p>
        </w:tc>
      </w:tr>
      <w:tr>
        <w:trPr>
          <w:trHeight w:val="216"/>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16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1"/>
              </w:rPr>
              <w:t>(1,760)</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Long-term debt (see Note 8)</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(9,115)</w:t>
            </w:r>
          </w:p>
        </w:tc>
      </w:tr>
      <w:tr>
        <w:trPr>
          <w:trHeight w:val="216"/>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 liabilities</w:t>
            </w:r>
          </w:p>
        </w:tc>
        <w:tc>
          <w:tcPr>
            <w:tcW w:w="16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Other noncurrent assets and liabilities</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(2,061)</w:t>
            </w:r>
          </w:p>
        </w:tc>
      </w:tr>
      <w:tr>
        <w:trPr>
          <w:trHeight w:val="216"/>
        </w:trPr>
        <w:tc>
          <w:tcPr>
            <w:tcW w:w="20" w:type="dxa"/>
            <w:vAlign w:val="bottom"/>
          </w:tcPr>
          <w:p>
            <w:pPr>
              <w:spacing w:after="0"/>
              <w:rPr>
                <w:sz w:val="18"/>
                <w:szCs w:val="18"/>
                <w:color w:val="auto"/>
              </w:rPr>
            </w:pPr>
          </w:p>
        </w:tc>
        <w:tc>
          <w:tcPr>
            <w:tcW w:w="9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 acquired (see Note 11)</w:t>
            </w:r>
          </w:p>
        </w:tc>
        <w:tc>
          <w:tcPr>
            <w:tcW w:w="16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(188)</w:t>
            </w:r>
          </w:p>
        </w:tc>
      </w:tr>
      <w:tr>
        <w:trPr>
          <w:trHeight w:val="210"/>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Fair value of identifiable net assets acquired</w:t>
            </w:r>
          </w:p>
        </w:tc>
        <w:tc>
          <w:tcPr>
            <w:tcW w:w="2240" w:type="dxa"/>
            <w:vAlign w:val="bottom"/>
            <w:gridSpan w:val="2"/>
          </w:tcPr>
          <w:p>
            <w:pPr>
              <w:jc w:val="right"/>
              <w:ind w:right="12"/>
              <w:spacing w:after="0"/>
              <w:rPr>
                <w:sz w:val="20"/>
                <w:szCs w:val="20"/>
                <w:color w:val="auto"/>
              </w:rPr>
            </w:pPr>
            <w:r>
              <w:rPr>
                <w:rFonts w:ascii="Arial" w:cs="Arial" w:eastAsia="Arial" w:hAnsi="Arial"/>
                <w:sz w:val="18"/>
                <w:szCs w:val="18"/>
                <w:color w:val="auto"/>
              </w:rPr>
              <w:t>12,034</w:t>
            </w:r>
          </w:p>
        </w:tc>
      </w:tr>
      <w:tr>
        <w:trPr>
          <w:trHeight w:val="216"/>
        </w:trPr>
        <w:tc>
          <w:tcPr>
            <w:tcW w:w="20" w:type="dxa"/>
            <w:vAlign w:val="bottom"/>
          </w:tcPr>
          <w:p>
            <w:pPr>
              <w:spacing w:after="0"/>
              <w:rPr>
                <w:sz w:val="18"/>
                <w:szCs w:val="18"/>
                <w:color w:val="auto"/>
              </w:rPr>
            </w:pPr>
          </w:p>
        </w:tc>
        <w:tc>
          <w:tcPr>
            <w:tcW w:w="9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Goodwill</w:t>
            </w:r>
          </w:p>
        </w:tc>
        <w:tc>
          <w:tcPr>
            <w:tcW w:w="224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12,042</w:t>
            </w:r>
          </w:p>
        </w:tc>
      </w:tr>
      <w:tr>
        <w:trPr>
          <w:trHeight w:val="217"/>
        </w:trPr>
        <w:tc>
          <w:tcPr>
            <w:tcW w:w="20" w:type="dxa"/>
            <w:vAlign w:val="bottom"/>
          </w:tcPr>
          <w:p>
            <w:pPr>
              <w:spacing w:after="0"/>
              <w:rPr>
                <w:sz w:val="18"/>
                <w:szCs w:val="18"/>
                <w:color w:val="auto"/>
              </w:rPr>
            </w:pPr>
          </w:p>
        </w:tc>
        <w:tc>
          <w:tcPr>
            <w:tcW w:w="9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$24,076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responsible for the tax matters for both NBCUniversal Holdings and NBCUniversal, including the filing of returns and administering any proceedings with taxing authorities. For U.S. federal income tax purposes, NBCUniversal Holdings will be treated as a partnership and NBCUniversal will be disregarded as an entity separate from NBCUniversal Holdings. Accordingly, neither NBCUniversal Holdings nor NBCUniversal and its subsidiaries will incur any material current or deferred U.S. federal income taxes. NBCUniversal Holdings and NBCUniversal and its subsidiaries are, however, expected to incur current and deferred income taxes in a limited number of states and localities. In addition, NBCUniversal’s foreign subsidiaries are expected to incur current and deferred foreign income taxes. GE has indemnified us and NBCUniversal Holdings for any income tax liability attributable to the historical NBCUniversal businesses for periods prior to the acquisition date. We have also indemnified GE and NBCUniversal Holdings for any income tax liability attributable to the Comcast Content Business for periods prior to the acquisition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NBCUniversal recognized net deferred income tax liabilities of $44 million in the preliminary allocation of purchase price related primarily to acquired intangible assets in state and foreign jurisdictions. In addition, Comcast recognized $460 million of deferred tax liabilities in connection with GE acquiring an indirect noncontrolling interest in the Comcast Content Business in exchange for our acquisition of a portion of our interest in NBCUniversal Holdings. Because we maintain control of the Comcast Content Business, the excess of fair value received over historical book value and the related tax impact were recorded in additional paid-in capital.</w:t>
      </w:r>
    </w:p>
    <w:p>
      <w:pPr>
        <w:spacing w:after="0" w:line="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agreed to share with GE certain tax benefits, as they are realized, related to the form and structure of the transaction. These future payments to GE are contingent on us realizing tax benefits in the future and are accounted for as contingent consideration. We have recorded $639 million in other current and noncurrent liabilities in our acquisition accounting based on the present value of the expected future payments to GE.</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close of the NBCUniversal transaction, our provision for income taxes includes a federal and state tax provision on our allocable share of the earnings of NBCUniversal Holdings and NBCUniversal, as well as the state, local and foreign tax provisions of NBCUniversal Holdings and NBCUniversal, adjusted for any foreign tax credits.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Goodwill consists primarily of intangible assets that do not qualify for separate recognition, including assembled workforce, noncontractual relationships and agreements between us and NBCUniversal. Because our allocation of purchase price and estimated values of identifiable assets and liabilities are not yet final, the amount of total goodwill and the amount of goodwill expected to be deductible for tax purposes are not yet final and subject to change.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Actual and Pro Forma Information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revenue from January 29, 2011 through March 31, 2011 includes $2.2 billion related to the NBCUniversal contributed business. The net income (loss) attributable to Comcast Corporation from the NBCUniversal contributed businesses was not material for the period January 29, 2011 through March 31, 2011.</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NBCUniversal transaction occurred on January 1, 2010. This information is based on historical results of operations, adjusted for the allocation of purchase price and other acquisition accounting adjustments, and is not necessarily indicative of what the results would have been had we operated the business since January 1, 2010. No pro forma adjustments have been made for our incremental transaction costs or other transaction-related costs.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3"/>
          </w:tcPr>
          <w:p>
            <w:pPr>
              <w:jc w:val="right"/>
              <w:ind w:right="176"/>
              <w:spacing w:after="0"/>
              <w:rPr>
                <w:sz w:val="20"/>
                <w:szCs w:val="20"/>
                <w:color w:val="auto"/>
              </w:rPr>
            </w:pPr>
            <w:r>
              <w:rPr>
                <w:rFonts w:ascii="Arial" w:cs="Arial" w:eastAsia="Arial" w:hAnsi="Arial"/>
                <w:sz w:val="14"/>
                <w:szCs w:val="14"/>
                <w:color w:val="auto"/>
                <w:w w:val="94"/>
              </w:rPr>
              <w:t>Three Months Ended</w:t>
            </w:r>
          </w:p>
        </w:tc>
        <w:tc>
          <w:tcPr>
            <w:tcW w:w="0" w:type="dxa"/>
            <w:vAlign w:val="bottom"/>
          </w:tcPr>
          <w:p>
            <w:pPr>
              <w:spacing w:after="0"/>
              <w:rPr>
                <w:sz w:val="1"/>
                <w:szCs w:val="1"/>
                <w:color w:val="auto"/>
              </w:rPr>
            </w:pPr>
          </w:p>
        </w:tc>
      </w:tr>
      <w:tr>
        <w:trPr>
          <w:trHeight w:val="159"/>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ind w:right="260"/>
              <w:spacing w:after="0" w:line="142"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w w:val="87"/>
              </w:rPr>
              <w:t>13,289</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3"/>
              </w:rPr>
              <w:t>13,308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0"/>
              <w:spacing w:after="0"/>
              <w:rPr>
                <w:sz w:val="20"/>
                <w:szCs w:val="20"/>
                <w:color w:val="auto"/>
              </w:rPr>
            </w:pPr>
            <w:r>
              <w:rPr>
                <w:rFonts w:ascii="Arial" w:cs="Arial" w:eastAsia="Arial" w:hAnsi="Arial"/>
                <w:sz w:val="18"/>
                <w:szCs w:val="18"/>
                <w:color w:val="auto"/>
              </w:rPr>
              <w:t>991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0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0"/>
              <w:spacing w:after="0"/>
              <w:rPr>
                <w:sz w:val="20"/>
                <w:szCs w:val="20"/>
                <w:color w:val="auto"/>
              </w:rPr>
            </w:pPr>
            <w:r>
              <w:rPr>
                <w:rFonts w:ascii="Arial" w:cs="Arial" w:eastAsia="Arial" w:hAnsi="Arial"/>
                <w:sz w:val="18"/>
                <w:szCs w:val="18"/>
                <w:color w:val="auto"/>
              </w:rPr>
              <w:t>0.32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0.31</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56"/>
        </w:trPr>
        <w:tc>
          <w:tcPr>
            <w:tcW w:w="9480" w:type="dxa"/>
            <w:vAlign w:val="bottom"/>
            <w:gridSpan w:val="2"/>
          </w:tcPr>
          <w:p>
            <w:pPr>
              <w:jc w:val="right"/>
              <w:ind w:right="3572"/>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000" w:type="dxa"/>
            <w:vAlign w:val="bottom"/>
            <w:gridSpan w:val="2"/>
          </w:tcPr>
          <w:p>
            <w:pPr>
              <w:ind w:left="3080"/>
              <w:spacing w:after="0"/>
              <w:rPr>
                <w:sz w:val="20"/>
                <w:szCs w:val="20"/>
                <w:color w:val="auto"/>
              </w:rPr>
            </w:pPr>
            <w:r>
              <w:rPr>
                <w:rFonts w:ascii="Arial" w:cs="Arial" w:eastAsia="Arial" w:hAnsi="Arial"/>
                <w:sz w:val="14"/>
                <w:szCs w:val="14"/>
                <w:color w:val="auto"/>
              </w:rPr>
              <w:t>March 31,</w:t>
            </w:r>
          </w:p>
        </w:tc>
        <w:tc>
          <w:tcPr>
            <w:tcW w:w="1200" w:type="dxa"/>
            <w:vAlign w:val="bottom"/>
            <w:gridSpan w:val="2"/>
          </w:tcPr>
          <w:p>
            <w:pPr>
              <w:ind w:left="340"/>
              <w:spacing w:after="0"/>
              <w:rPr>
                <w:sz w:val="20"/>
                <w:szCs w:val="20"/>
                <w:color w:val="auto"/>
              </w:rPr>
            </w:pPr>
            <w:r>
              <w:rPr>
                <w:rFonts w:ascii="Arial" w:cs="Arial" w:eastAsia="Arial" w:hAnsi="Arial"/>
                <w:sz w:val="14"/>
                <w:szCs w:val="14"/>
                <w:color w:val="auto"/>
                <w:w w:val="95"/>
              </w:rPr>
              <w:t>December 31,</w:t>
            </w:r>
          </w:p>
        </w:tc>
      </w:tr>
      <w:tr>
        <w:trPr>
          <w:trHeight w:val="159"/>
        </w:trPr>
        <w:tc>
          <w:tcPr>
            <w:tcW w:w="62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0" w:type="dxa"/>
            <w:vAlign w:val="bottom"/>
          </w:tcPr>
          <w:p>
            <w:pPr>
              <w:spacing w:after="0"/>
              <w:rPr>
                <w:sz w:val="13"/>
                <w:szCs w:val="13"/>
                <w:color w:val="auto"/>
              </w:rPr>
            </w:pPr>
          </w:p>
        </w:tc>
        <w:tc>
          <w:tcPr>
            <w:tcW w:w="800" w:type="dxa"/>
            <w:vAlign w:val="bottom"/>
          </w:tcPr>
          <w:p>
            <w:pPr>
              <w:jc w:val="right"/>
              <w:ind w:right="414"/>
              <w:spacing w:after="0" w:line="159" w:lineRule="exact"/>
              <w:rPr>
                <w:sz w:val="20"/>
                <w:szCs w:val="20"/>
                <w:color w:val="auto"/>
              </w:rPr>
            </w:pPr>
            <w:r>
              <w:rPr>
                <w:rFonts w:ascii="Arial" w:cs="Arial" w:eastAsia="Arial" w:hAnsi="Arial"/>
                <w:sz w:val="14"/>
                <w:szCs w:val="14"/>
                <w:color w:val="auto"/>
                <w:w w:val="89"/>
              </w:rPr>
              <w:t>2011</w:t>
            </w:r>
          </w:p>
        </w:tc>
        <w:tc>
          <w:tcPr>
            <w:tcW w:w="500" w:type="dxa"/>
            <w:vAlign w:val="bottom"/>
          </w:tcPr>
          <w:p>
            <w:pPr>
              <w:spacing w:after="0"/>
              <w:rPr>
                <w:sz w:val="13"/>
                <w:szCs w:val="13"/>
                <w:color w:val="auto"/>
              </w:rPr>
            </w:pPr>
          </w:p>
        </w:tc>
        <w:tc>
          <w:tcPr>
            <w:tcW w:w="700" w:type="dxa"/>
            <w:vAlign w:val="bottom"/>
          </w:tcPr>
          <w:p>
            <w:pPr>
              <w:jc w:val="right"/>
              <w:ind w:right="254"/>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2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Released, less amortization</w:t>
            </w:r>
          </w:p>
        </w:tc>
        <w:tc>
          <w:tcPr>
            <w:tcW w:w="3200" w:type="dxa"/>
            <w:vAlign w:val="bottom"/>
          </w:tcPr>
          <w:p>
            <w:pPr>
              <w:ind w:left="30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74"/>
              <w:spacing w:after="0"/>
              <w:rPr>
                <w:sz w:val="20"/>
                <w:szCs w:val="20"/>
                <w:color w:val="auto"/>
              </w:rPr>
            </w:pPr>
            <w:r>
              <w:rPr>
                <w:rFonts w:ascii="Arial" w:cs="Arial" w:eastAsia="Arial" w:hAnsi="Arial"/>
                <w:sz w:val="18"/>
                <w:szCs w:val="18"/>
                <w:color w:val="auto"/>
                <w:w w:val="93"/>
              </w:rPr>
              <w:t>1,654</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Completed, not released</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102</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In-production and in-development</w:t>
            </w:r>
          </w:p>
        </w:tc>
        <w:tc>
          <w:tcPr>
            <w:tcW w:w="3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w w:val="93"/>
              </w:rPr>
              <w:t>1,108</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200" w:type="dxa"/>
            <w:vAlign w:val="bottom"/>
            <w:shd w:val="clear" w:color="auto" w:fill="E5E5E5"/>
          </w:tcPr>
          <w:p>
            <w:pPr>
              <w:spacing w:after="0"/>
              <w:rPr>
                <w:sz w:val="18"/>
                <w:szCs w:val="18"/>
                <w:color w:val="auto"/>
              </w:rPr>
            </w:pP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w w:val="93"/>
              </w:rPr>
              <w:t>2,864</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3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Television Costs</w:t>
            </w:r>
          </w:p>
        </w:tc>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Released, less amortization</w:t>
            </w:r>
          </w:p>
        </w:tc>
        <w:tc>
          <w:tcPr>
            <w:tcW w:w="32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w w:val="93"/>
              </w:rPr>
              <w:t>1,112</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Completed, not released</w:t>
            </w:r>
          </w:p>
        </w:tc>
        <w:tc>
          <w:tcPr>
            <w:tcW w:w="320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In-production and in-development</w:t>
            </w:r>
          </w:p>
        </w:tc>
        <w:tc>
          <w:tcPr>
            <w:tcW w:w="32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169</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w w:val="93"/>
              </w:rPr>
              <w:t>1,282</w:t>
            </w:r>
          </w:p>
        </w:tc>
        <w:tc>
          <w:tcPr>
            <w:tcW w:w="5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Programming rights, less amortization</w:t>
            </w:r>
          </w:p>
        </w:tc>
        <w:tc>
          <w:tcPr>
            <w:tcW w:w="32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w w:val="93"/>
              </w:rPr>
              <w:t>1,575</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445</w:t>
            </w: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w w:val="93"/>
              </w:rPr>
              <w:t>5,721</w:t>
            </w:r>
          </w:p>
        </w:tc>
        <w:tc>
          <w:tcPr>
            <w:tcW w:w="5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6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portion of programming rights</w:t>
            </w:r>
          </w:p>
        </w:tc>
        <w:tc>
          <w:tcPr>
            <w:tcW w:w="32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776</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122</w:t>
            </w:r>
          </w:p>
        </w:tc>
      </w:tr>
      <w:tr>
        <w:trPr>
          <w:trHeight w:val="217"/>
        </w:trPr>
        <w:tc>
          <w:tcPr>
            <w:tcW w:w="2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Film and television costs</w:t>
            </w:r>
          </w:p>
        </w:tc>
        <w:tc>
          <w:tcPr>
            <w:tcW w:w="3200" w:type="dxa"/>
            <w:vAlign w:val="bottom"/>
            <w:tcBorders>
              <w:bottom w:val="single" w:sz="8" w:color="auto"/>
            </w:tcBorders>
          </w:tcPr>
          <w:p>
            <w:pPr>
              <w:ind w:left="30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w w:val="93"/>
              </w:rPr>
              <w:t>4,945</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460</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March 31, 2011 amounts include the film and television costs acquired in connection with the closing of the NBCUniversal transaction at fair value as of January 28, 2011, less accumulated amortization following the acquisition date. The capitalized programming costs of the Comcast Content Business are reflected at their historical cost less accumulated amortization for both periods presented.</w:t>
      </w:r>
    </w:p>
    <w:p>
      <w:pPr>
        <w:spacing w:after="0" w:line="4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of March 31, 2011, acquired film and television libraries had remaining unamortized costs of approximately $1.2 billion. For the three months ended March 31, 2011 amortization of acquired film and television libraries, included in operating costs and expenses, totaled approximately $32 million.</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380" w:type="dxa"/>
            <w:vAlign w:val="bottom"/>
            <w:gridSpan w:val="2"/>
          </w:tcPr>
          <w:p>
            <w:pPr>
              <w:ind w:left="2500"/>
              <w:spacing w:after="0"/>
              <w:rPr>
                <w:sz w:val="20"/>
                <w:szCs w:val="20"/>
                <w:color w:val="auto"/>
              </w:rPr>
            </w:pPr>
            <w:r>
              <w:rPr>
                <w:rFonts w:ascii="Arial" w:cs="Arial" w:eastAsia="Arial" w:hAnsi="Arial"/>
                <w:sz w:val="14"/>
                <w:szCs w:val="14"/>
                <w:color w:val="auto"/>
              </w:rPr>
              <w:t>March 31,</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w w:val="95"/>
              </w:rPr>
              <w:t>December 31,</w:t>
            </w:r>
          </w:p>
        </w:tc>
      </w:tr>
      <w:tr>
        <w:trPr>
          <w:trHeight w:val="159"/>
        </w:trPr>
        <w:tc>
          <w:tcPr>
            <w:tcW w:w="6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580" w:type="dxa"/>
            <w:vAlign w:val="bottom"/>
          </w:tcPr>
          <w:p>
            <w:pPr>
              <w:spacing w:after="0"/>
              <w:rPr>
                <w:sz w:val="13"/>
                <w:szCs w:val="13"/>
                <w:color w:val="auto"/>
              </w:rPr>
            </w:pPr>
          </w:p>
        </w:tc>
        <w:tc>
          <w:tcPr>
            <w:tcW w:w="800" w:type="dxa"/>
            <w:vAlign w:val="bottom"/>
          </w:tcPr>
          <w:p>
            <w:pPr>
              <w:jc w:val="right"/>
              <w:ind w:right="375"/>
              <w:spacing w:after="0" w:line="159" w:lineRule="exact"/>
              <w:rPr>
                <w:sz w:val="20"/>
                <w:szCs w:val="20"/>
                <w:color w:val="auto"/>
              </w:rPr>
            </w:pPr>
            <w:r>
              <w:rPr>
                <w:rFonts w:ascii="Arial" w:cs="Arial" w:eastAsia="Arial" w:hAnsi="Arial"/>
                <w:sz w:val="14"/>
                <w:szCs w:val="14"/>
                <w:color w:val="auto"/>
              </w:rPr>
              <w:t>2011</w:t>
            </w:r>
          </w:p>
        </w:tc>
        <w:tc>
          <w:tcPr>
            <w:tcW w:w="460" w:type="dxa"/>
            <w:vAlign w:val="bottom"/>
          </w:tcPr>
          <w:p>
            <w:pPr>
              <w:spacing w:after="0"/>
              <w:rPr>
                <w:sz w:val="13"/>
                <w:szCs w:val="13"/>
                <w:color w:val="auto"/>
              </w:rPr>
            </w:pPr>
          </w:p>
        </w:tc>
        <w:tc>
          <w:tcPr>
            <w:tcW w:w="700" w:type="dxa"/>
            <w:vAlign w:val="bottom"/>
          </w:tcPr>
          <w:p>
            <w:pPr>
              <w:jc w:val="right"/>
              <w:ind w:right="255"/>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580" w:type="dxa"/>
            <w:vAlign w:val="bottom"/>
            <w:tcBorders>
              <w:top w:val="single" w:sz="8" w:color="auto"/>
            </w:tcBorders>
            <w:shd w:val="clear" w:color="auto" w:fill="E5E5E5"/>
          </w:tcPr>
          <w:p>
            <w:pPr>
              <w:ind w:left="248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color w:val="auto"/>
              </w:rPr>
              <w:t>3,120</w:t>
            </w:r>
          </w:p>
        </w:tc>
        <w:tc>
          <w:tcPr>
            <w:tcW w:w="46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2,815</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258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Arial" w:cs="Arial" w:eastAsia="Arial" w:hAnsi="Arial"/>
                <w:sz w:val="18"/>
                <w:szCs w:val="18"/>
                <w:color w:val="auto"/>
              </w:rPr>
              <w:t>2,111</w:t>
            </w:r>
          </w:p>
        </w:tc>
        <w:tc>
          <w:tcPr>
            <w:tcW w:w="46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2,193</w:t>
            </w:r>
          </w:p>
        </w:tc>
      </w:tr>
      <w:tr>
        <w:trPr>
          <w:trHeight w:val="216"/>
        </w:trPr>
        <w:tc>
          <w:tcPr>
            <w:tcW w:w="20" w:type="dxa"/>
            <w:vAlign w:val="bottom"/>
          </w:tcPr>
          <w:p>
            <w:pPr>
              <w:spacing w:after="0"/>
              <w:rPr>
                <w:sz w:val="18"/>
                <w:szCs w:val="18"/>
                <w:color w:val="auto"/>
              </w:rPr>
            </w:pPr>
          </w:p>
        </w:tc>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25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1,760</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1,743</w:t>
            </w:r>
          </w:p>
        </w:tc>
      </w:tr>
      <w:tr>
        <w:trPr>
          <w:trHeight w:val="216"/>
        </w:trPr>
        <w:tc>
          <w:tcPr>
            <w:tcW w:w="20" w:type="dxa"/>
            <w:vAlign w:val="bottom"/>
          </w:tcPr>
          <w:p>
            <w:pPr>
              <w:spacing w:after="0"/>
              <w:rPr>
                <w:sz w:val="18"/>
                <w:szCs w:val="18"/>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Acquired NBCUniversal investments</w:t>
            </w:r>
          </w:p>
        </w:tc>
        <w:tc>
          <w:tcPr>
            <w:tcW w:w="2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3,794</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25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w w:val="83"/>
              </w:rPr>
              <w:t>10,785</w:t>
            </w:r>
          </w:p>
        </w:tc>
        <w:tc>
          <w:tcPr>
            <w:tcW w:w="4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6,751</w:t>
            </w:r>
          </w:p>
        </w:tc>
      </w:tr>
      <w:tr>
        <w:trPr>
          <w:trHeight w:val="216"/>
        </w:trPr>
        <w:tc>
          <w:tcPr>
            <w:tcW w:w="20" w:type="dxa"/>
            <w:vAlign w:val="bottom"/>
          </w:tcPr>
          <w:p>
            <w:pPr>
              <w:spacing w:after="0"/>
              <w:rPr>
                <w:sz w:val="18"/>
                <w:szCs w:val="18"/>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2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74</w:t>
            </w: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w:t>
            </w:r>
          </w:p>
        </w:tc>
      </w:tr>
      <w:tr>
        <w:trPr>
          <w:trHeight w:val="217"/>
        </w:trPr>
        <w:tc>
          <w:tcPr>
            <w:tcW w:w="20" w:type="dxa"/>
            <w:vAlign w:val="bottom"/>
          </w:tcPr>
          <w:p>
            <w:pPr>
              <w:spacing w:after="0"/>
              <w:rPr>
                <w:sz w:val="18"/>
                <w:szCs w:val="18"/>
                <w:color w:val="auto"/>
              </w:rPr>
            </w:pPr>
          </w:p>
        </w:tc>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2580" w:type="dxa"/>
            <w:vAlign w:val="bottom"/>
            <w:tcBorders>
              <w:bottom w:val="single" w:sz="8" w:color="auto"/>
            </w:tcBorders>
            <w:shd w:val="clear" w:color="auto" w:fill="E5E5E5"/>
          </w:tcPr>
          <w:p>
            <w:pPr>
              <w:ind w:left="24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E5E5E5"/>
          </w:tcPr>
          <w:p>
            <w:pPr>
              <w:jc w:val="right"/>
              <w:ind w:right="235"/>
              <w:spacing w:after="0"/>
              <w:rPr>
                <w:sz w:val="20"/>
                <w:szCs w:val="20"/>
                <w:color w:val="auto"/>
              </w:rPr>
            </w:pPr>
            <w:r>
              <w:rPr>
                <w:rFonts w:ascii="Arial" w:cs="Arial" w:eastAsia="Arial" w:hAnsi="Arial"/>
                <w:sz w:val="18"/>
                <w:szCs w:val="18"/>
                <w:b w:val="1"/>
                <w:bCs w:val="1"/>
                <w:color w:val="auto"/>
                <w:w w:val="83"/>
              </w:rPr>
              <w:t>10,711</w:t>
            </w:r>
          </w:p>
        </w:tc>
        <w:tc>
          <w:tcPr>
            <w:tcW w:w="4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6,670</w:t>
            </w:r>
          </w:p>
        </w:tc>
      </w:tr>
    </w:tbl>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Investments acquired in connection with the NBCUniversal transaction primarily include equity method investments in A&amp;E Television Networks, LLC (16%); Universal City Development Partners (“UCDP”) (50%), consisting of the ownership and operation of two theme parks in Orlando, Florida; The Weather Channel (25%); and MSNBC.com (50%); and cost method investments, primarily in Hulu (32%). See Note 4 for more information on the NBCUniversal transaction.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right"/>
              <w:ind w:right="3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jc w:val="right"/>
              <w:ind w:right="136"/>
              <w:spacing w:after="0" w:line="142" w:lineRule="exact"/>
              <w:rPr>
                <w:sz w:val="20"/>
                <w:szCs w:val="20"/>
                <w:color w:val="auto"/>
              </w:rPr>
            </w:pPr>
            <w:r>
              <w:rPr>
                <w:rFonts w:ascii="Arial" w:cs="Arial" w:eastAsia="Arial" w:hAnsi="Arial"/>
                <w:sz w:val="14"/>
                <w:szCs w:val="14"/>
                <w:color w:val="auto"/>
                <w:w w:val="89"/>
              </w:rPr>
              <w:t>2011</w:t>
            </w:r>
          </w:p>
        </w:tc>
        <w:tc>
          <w:tcPr>
            <w:tcW w:w="76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74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309</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Mark to market adjustments on derivative component of prepaid forward sale agreements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74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 and Other 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presents our goodwill attributable to our Cable Communications segment (previously our Cable Segment), the Comcast Content Business (now included in the new NBCUniversal segments) and Corporate and Other, as well as the total goodwill attributable to the NBCUniversal acquired businesses. See Note 17 for additional information on our segments.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vMerge w:val="restart"/>
          </w:tcPr>
          <w:p>
            <w:pPr>
              <w:jc w:val="right"/>
              <w:ind w:right="316"/>
              <w:spacing w:after="0"/>
              <w:rPr>
                <w:sz w:val="20"/>
                <w:szCs w:val="20"/>
                <w:color w:val="auto"/>
              </w:rPr>
            </w:pPr>
            <w:r>
              <w:rPr>
                <w:rFonts w:ascii="Arial" w:cs="Arial" w:eastAsia="Arial" w:hAnsi="Arial"/>
                <w:sz w:val="14"/>
                <w:szCs w:val="14"/>
                <w:color w:val="auto"/>
              </w:rPr>
              <w:t>Cable</w:t>
            </w: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0"/>
              </w:rPr>
              <w:t>NBCUniversal</w:t>
            </w:r>
          </w:p>
        </w:tc>
        <w:tc>
          <w:tcPr>
            <w:tcW w:w="1100" w:type="dxa"/>
            <w:vAlign w:val="bottom"/>
            <w:tcBorders>
              <w:bottom w:val="single" w:sz="8" w:color="auto"/>
            </w:tcBorders>
          </w:tcPr>
          <w:p>
            <w:pPr>
              <w:spacing w:after="0"/>
              <w:rPr>
                <w:sz w:val="14"/>
                <w:szCs w:val="14"/>
                <w:color w:val="auto"/>
              </w:rPr>
            </w:pPr>
          </w:p>
        </w:tc>
        <w:tc>
          <w:tcPr>
            <w:tcW w:w="1780" w:type="dxa"/>
            <w:vAlign w:val="bottom"/>
            <w:gridSpan w:val="2"/>
            <w:vMerge w:val="restart"/>
          </w:tcPr>
          <w:p>
            <w:pPr>
              <w:ind w:left="640"/>
              <w:spacing w:after="0"/>
              <w:rPr>
                <w:sz w:val="20"/>
                <w:szCs w:val="20"/>
                <w:color w:val="auto"/>
              </w:rPr>
            </w:pPr>
            <w:r>
              <w:rPr>
                <w:rFonts w:ascii="Arial" w:cs="Arial" w:eastAsia="Arial" w:hAnsi="Arial"/>
                <w:sz w:val="14"/>
                <w:szCs w:val="14"/>
                <w:color w:val="auto"/>
              </w:rPr>
              <w:t>Corporate and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40" w:type="dxa"/>
            <w:vAlign w:val="bottom"/>
            <w:gridSpan w:val="2"/>
          </w:tcPr>
          <w:p>
            <w:pPr>
              <w:ind w:left="660"/>
              <w:spacing w:after="0" w:line="131" w:lineRule="exact"/>
              <w:rPr>
                <w:sz w:val="20"/>
                <w:szCs w:val="20"/>
                <w:color w:val="auto"/>
              </w:rPr>
            </w:pPr>
            <w:r>
              <w:rPr>
                <w:rFonts w:ascii="Arial" w:cs="Arial" w:eastAsia="Arial" w:hAnsi="Arial"/>
                <w:sz w:val="14"/>
                <w:szCs w:val="14"/>
                <w:color w:val="auto"/>
                <w:w w:val="88"/>
              </w:rPr>
              <w:t>Comcast Content</w:t>
            </w:r>
          </w:p>
        </w:tc>
        <w:tc>
          <w:tcPr>
            <w:tcW w:w="840" w:type="dxa"/>
            <w:vAlign w:val="bottom"/>
          </w:tcPr>
          <w:p>
            <w:pPr>
              <w:spacing w:after="0"/>
              <w:rPr>
                <w:sz w:val="11"/>
                <w:szCs w:val="11"/>
                <w:color w:val="auto"/>
              </w:rPr>
            </w:pPr>
          </w:p>
        </w:tc>
        <w:tc>
          <w:tcPr>
            <w:tcW w:w="1100" w:type="dxa"/>
            <w:vAlign w:val="bottom"/>
          </w:tcPr>
          <w:p>
            <w:pPr>
              <w:jc w:val="right"/>
              <w:ind w:right="176"/>
              <w:spacing w:after="0" w:line="131" w:lineRule="exact"/>
              <w:rPr>
                <w:sz w:val="20"/>
                <w:szCs w:val="20"/>
                <w:color w:val="auto"/>
              </w:rPr>
            </w:pPr>
            <w:r>
              <w:rPr>
                <w:rFonts w:ascii="Arial" w:cs="Arial" w:eastAsia="Arial" w:hAnsi="Arial"/>
                <w:sz w:val="14"/>
                <w:szCs w:val="14"/>
                <w:color w:val="auto"/>
                <w:w w:val="93"/>
              </w:rPr>
              <w:t>NBCUniversal</w:t>
            </w:r>
          </w:p>
        </w:tc>
        <w:tc>
          <w:tcPr>
            <w:tcW w:w="17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00" w:type="dxa"/>
            <w:vAlign w:val="bottom"/>
            <w:gridSpan w:val="2"/>
          </w:tcPr>
          <w:p>
            <w:pPr>
              <w:ind w:left="980"/>
              <w:spacing w:after="0" w:line="159" w:lineRule="exact"/>
              <w:rPr>
                <w:sz w:val="20"/>
                <w:szCs w:val="20"/>
                <w:color w:val="auto"/>
              </w:rPr>
            </w:pPr>
            <w:r>
              <w:rPr>
                <w:rFonts w:ascii="Arial" w:cs="Arial" w:eastAsia="Arial" w:hAnsi="Arial"/>
                <w:sz w:val="14"/>
                <w:szCs w:val="14"/>
                <w:color w:val="auto"/>
                <w:w w:val="95"/>
              </w:rPr>
              <w:t>Communications</w:t>
            </w:r>
          </w:p>
        </w:tc>
        <w:tc>
          <w:tcPr>
            <w:tcW w:w="820" w:type="dxa"/>
            <w:vAlign w:val="bottom"/>
          </w:tcPr>
          <w:p>
            <w:pPr>
              <w:spacing w:after="0"/>
              <w:rPr>
                <w:sz w:val="13"/>
                <w:szCs w:val="13"/>
                <w:color w:val="auto"/>
              </w:rPr>
            </w:pPr>
          </w:p>
        </w:tc>
        <w:tc>
          <w:tcPr>
            <w:tcW w:w="820" w:type="dxa"/>
            <w:vAlign w:val="bottom"/>
          </w:tcPr>
          <w:p>
            <w:pPr>
              <w:jc w:val="right"/>
              <w:ind w:right="196"/>
              <w:spacing w:after="0" w:line="159" w:lineRule="exact"/>
              <w:rPr>
                <w:sz w:val="20"/>
                <w:szCs w:val="20"/>
                <w:color w:val="auto"/>
              </w:rPr>
            </w:pPr>
            <w:r>
              <w:rPr>
                <w:rFonts w:ascii="Arial" w:cs="Arial" w:eastAsia="Arial" w:hAnsi="Arial"/>
                <w:sz w:val="14"/>
                <w:szCs w:val="14"/>
                <w:color w:val="auto"/>
                <w:w w:val="91"/>
              </w:rPr>
              <w:t>Business</w:t>
            </w:r>
          </w:p>
        </w:tc>
        <w:tc>
          <w:tcPr>
            <w:tcW w:w="1940" w:type="dxa"/>
            <w:vAlign w:val="bottom"/>
            <w:gridSpan w:val="2"/>
          </w:tcPr>
          <w:p>
            <w:pPr>
              <w:ind w:left="700"/>
              <w:spacing w:after="0" w:line="159" w:lineRule="exact"/>
              <w:rPr>
                <w:sz w:val="20"/>
                <w:szCs w:val="20"/>
                <w:color w:val="auto"/>
              </w:rPr>
            </w:pPr>
            <w:r>
              <w:rPr>
                <w:rFonts w:ascii="Arial" w:cs="Arial" w:eastAsia="Arial" w:hAnsi="Arial"/>
                <w:sz w:val="14"/>
                <w:szCs w:val="14"/>
                <w:color w:val="auto"/>
                <w:w w:val="93"/>
              </w:rPr>
              <w:t>Acquired Businesses</w:t>
            </w:r>
          </w:p>
        </w:tc>
        <w:tc>
          <w:tcPr>
            <w:tcW w:w="800" w:type="dxa"/>
            <w:vAlign w:val="bottom"/>
          </w:tcPr>
          <w:p>
            <w:pPr>
              <w:spacing w:after="0"/>
              <w:rPr>
                <w:sz w:val="13"/>
                <w:szCs w:val="13"/>
                <w:color w:val="auto"/>
              </w:rPr>
            </w:pPr>
          </w:p>
        </w:tc>
        <w:tc>
          <w:tcPr>
            <w:tcW w:w="980" w:type="dxa"/>
            <w:vAlign w:val="bottom"/>
          </w:tcPr>
          <w:p>
            <w:pPr>
              <w:jc w:val="right"/>
              <w:ind w:right="516"/>
              <w:spacing w:after="0" w:line="159" w:lineRule="exact"/>
              <w:rPr>
                <w:sz w:val="20"/>
                <w:szCs w:val="20"/>
                <w:color w:val="auto"/>
              </w:rPr>
            </w:pPr>
            <w:r>
              <w:rPr>
                <w:rFonts w:ascii="Arial" w:cs="Arial" w:eastAsia="Arial" w:hAnsi="Arial"/>
                <w:sz w:val="14"/>
                <w:szCs w:val="14"/>
                <w:color w:val="auto"/>
              </w:rPr>
              <w:t>Other</w:t>
            </w:r>
          </w:p>
        </w:tc>
        <w:tc>
          <w:tcPr>
            <w:tcW w:w="102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2010</w:t>
            </w:r>
          </w:p>
        </w:tc>
        <w:tc>
          <w:tcPr>
            <w:tcW w:w="1180" w:type="dxa"/>
            <w:vAlign w:val="bottom"/>
            <w:tcBorders>
              <w:top w:val="single" w:sz="8" w:color="auto"/>
            </w:tcBorders>
            <w:shd w:val="clear" w:color="auto" w:fill="E5E5E5"/>
          </w:tcPr>
          <w:p>
            <w:pPr>
              <w:ind w:left="9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12,207</w:t>
            </w:r>
          </w:p>
        </w:tc>
        <w:tc>
          <w:tcPr>
            <w:tcW w:w="820" w:type="dxa"/>
            <w:vAlign w:val="bottom"/>
            <w:tcBorders>
              <w:top w:val="single" w:sz="8" w:color="auto"/>
            </w:tcBorders>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2,564</w:t>
            </w:r>
          </w:p>
        </w:tc>
        <w:tc>
          <w:tcPr>
            <w:tcW w:w="840" w:type="dxa"/>
            <w:vAlign w:val="bottom"/>
            <w:tcBorders>
              <w:top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187</w:t>
            </w:r>
          </w:p>
        </w:tc>
        <w:tc>
          <w:tcPr>
            <w:tcW w:w="10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Acquisitions</w:t>
            </w:r>
          </w:p>
        </w:tc>
        <w:tc>
          <w:tcPr>
            <w:tcW w:w="1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12,042</w:t>
            </w:r>
          </w:p>
        </w:tc>
        <w:tc>
          <w:tcPr>
            <w:tcW w:w="800" w:type="dxa"/>
            <w:vAlign w:val="bottom"/>
          </w:tcPr>
          <w:p>
            <w:pPr>
              <w:spacing w:after="0"/>
              <w:rPr>
                <w:sz w:val="18"/>
                <w:szCs w:val="18"/>
                <w:color w:val="auto"/>
              </w:rPr>
            </w:pPr>
          </w:p>
        </w:tc>
        <w:tc>
          <w:tcPr>
            <w:tcW w:w="9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Settlements and adjustments</w:t>
            </w:r>
          </w:p>
        </w:tc>
        <w:tc>
          <w:tcPr>
            <w:tcW w:w="11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2011</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12,208</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w:t>
            </w:r>
          </w:p>
        </w:tc>
        <w:tc>
          <w:tcPr>
            <w:tcW w:w="8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12,042</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187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$27,001</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goodwill for the three months ended March 31, 2011 is primarily related to the closing of the NBCUniversal transaction on January 28, 2011. The preliminary allocation of purchase price to the assets and liabilities of the NBCUniversal businesses acquired, as well as the allocation of goodwill among reporting segments, is not complete and is subject to change. We expect the majority of the goodwill will be related to our Cable Networks segment. See Note 4 for more information on the NBCUniversal transaction.</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carrying amount of goodwill at both December 31, 2010 and March 31, 2011 includes accumulated impairments of $76 million within our Cable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0" w:type="dxa"/>
            <w:vAlign w:val="bottom"/>
            <w:vMerge w:val="restart"/>
          </w:tcPr>
          <w:p>
            <w:pPr>
              <w:jc w:val="right"/>
              <w:ind w:right="20"/>
              <w:spacing w:after="0"/>
              <w:rPr>
                <w:sz w:val="20"/>
                <w:szCs w:val="20"/>
                <w:color w:val="auto"/>
              </w:rPr>
            </w:pPr>
            <w:r>
              <w:rPr>
                <w:rFonts w:ascii="Arial" w:cs="Arial" w:eastAsia="Arial" w:hAnsi="Arial"/>
                <w:sz w:val="14"/>
                <w:szCs w:val="14"/>
                <w:color w:val="auto"/>
              </w:rPr>
              <w:t>Original Useful Life</w:t>
            </w:r>
          </w:p>
        </w:tc>
        <w:tc>
          <w:tcPr>
            <w:tcW w:w="6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w w:val="96"/>
              </w:rPr>
              <w:t>March 31, 2011</w:t>
            </w: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w w:val="89"/>
              </w:rPr>
              <w:t>December 31, 2010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680" w:type="dxa"/>
            <w:vAlign w:val="bottom"/>
            <w:gridSpan w:val="2"/>
          </w:tcPr>
          <w:p>
            <w:pPr>
              <w:ind w:left="540"/>
              <w:spacing w:after="0" w:line="131" w:lineRule="exact"/>
              <w:rPr>
                <w:sz w:val="20"/>
                <w:szCs w:val="20"/>
                <w:color w:val="auto"/>
              </w:rPr>
            </w:pPr>
            <w:r>
              <w:rPr>
                <w:rFonts w:ascii="Arial" w:cs="Arial" w:eastAsia="Arial" w:hAnsi="Arial"/>
                <w:sz w:val="14"/>
                <w:szCs w:val="14"/>
                <w:color w:val="auto"/>
              </w:rPr>
              <w:t>Gross Carrying</w:t>
            </w:r>
          </w:p>
        </w:tc>
        <w:tc>
          <w:tcPr>
            <w:tcW w:w="1380" w:type="dxa"/>
            <w:vAlign w:val="bottom"/>
            <w:gridSpan w:val="2"/>
          </w:tcPr>
          <w:p>
            <w:pPr>
              <w:ind w:left="300"/>
              <w:spacing w:after="0" w:line="131" w:lineRule="exact"/>
              <w:rPr>
                <w:sz w:val="20"/>
                <w:szCs w:val="20"/>
                <w:color w:val="auto"/>
              </w:rPr>
            </w:pPr>
            <w:r>
              <w:rPr>
                <w:rFonts w:ascii="Arial" w:cs="Arial" w:eastAsia="Arial" w:hAnsi="Arial"/>
                <w:sz w:val="14"/>
                <w:szCs w:val="14"/>
                <w:color w:val="auto"/>
              </w:rPr>
              <w:t>Accumulated</w:t>
            </w:r>
          </w:p>
        </w:tc>
        <w:tc>
          <w:tcPr>
            <w:tcW w:w="1440" w:type="dxa"/>
            <w:vAlign w:val="bottom"/>
            <w:gridSpan w:val="2"/>
          </w:tcPr>
          <w:p>
            <w:pPr>
              <w:ind w:left="300"/>
              <w:spacing w:after="0" w:line="131" w:lineRule="exact"/>
              <w:rPr>
                <w:sz w:val="20"/>
                <w:szCs w:val="20"/>
                <w:color w:val="auto"/>
              </w:rPr>
            </w:pPr>
            <w:r>
              <w:rPr>
                <w:rFonts w:ascii="Arial" w:cs="Arial" w:eastAsia="Arial" w:hAnsi="Arial"/>
                <w:sz w:val="14"/>
                <w:szCs w:val="14"/>
                <w:color w:val="auto"/>
              </w:rPr>
              <w:t>Gross Carrying</w:t>
            </w:r>
          </w:p>
        </w:tc>
        <w:tc>
          <w:tcPr>
            <w:tcW w:w="116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59"/>
        </w:trPr>
        <w:tc>
          <w:tcPr>
            <w:tcW w:w="37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000" w:type="dxa"/>
            <w:vAlign w:val="bottom"/>
          </w:tcPr>
          <w:p>
            <w:pPr>
              <w:jc w:val="right"/>
              <w:ind w:right="80"/>
              <w:spacing w:after="0" w:line="159" w:lineRule="exact"/>
              <w:rPr>
                <w:sz w:val="20"/>
                <w:szCs w:val="20"/>
                <w:color w:val="auto"/>
              </w:rPr>
            </w:pPr>
            <w:r>
              <w:rPr>
                <w:rFonts w:ascii="Arial" w:cs="Arial" w:eastAsia="Arial" w:hAnsi="Arial"/>
                <w:sz w:val="14"/>
                <w:szCs w:val="14"/>
                <w:color w:val="auto"/>
              </w:rPr>
              <w:t>at March 31, 2011</w:t>
            </w:r>
          </w:p>
        </w:tc>
        <w:tc>
          <w:tcPr>
            <w:tcW w:w="680" w:type="dxa"/>
            <w:vAlign w:val="bottom"/>
          </w:tcPr>
          <w:p>
            <w:pPr>
              <w:spacing w:after="0"/>
              <w:rPr>
                <w:sz w:val="13"/>
                <w:szCs w:val="13"/>
                <w:color w:val="auto"/>
              </w:rPr>
            </w:pPr>
          </w:p>
        </w:tc>
        <w:tc>
          <w:tcPr>
            <w:tcW w:w="1000" w:type="dxa"/>
            <w:vAlign w:val="bottom"/>
          </w:tcPr>
          <w:p>
            <w:pPr>
              <w:jc w:val="right"/>
              <w:ind w:right="419"/>
              <w:spacing w:after="0" w:line="159" w:lineRule="exact"/>
              <w:rPr>
                <w:sz w:val="20"/>
                <w:szCs w:val="20"/>
                <w:color w:val="auto"/>
              </w:rPr>
            </w:pPr>
            <w:r>
              <w:rPr>
                <w:rFonts w:ascii="Arial" w:cs="Arial" w:eastAsia="Arial" w:hAnsi="Arial"/>
                <w:sz w:val="14"/>
                <w:szCs w:val="14"/>
                <w:color w:val="auto"/>
                <w:w w:val="99"/>
              </w:rPr>
              <w:t>Amount</w:t>
            </w:r>
          </w:p>
        </w:tc>
        <w:tc>
          <w:tcPr>
            <w:tcW w:w="13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Amortization</w:t>
            </w:r>
          </w:p>
        </w:tc>
        <w:tc>
          <w:tcPr>
            <w:tcW w:w="440" w:type="dxa"/>
            <w:vAlign w:val="bottom"/>
          </w:tcPr>
          <w:p>
            <w:pPr>
              <w:spacing w:after="0"/>
              <w:rPr>
                <w:sz w:val="13"/>
                <w:szCs w:val="13"/>
                <w:color w:val="auto"/>
              </w:rPr>
            </w:pPr>
          </w:p>
        </w:tc>
        <w:tc>
          <w:tcPr>
            <w:tcW w:w="1000" w:type="dxa"/>
            <w:vAlign w:val="bottom"/>
          </w:tcPr>
          <w:p>
            <w:pPr>
              <w:jc w:val="right"/>
              <w:ind w:right="419"/>
              <w:spacing w:after="0" w:line="159" w:lineRule="exact"/>
              <w:rPr>
                <w:sz w:val="20"/>
                <w:szCs w:val="20"/>
                <w:color w:val="auto"/>
              </w:rPr>
            </w:pPr>
            <w:r>
              <w:rPr>
                <w:rFonts w:ascii="Arial" w:cs="Arial" w:eastAsia="Arial" w:hAnsi="Arial"/>
                <w:sz w:val="14"/>
                <w:szCs w:val="14"/>
                <w:color w:val="auto"/>
                <w:w w:val="99"/>
              </w:rPr>
              <w:t>Amount</w:t>
            </w:r>
          </w:p>
        </w:tc>
        <w:tc>
          <w:tcPr>
            <w:tcW w:w="116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intangible assets</w:t>
            </w:r>
          </w:p>
        </w:tc>
        <w:tc>
          <w:tcPr>
            <w:tcW w:w="200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2-25 years</w:t>
            </w:r>
          </w:p>
        </w:tc>
        <w:tc>
          <w:tcPr>
            <w:tcW w:w="680" w:type="dxa"/>
            <w:vAlign w:val="bottom"/>
            <w:tcBorders>
              <w:top w:val="single" w:sz="8" w:color="auto"/>
            </w:tcBorders>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color w:val="auto"/>
              </w:rPr>
              <w:t>8,842</w:t>
            </w:r>
          </w:p>
        </w:tc>
        <w:tc>
          <w:tcPr>
            <w:tcW w:w="48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(5,526)</w:t>
            </w:r>
          </w:p>
        </w:tc>
        <w:tc>
          <w:tcPr>
            <w:tcW w:w="44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12,271</w:t>
            </w:r>
          </w:p>
        </w:tc>
        <w:tc>
          <w:tcPr>
            <w:tcW w:w="54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8"/>
              </w:rPr>
              <w:t>(8,840)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Acquired NBCUniversal intangible assets</w:t>
            </w:r>
          </w:p>
        </w:tc>
        <w:tc>
          <w:tcPr>
            <w:tcW w:w="2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Finite-lived intangible assets</w:t>
            </w:r>
          </w:p>
        </w:tc>
        <w:tc>
          <w:tcPr>
            <w:tcW w:w="200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4-19 years</w:t>
            </w:r>
          </w:p>
        </w:tc>
        <w:tc>
          <w:tcPr>
            <w:tcW w:w="6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11,430</w:t>
            </w:r>
          </w:p>
        </w:tc>
        <w:tc>
          <w:tcPr>
            <w:tcW w:w="4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Indefinite-lived intangible assets</w:t>
            </w:r>
          </w:p>
        </w:tc>
        <w:tc>
          <w:tcPr>
            <w:tcW w:w="2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N/A</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3,100</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ind w:left="5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b w:val="1"/>
                <w:bCs w:val="1"/>
                <w:color w:val="auto"/>
              </w:rPr>
              <w:t>23,372</w:t>
            </w:r>
          </w:p>
        </w:tc>
        <w:tc>
          <w:tcPr>
            <w:tcW w:w="4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(5,647)</w:t>
            </w:r>
          </w:p>
        </w:tc>
        <w:tc>
          <w:tcPr>
            <w:tcW w:w="44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b w:val="1"/>
                <w:bCs w:val="1"/>
                <w:color w:val="auto"/>
              </w:rPr>
              <w:t>12,271</w:t>
            </w:r>
          </w:p>
        </w:tc>
        <w:tc>
          <w:tcPr>
            <w:tcW w:w="54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(8,840)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the gross carrying amount and accumulated amortization of other intangible assets for the three months ended March 31, 2011 was due to the write off of fully amortized customer relationship and other intangible assets.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recorded as a result of the NBCUniversal transaction include finite-lived intangible assets, primarily customer-related intangible assets and capitalized software, and indefinite-lived intangible assets, primarily trade names and Federal Communication Commission licenses. See Note 4 for more information on the NBCUniversal transaction.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2011, our debt had an estimated fair value of $42.8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NBCUniversal issued $9.1 billion principal amount of senior debt securities during 2010 in connection with the NBCUniversal transaction. In accordance with acquisition accounting, the senior debt securities were recorded at fair value based on interest rates available to us for debt with similar terms and remaining maturities as of January 28, 2011. The table below presents the carrying value of these senior debt securities included in our balance sheet as of March 31, 2011.</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0" w:type="dxa"/>
            <w:vAlign w:val="bottom"/>
            <w:gridSpan w:val="2"/>
          </w:tcPr>
          <w:p>
            <w:pPr>
              <w:ind w:left="340"/>
              <w:spacing w:after="0" w:line="151" w:lineRule="exact"/>
              <w:rPr>
                <w:sz w:val="20"/>
                <w:szCs w:val="20"/>
                <w:color w:val="auto"/>
              </w:rPr>
            </w:pPr>
            <w:r>
              <w:rPr>
                <w:rFonts w:ascii="Arial" w:cs="Arial" w:eastAsia="Arial" w:hAnsi="Arial"/>
                <w:sz w:val="14"/>
                <w:szCs w:val="14"/>
                <w:color w:val="auto"/>
              </w:rPr>
              <w:t>March 31,</w:t>
            </w:r>
          </w:p>
        </w:tc>
      </w:tr>
      <w:tr>
        <w:trPr>
          <w:trHeight w:val="159"/>
        </w:trPr>
        <w:tc>
          <w:tcPr>
            <w:tcW w:w="54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5020" w:type="dxa"/>
            <w:vAlign w:val="bottom"/>
          </w:tcPr>
          <w:p>
            <w:pPr>
              <w:jc w:val="right"/>
              <w:ind w:right="415"/>
              <w:spacing w:after="0" w:line="159" w:lineRule="exact"/>
              <w:rPr>
                <w:sz w:val="20"/>
                <w:szCs w:val="20"/>
                <w:color w:val="auto"/>
              </w:rPr>
            </w:pPr>
            <w:r>
              <w:rPr>
                <w:rFonts w:ascii="Arial" w:cs="Arial" w:eastAsia="Arial" w:hAnsi="Arial"/>
                <w:sz w:val="14"/>
                <w:szCs w:val="14"/>
                <w:color w:val="auto"/>
              </w:rPr>
              <w:t>Interest Rate</w:t>
            </w:r>
          </w:p>
        </w:tc>
        <w:tc>
          <w:tcPr>
            <w:tcW w:w="460" w:type="dxa"/>
            <w:vAlign w:val="bottom"/>
          </w:tcPr>
          <w:p>
            <w:pPr>
              <w:spacing w:after="0"/>
              <w:rPr>
                <w:sz w:val="13"/>
                <w:szCs w:val="13"/>
                <w:color w:val="auto"/>
              </w:rPr>
            </w:pPr>
          </w:p>
        </w:tc>
        <w:tc>
          <w:tcPr>
            <w:tcW w:w="540" w:type="dxa"/>
            <w:vAlign w:val="bottom"/>
          </w:tcPr>
          <w:p>
            <w:pPr>
              <w:jc w:val="right"/>
              <w:ind w:right="154"/>
              <w:spacing w:after="0" w:line="159" w:lineRule="exact"/>
              <w:rPr>
                <w:sz w:val="20"/>
                <w:szCs w:val="20"/>
                <w:color w:val="auto"/>
              </w:rPr>
            </w:pPr>
            <w:r>
              <w:rPr>
                <w:rFonts w:ascii="Arial" w:cs="Arial" w:eastAsia="Arial" w:hAnsi="Arial"/>
                <w:sz w:val="14"/>
                <w:szCs w:val="14"/>
                <w:color w:val="auto"/>
                <w:w w:val="89"/>
              </w:rPr>
              <w:t>2011</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Senior notes due 2014</w:t>
            </w:r>
          </w:p>
        </w:tc>
        <w:tc>
          <w:tcPr>
            <w:tcW w:w="502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2.100%</w:t>
            </w:r>
          </w:p>
        </w:tc>
        <w:tc>
          <w:tcPr>
            <w:tcW w:w="46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897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notes due 2015</w:t>
            </w:r>
          </w:p>
        </w:tc>
        <w:tc>
          <w:tcPr>
            <w:tcW w:w="5020" w:type="dxa"/>
            <w:vAlign w:val="bottom"/>
          </w:tcPr>
          <w:p>
            <w:pPr>
              <w:jc w:val="right"/>
              <w:ind w:right="275"/>
              <w:spacing w:after="0"/>
              <w:rPr>
                <w:sz w:val="20"/>
                <w:szCs w:val="20"/>
                <w:color w:val="auto"/>
              </w:rPr>
            </w:pPr>
            <w:r>
              <w:rPr>
                <w:rFonts w:ascii="Arial" w:cs="Arial" w:eastAsia="Arial" w:hAnsi="Arial"/>
                <w:sz w:val="18"/>
                <w:szCs w:val="18"/>
                <w:color w:val="auto"/>
              </w:rPr>
              <w:t>3.650%</w:t>
            </w:r>
          </w:p>
        </w:tc>
        <w:tc>
          <w:tcPr>
            <w:tcW w:w="4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1,031</w:t>
            </w:r>
          </w:p>
        </w:tc>
      </w:tr>
      <w:tr>
        <w:trPr>
          <w:trHeight w:val="216"/>
        </w:trPr>
        <w:tc>
          <w:tcPr>
            <w:tcW w:w="20" w:type="dxa"/>
            <w:vAlign w:val="bottom"/>
          </w:tcPr>
          <w:p>
            <w:pPr>
              <w:spacing w:after="0"/>
              <w:rPr>
                <w:sz w:val="18"/>
                <w:szCs w:val="18"/>
                <w:color w:val="auto"/>
              </w:rPr>
            </w:pPr>
          </w:p>
        </w:tc>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Senior notes due 2016</w:t>
            </w:r>
          </w:p>
        </w:tc>
        <w:tc>
          <w:tcPr>
            <w:tcW w:w="50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2.875%</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980</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notes due 2020</w:t>
            </w:r>
          </w:p>
        </w:tc>
        <w:tc>
          <w:tcPr>
            <w:tcW w:w="5020" w:type="dxa"/>
            <w:vAlign w:val="bottom"/>
          </w:tcPr>
          <w:p>
            <w:pPr>
              <w:jc w:val="right"/>
              <w:ind w:right="275"/>
              <w:spacing w:after="0"/>
              <w:rPr>
                <w:sz w:val="20"/>
                <w:szCs w:val="20"/>
                <w:color w:val="auto"/>
              </w:rPr>
            </w:pPr>
            <w:r>
              <w:rPr>
                <w:rFonts w:ascii="Arial" w:cs="Arial" w:eastAsia="Arial" w:hAnsi="Arial"/>
                <w:sz w:val="18"/>
                <w:szCs w:val="18"/>
                <w:color w:val="auto"/>
              </w:rPr>
              <w:t>5.150%</w:t>
            </w:r>
          </w:p>
        </w:tc>
        <w:tc>
          <w:tcPr>
            <w:tcW w:w="4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2,065</w:t>
            </w:r>
          </w:p>
        </w:tc>
      </w:tr>
      <w:tr>
        <w:trPr>
          <w:trHeight w:val="216"/>
        </w:trPr>
        <w:tc>
          <w:tcPr>
            <w:tcW w:w="20" w:type="dxa"/>
            <w:vAlign w:val="bottom"/>
          </w:tcPr>
          <w:p>
            <w:pPr>
              <w:spacing w:after="0"/>
              <w:rPr>
                <w:sz w:val="18"/>
                <w:szCs w:val="18"/>
                <w:color w:val="auto"/>
              </w:rPr>
            </w:pPr>
          </w:p>
        </w:tc>
        <w:tc>
          <w:tcPr>
            <w:tcW w:w="5380" w:type="dxa"/>
            <w:vAlign w:val="bottom"/>
            <w:shd w:val="clear" w:color="auto" w:fill="E5E5E5"/>
          </w:tcPr>
          <w:p>
            <w:pPr>
              <w:spacing w:after="0"/>
              <w:rPr>
                <w:sz w:val="20"/>
                <w:szCs w:val="20"/>
                <w:color w:val="auto"/>
              </w:rPr>
            </w:pPr>
            <w:r>
              <w:rPr>
                <w:rFonts w:ascii="Arial" w:cs="Arial" w:eastAsia="Arial" w:hAnsi="Arial"/>
                <w:sz w:val="18"/>
                <w:szCs w:val="18"/>
                <w:color w:val="auto"/>
              </w:rPr>
              <w:t>Senior notes due 2021</w:t>
            </w:r>
          </w:p>
        </w:tc>
        <w:tc>
          <w:tcPr>
            <w:tcW w:w="50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4.375%</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1,935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Senior notes due 2040</w:t>
            </w:r>
          </w:p>
        </w:tc>
        <w:tc>
          <w:tcPr>
            <w:tcW w:w="5020" w:type="dxa"/>
            <w:vAlign w:val="bottom"/>
          </w:tcPr>
          <w:p>
            <w:pPr>
              <w:jc w:val="right"/>
              <w:ind w:right="275"/>
              <w:spacing w:after="0"/>
              <w:rPr>
                <w:sz w:val="20"/>
                <w:szCs w:val="20"/>
                <w:color w:val="auto"/>
              </w:rPr>
            </w:pPr>
            <w:r>
              <w:rPr>
                <w:rFonts w:ascii="Arial" w:cs="Arial" w:eastAsia="Arial" w:hAnsi="Arial"/>
                <w:sz w:val="18"/>
                <w:szCs w:val="18"/>
                <w:color w:val="auto"/>
              </w:rPr>
              <w:t>6.400%</w:t>
            </w:r>
          </w:p>
        </w:tc>
        <w:tc>
          <w:tcPr>
            <w:tcW w:w="46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1,033</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Senior notes due 2041</w:t>
            </w:r>
          </w:p>
        </w:tc>
        <w:tc>
          <w:tcPr>
            <w:tcW w:w="50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5.950%</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93"/>
              </w:rPr>
              <w:t>1,176</w:t>
            </w:r>
          </w:p>
        </w:tc>
      </w:tr>
      <w:tr>
        <w:trPr>
          <w:trHeight w:val="217"/>
        </w:trPr>
        <w:tc>
          <w:tcPr>
            <w:tcW w:w="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9,117</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Bank Credit Facilities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with the closing of the NBCUniversal transaction on January 28, 2011, NBCUniversal has a $750 million revolving credit facility due January 2014 with a syndicate of banks. As of March 31, 2011, the credit facility remained undrawn.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January 2011, we repaid $1 billion principal amount of 6.75% notes due at maturity. In March 2011, we repaid $750 million principal amount of 5.5% notes due at maturity.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2011, we issued $1.69 billion face amount of commercial paper, net of repayments.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Derivative Financial Instruments</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derivative financial instruments to manage our exposure to the risks associated with fluctuations in interest rates, equity prices and foreign exchange rates. Our objective is to manage the financial and operational exposure arising from these risks by offsetting gains and losses on the underlying exposures with gains and losses on the derivatives used to economically hedge them. Derivative financial instruments are recorded in our consolidated balance sheet at fair value. We formally document, at inception of the relationship, derivative financial instruments designated to hedge the exposure to changes in the fair value of a recognized asset or liability or an unrecognized firm commitment (“fair value hedge”) or the exposure to changes in cash flows of a forecasted transaction (“cash flow hedge”), and we evaluate them for effectiveness at the time they are designated, as well as throughout the hedging period.</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manage our exposure to fluctuations in interest rates by using derivative financial instruments such as interest rate exchange agreements (“swaps”) and interest rate lock agreements (“rate locks”). We sometimes enter into rate locks or collars to hedge the risk that the cash flows related to the interest payments on an anticipated issuance or assumption of fixed-rate debt may be adversely affected by interest rate fluctuations.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manage our exposure to foreign exchange risk related to our foreign currency denominated borrowings by using cross-currency swaps, effectively converting these borrowings to U.S. dollar denominated borrowings. We manage our exposure to foreign exchange risk related to NBCUniversal’s foreign currency denominated production costs and rights, as well as international content-related revenue and royalties, by using foreign exchange contracts such as forward contracts and currency options.</w:t>
      </w:r>
    </w:p>
    <w:p>
      <w:pPr>
        <w:spacing w:after="0" w:line="4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We manage our exposure to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March 31, 2011, neither we nor any of the counterparties were required to post collateral under the terms of the agreements.</w:t>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As of March 31, 2011, our derivative financial instruments designated as hedges included (i) the derivative component of one of our prepaid forward sale agreements, which is recorded to other noncurrent liabilities, (ii) our interest rate swap agreements, which are recorded to other current or noncurrent assets and liabilities, (iii) our cross-currency swaps, which are recorded to other noncurrent liabilities, and (iv) certain of our foreign exchange contracts, which are recorded to other current assets or accrued expenses and other current liabilities. As of March 31, 2011, our derivative financial instruments not designated as hedges were</w:t>
      </w:r>
    </w:p>
    <w:p>
      <w:pPr>
        <w:spacing w:after="0" w:line="3" w:lineRule="exact"/>
        <w:rPr>
          <w:sz w:val="20"/>
          <w:szCs w:val="20"/>
          <w:color w:val="auto"/>
        </w:rPr>
      </w:pPr>
    </w:p>
    <w:p>
      <w:pPr>
        <w:jc w:val="both"/>
        <w:ind w:firstLine="8"/>
        <w:spacing w:after="0" w:line="255" w:lineRule="auto"/>
        <w:tabs>
          <w:tab w:leader="none" w:pos="2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derivative component of our indexed debt instruments (our ZONES debt), which is recorded to long-term debt, (ii) the derivative components of certain of our prepaid forward sale agreements, which are recorded to other current and noncurrent liabilities, and (iii) certain of our foreign exchange contracts, which are recorded to other current assets or accrued expenses and other current liabilities.</w:t>
      </w:r>
    </w:p>
    <w:p>
      <w:pPr>
        <w:spacing w:after="0" w:line="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do not engage in any speculative or leveraged derivative transactions. All derivative transactions must comply with the derivatives policy approved by our Board of Directors.</w:t>
      </w:r>
    </w:p>
    <w:p>
      <w:pPr>
        <w:spacing w:after="0" w:line="37" w:lineRule="exact"/>
        <w:rPr>
          <w:sz w:val="20"/>
          <w:szCs w:val="20"/>
          <w:color w:val="auto"/>
        </w:rPr>
      </w:pPr>
    </w:p>
    <w:p>
      <w:pPr>
        <w:ind w:right="1740"/>
        <w:spacing w:after="0" w:line="409" w:lineRule="auto"/>
        <w:rPr>
          <w:sz w:val="20"/>
          <w:szCs w:val="20"/>
          <w:color w:val="auto"/>
        </w:rPr>
      </w:pPr>
      <w:r>
        <w:rPr>
          <w:rFonts w:ascii="Arial" w:cs="Arial" w:eastAsia="Arial" w:hAnsi="Arial"/>
          <w:sz w:val="18"/>
          <w:szCs w:val="18"/>
          <w:color w:val="auto"/>
        </w:rPr>
        <w:t xml:space="preserve">See Note 10 for more information on the fair values of our derivative financial instruments as of March 31, 2011 and December 31, 2010. </w:t>
      </w:r>
      <w:r>
        <w:rPr>
          <w:rFonts w:ascii="Arial" w:cs="Arial" w:eastAsia="Arial" w:hAnsi="Arial"/>
          <w:sz w:val="18"/>
          <w:szCs w:val="18"/>
          <w:b w:val="1"/>
          <w:bCs w:val="1"/>
          <w:color w:val="auto"/>
        </w:rPr>
        <w:t>Fair Value Hedges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5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jc w:val="right"/>
              <w:ind w:right="138"/>
              <w:spacing w:after="0" w:line="142" w:lineRule="exact"/>
              <w:rPr>
                <w:sz w:val="20"/>
                <w:szCs w:val="20"/>
                <w:color w:val="auto"/>
              </w:rPr>
            </w:pPr>
            <w:r>
              <w:rPr>
                <w:rFonts w:ascii="Arial" w:cs="Arial" w:eastAsia="Arial" w:hAnsi="Arial"/>
                <w:sz w:val="14"/>
                <w:szCs w:val="14"/>
                <w:color w:val="auto"/>
                <w:w w:val="83"/>
              </w:rPr>
              <w:t>2011</w:t>
            </w:r>
          </w:p>
        </w:tc>
        <w:tc>
          <w:tcPr>
            <w:tcW w:w="76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Income (Expense):</w:t>
            </w:r>
          </w:p>
        </w:tc>
        <w:tc>
          <w:tcPr>
            <w:tcW w:w="74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Interest rate swap agreements (fixed to variable)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Long-term debt—interest rate swap agreements (fixed to variable)</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Investment Income (Expense):</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Mark to market adjustments on derivative component of prepaid forward sale agreement</w:t>
            </w:r>
          </w:p>
        </w:tc>
        <w:tc>
          <w:tcPr>
            <w:tcW w:w="7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Unrealized gains (losses) on securities underlying prepaid forward sale agreement</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Gain (loss) on fair value hedging relationships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During the period from January 29, 2011 through March 31, 2011, NBCUniversal entered into fixed to variable swaps on $600 million principal amount of NBCUniversal senior debt securities with maturities ranging from 2014 to 2016. These fixed to variable swaps are designated as effective fair value hedges.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2011 and December 31, 2010, the fair value of our prepaid forward sale agreement designated as a fair value hedge was a liability of $32 million and $29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Pretax Amount of Gain (Loss) Recognized in Accumulated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Comprehensive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color w:val="auto"/>
                <w:w w:val="87"/>
              </w:rPr>
              <w:t>Three Months Ended March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color w:val="auto"/>
                <w:w w:val="76"/>
              </w:rPr>
              <w:t>2011</w:t>
            </w: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w w:val="83"/>
              </w:rPr>
              <w:t>2010</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90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Foreign</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180"/>
              <w:spacing w:after="0" w:line="131" w:lineRule="exact"/>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Rate</w:t>
            </w: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6"/>
              </w:rPr>
              <w:t>Exchange</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Rate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Exchange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59"/>
        </w:trPr>
        <w:tc>
          <w:tcPr>
            <w:tcW w:w="64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0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Risk</w:t>
            </w:r>
          </w:p>
        </w:tc>
        <w:tc>
          <w:tcPr>
            <w:tcW w:w="300" w:type="dxa"/>
            <w:vAlign w:val="bottom"/>
          </w:tcPr>
          <w:p>
            <w:pPr>
              <w:spacing w:after="0"/>
              <w:rPr>
                <w:sz w:val="13"/>
                <w:szCs w:val="13"/>
                <w:color w:val="auto"/>
              </w:rPr>
            </w:pPr>
          </w:p>
        </w:tc>
        <w:tc>
          <w:tcPr>
            <w:tcW w:w="520" w:type="dxa"/>
            <w:vAlign w:val="bottom"/>
          </w:tcPr>
          <w:p>
            <w:pPr>
              <w:jc w:val="right"/>
              <w:ind w:right="140"/>
              <w:spacing w:after="0" w:line="159" w:lineRule="exact"/>
              <w:rPr>
                <w:sz w:val="20"/>
                <w:szCs w:val="20"/>
                <w:color w:val="auto"/>
              </w:rPr>
            </w:pPr>
            <w:r>
              <w:rPr>
                <w:rFonts w:ascii="Arial" w:cs="Arial" w:eastAsia="Arial" w:hAnsi="Arial"/>
                <w:sz w:val="14"/>
                <w:szCs w:val="14"/>
                <w:color w:val="auto"/>
              </w:rPr>
              <w:t>Risk</w:t>
            </w:r>
          </w:p>
        </w:tc>
        <w:tc>
          <w:tcPr>
            <w:tcW w:w="90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Total</w:t>
            </w:r>
          </w:p>
        </w:tc>
        <w:tc>
          <w:tcPr>
            <w:tcW w:w="9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Risk</w:t>
            </w:r>
          </w:p>
        </w:tc>
        <w:tc>
          <w:tcPr>
            <w:tcW w:w="160" w:type="dxa"/>
            <w:vAlign w:val="bottom"/>
          </w:tcPr>
          <w:p>
            <w:pPr>
              <w:spacing w:after="0"/>
              <w:rPr>
                <w:sz w:val="13"/>
                <w:szCs w:val="13"/>
                <w:color w:val="auto"/>
              </w:rPr>
            </w:pPr>
          </w:p>
        </w:tc>
        <w:tc>
          <w:tcPr>
            <w:tcW w:w="660" w:type="dxa"/>
            <w:vAlign w:val="bottom"/>
          </w:tcPr>
          <w:p>
            <w:pPr>
              <w:jc w:val="right"/>
              <w:ind w:right="280"/>
              <w:spacing w:after="0" w:line="159" w:lineRule="exact"/>
              <w:rPr>
                <w:sz w:val="20"/>
                <w:szCs w:val="20"/>
                <w:color w:val="auto"/>
              </w:rPr>
            </w:pPr>
            <w:r>
              <w:rPr>
                <w:rFonts w:ascii="Arial" w:cs="Arial" w:eastAsia="Arial" w:hAnsi="Arial"/>
                <w:sz w:val="14"/>
                <w:szCs w:val="14"/>
                <w:color w:val="auto"/>
              </w:rPr>
              <w:t>Risk</w:t>
            </w:r>
          </w:p>
        </w:tc>
        <w:tc>
          <w:tcPr>
            <w:tcW w:w="62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Deferred gain (loss) recognized</w:t>
            </w:r>
          </w:p>
        </w:tc>
        <w:tc>
          <w:tcPr>
            <w:tcW w:w="44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17</w:t>
            </w:r>
          </w:p>
        </w:tc>
        <w:tc>
          <w:tcPr>
            <w:tcW w:w="32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(gain) loss reclassified to income</w:t>
            </w: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7"/>
              </w:rPr>
              <w:t>(19)</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17"/>
        </w:trPr>
        <w:tc>
          <w:tcPr>
            <w:tcW w:w="20" w:type="dxa"/>
            <w:vAlign w:val="bottom"/>
          </w:tcPr>
          <w:p>
            <w:pPr>
              <w:spacing w:after="0"/>
              <w:rPr>
                <w:sz w:val="18"/>
                <w:szCs w:val="18"/>
                <w:color w:val="auto"/>
              </w:rPr>
            </w:pPr>
          </w:p>
        </w:tc>
        <w:tc>
          <w:tcPr>
            <w:tcW w:w="6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change in accumulated other comprehensive income</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w:t>
            </w:r>
          </w:p>
        </w:tc>
      </w:tr>
    </w:tbl>
    <w:p>
      <w:pPr>
        <w:spacing w:after="0" w:line="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rate risk deferred losses relate to interest rate lock agreements entered into to fix the interest rates of certain of our debt obligations in advance of their issuance. Unless we retire this debt early, these unrealized losses will be reclassified as an adjustment to interest expense, primarily through 2022, in the period in which the related interest expense is recognized in earnings. As of March 31, 2011, we expect $23 million of unrealized losses, $15 million net of deferred taxes, to be reclassified as an adjustment to interest expense over the next 12 months. The foreign exchange risk deferred losses for the three months ended March 31, 2011 relate to cross-currency swaps on foreign currency denominated debt due in 2029 and foreign exchange contracts with initial maturities generally not exceeding one year and up to 18 months in certain circumstances. As of March 31, 2011, the fair value of the foreign exchange contracts related to NBCUniversal operations that were designated as cash flow hedges was a liability of $3 million.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Ineffectiveness related to our cash flow hedges was not material for the three months ended March 31, 2011 or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of Gain (Loss) Recognized in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right"/>
              <w:ind w:right="35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jc w:val="right"/>
              <w:ind w:right="138"/>
              <w:spacing w:after="0" w:line="142" w:lineRule="exact"/>
              <w:rPr>
                <w:sz w:val="20"/>
                <w:szCs w:val="20"/>
                <w:color w:val="auto"/>
              </w:rPr>
            </w:pPr>
            <w:r>
              <w:rPr>
                <w:rFonts w:ascii="Arial" w:cs="Arial" w:eastAsia="Arial" w:hAnsi="Arial"/>
                <w:sz w:val="14"/>
                <w:szCs w:val="14"/>
                <w:color w:val="auto"/>
                <w:w w:val="89"/>
              </w:rPr>
              <w:t>2011</w:t>
            </w:r>
          </w:p>
        </w:tc>
        <w:tc>
          <w:tcPr>
            <w:tcW w:w="76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74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Mark to market adjustments on foreign exchange contracts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spacing w:after="0"/>
              <w:rPr>
                <w:sz w:val="20"/>
                <w:szCs w:val="20"/>
                <w:color w:val="auto"/>
              </w:rPr>
            </w:pPr>
            <w:r>
              <w:rPr>
                <w:rFonts w:ascii="Arial" w:cs="Arial" w:eastAsia="Arial" w:hAnsi="Arial"/>
                <w:sz w:val="18"/>
                <w:szCs w:val="18"/>
                <w:color w:val="auto"/>
              </w:rPr>
              <w:t>Investment Income (Expense):</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Mark to market adjustments on derivative component of prepaid forward sale agreements</w:t>
            </w: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304</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Mark to market adjustments on derivative component of ZONES</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gain (loss)</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37</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2011, foreign exchange contracts related to NBCUniversal operations that were not designated had a total notional value of $1.236 billion. The notional amount is a measure of the activity related to our risk exposure and does not represent the amount of exposure to credit loss, or reflect the gains or losses associated with the exposures and transactions that the foreign exchange contracts are intended to offset. The amounts ultimately realized upon settlement of these derivative financial instruments, together with the gains and losses on the underlying exposures, will depend on actual market conditions during the remaining life of the derivative financial instruments.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Fair Value Measurements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consists of financial instruments that are valued using models or other valuation methodologies. These models use inputs that are observable in the marketplace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color w:val="auto"/>
                <w:w w:val="94"/>
              </w:rPr>
              <w:t>Fair Value as of March 31, 2011</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92"/>
              </w:rPr>
              <w:t>December 31, 2010</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40" w:type="dxa"/>
            <w:vAlign w:val="bottom"/>
            <w:gridSpan w:val="2"/>
          </w:tcPr>
          <w:p>
            <w:pPr>
              <w:jc w:val="right"/>
              <w:ind w:right="112"/>
              <w:spacing w:after="0" w:line="142" w:lineRule="exact"/>
              <w:rPr>
                <w:sz w:val="20"/>
                <w:szCs w:val="20"/>
                <w:color w:val="auto"/>
              </w:rPr>
            </w:pPr>
            <w:r>
              <w:rPr>
                <w:rFonts w:ascii="Arial" w:cs="Arial" w:eastAsia="Arial" w:hAnsi="Arial"/>
                <w:sz w:val="14"/>
                <w:szCs w:val="14"/>
                <w:color w:val="auto"/>
              </w:rPr>
              <w:t>Level 1</w:t>
            </w:r>
          </w:p>
        </w:tc>
        <w:tc>
          <w:tcPr>
            <w:tcW w:w="1060" w:type="dxa"/>
            <w:vAlign w:val="bottom"/>
            <w:gridSpan w:val="2"/>
          </w:tcPr>
          <w:p>
            <w:pPr>
              <w:jc w:val="right"/>
              <w:ind w:right="192"/>
              <w:spacing w:after="0" w:line="142" w:lineRule="exact"/>
              <w:rPr>
                <w:sz w:val="20"/>
                <w:szCs w:val="20"/>
                <w:color w:val="auto"/>
              </w:rPr>
            </w:pPr>
            <w:r>
              <w:rPr>
                <w:rFonts w:ascii="Arial" w:cs="Arial" w:eastAsia="Arial" w:hAnsi="Arial"/>
                <w:sz w:val="14"/>
                <w:szCs w:val="14"/>
                <w:color w:val="auto"/>
              </w:rPr>
              <w:t>Level 2</w:t>
            </w:r>
          </w:p>
        </w:tc>
        <w:tc>
          <w:tcPr>
            <w:tcW w:w="1000" w:type="dxa"/>
            <w:vAlign w:val="bottom"/>
            <w:gridSpan w:val="2"/>
          </w:tcPr>
          <w:p>
            <w:pPr>
              <w:ind w:left="260"/>
              <w:spacing w:after="0" w:line="142" w:lineRule="exact"/>
              <w:rPr>
                <w:sz w:val="20"/>
                <w:szCs w:val="20"/>
                <w:color w:val="auto"/>
              </w:rPr>
            </w:pPr>
            <w:r>
              <w:rPr>
                <w:rFonts w:ascii="Arial" w:cs="Arial" w:eastAsia="Arial" w:hAnsi="Arial"/>
                <w:sz w:val="14"/>
                <w:szCs w:val="14"/>
                <w:color w:val="auto"/>
              </w:rPr>
              <w:t>Level 3</w:t>
            </w:r>
          </w:p>
        </w:tc>
        <w:tc>
          <w:tcPr>
            <w:tcW w:w="2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9"/>
              </w:rPr>
              <w:t>Total</w:t>
            </w:r>
          </w:p>
        </w:tc>
        <w:tc>
          <w:tcPr>
            <w:tcW w:w="460" w:type="dxa"/>
            <w:vAlign w:val="bottom"/>
          </w:tcPr>
          <w:p>
            <w:pPr>
              <w:spacing w:after="0"/>
              <w:rPr>
                <w:sz w:val="12"/>
                <w:szCs w:val="12"/>
                <w:color w:val="auto"/>
              </w:rPr>
            </w:pPr>
          </w:p>
        </w:tc>
        <w:tc>
          <w:tcPr>
            <w:tcW w:w="9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Trading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2,995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w w:val="88"/>
              </w:rPr>
              <w:t>2,995</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23</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warrants</w:t>
            </w:r>
          </w:p>
        </w:tc>
        <w:tc>
          <w:tcPr>
            <w:tcW w:w="4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193</w:t>
            </w:r>
          </w:p>
        </w:tc>
        <w:tc>
          <w:tcPr>
            <w:tcW w:w="4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84"/>
              </w:rPr>
              <w:t>3,119</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202</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8"/>
              </w:rPr>
              <w:t>3,345</w:t>
            </w:r>
          </w:p>
        </w:tc>
        <w:tc>
          <w:tcPr>
            <w:tcW w:w="4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ZONES</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w:t>
            </w:r>
          </w:p>
        </w:tc>
        <w:tc>
          <w:tcPr>
            <w:tcW w:w="4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4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1,286</w:t>
            </w:r>
          </w:p>
        </w:tc>
        <w:tc>
          <w:tcPr>
            <w:tcW w:w="420" w:type="dxa"/>
            <w:vAlign w:val="bottom"/>
          </w:tcPr>
          <w:p>
            <w:pPr>
              <w:spacing w:after="0"/>
              <w:rPr>
                <w:sz w:val="18"/>
                <w:szCs w:val="18"/>
                <w:color w:val="auto"/>
              </w:rPr>
            </w:pP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w w:val="88"/>
              </w:rPr>
              <w:t>1,286</w:t>
            </w:r>
          </w:p>
        </w:tc>
        <w:tc>
          <w:tcPr>
            <w:tcW w:w="46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w:t>
            </w:r>
          </w:p>
        </w:tc>
        <w:tc>
          <w:tcPr>
            <w:tcW w:w="4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Cross-currency swaps</w:t>
            </w:r>
          </w:p>
        </w:tc>
        <w:tc>
          <w:tcPr>
            <w:tcW w:w="48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4"/>
              </w:rPr>
              <w:t>1,341</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8"/>
              </w:rPr>
              <w:t>1,341</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Noncontrolling Interests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GE’s 49% interest in NBCUniversal Holdings is recorded as a redeemable noncontrolling interest in our consolidated financial statements due to the redemption provisions discussed in Note 4, with an initial value based on fair value for the portion attributable to the net assets we acquired, and based on our historical cost for the portion attributable to the Comcast Content Business. GE’s redeemable noncontrolling interest is adjusted for its 49% interest in NBCUniversal Holdings’ and NBCUniversal’s earnings and changes in other comprehensive income, as well as for other capital transactions attributable to GE.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from or to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right"/>
              <w:ind w:right="237"/>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59"/>
        </w:trPr>
        <w:tc>
          <w:tcPr>
            <w:tcW w:w="9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9"/>
              <w:spacing w:after="0" w:line="159" w:lineRule="exact"/>
              <w:rPr>
                <w:sz w:val="20"/>
                <w:szCs w:val="20"/>
                <w:color w:val="auto"/>
              </w:rPr>
            </w:pPr>
            <w:r>
              <w:rPr>
                <w:rFonts w:ascii="Arial" w:cs="Arial" w:eastAsia="Arial" w:hAnsi="Arial"/>
                <w:sz w:val="14"/>
                <w:szCs w:val="14"/>
                <w:color w:val="auto"/>
                <w:w w:val="89"/>
              </w:rPr>
              <w:t>March 31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jc w:val="right"/>
              <w:ind w:right="80"/>
              <w:spacing w:after="0" w:line="142" w:lineRule="exact"/>
              <w:rPr>
                <w:sz w:val="20"/>
                <w:szCs w:val="20"/>
                <w:color w:val="auto"/>
              </w:rPr>
            </w:pPr>
            <w:r>
              <w:rPr>
                <w:rFonts w:ascii="Arial" w:cs="Arial" w:eastAsia="Arial" w:hAnsi="Arial"/>
                <w:sz w:val="14"/>
                <w:szCs w:val="14"/>
                <w:color w:val="auto"/>
                <w:w w:val="83"/>
              </w:rPr>
              <w:t>2011</w:t>
            </w:r>
          </w:p>
        </w:tc>
        <w:tc>
          <w:tcPr>
            <w:tcW w:w="700" w:type="dxa"/>
            <w:vAlign w:val="bottom"/>
          </w:tcPr>
          <w:p>
            <w:pPr>
              <w:spacing w:after="0"/>
              <w:rPr>
                <w:sz w:val="12"/>
                <w:szCs w:val="12"/>
                <w:color w:val="auto"/>
              </w:rPr>
            </w:pPr>
          </w:p>
        </w:tc>
        <w:tc>
          <w:tcPr>
            <w:tcW w:w="480" w:type="dxa"/>
            <w:vAlign w:val="bottom"/>
          </w:tcPr>
          <w:p>
            <w:pPr>
              <w:jc w:val="right"/>
              <w:ind w:right="97"/>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943</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bottom w:val="single" w:sz="8" w:color="auto"/>
            </w:tcBorders>
            <w:shd w:val="clear" w:color="auto" w:fill="E5E5E5"/>
          </w:tcPr>
          <w:p>
            <w:pPr>
              <w:jc w:val="right"/>
              <w:ind w:right="1252"/>
              <w:spacing w:after="0"/>
              <w:rPr>
                <w:sz w:val="20"/>
                <w:szCs w:val="20"/>
                <w:color w:val="auto"/>
              </w:rPr>
            </w:pPr>
            <w:r>
              <w:rPr>
                <w:rFonts w:ascii="Arial" w:cs="Arial" w:eastAsia="Arial" w:hAnsi="Arial"/>
                <w:sz w:val="18"/>
                <w:szCs w:val="18"/>
                <w:color w:val="auto"/>
                <w:w w:val="91"/>
              </w:rPr>
              <w:t>Increase in Comcast Corporation additional paid-in capital resulting from the sale of noncontrolling interest</w:t>
            </w:r>
          </w:p>
        </w:tc>
        <w:tc>
          <w:tcPr>
            <w:tcW w:w="6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1,692</w:t>
            </w:r>
          </w:p>
        </w:tc>
        <w:tc>
          <w:tcPr>
            <w:tcW w:w="7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Changes from net income attributable to Comcast Corporation and transfers from (to) noncontrolling interests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2,635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w:t>
            </w:r>
          </w:p>
        </w:tc>
        <w:tc>
          <w:tcPr>
            <w:tcW w:w="0" w:type="dxa"/>
            <w:vAlign w:val="bottom"/>
          </w:tcPr>
          <w:p>
            <w:pPr>
              <w:spacing w:after="0"/>
              <w:rPr>
                <w:sz w:val="1"/>
                <w:szCs w:val="1"/>
                <w:color w:val="auto"/>
              </w:rPr>
            </w:pPr>
          </w:p>
        </w:tc>
      </w:tr>
      <w:tr>
        <w:trPr>
          <w:trHeight w:val="363"/>
        </w:trPr>
        <w:tc>
          <w:tcPr>
            <w:tcW w:w="9120" w:type="dxa"/>
            <w:vAlign w:val="bottom"/>
            <w:gridSpan w:val="2"/>
          </w:tcPr>
          <w:p>
            <w:pPr>
              <w:jc w:val="right"/>
              <w:ind w:right="3212"/>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Postretirement, Pension and Other Employee Benefit Plans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Employee Benefit Plans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close of the NBCUniversal transaction on January 28, 2011, we established new employee benefit plans for U.S. employees of NBCUniversal, including defined benefit pension plans and postretirement medical and life insurance plans. Additionally, NBCUniversal assumed certain liabilities related to its obligation to reimburse GE for amounts paid by GE for specified employee benefits and insurance programs that GE will continue to administer. NBCUniversal’s defined benefit pension plans for NBCUniversal employees (“qualified plan”) and executives (“nonqualified plan”) provide a lifetime income benefit based on an individual’s length of service and related compensation. The defined benefit pension plans are closed to new participants and give credit to eligible participants for service provided prior to the close of the NBCUniversal transaction. The postretirement medical and life insurance benefit plans that were established provide continued coverage to employees eligible to receive such benefits and give credit for service provided prior to the closing of the NBCUniversal transaction. Certain covered employees also retain the right, upon retirement, to elect to participate in corresponding plans sponsored by GE. To the extent our employees make such elections, we will reimburse GE for any amounts due. NBCUniversal funds the nonqualified plan and the postretirement medical and life insurance benefit plan on a pay-as-you-go basis. We expect to contribute approximately $8 million in 2011 to fund these benefits. We do not plan to fund our qualified defined benefit plan until the second quarter of 2012.</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NBCUniversal’s pension and postretirement benefit plans.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2"/>
          </w:tcPr>
          <w:p>
            <w:pPr>
              <w:jc w:val="center"/>
              <w:ind w:left="502"/>
              <w:spacing w:after="0"/>
              <w:rPr>
                <w:sz w:val="20"/>
                <w:szCs w:val="20"/>
                <w:color w:val="auto"/>
              </w:rPr>
            </w:pPr>
            <w:r>
              <w:rPr>
                <w:rFonts w:ascii="Arial" w:cs="Arial" w:eastAsia="Arial" w:hAnsi="Arial"/>
                <w:sz w:val="14"/>
                <w:szCs w:val="14"/>
                <w:color w:val="auto"/>
                <w:w w:val="87"/>
              </w:rPr>
              <w:t>Three Months Ended</w:t>
            </w:r>
          </w:p>
        </w:tc>
        <w:tc>
          <w:tcPr>
            <w:tcW w:w="86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w w:val="86"/>
              </w:rPr>
              <w:t>March 31, 2011</w:t>
            </w:r>
          </w:p>
        </w:tc>
        <w:tc>
          <w:tcPr>
            <w:tcW w:w="860" w:type="dxa"/>
            <w:vAlign w:val="bottom"/>
            <w:tcBorders>
              <w:bottom w:val="single" w:sz="8" w:color="auto"/>
            </w:tcBorders>
          </w:tcPr>
          <w:p>
            <w:pPr>
              <w:spacing w:after="0"/>
              <w:rPr>
                <w:sz w:val="15"/>
                <w:szCs w:val="15"/>
                <w:color w:val="auto"/>
              </w:rPr>
            </w:pPr>
          </w:p>
        </w:tc>
      </w:tr>
      <w:tr>
        <w:trPr>
          <w:trHeight w:val="132"/>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jc w:val="right"/>
              <w:ind w:right="242"/>
              <w:spacing w:after="0" w:line="132" w:lineRule="exact"/>
              <w:rPr>
                <w:sz w:val="20"/>
                <w:szCs w:val="20"/>
                <w:color w:val="auto"/>
              </w:rPr>
            </w:pPr>
            <w:r>
              <w:rPr>
                <w:rFonts w:ascii="Arial" w:cs="Arial" w:eastAsia="Arial" w:hAnsi="Arial"/>
                <w:sz w:val="14"/>
                <w:szCs w:val="14"/>
                <w:color w:val="auto"/>
                <w:w w:val="90"/>
              </w:rPr>
              <w:t>Pension</w:t>
            </w:r>
          </w:p>
        </w:tc>
        <w:tc>
          <w:tcPr>
            <w:tcW w:w="1940" w:type="dxa"/>
            <w:vAlign w:val="bottom"/>
            <w:gridSpan w:val="2"/>
          </w:tcPr>
          <w:p>
            <w:pPr>
              <w:ind w:left="940"/>
              <w:spacing w:after="0" w:line="132" w:lineRule="exact"/>
              <w:rPr>
                <w:sz w:val="20"/>
                <w:szCs w:val="20"/>
                <w:color w:val="auto"/>
              </w:rPr>
            </w:pPr>
            <w:r>
              <w:rPr>
                <w:rFonts w:ascii="Arial" w:cs="Arial" w:eastAsia="Arial" w:hAnsi="Arial"/>
                <w:sz w:val="14"/>
                <w:szCs w:val="14"/>
                <w:color w:val="auto"/>
              </w:rPr>
              <w:t>Postretirement</w:t>
            </w:r>
          </w:p>
        </w:tc>
      </w:tr>
      <w:tr>
        <w:trPr>
          <w:trHeight w:val="173"/>
        </w:trPr>
        <w:tc>
          <w:tcPr>
            <w:tcW w:w="7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15"/>
                <w:szCs w:val="15"/>
                <w:color w:val="auto"/>
              </w:rPr>
            </w:pPr>
          </w:p>
        </w:tc>
        <w:tc>
          <w:tcPr>
            <w:tcW w:w="800" w:type="dxa"/>
            <w:vAlign w:val="bottom"/>
          </w:tcPr>
          <w:p>
            <w:pPr>
              <w:jc w:val="right"/>
              <w:ind w:right="222"/>
              <w:spacing w:after="0"/>
              <w:rPr>
                <w:sz w:val="20"/>
                <w:szCs w:val="20"/>
                <w:color w:val="auto"/>
              </w:rPr>
            </w:pPr>
            <w:r>
              <w:rPr>
                <w:rFonts w:ascii="Arial" w:cs="Arial" w:eastAsia="Arial" w:hAnsi="Arial"/>
                <w:sz w:val="14"/>
                <w:szCs w:val="14"/>
                <w:color w:val="auto"/>
                <w:w w:val="94"/>
              </w:rPr>
              <w:t>Benefits</w:t>
            </w:r>
          </w:p>
        </w:tc>
        <w:tc>
          <w:tcPr>
            <w:tcW w:w="1080" w:type="dxa"/>
            <w:vAlign w:val="bottom"/>
          </w:tcPr>
          <w:p>
            <w:pPr>
              <w:spacing w:after="0"/>
              <w:rPr>
                <w:sz w:val="15"/>
                <w:szCs w:val="15"/>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color w:val="auto"/>
                <w:w w:val="90"/>
              </w:rPr>
              <w:t>Benefits</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Benefit obligation</w:t>
            </w:r>
          </w:p>
        </w:tc>
        <w:tc>
          <w:tcPr>
            <w:tcW w:w="9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82"/>
              <w:spacing w:after="0"/>
              <w:rPr>
                <w:sz w:val="20"/>
                <w:szCs w:val="20"/>
                <w:color w:val="auto"/>
              </w:rPr>
            </w:pPr>
            <w:r>
              <w:rPr>
                <w:rFonts w:ascii="Arial" w:cs="Arial" w:eastAsia="Arial" w:hAnsi="Arial"/>
                <w:sz w:val="18"/>
                <w:szCs w:val="18"/>
                <w:color w:val="auto"/>
              </w:rPr>
              <w:t>269</w:t>
            </w:r>
          </w:p>
        </w:tc>
        <w:tc>
          <w:tcPr>
            <w:tcW w:w="1080" w:type="dxa"/>
            <w:vAlign w:val="bottom"/>
            <w:tcBorders>
              <w:top w:val="single" w:sz="8" w:color="auto"/>
            </w:tcBorders>
            <w:shd w:val="clear" w:color="auto" w:fill="E5E5E5"/>
          </w:tcPr>
          <w:p>
            <w:pPr>
              <w:ind w:left="9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Benefits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20</w:t>
            </w:r>
          </w:p>
        </w:tc>
        <w:tc>
          <w:tcPr>
            <w:tcW w:w="1080" w:type="dxa"/>
            <w:vAlign w:val="bottom"/>
          </w:tcPr>
          <w:p>
            <w:pPr>
              <w:ind w:left="9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Discount rate</w:t>
            </w:r>
          </w:p>
        </w:tc>
        <w:tc>
          <w:tcPr>
            <w:tcW w:w="9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5.5%-6.0%</w:t>
            </w:r>
          </w:p>
        </w:tc>
        <w:tc>
          <w:tcPr>
            <w:tcW w:w="10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5.75%</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has also established a U.S. defined contribution 401(k) plan with 100% matching contributions on the first 3.5% of pay plus additional contributions based on employee classification and NBCUniversal’s results of operations. The related expense for the three months ended March 31, 2011 was $9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Other Benefit Plans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condensed consolidated financial statements include the assets and liabilities of certain legacy NBCUniversal benefit plans, as well as the assets and liabilities for benefit plans of certain foreign subsidiaries. NBCUniversal also participates in various multiemployer pension plans covering some of their employees who are represented by labor unions. NBCUniversal makes periodic contributions to these plans in accordance with the terms of applicable collective bargaining agreements and laws, but does not sponsor or administer the plans.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Share-Based Compensation</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2011, we granted 23.8 million stock options and 6.6 million RSUs related to our annual management grant program. The weighted-average fair values associated with these grants were $6.97 per stock option and $23.33 per RSU.</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3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95"/>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ind w:right="99"/>
              <w:spacing w:after="0" w:line="142" w:lineRule="exact"/>
              <w:rPr>
                <w:sz w:val="20"/>
                <w:szCs w:val="20"/>
                <w:color w:val="auto"/>
              </w:rPr>
            </w:pPr>
            <w:r>
              <w:rPr>
                <w:rFonts w:ascii="Arial" w:cs="Arial" w:eastAsia="Arial" w:hAnsi="Arial"/>
                <w:sz w:val="14"/>
                <w:szCs w:val="14"/>
                <w:color w:val="auto"/>
                <w:w w:val="89"/>
              </w:rPr>
              <w:t>2011</w:t>
            </w:r>
          </w:p>
        </w:tc>
        <w:tc>
          <w:tcPr>
            <w:tcW w:w="800" w:type="dxa"/>
            <w:vAlign w:val="bottom"/>
          </w:tcPr>
          <w:p>
            <w:pPr>
              <w:spacing w:after="0"/>
              <w:rPr>
                <w:sz w:val="12"/>
                <w:szCs w:val="12"/>
                <w:color w:val="auto"/>
              </w:rPr>
            </w:pPr>
          </w:p>
        </w:tc>
        <w:tc>
          <w:tcPr>
            <w:tcW w:w="520" w:type="dxa"/>
            <w:vAlign w:val="bottom"/>
          </w:tcPr>
          <w:p>
            <w:pPr>
              <w:jc w:val="right"/>
              <w:ind w:right="13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8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7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2011, we had $408 million of unrecognized pretax compensation costs related to nonvested stock options and $409 million related to nonvested RSUs.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$15 million for both the three months ended March 31, 2011 and 2010.</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Supplemental Financial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700" w:type="dxa"/>
            <w:vAlign w:val="bottom"/>
            <w:gridSpan w:val="2"/>
          </w:tcPr>
          <w:p>
            <w:pPr>
              <w:ind w:left="280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6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900" w:type="dxa"/>
            <w:vAlign w:val="bottom"/>
          </w:tcPr>
          <w:p>
            <w:pPr>
              <w:spacing w:after="0"/>
              <w:rPr>
                <w:sz w:val="13"/>
                <w:szCs w:val="13"/>
                <w:color w:val="auto"/>
              </w:rPr>
            </w:pPr>
          </w:p>
        </w:tc>
        <w:tc>
          <w:tcPr>
            <w:tcW w:w="800" w:type="dxa"/>
            <w:vAlign w:val="bottom"/>
          </w:tcPr>
          <w:p>
            <w:pPr>
              <w:jc w:val="right"/>
              <w:ind w:right="416"/>
              <w:spacing w:after="0" w:line="159" w:lineRule="exact"/>
              <w:rPr>
                <w:sz w:val="20"/>
                <w:szCs w:val="20"/>
                <w:color w:val="auto"/>
              </w:rPr>
            </w:pPr>
            <w:r>
              <w:rPr>
                <w:rFonts w:ascii="Arial" w:cs="Arial" w:eastAsia="Arial" w:hAnsi="Arial"/>
                <w:sz w:val="14"/>
                <w:szCs w:val="14"/>
                <w:color w:val="auto"/>
                <w:w w:val="89"/>
              </w:rPr>
              <w:t>2011</w:t>
            </w:r>
          </w:p>
        </w:tc>
        <w:tc>
          <w:tcPr>
            <w:tcW w:w="520" w:type="dxa"/>
            <w:vAlign w:val="bottom"/>
          </w:tcPr>
          <w:p>
            <w:pPr>
              <w:spacing w:after="0"/>
              <w:rPr>
                <w:sz w:val="13"/>
                <w:szCs w:val="13"/>
                <w:color w:val="auto"/>
              </w:rPr>
            </w:pPr>
          </w:p>
        </w:tc>
        <w:tc>
          <w:tcPr>
            <w:tcW w:w="700" w:type="dxa"/>
            <w:vAlign w:val="bottom"/>
          </w:tcPr>
          <w:p>
            <w:pPr>
              <w:jc w:val="right"/>
              <w:ind w:right="256"/>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2900" w:type="dxa"/>
            <w:vAlign w:val="bottom"/>
            <w:tcBorders>
              <w:top w:val="single" w:sz="8" w:color="auto"/>
            </w:tcBorders>
            <w:shd w:val="clear" w:color="auto" w:fill="E5E5E5"/>
          </w:tcPr>
          <w:p>
            <w:pPr>
              <w:ind w:left="27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w w:val="97"/>
              </w:rPr>
              <w:t>3,974</w:t>
            </w:r>
          </w:p>
        </w:tc>
        <w:tc>
          <w:tcPr>
            <w:tcW w:w="52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2,028</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2900" w:type="dxa"/>
            <w:vAlign w:val="bottom"/>
          </w:tcPr>
          <w:p>
            <w:pPr>
              <w:spacing w:after="0"/>
              <w:rPr>
                <w:sz w:val="18"/>
                <w:szCs w:val="18"/>
                <w:color w:val="auto"/>
              </w:rPr>
            </w:pPr>
          </w:p>
        </w:tc>
        <w:tc>
          <w:tcPr>
            <w:tcW w:w="800" w:type="dxa"/>
            <w:vAlign w:val="bottom"/>
          </w:tcPr>
          <w:p>
            <w:pPr>
              <w:jc w:val="right"/>
              <w:ind w:right="256"/>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29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153</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173</w:t>
            </w:r>
          </w:p>
        </w:tc>
      </w:tr>
      <w:tr>
        <w:trPr>
          <w:trHeight w:val="217"/>
        </w:trPr>
        <w:tc>
          <w:tcPr>
            <w:tcW w:w="2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290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7"/>
              </w:rPr>
              <w:t>3,708</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1,855</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returns and customer incentives are primarily attributable to the NBCUniversal film business.</w:t>
      </w:r>
    </w:p>
    <w:p>
      <w:pPr>
        <w:spacing w:after="0" w:line="7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table below presents our unbilled receivables related to long-term content licensing arrangements included in our consolidated balance sheet as of March 31, 2011. Current and noncurrent unbilled receivables are recorded in receivables, net and other noncurrent assets, net, respectively.</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March 31,</w:t>
            </w:r>
          </w:p>
        </w:tc>
      </w:tr>
      <w:tr>
        <w:trPr>
          <w:trHeight w:val="159"/>
        </w:trPr>
        <w:tc>
          <w:tcPr>
            <w:tcW w:w="8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Current</w:t>
            </w:r>
          </w:p>
        </w:tc>
        <w:tc>
          <w:tcPr>
            <w:tcW w:w="102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20" w:type="dxa"/>
            <w:vAlign w:val="bottom"/>
          </w:tcPr>
          <w:p>
            <w:pPr>
              <w:spacing w:after="0"/>
              <w:rPr>
                <w:sz w:val="18"/>
                <w:szCs w:val="18"/>
                <w:color w:val="auto"/>
              </w:rPr>
            </w:pPr>
          </w:p>
        </w:tc>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net of imputed interest</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397"/>
        </w:trPr>
        <w:tc>
          <w:tcPr>
            <w:tcW w:w="20" w:type="dxa"/>
            <w:vAlign w:val="bottom"/>
          </w:tcPr>
          <w:p>
            <w:pPr>
              <w:spacing w:after="0"/>
              <w:rPr>
                <w:sz w:val="24"/>
                <w:szCs w:val="24"/>
                <w:color w:val="auto"/>
              </w:rPr>
            </w:pPr>
          </w:p>
        </w:tc>
        <w:tc>
          <w:tcPr>
            <w:tcW w:w="8520" w:type="dxa"/>
            <w:vAlign w:val="bottom"/>
          </w:tcPr>
          <w:p>
            <w:pPr>
              <w:jc w:val="center"/>
              <w:ind w:left="2792"/>
              <w:spacing w:after="0"/>
              <w:rPr>
                <w:sz w:val="20"/>
                <w:szCs w:val="20"/>
                <w:color w:val="auto"/>
              </w:rPr>
            </w:pPr>
            <w:r>
              <w:rPr>
                <w:rFonts w:ascii="Arial" w:cs="Arial" w:eastAsia="Arial" w:hAnsi="Arial"/>
                <w:sz w:val="18"/>
                <w:szCs w:val="18"/>
                <w:b w:val="1"/>
                <w:bCs w:val="1"/>
                <w:color w:val="auto"/>
                <w:w w:val="97"/>
              </w:rPr>
              <w:t>Property and Equipment</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1760" w:type="dxa"/>
            <w:vAlign w:val="bottom"/>
            <w:gridSpan w:val="2"/>
          </w:tcPr>
          <w:p>
            <w:pPr>
              <w:jc w:val="right"/>
              <w:ind w:right="375"/>
              <w:spacing w:after="0"/>
              <w:rPr>
                <w:sz w:val="20"/>
                <w:szCs w:val="20"/>
                <w:color w:val="auto"/>
              </w:rPr>
            </w:pPr>
            <w:r>
              <w:rPr>
                <w:rFonts w:ascii="Arial" w:cs="Arial" w:eastAsia="Arial" w:hAnsi="Arial"/>
                <w:sz w:val="14"/>
                <w:szCs w:val="14"/>
                <w:color w:val="auto"/>
              </w:rPr>
              <w:t>March 31,</w:t>
            </w:r>
          </w:p>
        </w:tc>
        <w:tc>
          <w:tcPr>
            <w:tcW w:w="1120" w:type="dxa"/>
            <w:vAlign w:val="bottom"/>
            <w:gridSpan w:val="3"/>
          </w:tcPr>
          <w:p>
            <w:pPr>
              <w:ind w:left="240"/>
              <w:spacing w:after="0"/>
              <w:rPr>
                <w:sz w:val="20"/>
                <w:szCs w:val="20"/>
                <w:color w:val="auto"/>
              </w:rPr>
            </w:pPr>
            <w:r>
              <w:rPr>
                <w:rFonts w:ascii="Arial" w:cs="Arial" w:eastAsia="Arial" w:hAnsi="Arial"/>
                <w:sz w:val="14"/>
                <w:szCs w:val="14"/>
                <w:color w:val="auto"/>
                <w:w w:val="97"/>
              </w:rPr>
              <w:t>December 31,</w:t>
            </w:r>
          </w:p>
        </w:tc>
      </w:tr>
      <w:tr>
        <w:trPr>
          <w:trHeight w:val="159"/>
        </w:trPr>
        <w:tc>
          <w:tcPr>
            <w:tcW w:w="8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760" w:type="dxa"/>
            <w:vAlign w:val="bottom"/>
            <w:gridSpan w:val="2"/>
          </w:tcPr>
          <w:p>
            <w:pPr>
              <w:ind w:left="900"/>
              <w:spacing w:after="0" w:line="159"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7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1760" w:type="dxa"/>
            <w:vAlign w:val="bottom"/>
            <w:tcBorders>
              <w:top w:val="single" w:sz="8" w:color="auto"/>
            </w:tcBorders>
            <w:gridSpan w:val="2"/>
            <w:shd w:val="clear" w:color="auto" w:fill="E5E5E5"/>
          </w:tcPr>
          <w:p>
            <w:pPr>
              <w:jc w:val="right"/>
              <w:ind w:right="315"/>
              <w:spacing w:after="0"/>
              <w:rPr>
                <w:sz w:val="20"/>
                <w:szCs w:val="20"/>
                <w:color w:val="auto"/>
              </w:rPr>
            </w:pPr>
            <w:r>
              <w:rPr>
                <w:rFonts w:ascii="Arial" w:cs="Arial" w:eastAsia="Arial" w:hAnsi="Arial"/>
                <w:sz w:val="18"/>
                <w:szCs w:val="18"/>
                <w:color w:val="auto"/>
              </w:rPr>
              <w:t>$ 56,437</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E5E5E5"/>
          </w:tcPr>
          <w:p>
            <w:pPr>
              <w:jc w:val="right"/>
              <w:ind w:right="16"/>
              <w:spacing w:after="0"/>
              <w:rPr>
                <w:sz w:val="20"/>
                <w:szCs w:val="20"/>
                <w:color w:val="auto"/>
              </w:rPr>
            </w:pPr>
            <w:r>
              <w:rPr>
                <w:rFonts w:ascii="Arial" w:cs="Arial" w:eastAsia="Arial" w:hAnsi="Arial"/>
                <w:sz w:val="18"/>
                <w:szCs w:val="18"/>
                <w:color w:val="auto"/>
              </w:rPr>
              <w:t>56,020</w:t>
            </w:r>
          </w:p>
        </w:tc>
      </w:tr>
      <w:tr>
        <w:trPr>
          <w:trHeight w:val="216"/>
        </w:trPr>
        <w:tc>
          <w:tcPr>
            <w:tcW w:w="20" w:type="dxa"/>
            <w:vAlign w:val="bottom"/>
          </w:tcPr>
          <w:p>
            <w:pPr>
              <w:spacing w:after="0"/>
              <w:rPr>
                <w:sz w:val="18"/>
                <w:szCs w:val="18"/>
                <w:color w:val="auto"/>
              </w:rPr>
            </w:pPr>
          </w:p>
        </w:tc>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Acquired NBCUniversal property and equipment</w:t>
            </w:r>
          </w:p>
        </w:tc>
        <w:tc>
          <w:tcPr>
            <w:tcW w:w="176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8"/>
                <w:szCs w:val="18"/>
                <w:color w:val="auto"/>
              </w:rPr>
              <w:t>1,977</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85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1760" w:type="dxa"/>
            <w:vAlign w:val="bottom"/>
            <w:gridSpan w:val="2"/>
            <w:shd w:val="clear" w:color="auto" w:fill="E5E5E5"/>
          </w:tcPr>
          <w:p>
            <w:pPr>
              <w:jc w:val="right"/>
              <w:ind w:right="315"/>
              <w:spacing w:after="0"/>
              <w:rPr>
                <w:sz w:val="20"/>
                <w:szCs w:val="20"/>
                <w:color w:val="auto"/>
              </w:rPr>
            </w:pPr>
            <w:r>
              <w:rPr>
                <w:rFonts w:ascii="Arial" w:cs="Arial" w:eastAsia="Arial" w:hAnsi="Arial"/>
                <w:sz w:val="18"/>
                <w:szCs w:val="18"/>
                <w:color w:val="auto"/>
              </w:rPr>
              <w:t>58,414</w:t>
            </w:r>
          </w:p>
        </w:tc>
        <w:tc>
          <w:tcPr>
            <w:tcW w:w="38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6"/>
              <w:spacing w:after="0"/>
              <w:rPr>
                <w:sz w:val="20"/>
                <w:szCs w:val="20"/>
                <w:color w:val="auto"/>
              </w:rPr>
            </w:pPr>
            <w:r>
              <w:rPr>
                <w:rFonts w:ascii="Arial" w:cs="Arial" w:eastAsia="Arial" w:hAnsi="Arial"/>
                <w:sz w:val="18"/>
                <w:szCs w:val="18"/>
                <w:color w:val="auto"/>
              </w:rPr>
              <w:t>56,020</w:t>
            </w:r>
          </w:p>
        </w:tc>
      </w:tr>
      <w:tr>
        <w:trPr>
          <w:trHeight w:val="216"/>
        </w:trPr>
        <w:tc>
          <w:tcPr>
            <w:tcW w:w="20" w:type="dxa"/>
            <w:vAlign w:val="bottom"/>
          </w:tcPr>
          <w:p>
            <w:pPr>
              <w:spacing w:after="0"/>
              <w:rPr>
                <w:sz w:val="18"/>
                <w:szCs w:val="18"/>
                <w:color w:val="auto"/>
              </w:rPr>
            </w:pPr>
          </w:p>
        </w:tc>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8"/>
                <w:szCs w:val="18"/>
                <w:color w:val="auto"/>
              </w:rPr>
              <w:t>(33,503)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(32,505)</w:t>
            </w:r>
          </w:p>
        </w:tc>
      </w:tr>
      <w:tr>
        <w:trPr>
          <w:trHeight w:val="217"/>
        </w:trPr>
        <w:tc>
          <w:tcPr>
            <w:tcW w:w="20" w:type="dxa"/>
            <w:vAlign w:val="bottom"/>
          </w:tcPr>
          <w:p>
            <w:pPr>
              <w:spacing w:after="0"/>
              <w:rPr>
                <w:sz w:val="18"/>
                <w:szCs w:val="18"/>
                <w:color w:val="auto"/>
              </w:rPr>
            </w:pPr>
          </w:p>
        </w:tc>
        <w:tc>
          <w:tcPr>
            <w:tcW w:w="8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Property and equipment, net</w:t>
            </w:r>
          </w:p>
        </w:tc>
        <w:tc>
          <w:tcPr>
            <w:tcW w:w="1760" w:type="dxa"/>
            <w:vAlign w:val="bottom"/>
            <w:tcBorders>
              <w:bottom w:val="single" w:sz="8" w:color="auto"/>
            </w:tcBorders>
            <w:gridSpan w:val="2"/>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$ 24,911</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2"/>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23,515</w:t>
            </w:r>
          </w:p>
        </w:tc>
      </w:tr>
      <w:tr>
        <w:trPr>
          <w:trHeight w:val="403"/>
        </w:trPr>
        <w:tc>
          <w:tcPr>
            <w:tcW w:w="20" w:type="dxa"/>
            <w:vAlign w:val="bottom"/>
          </w:tcPr>
          <w:p>
            <w:pPr>
              <w:spacing w:after="0"/>
              <w:rPr>
                <w:sz w:val="24"/>
                <w:szCs w:val="24"/>
                <w:color w:val="auto"/>
              </w:rPr>
            </w:pPr>
          </w:p>
        </w:tc>
        <w:tc>
          <w:tcPr>
            <w:tcW w:w="8520" w:type="dxa"/>
            <w:vAlign w:val="bottom"/>
          </w:tcPr>
          <w:p>
            <w:pPr>
              <w:jc w:val="center"/>
              <w:ind w:left="2772"/>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1760" w:type="dxa"/>
            <w:vAlign w:val="bottom"/>
            <w:gridSpan w:val="2"/>
          </w:tcPr>
          <w:p>
            <w:pPr>
              <w:ind w:left="920"/>
              <w:spacing w:after="0"/>
              <w:rPr>
                <w:sz w:val="20"/>
                <w:szCs w:val="20"/>
                <w:color w:val="auto"/>
              </w:rPr>
            </w:pPr>
            <w:r>
              <w:rPr>
                <w:rFonts w:ascii="Arial" w:cs="Arial" w:eastAsia="Arial" w:hAnsi="Arial"/>
                <w:sz w:val="14"/>
                <w:szCs w:val="14"/>
                <w:color w:val="auto"/>
              </w:rPr>
              <w:t>March 31,</w:t>
            </w:r>
          </w:p>
        </w:tc>
        <w:tc>
          <w:tcPr>
            <w:tcW w:w="380" w:type="dxa"/>
            <w:vAlign w:val="bottom"/>
          </w:tcPr>
          <w:p>
            <w:pPr>
              <w:spacing w:after="0"/>
              <w:rPr>
                <w:sz w:val="22"/>
                <w:szCs w:val="22"/>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March 31,</w:t>
            </w:r>
          </w:p>
        </w:tc>
      </w:tr>
      <w:tr>
        <w:trPr>
          <w:trHeight w:val="159"/>
        </w:trPr>
        <w:tc>
          <w:tcPr>
            <w:tcW w:w="85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3"/>
                <w:szCs w:val="13"/>
                <w:color w:val="auto"/>
              </w:rPr>
            </w:pPr>
          </w:p>
        </w:tc>
        <w:tc>
          <w:tcPr>
            <w:tcW w:w="740" w:type="dxa"/>
            <w:vAlign w:val="bottom"/>
          </w:tcPr>
          <w:p>
            <w:pPr>
              <w:jc w:val="right"/>
              <w:ind w:right="355"/>
              <w:spacing w:after="0" w:line="159" w:lineRule="exact"/>
              <w:rPr>
                <w:sz w:val="20"/>
                <w:szCs w:val="20"/>
                <w:color w:val="auto"/>
              </w:rPr>
            </w:pPr>
            <w:r>
              <w:rPr>
                <w:rFonts w:ascii="Arial" w:cs="Arial" w:eastAsia="Arial" w:hAnsi="Arial"/>
                <w:sz w:val="14"/>
                <w:szCs w:val="14"/>
                <w:color w:val="auto"/>
                <w:w w:val="89"/>
              </w:rPr>
              <w:t>2011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76"/>
              <w:spacing w:after="0" w:line="159" w:lineRule="exact"/>
              <w:rPr>
                <w:sz w:val="20"/>
                <w:szCs w:val="20"/>
                <w:color w:val="auto"/>
              </w:rPr>
            </w:pPr>
            <w:r>
              <w:rPr>
                <w:rFonts w:ascii="Arial" w:cs="Arial" w:eastAsia="Arial" w:hAnsi="Arial"/>
                <w:sz w:val="14"/>
                <w:szCs w:val="14"/>
                <w:color w:val="auto"/>
                <w:w w:val="83"/>
              </w:rPr>
              <w:t>2010</w:t>
            </w:r>
          </w:p>
        </w:tc>
      </w:tr>
      <w:tr>
        <w:trPr>
          <w:trHeight w:val="210"/>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020" w:type="dxa"/>
            <w:vAlign w:val="bottom"/>
            <w:tcBorders>
              <w:top w:val="single" w:sz="8" w:color="auto"/>
            </w:tcBorders>
            <w:shd w:val="clear" w:color="auto" w:fill="E5E5E5"/>
          </w:tcPr>
          <w:p>
            <w:pPr>
              <w:ind w:left="90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24</w:t>
            </w:r>
          </w:p>
        </w:tc>
        <w:tc>
          <w:tcPr>
            <w:tcW w:w="38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1020" w:type="dxa"/>
            <w:vAlign w:val="bottom"/>
          </w:tcPr>
          <w:p>
            <w:pPr>
              <w:spacing w:after="0"/>
              <w:rPr>
                <w:sz w:val="18"/>
                <w:szCs w:val="18"/>
                <w:color w:val="auto"/>
              </w:rPr>
            </w:pPr>
          </w:p>
        </w:tc>
        <w:tc>
          <w:tcPr>
            <w:tcW w:w="740" w:type="dxa"/>
            <w:vAlign w:val="bottom"/>
          </w:tcPr>
          <w:p>
            <w:pPr>
              <w:jc w:val="right"/>
              <w:ind w:right="135"/>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852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0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tcPr>
          <w:p>
            <w:pPr>
              <w:spacing w:after="0"/>
              <w:rPr>
                <w:sz w:val="18"/>
                <w:szCs w:val="18"/>
                <w:color w:val="auto"/>
              </w:rPr>
            </w:pPr>
          </w:p>
        </w:tc>
        <w:tc>
          <w:tcPr>
            <w:tcW w:w="740" w:type="dxa"/>
            <w:vAlign w:val="bottom"/>
          </w:tcPr>
          <w:p>
            <w:pPr>
              <w:jc w:val="right"/>
              <w:ind w:right="195"/>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Accumulated other comprehensive (income) attributable to noncontrolling interests</w:t>
            </w:r>
          </w:p>
        </w:tc>
        <w:tc>
          <w:tcPr>
            <w:tcW w:w="10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0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(97)</w:t>
            </w:r>
          </w:p>
        </w:tc>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r>
      <w:tr>
        <w:trPr>
          <w:trHeight w:val="363"/>
        </w:trPr>
        <w:tc>
          <w:tcPr>
            <w:tcW w:w="8540" w:type="dxa"/>
            <w:vAlign w:val="bottom"/>
            <w:gridSpan w:val="2"/>
          </w:tcPr>
          <w:p>
            <w:pPr>
              <w:jc w:val="center"/>
              <w:ind w:left="2827"/>
              <w:spacing w:after="0"/>
              <w:rPr>
                <w:sz w:val="20"/>
                <w:szCs w:val="20"/>
                <w:color w:val="auto"/>
              </w:rPr>
            </w:pPr>
            <w:r>
              <w:rPr>
                <w:rFonts w:ascii="Arial" w:cs="Arial" w:eastAsia="Arial" w:hAnsi="Arial"/>
                <w:sz w:val="18"/>
                <w:szCs w:val="18"/>
                <w:color w:val="auto"/>
                <w:w w:val="99"/>
              </w:rPr>
              <w:t>20</w:t>
            </w: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Costs and Expenses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right"/>
              <w:ind w:right="194"/>
              <w:spacing w:after="0"/>
              <w:rPr>
                <w:sz w:val="20"/>
                <w:szCs w:val="20"/>
                <w:color w:val="auto"/>
              </w:rPr>
            </w:pPr>
            <w:r>
              <w:rPr>
                <w:rFonts w:ascii="Arial" w:cs="Arial" w:eastAsia="Arial" w:hAnsi="Arial"/>
                <w:sz w:val="14"/>
                <w:szCs w:val="14"/>
                <w:color w:val="auto"/>
              </w:rPr>
              <w:t>Three Months Ended</w:t>
            </w:r>
          </w:p>
        </w:tc>
      </w:tr>
      <w:tr>
        <w:trPr>
          <w:trHeight w:val="159"/>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3"/>
                <w:szCs w:val="13"/>
                <w:color w:val="auto"/>
              </w:rPr>
            </w:pPr>
          </w:p>
        </w:tc>
      </w:tr>
      <w:tr>
        <w:trPr>
          <w:trHeight w:val="142"/>
        </w:trPr>
        <w:tc>
          <w:tcPr>
            <w:tcW w:w="9340" w:type="dxa"/>
            <w:vAlign w:val="bottom"/>
            <w:gridSpan w:val="4"/>
          </w:tcPr>
          <w:p>
            <w:pPr>
              <w:spacing w:after="0" w:line="142" w:lineRule="exact"/>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99"/>
              <w:spacing w:after="0" w:line="142" w:lineRule="exact"/>
              <w:rPr>
                <w:sz w:val="20"/>
                <w:szCs w:val="20"/>
                <w:color w:val="auto"/>
              </w:rPr>
            </w:pPr>
            <w:r>
              <w:rPr>
                <w:rFonts w:ascii="Arial" w:cs="Arial" w:eastAsia="Arial" w:hAnsi="Arial"/>
                <w:sz w:val="14"/>
                <w:szCs w:val="14"/>
                <w:color w:val="auto"/>
              </w:rPr>
              <w:t>2011</w:t>
            </w: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color w:val="auto"/>
                <w:w w:val="96"/>
              </w:rPr>
              <w:t>2010</w:t>
            </w:r>
          </w:p>
        </w:tc>
      </w:tr>
      <w:tr>
        <w:trPr>
          <w:trHeight w:val="210"/>
        </w:trPr>
        <w:tc>
          <w:tcPr>
            <w:tcW w:w="20" w:type="dxa"/>
            <w:vAlign w:val="bottom"/>
          </w:tcPr>
          <w:p>
            <w:pPr>
              <w:spacing w:after="0"/>
              <w:rPr>
                <w:sz w:val="18"/>
                <w:szCs w:val="18"/>
                <w:color w:val="auto"/>
              </w:rPr>
            </w:pPr>
          </w:p>
        </w:tc>
        <w:tc>
          <w:tcPr>
            <w:tcW w:w="9580" w:type="dxa"/>
            <w:vAlign w:val="bottom"/>
            <w:tcBorders>
              <w:top w:val="single" w:sz="8" w:color="auto"/>
            </w:tcBorders>
            <w:gridSpan w:val="4"/>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18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jc w:val="right"/>
              <w:ind w:right="359"/>
              <w:spacing w:after="0"/>
              <w:rPr>
                <w:sz w:val="20"/>
                <w:szCs w:val="20"/>
                <w:color w:val="auto"/>
              </w:rPr>
            </w:pPr>
            <w:r>
              <w:rPr>
                <w:rFonts w:ascii="Arial" w:cs="Arial" w:eastAsia="Arial" w:hAnsi="Arial"/>
                <w:sz w:val="18"/>
                <w:szCs w:val="18"/>
                <w:color w:val="auto"/>
                <w:w w:val="86"/>
              </w:rPr>
              <w:t>$ 3,275</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2,114</w:t>
            </w:r>
          </w:p>
        </w:tc>
      </w:tr>
      <w:tr>
        <w:trPr>
          <w:trHeight w:val="216"/>
        </w:trPr>
        <w:tc>
          <w:tcPr>
            <w:tcW w:w="20" w:type="dxa"/>
            <w:vAlign w:val="bottom"/>
          </w:tcPr>
          <w:p>
            <w:pPr>
              <w:spacing w:after="0"/>
              <w:rPr>
                <w:sz w:val="18"/>
                <w:szCs w:val="18"/>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Cable Communications technical labor</w:t>
            </w:r>
          </w:p>
        </w:tc>
        <w:tc>
          <w:tcPr>
            <w:tcW w:w="18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spacing w:after="0"/>
              <w:rPr>
                <w:sz w:val="20"/>
                <w:szCs w:val="20"/>
                <w:color w:val="auto"/>
              </w:rPr>
            </w:pPr>
            <w:r>
              <w:rPr>
                <w:rFonts w:ascii="Arial" w:cs="Arial" w:eastAsia="Arial" w:hAnsi="Arial"/>
                <w:sz w:val="18"/>
                <w:szCs w:val="18"/>
                <w:color w:val="auto"/>
              </w:rPr>
              <w:t>Cable Communications customer service</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59"/>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9580" w:type="dxa"/>
            <w:vAlign w:val="bottom"/>
            <w:tcBorders>
              <w:bottom w:val="single" w:sz="8" w:color="auto"/>
            </w:tcBorders>
            <w:gridSpan w:val="4"/>
            <w:shd w:val="clear" w:color="auto" w:fill="E5E5E5"/>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359"/>
              <w:spacing w:after="0"/>
              <w:rPr>
                <w:sz w:val="20"/>
                <w:szCs w:val="20"/>
                <w:color w:val="auto"/>
              </w:rPr>
            </w:pPr>
            <w:r>
              <w:rPr>
                <w:rFonts w:ascii="Arial" w:cs="Arial" w:eastAsia="Arial" w:hAnsi="Arial"/>
                <w:sz w:val="18"/>
                <w:szCs w:val="18"/>
                <w:color w:val="auto"/>
              </w:rPr>
              <w:t>2,755</w:t>
            </w:r>
          </w:p>
        </w:tc>
        <w:tc>
          <w:tcPr>
            <w:tcW w:w="1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1,963</w:t>
            </w:r>
          </w:p>
        </w:tc>
      </w:tr>
      <w:tr>
        <w:trPr>
          <w:trHeight w:val="217"/>
        </w:trPr>
        <w:tc>
          <w:tcPr>
            <w:tcW w:w="20" w:type="dxa"/>
            <w:vAlign w:val="bottom"/>
            <w:tcBorders>
              <w:bottom w:val="single" w:sz="8" w:color="auto"/>
            </w:tcBorders>
          </w:tcPr>
          <w:p>
            <w:pPr>
              <w:spacing w:after="0"/>
              <w:rPr>
                <w:sz w:val="18"/>
                <w:szCs w:val="18"/>
                <w:color w:val="auto"/>
              </w:rPr>
            </w:pPr>
          </w:p>
        </w:tc>
        <w:tc>
          <w:tcPr>
            <w:tcW w:w="9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Operating costs and expenses (excluding depreciation and amortization)</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b w:val="1"/>
                <w:bCs w:val="1"/>
                <w:color w:val="auto"/>
                <w:w w:val="86"/>
              </w:rPr>
              <w:t>$ 8,062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5,637</w:t>
            </w:r>
          </w:p>
        </w:tc>
      </w:tr>
      <w:tr>
        <w:trPr>
          <w:trHeight w:val="336"/>
        </w:trPr>
        <w:tc>
          <w:tcPr>
            <w:tcW w:w="9600" w:type="dxa"/>
            <w:vAlign w:val="bottom"/>
            <w:gridSpan w:val="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0"/>
        </w:trPr>
        <w:tc>
          <w:tcPr>
            <w:tcW w:w="9600" w:type="dxa"/>
            <w:vAlign w:val="bottom"/>
            <w:gridSpan w:val="5"/>
          </w:tcPr>
          <w:p>
            <w:pPr>
              <w:spacing w:after="0"/>
              <w:rPr>
                <w:sz w:val="20"/>
                <w:szCs w:val="20"/>
                <w:color w:val="auto"/>
              </w:rPr>
            </w:pPr>
            <w:r>
              <w:rPr>
                <w:rFonts w:ascii="Arial" w:cs="Arial" w:eastAsia="Arial" w:hAnsi="Arial"/>
                <w:sz w:val="18"/>
                <w:szCs w:val="18"/>
                <w:color w:val="auto"/>
                <w:w w:val="88"/>
              </w:rPr>
              <w:t>The table below presents adjustments to reconcile net income from consolidated operations to net cash provided by operating activities.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07"/>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4"/>
                <w:szCs w:val="14"/>
                <w:color w:val="auto"/>
                <w:w w:val="87"/>
              </w:rPr>
              <w:t>Three Months Ended</w:t>
            </w:r>
          </w:p>
        </w:tc>
      </w:tr>
      <w:tr>
        <w:trPr>
          <w:trHeight w:val="159"/>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379"/>
              <w:spacing w:after="0" w:line="159" w:lineRule="exact"/>
              <w:rPr>
                <w:sz w:val="20"/>
                <w:szCs w:val="20"/>
                <w:color w:val="auto"/>
              </w:rPr>
            </w:pPr>
            <w:r>
              <w:rPr>
                <w:rFonts w:ascii="Arial" w:cs="Arial" w:eastAsia="Arial" w:hAnsi="Arial"/>
                <w:sz w:val="14"/>
                <w:szCs w:val="14"/>
                <w:color w:val="auto"/>
                <w:w w:val="89"/>
              </w:rPr>
              <w:t>March 31</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42"/>
        </w:trPr>
        <w:tc>
          <w:tcPr>
            <w:tcW w:w="9260" w:type="dxa"/>
            <w:vAlign w:val="bottom"/>
            <w:gridSpan w:val="3"/>
          </w:tcPr>
          <w:p>
            <w:pPr>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579"/>
              <w:spacing w:after="0" w:line="142" w:lineRule="exact"/>
              <w:rPr>
                <w:sz w:val="20"/>
                <w:szCs w:val="20"/>
                <w:color w:val="auto"/>
              </w:rPr>
            </w:pPr>
            <w:r>
              <w:rPr>
                <w:rFonts w:ascii="Arial" w:cs="Arial" w:eastAsia="Arial" w:hAnsi="Arial"/>
                <w:sz w:val="14"/>
                <w:szCs w:val="14"/>
                <w:color w:val="auto"/>
                <w:w w:val="96"/>
              </w:rPr>
              <w:t>2011</w:t>
            </w:r>
          </w:p>
        </w:tc>
        <w:tc>
          <w:tcPr>
            <w:tcW w:w="660" w:type="dxa"/>
            <w:vAlign w:val="bottom"/>
            <w:gridSpan w:val="2"/>
          </w:tcPr>
          <w:p>
            <w:pPr>
              <w:jc w:val="right"/>
              <w:ind w:right="154"/>
              <w:spacing w:after="0" w:line="142" w:lineRule="exact"/>
              <w:rPr>
                <w:sz w:val="20"/>
                <w:szCs w:val="20"/>
                <w:color w:val="auto"/>
              </w:rPr>
            </w:pPr>
            <w:r>
              <w:rPr>
                <w:rFonts w:ascii="Arial" w:cs="Arial" w:eastAsia="Arial" w:hAnsi="Arial"/>
                <w:sz w:val="14"/>
                <w:szCs w:val="14"/>
                <w:color w:val="auto"/>
              </w:rPr>
              <w:t>2010</w:t>
            </w:r>
          </w:p>
        </w:tc>
      </w:tr>
      <w:tr>
        <w:trPr>
          <w:trHeight w:val="210"/>
        </w:trPr>
        <w:tc>
          <w:tcPr>
            <w:tcW w:w="20" w:type="dxa"/>
            <w:vAlign w:val="bottom"/>
          </w:tcPr>
          <w:p>
            <w:pPr>
              <w:spacing w:after="0"/>
              <w:rPr>
                <w:sz w:val="18"/>
                <w:szCs w:val="18"/>
                <w:color w:val="auto"/>
              </w:rPr>
            </w:pPr>
          </w:p>
        </w:tc>
        <w:tc>
          <w:tcPr>
            <w:tcW w:w="9580" w:type="dxa"/>
            <w:vAlign w:val="bottom"/>
            <w:tcBorders>
              <w:top w:val="single" w:sz="8" w:color="auto"/>
            </w:tcBorders>
            <w:gridSpan w:val="4"/>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1160" w:type="dxa"/>
            <w:vAlign w:val="bottom"/>
            <w:tcBorders>
              <w:top w:val="single" w:sz="8" w:color="auto"/>
            </w:tcBorders>
            <w:gridSpan w:val="2"/>
            <w:shd w:val="clear" w:color="auto" w:fill="E5E5E5"/>
          </w:tcPr>
          <w:p>
            <w:pPr>
              <w:jc w:val="right"/>
              <w:ind w:right="439"/>
              <w:spacing w:after="0"/>
              <w:rPr>
                <w:sz w:val="20"/>
                <w:szCs w:val="20"/>
                <w:color w:val="auto"/>
              </w:rPr>
            </w:pPr>
            <w:r>
              <w:rPr>
                <w:rFonts w:ascii="Arial" w:cs="Arial" w:eastAsia="Arial" w:hAnsi="Arial"/>
                <w:sz w:val="18"/>
                <w:szCs w:val="18"/>
                <w:color w:val="auto"/>
              </w:rPr>
              <w:t>$ 1,039</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879</w:t>
            </w:r>
          </w:p>
        </w:tc>
      </w:tr>
      <w:tr>
        <w:trPr>
          <w:trHeight w:val="216"/>
        </w:trPr>
        <w:tc>
          <w:tcPr>
            <w:tcW w:w="20" w:type="dxa"/>
            <w:vAlign w:val="bottom"/>
          </w:tcPr>
          <w:p>
            <w:pPr>
              <w:spacing w:after="0"/>
              <w:rPr>
                <w:sz w:val="18"/>
                <w:szCs w:val="18"/>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Adjustments to reconcile net income from consolidated operations to net cash provided by operating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39"/>
              <w:spacing w:after="0"/>
              <w:rPr>
                <w:sz w:val="20"/>
                <w:szCs w:val="20"/>
                <w:color w:val="auto"/>
              </w:rPr>
            </w:pPr>
            <w:r>
              <w:rPr>
                <w:rFonts w:ascii="Arial" w:cs="Arial" w:eastAsia="Arial" w:hAnsi="Arial"/>
                <w:sz w:val="18"/>
                <w:szCs w:val="18"/>
                <w:color w:val="auto"/>
                <w:w w:val="97"/>
              </w:rPr>
              <w:t>1,842</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1,630</w:t>
            </w:r>
          </w:p>
        </w:tc>
      </w:tr>
      <w:tr>
        <w:trPr>
          <w:trHeight w:val="216"/>
        </w:trPr>
        <w:tc>
          <w:tcPr>
            <w:tcW w:w="20" w:type="dxa"/>
            <w:vAlign w:val="bottom"/>
          </w:tcPr>
          <w:p>
            <w:pPr>
              <w:spacing w:after="0"/>
              <w:rPr>
                <w:sz w:val="18"/>
                <w:szCs w:val="18"/>
                <w:color w:val="auto"/>
              </w:rPr>
            </w:pPr>
          </w:p>
        </w:tc>
        <w:tc>
          <w:tcPr>
            <w:tcW w:w="9580" w:type="dxa"/>
            <w:vAlign w:val="bottom"/>
            <w:gridSpan w:val="4"/>
          </w:tcPr>
          <w:p>
            <w:pPr>
              <w:ind w:left="420"/>
              <w:spacing w:after="0"/>
              <w:rPr>
                <w:sz w:val="20"/>
                <w:szCs w:val="20"/>
                <w:color w:val="auto"/>
              </w:rPr>
            </w:pPr>
            <w:r>
              <w:rPr>
                <w:rFonts w:ascii="Arial" w:cs="Arial" w:eastAsia="Arial" w:hAnsi="Arial"/>
                <w:sz w:val="18"/>
                <w:szCs w:val="18"/>
                <w:color w:val="auto"/>
              </w:rPr>
              <w:t>Amortization of film and television costs</w:t>
            </w:r>
          </w:p>
        </w:tc>
        <w:tc>
          <w:tcPr>
            <w:tcW w:w="1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39"/>
              <w:spacing w:after="0"/>
              <w:rPr>
                <w:sz w:val="20"/>
                <w:szCs w:val="20"/>
                <w:color w:val="auto"/>
              </w:rPr>
            </w:pPr>
            <w:r>
              <w:rPr>
                <w:rFonts w:ascii="Arial" w:cs="Arial" w:eastAsia="Arial" w:hAnsi="Arial"/>
                <w:sz w:val="18"/>
                <w:szCs w:val="18"/>
                <w:color w:val="auto"/>
              </w:rPr>
              <w:t>84</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9580" w:type="dxa"/>
            <w:vAlign w:val="bottom"/>
            <w:gridSpan w:val="4"/>
          </w:tcPr>
          <w:p>
            <w:pPr>
              <w:ind w:left="420"/>
              <w:spacing w:after="0"/>
              <w:rPr>
                <w:sz w:val="20"/>
                <w:szCs w:val="20"/>
                <w:color w:val="auto"/>
              </w:rPr>
            </w:pPr>
            <w:r>
              <w:rPr>
                <w:rFonts w:ascii="Arial" w:cs="Arial" w:eastAsia="Arial" w:hAnsi="Arial"/>
                <w:sz w:val="18"/>
                <w:szCs w:val="18"/>
                <w:color w:val="auto"/>
              </w:rPr>
              <w:t>Noncash interest expense (income), net</w:t>
            </w:r>
          </w:p>
        </w:tc>
        <w:tc>
          <w:tcPr>
            <w:tcW w:w="1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39"/>
              <w:spacing w:after="0"/>
              <w:rPr>
                <w:sz w:val="20"/>
                <w:szCs w:val="20"/>
                <w:color w:val="auto"/>
              </w:rPr>
            </w:pPr>
            <w:r>
              <w:rPr>
                <w:rFonts w:ascii="Arial" w:cs="Arial" w:eastAsia="Arial" w:hAnsi="Arial"/>
                <w:sz w:val="18"/>
                <w:szCs w:val="18"/>
                <w:color w:val="auto"/>
              </w:rPr>
              <w:t>37</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9580" w:type="dxa"/>
            <w:vAlign w:val="bottom"/>
            <w:gridSpan w:val="4"/>
          </w:tcPr>
          <w:p>
            <w:pPr>
              <w:ind w:left="420"/>
              <w:spacing w:after="0"/>
              <w:rPr>
                <w:sz w:val="20"/>
                <w:szCs w:val="20"/>
                <w:color w:val="auto"/>
              </w:rPr>
            </w:pPr>
            <w:r>
              <w:rPr>
                <w:rFonts w:ascii="Arial" w:cs="Arial" w:eastAsia="Arial" w:hAnsi="Arial"/>
                <w:sz w:val="18"/>
                <w:szCs w:val="18"/>
                <w:color w:val="auto"/>
              </w:rPr>
              <w:t>Net (gain) loss on investment activity and other</w:t>
            </w:r>
          </w:p>
        </w:tc>
        <w:tc>
          <w:tcPr>
            <w:tcW w:w="1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39"/>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rPr>
              <w:t>Change in receivables, net</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439"/>
              <w:spacing w:after="0"/>
              <w:rPr>
                <w:sz w:val="20"/>
                <w:szCs w:val="20"/>
                <w:color w:val="auto"/>
              </w:rPr>
            </w:pPr>
            <w:r>
              <w:rPr>
                <w:rFonts w:ascii="Arial" w:cs="Arial" w:eastAsia="Arial" w:hAnsi="Arial"/>
                <w:sz w:val="18"/>
                <w:szCs w:val="18"/>
                <w:color w:val="auto"/>
              </w:rPr>
              <w:t>725</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9580" w:type="dxa"/>
            <w:vAlign w:val="bottom"/>
            <w:gridSpan w:val="4"/>
          </w:tcPr>
          <w:p>
            <w:pPr>
              <w:ind w:left="420"/>
              <w:spacing w:after="0"/>
              <w:rPr>
                <w:sz w:val="20"/>
                <w:szCs w:val="20"/>
                <w:color w:val="auto"/>
              </w:rPr>
            </w:pPr>
            <w:r>
              <w:rPr>
                <w:rFonts w:ascii="Arial" w:cs="Arial" w:eastAsia="Arial" w:hAnsi="Arial"/>
                <w:sz w:val="18"/>
                <w:szCs w:val="18"/>
                <w:color w:val="auto"/>
              </w:rPr>
              <w:t>Change in film and television costs</w:t>
            </w:r>
          </w:p>
        </w:tc>
        <w:tc>
          <w:tcPr>
            <w:tcW w:w="1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9580" w:type="dxa"/>
            <w:vAlign w:val="bottom"/>
            <w:gridSpan w:val="4"/>
            <w:shd w:val="clear" w:color="auto" w:fill="E5E5E5"/>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379"/>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95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253</w:t>
            </w:r>
          </w:p>
        </w:tc>
      </w:tr>
      <w:tr>
        <w:trPr>
          <w:trHeight w:val="217"/>
        </w:trPr>
        <w:tc>
          <w:tcPr>
            <w:tcW w:w="20" w:type="dxa"/>
            <w:vAlign w:val="bottom"/>
          </w:tcPr>
          <w:p>
            <w:pPr>
              <w:spacing w:after="0"/>
              <w:rPr>
                <w:sz w:val="18"/>
                <w:szCs w:val="18"/>
                <w:color w:val="auto"/>
              </w:rPr>
            </w:pPr>
          </w:p>
        </w:tc>
        <w:tc>
          <w:tcPr>
            <w:tcW w:w="9580" w:type="dxa"/>
            <w:vAlign w:val="bottom"/>
            <w:tcBorders>
              <w:bottom w:val="single" w:sz="8" w:color="auto"/>
            </w:tcBorders>
            <w:gridSpan w:val="4"/>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auto"/>
            </w:tcBorders>
            <w:gridSpan w:val="2"/>
            <w:shd w:val="clear" w:color="auto" w:fill="E5E5E5"/>
          </w:tcPr>
          <w:p>
            <w:pPr>
              <w:jc w:val="right"/>
              <w:ind w:right="439"/>
              <w:spacing w:after="0"/>
              <w:rPr>
                <w:sz w:val="20"/>
                <w:szCs w:val="20"/>
                <w:color w:val="auto"/>
              </w:rPr>
            </w:pPr>
            <w:r>
              <w:rPr>
                <w:rFonts w:ascii="Arial" w:cs="Arial" w:eastAsia="Arial" w:hAnsi="Arial"/>
                <w:sz w:val="18"/>
                <w:szCs w:val="18"/>
                <w:b w:val="1"/>
                <w:bCs w:val="1"/>
                <w:color w:val="auto"/>
              </w:rPr>
              <w:t>$ 3,468</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4"/>
              </w:rPr>
              <w:t>2,903</w:t>
            </w:r>
          </w:p>
        </w:tc>
      </w:tr>
      <w:tr>
        <w:trPr>
          <w:trHeight w:val="403"/>
        </w:trPr>
        <w:tc>
          <w:tcPr>
            <w:tcW w:w="20" w:type="dxa"/>
            <w:vAlign w:val="bottom"/>
          </w:tcPr>
          <w:p>
            <w:pPr>
              <w:spacing w:after="0"/>
              <w:rPr>
                <w:sz w:val="24"/>
                <w:szCs w:val="24"/>
                <w:color w:val="auto"/>
              </w:rPr>
            </w:pPr>
          </w:p>
        </w:tc>
        <w:tc>
          <w:tcPr>
            <w:tcW w:w="9580" w:type="dxa"/>
            <w:vAlign w:val="bottom"/>
            <w:gridSpan w:val="4"/>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center"/>
              <w:ind w:right="54"/>
              <w:spacing w:after="0"/>
              <w:rPr>
                <w:sz w:val="20"/>
                <w:szCs w:val="20"/>
                <w:color w:val="auto"/>
              </w:rPr>
            </w:pPr>
            <w:r>
              <w:rPr>
                <w:rFonts w:ascii="Arial" w:cs="Arial" w:eastAsia="Arial" w:hAnsi="Arial"/>
                <w:sz w:val="14"/>
                <w:szCs w:val="14"/>
                <w:color w:val="auto"/>
                <w:w w:val="87"/>
              </w:rPr>
              <w:t>Three Months Ended</w:t>
            </w:r>
          </w:p>
        </w:tc>
      </w:tr>
      <w:tr>
        <w:trPr>
          <w:trHeight w:val="159"/>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left="259"/>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r>
      <w:tr>
        <w:trPr>
          <w:trHeight w:val="142"/>
        </w:trPr>
        <w:tc>
          <w:tcPr>
            <w:tcW w:w="912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8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599"/>
              <w:spacing w:after="0" w:line="142" w:lineRule="exact"/>
              <w:rPr>
                <w:sz w:val="20"/>
                <w:szCs w:val="20"/>
                <w:color w:val="auto"/>
              </w:rPr>
            </w:pPr>
            <w:r>
              <w:rPr>
                <w:rFonts w:ascii="Arial" w:cs="Arial" w:eastAsia="Arial" w:hAnsi="Arial"/>
                <w:sz w:val="14"/>
                <w:szCs w:val="14"/>
                <w:color w:val="auto"/>
                <w:w w:val="89"/>
              </w:rPr>
              <w:t>2011</w:t>
            </w: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color w:val="auto"/>
                <w:w w:val="96"/>
              </w:rPr>
              <w:t>2010</w:t>
            </w:r>
          </w:p>
        </w:tc>
      </w:tr>
      <w:tr>
        <w:trPr>
          <w:trHeight w:val="210"/>
        </w:trPr>
        <w:tc>
          <w:tcPr>
            <w:tcW w:w="20" w:type="dxa"/>
            <w:vAlign w:val="bottom"/>
          </w:tcPr>
          <w:p>
            <w:pPr>
              <w:spacing w:after="0"/>
              <w:rPr>
                <w:sz w:val="18"/>
                <w:szCs w:val="18"/>
                <w:color w:val="auto"/>
              </w:rPr>
            </w:pPr>
          </w:p>
        </w:tc>
        <w:tc>
          <w:tcPr>
            <w:tcW w:w="9580" w:type="dxa"/>
            <w:vAlign w:val="bottom"/>
            <w:tcBorders>
              <w:top w:val="single" w:sz="8" w:color="auto"/>
            </w:tcBorders>
            <w:gridSpan w:val="4"/>
            <w:shd w:val="clear" w:color="auto" w:fill="E5E5E5"/>
          </w:tcPr>
          <w:p>
            <w:pPr>
              <w:spacing w:after="0"/>
              <w:rPr>
                <w:sz w:val="20"/>
                <w:szCs w:val="20"/>
                <w:color w:val="auto"/>
              </w:rPr>
            </w:pPr>
            <w:r>
              <w:rPr>
                <w:rFonts w:ascii="Arial" w:cs="Arial" w:eastAsia="Arial" w:hAnsi="Arial"/>
                <w:sz w:val="18"/>
                <w:szCs w:val="18"/>
                <w:color w:val="auto"/>
              </w:rPr>
              <w:t>Interest</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459"/>
              <w:spacing w:after="0"/>
              <w:rPr>
                <w:sz w:val="20"/>
                <w:szCs w:val="20"/>
                <w:color w:val="auto"/>
              </w:rPr>
            </w:pPr>
            <w:r>
              <w:rPr>
                <w:rFonts w:ascii="Arial" w:cs="Arial" w:eastAsia="Arial" w:hAnsi="Arial"/>
                <w:sz w:val="18"/>
                <w:szCs w:val="18"/>
                <w:color w:val="auto"/>
              </w:rPr>
              <w:t>657</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20" w:type="dxa"/>
            <w:vAlign w:val="bottom"/>
            <w:tcBorders>
              <w:bottom w:val="single" w:sz="8" w:color="auto"/>
            </w:tcBorders>
          </w:tcPr>
          <w:p>
            <w:pPr>
              <w:spacing w:after="0"/>
              <w:rPr>
                <w:sz w:val="18"/>
                <w:szCs w:val="18"/>
                <w:color w:val="auto"/>
              </w:rPr>
            </w:pPr>
          </w:p>
        </w:tc>
        <w:tc>
          <w:tcPr>
            <w:tcW w:w="9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2011,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51% of NBCUniversal Holdings for cash and a 49% interest in the Comcast Content Business on January 28, 2011; see Note 4 for more information on the NBCUniversal transaction</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acquired approximately $457 million of property and equipment and software that was accrued but unpaid, which is a noncash investing activity</w:t>
      </w:r>
    </w:p>
    <w:p>
      <w:pPr>
        <w:spacing w:after="0" w:line="37"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recorded a liability of approximately $312 million for a quarterly cash dividend of $0.1125 per common share paid in April 2011, which is a noncash financing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Receivables Monetization</w:t>
      </w:r>
    </w:p>
    <w:p>
      <w:pPr>
        <w:spacing w:after="0" w:line="13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Through January 27, 2011, NBCUniversal monetized its trade accounts receivable through two programs established with GE and various GE subsidiaries. Through these programs, NBCUniversal retained limited interests in the assets sold and provided reserves for all expected losses with respect to these interests. As a result of the closing of the NBCUniversal transaction on January 28, 2011, NBCUniversal terminated those programs and has since established new third-party monetization programs with a syndicate of banks, of which the primary relationship is with General Electric Capital Corporation, a subsidiary of GE.</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receivables monetized through both our new and terminated programs as sales in accordance with the appropriate accounting guidance. We retain limited interests in the assets sold, and we provided reserves for losses that we expect to incur related to these interests. The accounts receivable we sold that underlie the retained interests are generally short-term in nature and, therefore, the fair value of the retained interests approximated their carrying value, net of provision for doubtful accounts, as of March 31, 2011.</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 majority of the receivables monetized under the new programs, an affiliate of GE is responsible for servicing the receivables and remitting collections to the owner and the lenders. We perform this service on the affiliate’s behalf for a fee, which is equal to the prevailing market rate for such services. As a result, no servicing asset or liability has been recorded on our consolidated balance sheet as of March 31, 2011. We received sub-servicing fees of $1 million for the three months ended March 31, 2011, which is included in other income (expense), net.</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represents the receivables transferred to our respective programs that remain outstanding and our retained interests in those receivables as of March 31, 2011. The retained interest is included in receivables,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4820" w:type="dxa"/>
            <w:vAlign w:val="bottom"/>
            <w:gridSpan w:val="2"/>
          </w:tcPr>
          <w:p>
            <w:pPr>
              <w:ind w:left="4160"/>
              <w:spacing w:after="0"/>
              <w:rPr>
                <w:sz w:val="20"/>
                <w:szCs w:val="20"/>
                <w:color w:val="auto"/>
              </w:rPr>
            </w:pPr>
            <w:r>
              <w:rPr>
                <w:rFonts w:ascii="Arial" w:cs="Arial" w:eastAsia="Arial" w:hAnsi="Arial"/>
                <w:sz w:val="14"/>
                <w:szCs w:val="14"/>
                <w:color w:val="auto"/>
              </w:rPr>
              <w:t>March 31,</w:t>
            </w:r>
          </w:p>
        </w:tc>
      </w:tr>
      <w:tr>
        <w:trPr>
          <w:trHeight w:val="159"/>
        </w:trPr>
        <w:tc>
          <w:tcPr>
            <w:tcW w:w="66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280" w:type="dxa"/>
            <w:vAlign w:val="bottom"/>
          </w:tcPr>
          <w:p>
            <w:pPr>
              <w:spacing w:after="0"/>
              <w:rPr>
                <w:sz w:val="13"/>
                <w:szCs w:val="13"/>
                <w:color w:val="auto"/>
              </w:rPr>
            </w:pPr>
          </w:p>
        </w:tc>
        <w:tc>
          <w:tcPr>
            <w:tcW w:w="540" w:type="dxa"/>
            <w:vAlign w:val="bottom"/>
          </w:tcPr>
          <w:p>
            <w:pPr>
              <w:jc w:val="right"/>
              <w:ind w:right="159"/>
              <w:spacing w:after="0" w:line="159" w:lineRule="exact"/>
              <w:rPr>
                <w:sz w:val="20"/>
                <w:szCs w:val="20"/>
                <w:color w:val="auto"/>
              </w:rPr>
            </w:pPr>
            <w:r>
              <w:rPr>
                <w:rFonts w:ascii="Arial" w:cs="Arial" w:eastAsia="Arial" w:hAnsi="Arial"/>
                <w:sz w:val="14"/>
                <w:szCs w:val="14"/>
                <w:color w:val="auto"/>
                <w:w w:val="89"/>
              </w:rPr>
              <w:t>2011</w:t>
            </w:r>
          </w:p>
        </w:tc>
      </w:tr>
      <w:tr>
        <w:trPr>
          <w:trHeight w:val="210"/>
        </w:trPr>
        <w:tc>
          <w:tcPr>
            <w:tcW w:w="20" w:type="dxa"/>
            <w:vAlign w:val="bottom"/>
          </w:tcPr>
          <w:p>
            <w:pPr>
              <w:spacing w:after="0"/>
              <w:rPr>
                <w:sz w:val="18"/>
                <w:szCs w:val="18"/>
                <w:color w:val="auto"/>
              </w:rPr>
            </w:pPr>
          </w:p>
        </w:tc>
        <w:tc>
          <w:tcPr>
            <w:tcW w:w="6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Monetized receivables outstanding</w:t>
            </w:r>
          </w:p>
        </w:tc>
        <w:tc>
          <w:tcPr>
            <w:tcW w:w="4280" w:type="dxa"/>
            <w:vAlign w:val="bottom"/>
            <w:tcBorders>
              <w:top w:val="single" w:sz="8" w:color="auto"/>
            </w:tcBorders>
            <w:shd w:val="clear" w:color="auto" w:fill="E5E5E5"/>
          </w:tcPr>
          <w:p>
            <w:pPr>
              <w:ind w:left="416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color w:val="auto"/>
              </w:rPr>
              <w:t>989</w:t>
            </w:r>
          </w:p>
        </w:tc>
      </w:tr>
      <w:tr>
        <w:trPr>
          <w:trHeight w:val="216"/>
        </w:trPr>
        <w:tc>
          <w:tcPr>
            <w:tcW w:w="20" w:type="dxa"/>
            <w:vAlign w:val="bottom"/>
            <w:tcBorders>
              <w:bottom w:val="single" w:sz="8" w:color="auto"/>
            </w:tcBorders>
          </w:tcPr>
          <w:p>
            <w:pPr>
              <w:spacing w:after="0"/>
              <w:rPr>
                <w:sz w:val="18"/>
                <w:szCs w:val="18"/>
                <w:color w:val="auto"/>
              </w:rPr>
            </w:pPr>
          </w:p>
        </w:tc>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interest</w:t>
            </w:r>
          </w:p>
        </w:tc>
        <w:tc>
          <w:tcPr>
            <w:tcW w:w="4280" w:type="dxa"/>
            <w:vAlign w:val="bottom"/>
            <w:tcBorders>
              <w:bottom w:val="single" w:sz="8" w:color="auto"/>
            </w:tcBorders>
          </w:tcPr>
          <w:p>
            <w:pPr>
              <w:ind w:left="41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210</w:t>
            </w: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$480 million payable to our new and terminated securitization programs as of March 31, 2011. This amount represents cash received from monetized receivables not yet remitted to the program as of the balance sheet date and is recorded in accounts payable and accrued expenses related to trade creditors.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activities related to our securitization programs.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060" w:type="dxa"/>
            <w:vAlign w:val="bottom"/>
            <w:gridSpan w:val="2"/>
          </w:tcPr>
          <w:p>
            <w:pPr>
              <w:ind w:left="3800"/>
              <w:spacing w:after="0"/>
              <w:rPr>
                <w:sz w:val="20"/>
                <w:szCs w:val="20"/>
                <w:color w:val="auto"/>
              </w:rPr>
            </w:pPr>
            <w:r>
              <w:rPr>
                <w:rFonts w:ascii="Arial" w:cs="Arial" w:eastAsia="Arial" w:hAnsi="Arial"/>
                <w:sz w:val="14"/>
                <w:szCs w:val="14"/>
                <w:color w:val="auto"/>
                <w:w w:val="94"/>
              </w:rPr>
              <w:t>Three Months Ended</w:t>
            </w:r>
          </w:p>
        </w:tc>
      </w:tr>
      <w:tr>
        <w:trPr>
          <w:trHeight w:val="159"/>
        </w:trPr>
        <w:tc>
          <w:tcPr>
            <w:tcW w:w="63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920" w:type="dxa"/>
            <w:vAlign w:val="bottom"/>
          </w:tcPr>
          <w:p>
            <w:pPr>
              <w:spacing w:after="0"/>
              <w:rPr>
                <w:sz w:val="13"/>
                <w:szCs w:val="13"/>
                <w:color w:val="auto"/>
              </w:rPr>
            </w:pPr>
          </w:p>
        </w:tc>
        <w:tc>
          <w:tcPr>
            <w:tcW w:w="1140" w:type="dxa"/>
            <w:vAlign w:val="bottom"/>
          </w:tcPr>
          <w:p>
            <w:pPr>
              <w:jc w:val="right"/>
              <w:ind w:right="179"/>
              <w:spacing w:after="0" w:line="159" w:lineRule="exact"/>
              <w:rPr>
                <w:sz w:val="20"/>
                <w:szCs w:val="20"/>
                <w:color w:val="auto"/>
              </w:rPr>
            </w:pPr>
            <w:r>
              <w:rPr>
                <w:rFonts w:ascii="Arial" w:cs="Arial" w:eastAsia="Arial" w:hAnsi="Arial"/>
                <w:sz w:val="14"/>
                <w:szCs w:val="14"/>
                <w:color w:val="auto"/>
                <w:w w:val="88"/>
              </w:rPr>
              <w:t>March 31, 2011</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flows on transfers</w:t>
            </w:r>
          </w:p>
        </w:tc>
        <w:tc>
          <w:tcPr>
            <w:tcW w:w="3920" w:type="dxa"/>
            <w:vAlign w:val="bottom"/>
            <w:tcBorders>
              <w:top w:val="single" w:sz="8" w:color="auto"/>
            </w:tcBorders>
            <w:shd w:val="clear" w:color="auto" w:fill="E5E5E5"/>
          </w:tcPr>
          <w:p>
            <w:pPr>
              <w:spacing w:after="0"/>
              <w:rPr>
                <w:sz w:val="18"/>
                <w:szCs w:val="18"/>
                <w:color w:val="auto"/>
              </w:rPr>
            </w:pPr>
          </w:p>
        </w:tc>
        <w:tc>
          <w:tcPr>
            <w:tcW w:w="11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Net proceeds on new transfers</w:t>
            </w:r>
          </w:p>
        </w:tc>
        <w:tc>
          <w:tcPr>
            <w:tcW w:w="3920" w:type="dxa"/>
            <w:vAlign w:val="bottom"/>
          </w:tcPr>
          <w:p>
            <w:pPr>
              <w:ind w:left="38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16"/>
        </w:trPr>
        <w:tc>
          <w:tcPr>
            <w:tcW w:w="20" w:type="dxa"/>
            <w:vAlign w:val="bottom"/>
          </w:tcPr>
          <w:p>
            <w:pPr>
              <w:spacing w:after="0"/>
              <w:rPr>
                <w:sz w:val="18"/>
                <w:szCs w:val="18"/>
                <w:color w:val="auto"/>
              </w:rPr>
            </w:pPr>
          </w:p>
        </w:tc>
        <w:tc>
          <w:tcPr>
            <w:tcW w:w="6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Effect on income from services</w:t>
            </w:r>
          </w:p>
        </w:tc>
        <w:tc>
          <w:tcPr>
            <w:tcW w:w="392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loss on sale</w:t>
            </w:r>
          </w:p>
        </w:tc>
        <w:tc>
          <w:tcPr>
            <w:tcW w:w="3920" w:type="dxa"/>
            <w:vAlign w:val="bottom"/>
            <w:tcBorders>
              <w:bottom w:val="single" w:sz="8" w:color="auto"/>
            </w:tcBorders>
          </w:tcPr>
          <w:p>
            <w:pPr>
              <w:ind w:left="38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Obligations, Commitments and Guarantees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enters into long-term commitments with third parties in the ordinary course of business, including commitments to acquire film and television programming, take-or-pay creative talent and employment agreements, and various other television commitments. Many of NBCUniversal’s employees, including writers, directors, actors, technical and production personnel and others, as well as some of our on-air and creative talent, are covered by collective bargaining agreements or works councils. Approximately 29 collective bargaining agreements covering approximately 2,950 of our full-time, part-time and full-time equivalent freelance employees on our payroll are scheduled to expire during 2011.</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provides guarantees in the ordinary course of business, including the guarantee of a loan of one of NBCUniversal’s partners in one of their equity method investments and an obligation of the equity method investment’s consulting agreement with a third party. These guarantees are underwritten considering economic,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52" w:lineRule="auto"/>
        <w:rPr>
          <w:sz w:val="20"/>
          <w:szCs w:val="20"/>
          <w:color w:val="auto"/>
        </w:rPr>
      </w:pPr>
      <w:r>
        <w:rPr>
          <w:rFonts w:ascii="Arial" w:cs="Arial" w:eastAsia="Arial" w:hAnsi="Arial"/>
          <w:sz w:val="18"/>
          <w:szCs w:val="18"/>
          <w:color w:val="auto"/>
        </w:rPr>
        <w:t xml:space="preserve">liquidity and credit risk of the counterparty. We believe the likelihood is remote that these arrangements could have an adverse effect on our financial statements. </w:t>
      </w:r>
      <w:r>
        <w:rPr>
          <w:rFonts w:ascii="Arial" w:cs="Arial" w:eastAsia="Arial" w:hAnsi="Arial"/>
          <w:sz w:val="18"/>
          <w:szCs w:val="18"/>
          <w:b w:val="1"/>
          <w:bCs w:val="1"/>
          <w:i w:val="1"/>
          <w:iCs w:val="1"/>
          <w:color w:val="auto"/>
        </w:rPr>
        <w:t>Station Venture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NBCUniversal owns an 80% equity interest and a 50% voting interest in Station Venture Holdings, LLC (“Station Venture”), a variable interest entity. The remaining equity interests in Station Venture are held by LIN TV, Corp. (“LIN TV”). Station Venture holds an indirect interest in the NBC Network affiliated local television stations in Dallas, Texas and San Diego, California through its ownership interests in Station Venture Operations, LP (“Station LP”), which is a less than wholly owned consolidated subsidiary of NBCUniversal. Station Venture is the obligor on an $816 million senior secured note that is due in 2023 to General Electric Capital Corporation, a subsidiary of GE. The note is non-recourse to NBCUniversal, guaranteed by LIN TV and collateralized by substantially all of the assets of Station Venture and Station LP. In connection with the closing of the NBCUniversal transaction, GE has indemnified NBCUniversal for all liabilities NBCUniversal may incur as a result of any credit support, risk of loss or similar arrangement related to the note, in existence prior to the closing of the NBCUniversal transaction on January 28, 2011. We are not the primary beneficiary of, and accordingly do not consolidate, Station Venture. We have attributed no value to the investment in Station Venture in our allocation of purchase price for the NBCUniversal transaction. Because the assets of Station LP serve as collateral for Station Venture’s $816 million senior secured note, we have recorded a $350 million liability representing the estimated fair value of the assets of Station LP.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Classes of Philadelphia Cluster and Chicago Cluster customers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In June 2010, the Third Circuit Court of Appeals granted our petition for an interlocutory appeal from the class certification decision. Oral agreement on the appeal was held in January 2011. In March 2010, we moved for summary judgment dismissing all of the plaintiffs’ claims in the Philadelphia Cluster; the summary judgment motion is stayed pending the class certification appeal. The plaintiffs’ claims concerning the other two clusters are stayed pending determination of the Philadelphia Cluster claims.</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The plaintiffs have appealed that order to the Ninth Circuit Court of Appeals. Oral argument on the appeal was held in March 2011.</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dropped their unjust enrichment claim, as well as their state law claims on behalf of the Alabama, Illinois and Pennsylvania subclasses. In November 2010, the court stayed the case until the United States Supreme Court renders its decision in AT&amp;T Mobility LLC v. Concepcion.</w:t>
      </w:r>
    </w:p>
    <w:p>
      <w:pPr>
        <w:spacing w:after="0" w:line="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Financial Data by Business Segment</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the NBCUniversal transaction, we now present our operations in five reportable segments: Cable Communications, Cable Networks, Broadcast Television, Filmed Entertainment and Theme Parks. The Comcast Content Business is presented with NBCUniversal’s businesses in the Cable Networks segment. The businesses of Comcast Interactive Media (previously presented in Corporate and Other) that were not contributed to NBCUniversal are included in the Cable Communications segment. We have recast our segment presentation for the three months ended March 31, 2010 in order to reflect our current operating segments. See Note 4 for more information on the NBCUniversal transaction.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evaluating the profitability of our segments, the components of net income (loss) below operating income (loss) before depreciation and amortization are not separately evaluated by our management. Our financial data by business segment is presented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color w:val="auto"/>
                <w:w w:val="92"/>
              </w:rPr>
              <w:t>Three Months Ended March 31, 2011</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center"/>
              <w:ind w:right="238"/>
              <w:spacing w:after="0" w:line="131" w:lineRule="exact"/>
              <w:rPr>
                <w:sz w:val="20"/>
                <w:szCs w:val="20"/>
                <w:color w:val="auto"/>
              </w:rPr>
            </w:pPr>
            <w:r>
              <w:rPr>
                <w:rFonts w:ascii="Arial" w:cs="Arial" w:eastAsia="Arial" w:hAnsi="Arial"/>
                <w:sz w:val="14"/>
                <w:szCs w:val="14"/>
                <w:color w:val="auto"/>
                <w:w w:val="87"/>
              </w:rPr>
              <w:t>Operating</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Income (Loss)</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7"/>
              </w:rPr>
              <w:t>Before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Depreciation</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Depreciation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Operating</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820" w:type="dxa"/>
            <w:vAlign w:val="bottom"/>
          </w:tcPr>
          <w:p>
            <w:pPr>
              <w:jc w:val="right"/>
              <w:ind w:right="454"/>
              <w:spacing w:after="0" w:line="149" w:lineRule="exact"/>
              <w:rPr>
                <w:sz w:val="20"/>
                <w:szCs w:val="20"/>
                <w:color w:val="auto"/>
              </w:rPr>
            </w:pPr>
            <w:r>
              <w:rPr>
                <w:rFonts w:ascii="Arial" w:cs="Arial" w:eastAsia="Arial" w:hAnsi="Arial"/>
                <w:sz w:val="14"/>
                <w:szCs w:val="14"/>
                <w:color w:val="auto"/>
              </w:rPr>
              <w:t>and</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Income</w:t>
            </w:r>
          </w:p>
        </w:tc>
        <w:tc>
          <w:tcPr>
            <w:tcW w:w="340" w:type="dxa"/>
            <w:vAlign w:val="bottom"/>
          </w:tcPr>
          <w:p>
            <w:pPr>
              <w:spacing w:after="0"/>
              <w:rPr>
                <w:sz w:val="12"/>
                <w:szCs w:val="12"/>
                <w:color w:val="auto"/>
              </w:rPr>
            </w:pPr>
          </w:p>
        </w:tc>
        <w:tc>
          <w:tcPr>
            <w:tcW w:w="68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1"/>
              </w:rPr>
              <w:t>Capital</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4700" w:type="dxa"/>
            <w:vAlign w:val="bottom"/>
            <w:gridSpan w:val="3"/>
          </w:tcPr>
          <w:p>
            <w:pPr>
              <w:spacing w:after="0" w:line="159" w:lineRule="exact"/>
              <w:rPr>
                <w:sz w:val="20"/>
                <w:szCs w:val="20"/>
                <w:color w:val="auto"/>
              </w:rPr>
            </w:pPr>
            <w:r>
              <w:rPr>
                <w:rFonts w:ascii="Arial" w:cs="Arial" w:eastAsia="Arial" w:hAnsi="Arial"/>
                <w:sz w:val="14"/>
                <w:szCs w:val="14"/>
                <w:color w:val="auto"/>
              </w:rPr>
              <w:t>(in millions)</w:t>
            </w:r>
          </w:p>
        </w:tc>
        <w:tc>
          <w:tcPr>
            <w:tcW w:w="900" w:type="dxa"/>
            <w:vAlign w:val="bottom"/>
            <w:gridSpan w:val="2"/>
          </w:tcPr>
          <w:p>
            <w:pPr>
              <w:spacing w:after="0" w:line="159" w:lineRule="exact"/>
              <w:rPr>
                <w:sz w:val="20"/>
                <w:szCs w:val="20"/>
                <w:color w:val="auto"/>
              </w:rPr>
            </w:pPr>
            <w:r>
              <w:rPr>
                <w:rFonts w:ascii="Arial" w:cs="Arial" w:eastAsia="Arial" w:hAnsi="Arial"/>
                <w:sz w:val="14"/>
                <w:szCs w:val="14"/>
                <w:color w:val="auto"/>
              </w:rPr>
              <w:t>Revenue(i)</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3"/>
              </w:rPr>
              <w:t>Amortization(j)</w:t>
            </w:r>
          </w:p>
        </w:tc>
        <w:tc>
          <w:tcPr>
            <w:tcW w:w="134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Amortization</w:t>
            </w:r>
          </w:p>
        </w:tc>
        <w:tc>
          <w:tcPr>
            <w:tcW w:w="1040" w:type="dxa"/>
            <w:vAlign w:val="bottom"/>
          </w:tcPr>
          <w:p>
            <w:pPr>
              <w:jc w:val="center"/>
              <w:spacing w:after="0" w:line="159" w:lineRule="exact"/>
              <w:rPr>
                <w:sz w:val="20"/>
                <w:szCs w:val="20"/>
                <w:color w:val="auto"/>
              </w:rPr>
            </w:pPr>
            <w:r>
              <w:rPr>
                <w:rFonts w:ascii="Arial" w:cs="Arial" w:eastAsia="Arial" w:hAnsi="Arial"/>
                <w:sz w:val="14"/>
                <w:szCs w:val="14"/>
                <w:color w:val="auto"/>
                <w:w w:val="87"/>
              </w:rPr>
              <w:t>(Loss)</w:t>
            </w:r>
          </w:p>
        </w:tc>
        <w:tc>
          <w:tcPr>
            <w:tcW w:w="1020" w:type="dxa"/>
            <w:vAlign w:val="bottom"/>
            <w:gridSpan w:val="2"/>
          </w:tcPr>
          <w:p>
            <w:pPr>
              <w:ind w:left="200"/>
              <w:spacing w:after="0" w:line="159" w:lineRule="exact"/>
              <w:rPr>
                <w:sz w:val="20"/>
                <w:szCs w:val="20"/>
                <w:color w:val="auto"/>
              </w:rPr>
            </w:pPr>
            <w:r>
              <w:rPr>
                <w:rFonts w:ascii="Arial" w:cs="Arial" w:eastAsia="Arial" w:hAnsi="Arial"/>
                <w:sz w:val="14"/>
                <w:szCs w:val="14"/>
                <w:color w:val="auto"/>
                <w:w w:val="97"/>
              </w:rPr>
              <w:t>Expenditures</w:t>
            </w:r>
          </w:p>
        </w:tc>
        <w:tc>
          <w:tcPr>
            <w:tcW w:w="11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Assets</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Cable Communications(a)</w:t>
            </w:r>
          </w:p>
        </w:tc>
        <w:tc>
          <w:tcPr>
            <w:tcW w:w="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w w:val="97"/>
              </w:rPr>
              <w:t>9,084</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3,749</w:t>
            </w:r>
          </w:p>
        </w:tc>
        <w:tc>
          <w:tcPr>
            <w:tcW w:w="52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1,621</w:t>
            </w:r>
          </w:p>
        </w:tc>
        <w:tc>
          <w:tcPr>
            <w:tcW w:w="104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$ 2,128</w:t>
            </w:r>
          </w:p>
        </w:tc>
        <w:tc>
          <w:tcPr>
            <w:tcW w:w="3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1,053</w:t>
            </w:r>
          </w:p>
        </w:tc>
        <w:tc>
          <w:tcPr>
            <w:tcW w:w="1160" w:type="dxa"/>
            <w:vAlign w:val="bottom"/>
            <w:tcBorders>
              <w:top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$ 116,653</w:t>
            </w: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NBCUniversal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Cable Networks(b)</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7"/>
              </w:rPr>
              <w:t>1,632</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665</w:t>
            </w:r>
          </w:p>
        </w:tc>
        <w:tc>
          <w:tcPr>
            <w:tcW w:w="5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153</w:t>
            </w:r>
          </w:p>
        </w:tc>
        <w:tc>
          <w:tcPr>
            <w:tcW w:w="104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512</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29,737</w:t>
            </w: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Broadcast Television(c)</w:t>
            </w:r>
          </w:p>
        </w:tc>
        <w:tc>
          <w:tcPr>
            <w:tcW w:w="14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888</w:t>
            </w:r>
          </w:p>
        </w:tc>
        <w:tc>
          <w:tcPr>
            <w:tcW w:w="360" w:type="dxa"/>
            <w:vAlign w:val="bottom"/>
          </w:tcPr>
          <w:p>
            <w:pPr>
              <w:spacing w:after="0"/>
              <w:rPr>
                <w:sz w:val="18"/>
                <w:szCs w:val="18"/>
                <w:color w:val="auto"/>
              </w:rPr>
            </w:pPr>
          </w:p>
        </w:tc>
        <w:tc>
          <w:tcPr>
            <w:tcW w:w="900" w:type="dxa"/>
            <w:vAlign w:val="bottom"/>
          </w:tcPr>
          <w:p>
            <w:pPr>
              <w:jc w:val="right"/>
              <w:ind w:right="98"/>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6,615</w:t>
            </w: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Filmed Entertainment(d)</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622</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(143)</w:t>
            </w:r>
          </w:p>
        </w:tc>
        <w:tc>
          <w:tcPr>
            <w:tcW w:w="5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w:t>
            </w:r>
          </w:p>
        </w:tc>
        <w:tc>
          <w:tcPr>
            <w:tcW w:w="10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3,754</w:t>
            </w:r>
          </w:p>
        </w:tc>
      </w:tr>
      <w:tr>
        <w:trPr>
          <w:trHeight w:val="216"/>
        </w:trPr>
        <w:tc>
          <w:tcPr>
            <w:tcW w:w="20" w:type="dxa"/>
            <w:vAlign w:val="bottom"/>
          </w:tcPr>
          <w:p>
            <w:pPr>
              <w:spacing w:after="0"/>
              <w:rPr>
                <w:sz w:val="18"/>
                <w:szCs w:val="18"/>
                <w:color w:val="auto"/>
              </w:rPr>
            </w:pPr>
          </w:p>
        </w:tc>
        <w:tc>
          <w:tcPr>
            <w:tcW w:w="4680" w:type="dxa"/>
            <w:vAlign w:val="bottom"/>
            <w:gridSpan w:val="2"/>
          </w:tcPr>
          <w:p>
            <w:pPr>
              <w:ind w:left="420"/>
              <w:spacing w:after="0"/>
              <w:rPr>
                <w:sz w:val="20"/>
                <w:szCs w:val="20"/>
                <w:color w:val="auto"/>
              </w:rPr>
            </w:pPr>
            <w:r>
              <w:rPr>
                <w:rFonts w:ascii="Arial" w:cs="Arial" w:eastAsia="Arial" w:hAnsi="Arial"/>
                <w:sz w:val="18"/>
                <w:szCs w:val="18"/>
                <w:color w:val="auto"/>
              </w:rPr>
              <w:t>Theme Parks(e)</w:t>
            </w:r>
          </w:p>
        </w:tc>
        <w:tc>
          <w:tcPr>
            <w:tcW w:w="14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900" w:type="dxa"/>
            <w:vAlign w:val="bottom"/>
          </w:tcPr>
          <w:p>
            <w:pPr>
              <w:jc w:val="right"/>
              <w:ind w:right="98"/>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6</w:t>
            </w: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Headquarters and Other(f)</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11</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(96)</w:t>
            </w:r>
          </w:p>
        </w:tc>
        <w:tc>
          <w:tcPr>
            <w:tcW w:w="5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22</w:t>
            </w:r>
          </w:p>
        </w:tc>
        <w:tc>
          <w:tcPr>
            <w:tcW w:w="10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4,730</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Eliminations(h)</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(36)</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(435)</w:t>
            </w: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7"/>
              </w:rPr>
              <w:t>3,143</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458</w:t>
            </w:r>
          </w:p>
        </w:tc>
        <w:tc>
          <w:tcPr>
            <w:tcW w:w="5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206</w:t>
            </w:r>
          </w:p>
        </w:tc>
        <w:tc>
          <w:tcPr>
            <w:tcW w:w="104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252</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w:t>
            </w:r>
          </w:p>
        </w:tc>
        <w:tc>
          <w:tcPr>
            <w:tcW w:w="11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46,779</w:t>
            </w: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Corporate and Other(g)</w:t>
            </w:r>
          </w:p>
        </w:tc>
        <w:tc>
          <w:tcPr>
            <w:tcW w:w="14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138"/>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6,539</w:t>
            </w: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Eliminations(h)</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(287)</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(15,712)</w:t>
            </w:r>
          </w:p>
        </w:tc>
      </w:tr>
      <w:tr>
        <w:trPr>
          <w:trHeight w:val="217"/>
        </w:trPr>
        <w:tc>
          <w:tcPr>
            <w:tcW w:w="20" w:type="dxa"/>
            <w:vAlign w:val="bottom"/>
          </w:tcPr>
          <w:p>
            <w:pPr>
              <w:spacing w:after="0"/>
              <w:rPr>
                <w:sz w:val="18"/>
                <w:szCs w:val="18"/>
                <w:color w:val="auto"/>
              </w:rPr>
            </w:pP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Comcast Consolidated</w:t>
            </w:r>
          </w:p>
        </w:tc>
        <w:tc>
          <w:tcPr>
            <w:tcW w:w="9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w w:val="82"/>
              </w:rPr>
              <w:t>$ 12,128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4,066</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1,842</w:t>
            </w: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$ 2,224</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1,106</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$154,259</w:t>
            </w: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4"/>
                <w:szCs w:val="14"/>
                <w:color w:val="auto"/>
              </w:rPr>
              <w:t>Three Months Ended March 31, 2010</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jc w:val="center"/>
              <w:ind w:right="238"/>
              <w:spacing w:after="0" w:line="131" w:lineRule="exact"/>
              <w:rPr>
                <w:sz w:val="20"/>
                <w:szCs w:val="20"/>
                <w:color w:val="auto"/>
              </w:rPr>
            </w:pPr>
            <w:r>
              <w:rPr>
                <w:rFonts w:ascii="Arial" w:cs="Arial" w:eastAsia="Arial" w:hAnsi="Arial"/>
                <w:sz w:val="14"/>
                <w:szCs w:val="14"/>
                <w:color w:val="auto"/>
                <w:w w:val="87"/>
              </w:rPr>
              <w:t>Operating</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Income (Loss)</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7"/>
              </w:rPr>
              <w:t>Before</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Depreciation</w:t>
            </w:r>
          </w:p>
        </w:tc>
        <w:tc>
          <w:tcPr>
            <w:tcW w:w="13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Depreciation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Operating</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820" w:type="dxa"/>
            <w:vAlign w:val="bottom"/>
          </w:tcPr>
          <w:p>
            <w:pPr>
              <w:jc w:val="right"/>
              <w:ind w:right="454"/>
              <w:spacing w:after="0" w:line="149" w:lineRule="exact"/>
              <w:rPr>
                <w:sz w:val="20"/>
                <w:szCs w:val="20"/>
                <w:color w:val="auto"/>
              </w:rPr>
            </w:pPr>
            <w:r>
              <w:rPr>
                <w:rFonts w:ascii="Arial" w:cs="Arial" w:eastAsia="Arial" w:hAnsi="Arial"/>
                <w:sz w:val="14"/>
                <w:szCs w:val="14"/>
                <w:color w:val="auto"/>
              </w:rPr>
              <w:t>and</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Income</w:t>
            </w:r>
          </w:p>
        </w:tc>
        <w:tc>
          <w:tcPr>
            <w:tcW w:w="340" w:type="dxa"/>
            <w:vAlign w:val="bottom"/>
          </w:tcPr>
          <w:p>
            <w:pPr>
              <w:spacing w:after="0"/>
              <w:rPr>
                <w:sz w:val="12"/>
                <w:szCs w:val="12"/>
                <w:color w:val="auto"/>
              </w:rPr>
            </w:pPr>
          </w:p>
        </w:tc>
        <w:tc>
          <w:tcPr>
            <w:tcW w:w="68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1"/>
              </w:rPr>
              <w:t>Capital</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4700" w:type="dxa"/>
            <w:vAlign w:val="bottom"/>
            <w:gridSpan w:val="3"/>
          </w:tcPr>
          <w:p>
            <w:pPr>
              <w:spacing w:after="0" w:line="159" w:lineRule="exact"/>
              <w:rPr>
                <w:sz w:val="20"/>
                <w:szCs w:val="20"/>
                <w:color w:val="auto"/>
              </w:rPr>
            </w:pPr>
            <w:r>
              <w:rPr>
                <w:rFonts w:ascii="Arial" w:cs="Arial" w:eastAsia="Arial" w:hAnsi="Arial"/>
                <w:sz w:val="14"/>
                <w:szCs w:val="14"/>
                <w:color w:val="auto"/>
              </w:rPr>
              <w:t>(in millions)</w:t>
            </w:r>
          </w:p>
        </w:tc>
        <w:tc>
          <w:tcPr>
            <w:tcW w:w="900" w:type="dxa"/>
            <w:vAlign w:val="bottom"/>
            <w:gridSpan w:val="2"/>
          </w:tcPr>
          <w:p>
            <w:pPr>
              <w:spacing w:after="0" w:line="159" w:lineRule="exact"/>
              <w:rPr>
                <w:sz w:val="20"/>
                <w:szCs w:val="20"/>
                <w:color w:val="auto"/>
              </w:rPr>
            </w:pPr>
            <w:r>
              <w:rPr>
                <w:rFonts w:ascii="Arial" w:cs="Arial" w:eastAsia="Arial" w:hAnsi="Arial"/>
                <w:sz w:val="14"/>
                <w:szCs w:val="14"/>
                <w:color w:val="auto"/>
              </w:rPr>
              <w:t>Revenue(i)</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3"/>
              </w:rPr>
              <w:t>Amortization(j)</w:t>
            </w:r>
          </w:p>
        </w:tc>
        <w:tc>
          <w:tcPr>
            <w:tcW w:w="134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Amortization</w:t>
            </w:r>
          </w:p>
        </w:tc>
        <w:tc>
          <w:tcPr>
            <w:tcW w:w="1040" w:type="dxa"/>
            <w:vAlign w:val="bottom"/>
          </w:tcPr>
          <w:p>
            <w:pPr>
              <w:jc w:val="center"/>
              <w:spacing w:after="0" w:line="159" w:lineRule="exact"/>
              <w:rPr>
                <w:sz w:val="20"/>
                <w:szCs w:val="20"/>
                <w:color w:val="auto"/>
              </w:rPr>
            </w:pPr>
            <w:r>
              <w:rPr>
                <w:rFonts w:ascii="Arial" w:cs="Arial" w:eastAsia="Arial" w:hAnsi="Arial"/>
                <w:sz w:val="14"/>
                <w:szCs w:val="14"/>
                <w:color w:val="auto"/>
                <w:w w:val="87"/>
              </w:rPr>
              <w:t>(Loss)</w:t>
            </w:r>
          </w:p>
        </w:tc>
        <w:tc>
          <w:tcPr>
            <w:tcW w:w="1020" w:type="dxa"/>
            <w:vAlign w:val="bottom"/>
            <w:gridSpan w:val="2"/>
          </w:tcPr>
          <w:p>
            <w:pPr>
              <w:ind w:left="200"/>
              <w:spacing w:after="0" w:line="159" w:lineRule="exact"/>
              <w:rPr>
                <w:sz w:val="20"/>
                <w:szCs w:val="20"/>
                <w:color w:val="auto"/>
              </w:rPr>
            </w:pPr>
            <w:r>
              <w:rPr>
                <w:rFonts w:ascii="Arial" w:cs="Arial" w:eastAsia="Arial" w:hAnsi="Arial"/>
                <w:sz w:val="14"/>
                <w:szCs w:val="14"/>
                <w:color w:val="auto"/>
                <w:w w:val="97"/>
              </w:rPr>
              <w:t>Expenditures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Cable Communications(a)</w:t>
            </w:r>
          </w:p>
        </w:tc>
        <w:tc>
          <w:tcPr>
            <w:tcW w:w="1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w w:val="97"/>
              </w:rPr>
              <w:t>8,583</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3,480</w:t>
            </w:r>
          </w:p>
        </w:tc>
        <w:tc>
          <w:tcPr>
            <w:tcW w:w="52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1,550</w:t>
            </w:r>
          </w:p>
        </w:tc>
        <w:tc>
          <w:tcPr>
            <w:tcW w:w="104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$ 1,930</w:t>
            </w:r>
          </w:p>
        </w:tc>
        <w:tc>
          <w:tcPr>
            <w:tcW w:w="3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913</w:t>
            </w:r>
          </w:p>
        </w:tc>
        <w:tc>
          <w:tcPr>
            <w:tcW w:w="10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Cable Networks(b)</w:t>
            </w:r>
          </w:p>
        </w:tc>
        <w:tc>
          <w:tcPr>
            <w:tcW w:w="14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638</w:t>
            </w:r>
          </w:p>
        </w:tc>
        <w:tc>
          <w:tcPr>
            <w:tcW w:w="360" w:type="dxa"/>
            <w:vAlign w:val="bottom"/>
          </w:tcPr>
          <w:p>
            <w:pPr>
              <w:spacing w:after="0"/>
              <w:rPr>
                <w:sz w:val="18"/>
                <w:szCs w:val="18"/>
                <w:color w:val="auto"/>
              </w:rPr>
            </w:pPr>
          </w:p>
        </w:tc>
        <w:tc>
          <w:tcPr>
            <w:tcW w:w="900" w:type="dxa"/>
            <w:vAlign w:val="bottom"/>
          </w:tcPr>
          <w:p>
            <w:pPr>
              <w:jc w:val="right"/>
              <w:ind w:right="98"/>
              <w:spacing w:after="0"/>
              <w:rPr>
                <w:sz w:val="20"/>
                <w:szCs w:val="20"/>
                <w:color w:val="auto"/>
              </w:rPr>
            </w:pPr>
            <w:r>
              <w:rPr>
                <w:rFonts w:ascii="Arial" w:cs="Arial" w:eastAsia="Arial" w:hAnsi="Arial"/>
                <w:sz w:val="18"/>
                <w:szCs w:val="18"/>
                <w:color w:val="auto"/>
              </w:rPr>
              <w:t>188</w:t>
            </w:r>
          </w:p>
        </w:tc>
        <w:tc>
          <w:tcPr>
            <w:tcW w:w="52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73</w:t>
            </w: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Corporate and Other(g)</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71</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7</w:t>
            </w:r>
          </w:p>
        </w:tc>
        <w:tc>
          <w:tcPr>
            <w:tcW w:w="104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10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Eliminations(h)</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6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Comcast Consolidated</w:t>
            </w:r>
          </w:p>
        </w:tc>
        <w:tc>
          <w:tcPr>
            <w:tcW w:w="1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w w:val="97"/>
              </w:rPr>
              <w:t>9,202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3,565</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1,630</w:t>
            </w:r>
          </w:p>
        </w:tc>
        <w:tc>
          <w:tcPr>
            <w:tcW w:w="104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$ 1,935</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925</w:t>
            </w:r>
          </w:p>
        </w:tc>
        <w:tc>
          <w:tcPr>
            <w:tcW w:w="1060" w:type="dxa"/>
            <w:vAlign w:val="bottom"/>
            <w:tcBorders>
              <w:bottom w:val="single" w:sz="8" w:color="E5E5E5"/>
            </w:tcBorders>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r>
    </w:tbl>
    <w:p>
      <w:pPr>
        <w:spacing w:after="0" w:line="57" w:lineRule="exact"/>
        <w:rPr>
          <w:sz w:val="20"/>
          <w:szCs w:val="20"/>
          <w:color w:val="auto"/>
        </w:rPr>
      </w:pPr>
    </w:p>
    <w:p>
      <w:pPr>
        <w:ind w:left="360" w:right="1360" w:hanging="352"/>
        <w:spacing w:after="0" w:line="375" w:lineRule="auto"/>
        <w:tabs>
          <w:tab w:leader="none" w:pos="355"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Cable Communications segment consists primarily of our cable services business and the businesses of Comcast Interactive Media that were not contributed to NBCUniversal. For the three months ended March 31, 2011 and 2010, Cable Communications segment revenue was derived from the following sources:</w:t>
      </w:r>
    </w:p>
    <w:p>
      <w:pPr>
        <w:spacing w:after="0" w:line="1" w:lineRule="exact"/>
        <w:rPr>
          <w:sz w:val="20"/>
          <w:szCs w:val="20"/>
          <w:color w:val="auto"/>
        </w:rPr>
      </w:pPr>
    </w:p>
    <w:p>
      <w:pPr>
        <w:jc w:val="center"/>
        <w:ind w:left="9280"/>
        <w:spacing w:after="0"/>
        <w:rPr>
          <w:sz w:val="20"/>
          <w:szCs w:val="20"/>
          <w:color w:val="auto"/>
        </w:rPr>
      </w:pPr>
      <w:r>
        <w:rPr>
          <w:rFonts w:ascii="Arial" w:cs="Arial" w:eastAsia="Arial" w:hAnsi="Arial"/>
          <w:sz w:val="14"/>
          <w:szCs w:val="14"/>
          <w:color w:val="auto"/>
        </w:rPr>
        <w:t>Three Months Ended</w:t>
      </w:r>
    </w:p>
    <w:p>
      <w:pPr>
        <w:jc w:val="center"/>
        <w:ind w:left="92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-8255</wp:posOffset>
            </wp:positionV>
            <wp:extent cx="1646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6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14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2010</w:t>
            </w:r>
          </w:p>
        </w:tc>
      </w:tr>
      <w:tr>
        <w:trPr>
          <w:trHeight w:val="142"/>
        </w:trPr>
        <w:tc>
          <w:tcPr>
            <w:tcW w:w="51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w:t>
            </w:r>
          </w:p>
        </w:tc>
        <w:tc>
          <w:tcPr>
            <w:tcW w:w="4980" w:type="dxa"/>
            <w:vAlign w:val="bottom"/>
            <w:shd w:val="clear" w:color="auto" w:fill="E5E5E5"/>
          </w:tcPr>
          <w:p>
            <w:pPr>
              <w:jc w:val="right"/>
              <w:ind w:right="332"/>
              <w:spacing w:after="0" w:line="142" w:lineRule="exact"/>
              <w:rPr>
                <w:sz w:val="20"/>
                <w:szCs w:val="20"/>
                <w:color w:val="auto"/>
              </w:rPr>
            </w:pPr>
            <w:r>
              <w:rPr>
                <w:rFonts w:ascii="Arial" w:cs="Arial" w:eastAsia="Arial" w:hAnsi="Arial"/>
                <w:sz w:val="14"/>
                <w:szCs w:val="14"/>
                <w:color w:val="auto"/>
              </w:rPr>
              <w:t>53.8%</w:t>
            </w:r>
          </w:p>
        </w:tc>
        <w:tc>
          <w:tcPr>
            <w:tcW w:w="94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56.0%</w:t>
            </w:r>
          </w:p>
        </w:tc>
      </w:tr>
      <w:tr>
        <w:trPr>
          <w:trHeight w:val="149"/>
        </w:trPr>
        <w:tc>
          <w:tcPr>
            <w:tcW w:w="51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4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23.2%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r>
      <w:tr>
        <w:trPr>
          <w:trHeight w:val="149"/>
        </w:trPr>
        <w:tc>
          <w:tcPr>
            <w:tcW w:w="5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49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9.5%</w:t>
            </w:r>
          </w:p>
        </w:tc>
        <w:tc>
          <w:tcPr>
            <w:tcW w:w="9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9.4%</w:t>
            </w:r>
          </w:p>
        </w:tc>
      </w:tr>
      <w:tr>
        <w:trPr>
          <w:trHeight w:val="149"/>
        </w:trPr>
        <w:tc>
          <w:tcPr>
            <w:tcW w:w="514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4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5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49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4.3%</w:t>
            </w:r>
          </w:p>
        </w:tc>
        <w:tc>
          <w:tcPr>
            <w:tcW w:w="9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49"/>
        </w:trPr>
        <w:tc>
          <w:tcPr>
            <w:tcW w:w="5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w:t>
            </w:r>
          </w:p>
        </w:tc>
        <w:tc>
          <w:tcPr>
            <w:tcW w:w="4980" w:type="dxa"/>
            <w:vAlign w:val="bottom"/>
            <w:tcBorders>
              <w:bottom w:val="single" w:sz="8" w:color="auto"/>
            </w:tcBorders>
          </w:tcPr>
          <w:p>
            <w:pPr>
              <w:jc w:val="right"/>
              <w:ind w:right="332"/>
              <w:spacing w:after="0" w:line="149" w:lineRule="exact"/>
              <w:rPr>
                <w:sz w:val="20"/>
                <w:szCs w:val="20"/>
                <w:color w:val="auto"/>
              </w:rPr>
            </w:pPr>
            <w:r>
              <w:rPr>
                <w:rFonts w:ascii="Arial" w:cs="Arial" w:eastAsia="Arial" w:hAnsi="Arial"/>
                <w:sz w:val="14"/>
                <w:szCs w:val="14"/>
                <w:color w:val="auto"/>
              </w:rPr>
              <w:t>4.2%</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9"/>
        </w:trPr>
        <w:tc>
          <w:tcPr>
            <w:tcW w:w="5140" w:type="dxa"/>
            <w:vAlign w:val="bottom"/>
            <w:tcBorders>
              <w:bottom w:val="single" w:sz="8" w:color="auto"/>
            </w:tcBorders>
            <w:shd w:val="clear" w:color="auto" w:fill="E5E5E5"/>
          </w:tcPr>
          <w:p>
            <w:pPr>
              <w:ind w:left="440"/>
              <w:spacing w:after="0" w:line="142" w:lineRule="exact"/>
              <w:rPr>
                <w:sz w:val="20"/>
                <w:szCs w:val="20"/>
                <w:color w:val="auto"/>
              </w:rPr>
            </w:pPr>
            <w:r>
              <w:rPr>
                <w:rFonts w:ascii="Arial" w:cs="Arial" w:eastAsia="Arial" w:hAnsi="Arial"/>
                <w:sz w:val="14"/>
                <w:szCs w:val="14"/>
                <w:color w:val="auto"/>
              </w:rPr>
              <w:t>Total</w:t>
            </w:r>
          </w:p>
        </w:tc>
        <w:tc>
          <w:tcPr>
            <w:tcW w:w="4980" w:type="dxa"/>
            <w:vAlign w:val="bottom"/>
            <w:tcBorders>
              <w:bottom w:val="single" w:sz="8" w:color="auto"/>
            </w:tcBorders>
            <w:shd w:val="clear" w:color="auto" w:fill="E5E5E5"/>
          </w:tcPr>
          <w:p>
            <w:pPr>
              <w:jc w:val="right"/>
              <w:ind w:right="332"/>
              <w:spacing w:after="0" w:line="142" w:lineRule="exact"/>
              <w:rPr>
                <w:sz w:val="20"/>
                <w:szCs w:val="20"/>
                <w:color w:val="auto"/>
              </w:rPr>
            </w:pPr>
            <w:r>
              <w:rPr>
                <w:rFonts w:ascii="Arial" w:cs="Arial" w:eastAsia="Arial" w:hAnsi="Arial"/>
                <w:sz w:val="14"/>
                <w:szCs w:val="14"/>
                <w:color w:val="auto"/>
              </w:rPr>
              <w:t>100.0%</w:t>
            </w:r>
          </w:p>
        </w:tc>
        <w:tc>
          <w:tcPr>
            <w:tcW w:w="94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months ended March 31, 2011 and 2010, approximately 2.8% of Cable Communications revenue was derived from franchise and other regulatory fees.</w:t>
      </w:r>
    </w:p>
    <w:p>
      <w:pPr>
        <w:spacing w:after="0" w:line="44" w:lineRule="exact"/>
        <w:rPr>
          <w:sz w:val="20"/>
          <w:szCs w:val="20"/>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Cable Networks segment consists primarily of the Comcast Content Business and the historical NBCUniversal national cable programming networks, international entertainment and news and information networks, certain digital media properties and our cable television production operations.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Broadcast Television segment consists primarily of the NBC Network and its owned NBC affiliated local television stations, the Telemundo Network and its owned Telemundo affiliated local television stations, our television production operations, and our related digital media properties.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Theme Parks segment consists primarily of Universal Studios Hollywood theme park, Wet ‘n Wild water park, and fees for intellectual property licenses and other services from third parties that own and operate Universal Studios Japan and Universal Studios Singapore, as well as our 50% equity interest in UCDP and related fees.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and allocations, employee benefits and other initiatives.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and Other activities include Comcast Spectacor, corporate activities and all other businesses not presented in our other segments.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the Eliminations columns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7"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when negotiating programming contracts that are recorded as a reduction to programming expenses</w:t>
      </w:r>
    </w:p>
    <w:p>
      <w:pPr>
        <w:spacing w:after="0" w:line="57"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segment generates revenue by licensing content to our Cable Networks and Broadcast Television segments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Non-U.S. revenue, primarily in Europe and Asia, for the three months ended March 31, 2011, was approximately $621 million. Non-U.S. revenue was not significant for the three months ended March 31, 2010. No single customer accounted for a significant amount of our revenue in any period.</w:t>
      </w:r>
    </w:p>
    <w:p>
      <w:pPr>
        <w:spacing w:after="0" w:line="43" w:lineRule="exact"/>
        <w:rPr>
          <w:rFonts w:ascii="Arial" w:cs="Arial" w:eastAsia="Arial" w:hAnsi="Arial"/>
          <w:sz w:val="14"/>
          <w:szCs w:val="14"/>
          <w:color w:val="auto"/>
        </w:rPr>
      </w:pPr>
    </w:p>
    <w:p>
      <w:pPr>
        <w:jc w:val="both"/>
        <w:ind w:left="340" w:hanging="332"/>
        <w:spacing w:after="0" w:line="265"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impairments related to fixed and intangible assets and gains or losses from the sale of assets, if any, to measure the profit or loss of our operating segments.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In the Theme Parks segment, we also include the equity in income (loss) of investees in measuring operating income (loss) before depreciation and amortization. This amount is not included when we measure total NBCUniversal and our consolidated operating income (loss) before depreciation and amortization.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100%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Comcast Corporation provides an unconditional subordinated guarantee of the $185 million principal amount currently outstanding of Comcast Holdings’ ZONES due October 2029 and the $202 million principal amount currently outstanding of Comcast Holdings’ 10</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20"/>
          <w:szCs w:val="20"/>
          <w:color w:val="auto"/>
          <w:vertAlign w:val="subscript"/>
        </w:rPr>
        <w:t>8</w:t>
      </w:r>
      <w:r>
        <w:rPr>
          <w:rFonts w:ascii="Arial" w:cs="Arial" w:eastAsia="Arial" w:hAnsi="Arial"/>
          <w:sz w:val="16"/>
          <w:szCs w:val="16"/>
          <w:color w:val="auto"/>
        </w:rPr>
        <w:t>% senior subordinated debentures due 2012. Comcast Corporation does not guarantee the $62 million principal amount currently outstanding of Comcast Holdings’ ZONES due November 2029.</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NBCUniversal transaction on January 28, 2011, our investments in NBCUniversal Holdings are held by the Comcast Corporation Parent (“Comcast Parent”) and Comcast Holdings. Certain entities of the Comcast Content Business were subsidiaries of Comcast Holdings. Since these entities were contributed to NBCUniversal Holdings, they are included with the Comcast Parent’s investment in NBCUniversal Holdings. However, the operations of these businesses are presented in the non-guarantor subsidiaries column. Our condensed consolidating financial information is presented in the tables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340" w:type="dxa"/>
            <w:vAlign w:val="bottom"/>
          </w:tcPr>
          <w:p>
            <w:pPr>
              <w:spacing w:after="0"/>
              <w:rPr>
                <w:sz w:val="12"/>
                <w:szCs w:val="12"/>
                <w:color w:val="auto"/>
              </w:rPr>
            </w:pPr>
          </w:p>
        </w:tc>
        <w:tc>
          <w:tcPr>
            <w:tcW w:w="640" w:type="dxa"/>
            <w:vAlign w:val="bottom"/>
          </w:tcPr>
          <w:p>
            <w:pPr>
              <w:jc w:val="right"/>
              <w:ind w:right="173"/>
              <w:spacing w:after="0" w:line="149" w:lineRule="exact"/>
              <w:rPr>
                <w:sz w:val="20"/>
                <w:szCs w:val="20"/>
                <w:color w:val="auto"/>
              </w:rPr>
            </w:pPr>
            <w:r>
              <w:rPr>
                <w:rFonts w:ascii="Arial" w:cs="Arial" w:eastAsia="Arial" w:hAnsi="Arial"/>
                <w:sz w:val="14"/>
                <w:szCs w:val="14"/>
                <w:color w:val="auto"/>
                <w:w w:val="94"/>
              </w:rPr>
              <w:t>CCCL</w:t>
            </w:r>
          </w:p>
        </w:tc>
        <w:tc>
          <w:tcPr>
            <w:tcW w:w="90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100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4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color w:val="auto"/>
                <w:w w:val="87"/>
              </w:rPr>
              <w:t>Parent</w:t>
            </w:r>
          </w:p>
        </w:tc>
        <w:tc>
          <w:tcPr>
            <w:tcW w:w="3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w w:val="78"/>
              </w:rPr>
              <w:t>Parents</w:t>
            </w:r>
          </w:p>
        </w:tc>
        <w:tc>
          <w:tcPr>
            <w:tcW w:w="880" w:type="dxa"/>
            <w:vAlign w:val="bottom"/>
            <w:gridSpan w:val="2"/>
          </w:tcPr>
          <w:p>
            <w:pPr>
              <w:jc w:val="right"/>
              <w:ind w:right="112"/>
              <w:spacing w:after="0"/>
              <w:rPr>
                <w:sz w:val="20"/>
                <w:szCs w:val="20"/>
                <w:color w:val="auto"/>
              </w:rPr>
            </w:pPr>
            <w:r>
              <w:rPr>
                <w:rFonts w:ascii="Arial" w:cs="Arial" w:eastAsia="Arial" w:hAnsi="Arial"/>
                <w:sz w:val="14"/>
                <w:szCs w:val="14"/>
                <w:color w:val="auto"/>
              </w:rPr>
              <w:t>Holdings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7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1,822</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1,822</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74</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3,708</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3,708</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776</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776</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1,004</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1,167</w:t>
            </w: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7,384</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7,547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4,945</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4,945</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10,711</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10,711</w:t>
            </w: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Investments in and amounts due from subsidiaries eliminated</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71,906</w:t>
            </w:r>
          </w:p>
        </w:tc>
        <w:tc>
          <w:tcPr>
            <w:tcW w:w="3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90,746</w:t>
            </w:r>
          </w:p>
        </w:tc>
        <w:tc>
          <w:tcPr>
            <w:tcW w:w="2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48,009</w:t>
            </w:r>
          </w:p>
        </w:tc>
        <w:tc>
          <w:tcPr>
            <w:tcW w:w="2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89,877</w:t>
            </w:r>
          </w:p>
        </w:tc>
        <w:tc>
          <w:tcPr>
            <w:tcW w:w="260" w:type="dxa"/>
            <w:vAlign w:val="bottom"/>
          </w:tcPr>
          <w:p>
            <w:pPr>
              <w:spacing w:after="0"/>
              <w:rPr>
                <w:sz w:val="19"/>
                <w:szCs w:val="19"/>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48,782</w:t>
            </w: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(349,320)</w:t>
            </w:r>
          </w:p>
        </w:tc>
        <w:tc>
          <w:tcPr>
            <w:tcW w:w="24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24,639</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24,911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Franchise rights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59,442</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59,442</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27,001</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27,001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17,716</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17,725</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1,027</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1,542</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(781)</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1,977</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73,374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90,785</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48,014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90,025</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9"/>
              </w:rPr>
              <w:t>202,162</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(350,101)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154,259</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640"/>
              <w:spacing w:after="0"/>
              <w:rPr>
                <w:sz w:val="20"/>
                <w:szCs w:val="20"/>
                <w:color w:val="auto"/>
              </w:rPr>
            </w:pPr>
            <w:r>
              <w:rPr>
                <w:rFonts w:ascii="Arial" w:cs="Arial" w:eastAsia="Arial" w:hAnsi="Arial"/>
                <w:sz w:val="18"/>
                <w:szCs w:val="18"/>
                <w:color w:val="auto"/>
              </w:rPr>
              <w:t>to trade creditors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4,851</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4,858</w:t>
            </w:r>
          </w:p>
        </w:tc>
      </w:tr>
      <w:tr>
        <w:trPr>
          <w:trHeight w:val="217"/>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1,152</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3,936</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5,441</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1,690</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563</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2,296</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2,652</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9,982</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13,747</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22,747</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3,955</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9,351</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38,130</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28,845</w:t>
            </w:r>
          </w:p>
        </w:tc>
        <w:tc>
          <w:tcPr>
            <w:tcW w:w="2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(638)</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28,919</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1,647</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10,113</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11,617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15,239</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15,239</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shareholders’ equity</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46,297</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86,571</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7"/>
              </w:rPr>
              <w:t>45,649</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88,747</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9"/>
              </w:rPr>
              <w:t>128,353</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(349,320)</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46,297</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46,328</w:t>
            </w:r>
          </w:p>
        </w:tc>
        <w:tc>
          <w:tcPr>
            <w:tcW w:w="3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86,571</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45,649</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88,747</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w w:val="89"/>
              </w:rPr>
              <w:t>128,353</w:t>
            </w:r>
          </w:p>
        </w:tc>
        <w:tc>
          <w:tcPr>
            <w:tcW w:w="2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(349,320)</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46,328</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279</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46,328</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86,571</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7"/>
              </w:rPr>
              <w:t>45,649</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88,747</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9"/>
              </w:rPr>
              <w:t>128,632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(349,320)</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46,607</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73,374</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90,785</w:t>
            </w:r>
          </w:p>
        </w:tc>
        <w:tc>
          <w:tcPr>
            <w:tcW w:w="2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48,014</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7"/>
              </w:rPr>
              <w:t>90,025</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9"/>
              </w:rPr>
              <w:t>202,162</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90"/>
              </w:rPr>
              <w:t>(350,101)</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5"/>
              </w:rPr>
              <w:t>154,259</w:t>
            </w: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color w:val="auto"/>
                <w:w w:val="87"/>
              </w:rPr>
              <w:t>Parent</w:t>
            </w: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1,855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682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8,724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6,670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 eliminated upon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2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68,987</w:t>
            </w:r>
          </w:p>
        </w:tc>
        <w:tc>
          <w:tcPr>
            <w:tcW w:w="140" w:type="dxa"/>
            <w:vAlign w:val="bottom"/>
          </w:tcPr>
          <w:p>
            <w:pPr>
              <w:spacing w:after="0"/>
              <w:rPr>
                <w:sz w:val="19"/>
                <w:szCs w:val="19"/>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90,076</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52,652</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72,629</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12,339</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23,237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Franchise rights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59,442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14,958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3,421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670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(819)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87"/>
              </w:rPr>
              <w:t>70,565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7"/>
              </w:rPr>
              <w:t>90,121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52,652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72,777</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129,921</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(297,502)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118,534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w w:val="88"/>
              </w:rPr>
              <w:t>Accounts payable and accrued expenses related to trade creditors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3,282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1,038</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1,578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1,190</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4,905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22,754</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3,963</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2,339</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704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28,218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1,658</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6,347</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32</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44,322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84,968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50,239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71,497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89,979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44,354</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84,968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50,239</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71,497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89,979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7"/>
              </w:rPr>
              <w:t>44,354</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7"/>
              </w:rPr>
              <w:t>84,968</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50,239</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71,497</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90,059</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(296,683)</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44,434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87"/>
              </w:rPr>
              <w:t>70,565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7"/>
              </w:rPr>
              <w:t>90,121</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52,652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72,777</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129,921</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(297,502)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118,534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5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gridSpan w:val="2"/>
          </w:tcPr>
          <w:p>
            <w:pPr>
              <w:jc w:val="right"/>
              <w:ind w:right="19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w w:val="90"/>
              </w:rPr>
              <w:t>12,128</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12,128</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(498)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0"/>
              </w:rPr>
              <w:t>12,128</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(498)</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12,128</w:t>
            </w:r>
          </w:p>
        </w:tc>
      </w:tr>
      <w:tr>
        <w:trPr>
          <w:trHeight w:val="210"/>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w w:val="91"/>
              </w:rPr>
              <w:t>Operating costs and expenses (excluding depreciation and</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8,107</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8,062</w:t>
            </w:r>
          </w:p>
        </w:tc>
      </w:tr>
      <w:tr>
        <w:trPr>
          <w:trHeight w:val="217"/>
        </w:trPr>
        <w:tc>
          <w:tcPr>
            <w:tcW w:w="20" w:type="dxa"/>
            <w:vAlign w:val="bottom"/>
          </w:tcPr>
          <w:p>
            <w:pPr>
              <w:spacing w:after="0"/>
              <w:rPr>
                <w:sz w:val="18"/>
                <w:szCs w:val="18"/>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1,479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1,486</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356</w:t>
            </w: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156</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9,941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(498)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9,904</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2,187</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2,224</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3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1,161</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1,323</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794</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1,292</w:t>
            </w:r>
          </w:p>
        </w:tc>
        <w:tc>
          <w:tcPr>
            <w:tcW w:w="30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(4,570)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784</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1,232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4"/>
              </w:rPr>
              <w:t>1,289</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(4,570)</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r>
      <w:tr>
        <w:trPr>
          <w:trHeight w:val="210"/>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1,232</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1,284</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2,112</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(4,570)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1,635</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(763)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10"/>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from consolidated operations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943</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1,264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1,287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1,349</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(4,570)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1,039</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7"/>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6"/>
              </w:rPr>
              <w:t>Net income (loss) attributable to Comcast Corporation</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943</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1,264</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766</w:t>
            </w:r>
          </w:p>
        </w:tc>
        <w:tc>
          <w:tcPr>
            <w:tcW w:w="2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4"/>
              </w:rPr>
              <w:t>1,287</w:t>
            </w:r>
          </w:p>
        </w:tc>
        <w:tc>
          <w:tcPr>
            <w:tcW w:w="30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1,253</w:t>
            </w:r>
          </w:p>
        </w:tc>
        <w:tc>
          <w:tcPr>
            <w:tcW w:w="3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(4,570)</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943</w:t>
            </w:r>
          </w:p>
        </w:tc>
      </w:tr>
      <w:tr>
        <w:trPr>
          <w:trHeight w:val="36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3"/>
              <w:spacing w:after="0" w:line="149" w:lineRule="exact"/>
              <w:rPr>
                <w:sz w:val="20"/>
                <w:szCs w:val="20"/>
                <w:color w:val="auto"/>
              </w:rPr>
            </w:pPr>
            <w:r>
              <w:rPr>
                <w:rFonts w:ascii="Arial" w:cs="Arial" w:eastAsia="Arial" w:hAnsi="Arial"/>
                <w:sz w:val="14"/>
                <w:szCs w:val="14"/>
                <w:color w:val="auto"/>
                <w:w w:val="98"/>
              </w:rPr>
              <w:t>Non-</w:t>
            </w:r>
          </w:p>
        </w:tc>
        <w:tc>
          <w:tcPr>
            <w:tcW w:w="400" w:type="dxa"/>
            <w:vAlign w:val="bottom"/>
          </w:tcPr>
          <w:p>
            <w:pPr>
              <w:spacing w:after="0"/>
              <w:rPr>
                <w:sz w:val="12"/>
                <w:szCs w:val="12"/>
                <w:color w:val="auto"/>
              </w:rPr>
            </w:pPr>
          </w:p>
        </w:tc>
        <w:tc>
          <w:tcPr>
            <w:tcW w:w="84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CCCL</w:t>
            </w:r>
          </w:p>
        </w:tc>
        <w:tc>
          <w:tcPr>
            <w:tcW w:w="10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6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jc w:val="right"/>
              <w:ind w:right="272"/>
              <w:spacing w:after="0"/>
              <w:rPr>
                <w:sz w:val="20"/>
                <w:szCs w:val="20"/>
                <w:color w:val="auto"/>
              </w:rPr>
            </w:pPr>
            <w:r>
              <w:rPr>
                <w:rFonts w:ascii="Arial" w:cs="Arial" w:eastAsia="Arial" w:hAnsi="Arial"/>
                <w:sz w:val="14"/>
                <w:szCs w:val="14"/>
                <w:color w:val="auto"/>
              </w:rPr>
              <w:t>Parents</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9,202</w:t>
            </w:r>
          </w:p>
        </w:tc>
        <w:tc>
          <w:tcPr>
            <w:tcW w:w="4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9,202</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237</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196</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237</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9,202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9,202</w:t>
            </w:r>
          </w:p>
        </w:tc>
      </w:tr>
      <w:tr>
        <w:trPr>
          <w:trHeight w:val="210"/>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Operating costs and expenses (excluding</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5,707</w:t>
            </w:r>
          </w:p>
        </w:tc>
        <w:tc>
          <w:tcPr>
            <w:tcW w:w="400" w:type="dxa"/>
            <w:vAlign w:val="bottom"/>
          </w:tcPr>
          <w:p>
            <w:pPr>
              <w:spacing w:after="0"/>
              <w:rPr>
                <w:sz w:val="19"/>
                <w:szCs w:val="19"/>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(543)</w:t>
            </w:r>
          </w:p>
        </w:tc>
        <w:tc>
          <w:tcPr>
            <w:tcW w:w="32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5,637</w:t>
            </w:r>
          </w:p>
        </w:tc>
      </w:tr>
      <w:tr>
        <w:trPr>
          <w:trHeight w:val="217"/>
        </w:trPr>
        <w:tc>
          <w:tcPr>
            <w:tcW w:w="20" w:type="dxa"/>
            <w:vAlign w:val="bottom"/>
          </w:tcPr>
          <w:p>
            <w:pPr>
              <w:spacing w:after="0"/>
              <w:rPr>
                <w:sz w:val="18"/>
                <w:szCs w:val="18"/>
                <w:color w:val="auto"/>
              </w:rPr>
            </w:pPr>
          </w:p>
        </w:tc>
        <w:tc>
          <w:tcPr>
            <w:tcW w:w="38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1,372</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1,379</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251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251</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237</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7,330</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7,267</w:t>
            </w: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1,872</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1,935</w:t>
            </w: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20" w:type="dxa"/>
            <w:vAlign w:val="bottom"/>
          </w:tcPr>
          <w:p>
            <w:pPr>
              <w:spacing w:after="0"/>
              <w:rPr>
                <w:sz w:val="18"/>
                <w:szCs w:val="18"/>
                <w:color w:val="auto"/>
              </w:rPr>
            </w:pPr>
          </w:p>
        </w:tc>
        <w:tc>
          <w:tcPr>
            <w:tcW w:w="38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98</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w w:val="98"/>
              </w:rPr>
              <w:t>Equity in net income (losses) of investees, net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1,041</w:t>
            </w:r>
          </w:p>
        </w:tc>
        <w:tc>
          <w:tcPr>
            <w:tcW w:w="3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1,170</w:t>
            </w:r>
          </w:p>
        </w:tc>
        <w:tc>
          <w:tcPr>
            <w:tcW w:w="40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682</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1,155</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(4,048)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4"/>
              </w:rPr>
              <w:t>1,068</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639</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4"/>
              </w:rPr>
              <w:t>1,148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(4,048)</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10"/>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772</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1,068</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4"/>
              </w:rPr>
              <w:t>1,134</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1,905</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(4,048)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(742)</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10"/>
        </w:trPr>
        <w:tc>
          <w:tcPr>
            <w:tcW w:w="20" w:type="dxa"/>
            <w:vAlign w:val="bottom"/>
          </w:tcPr>
          <w:p>
            <w:pPr>
              <w:spacing w:after="0"/>
              <w:rPr>
                <w:sz w:val="18"/>
                <w:szCs w:val="18"/>
                <w:color w:val="auto"/>
              </w:rPr>
            </w:pPr>
          </w:p>
        </w:tc>
        <w:tc>
          <w:tcPr>
            <w:tcW w:w="38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from consolidated operations</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1,103</w:t>
            </w:r>
          </w:p>
        </w:tc>
        <w:tc>
          <w:tcPr>
            <w:tcW w:w="4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654</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4"/>
              </w:rPr>
              <w:t>1,141</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1,163</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(4,048)</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879</w:t>
            </w: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interests</w:t>
            </w: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20" w:type="dxa"/>
            <w:vAlign w:val="bottom"/>
          </w:tcPr>
          <w:p>
            <w:pPr>
              <w:spacing w:after="0"/>
              <w:rPr>
                <w:sz w:val="17"/>
                <w:szCs w:val="17"/>
                <w:color w:val="auto"/>
              </w:rPr>
            </w:pPr>
          </w:p>
        </w:tc>
        <w:tc>
          <w:tcPr>
            <w:tcW w:w="3840" w:type="dxa"/>
            <w:vAlign w:val="bottom"/>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Net income (loss) attributable to Comcast</w:t>
            </w:r>
          </w:p>
        </w:tc>
        <w:tc>
          <w:tcPr>
            <w:tcW w:w="50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50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866</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1,103</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654</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w w:val="84"/>
              </w:rPr>
              <w:t>1,141</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1,150</w:t>
            </w:r>
          </w:p>
        </w:tc>
        <w:tc>
          <w:tcPr>
            <w:tcW w:w="40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(4,048)</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866</w:t>
            </w:r>
          </w:p>
        </w:tc>
      </w:tr>
      <w:tr>
        <w:trPr>
          <w:trHeight w:val="36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84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5"/>
              </w:rPr>
              <w:t>and</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540" w:type="dxa"/>
            <w:vAlign w:val="bottom"/>
          </w:tcPr>
          <w:p>
            <w:pPr>
              <w:jc w:val="right"/>
              <w:ind w:right="94"/>
              <w:spacing w:after="0" w:line="149" w:lineRule="exact"/>
              <w:rPr>
                <w:sz w:val="20"/>
                <w:szCs w:val="20"/>
                <w:color w:val="auto"/>
              </w:rPr>
            </w:pPr>
            <w:r>
              <w:rPr>
                <w:rFonts w:ascii="Arial" w:cs="Arial" w:eastAsia="Arial" w:hAnsi="Arial"/>
                <w:sz w:val="14"/>
                <w:szCs w:val="14"/>
                <w:color w:val="auto"/>
                <w:w w:val="89"/>
              </w:rPr>
              <w:t>CCCL</w:t>
            </w:r>
          </w:p>
        </w:tc>
        <w:tc>
          <w:tcPr>
            <w:tcW w:w="13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60" w:type="dxa"/>
            <w:vAlign w:val="bottom"/>
            <w:gridSpan w:val="2"/>
          </w:tcPr>
          <w:p>
            <w:pPr>
              <w:jc w:val="right"/>
              <w:ind w:right="272"/>
              <w:spacing w:after="0"/>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color w:val="auto"/>
                <w:w w:val="82"/>
              </w:rPr>
              <w:t>Parent</w:t>
            </w:r>
          </w:p>
        </w:tc>
        <w:tc>
          <w:tcPr>
            <w:tcW w:w="1300" w:type="dxa"/>
            <w:vAlign w:val="bottom"/>
            <w:gridSpan w:val="2"/>
          </w:tcPr>
          <w:p>
            <w:pPr>
              <w:jc w:val="right"/>
              <w:ind w:right="292"/>
              <w:spacing w:after="0"/>
              <w:rPr>
                <w:sz w:val="20"/>
                <w:szCs w:val="20"/>
                <w:color w:val="auto"/>
              </w:rPr>
            </w:pPr>
            <w:r>
              <w:rPr>
                <w:rFonts w:ascii="Arial" w:cs="Arial" w:eastAsia="Arial" w:hAnsi="Arial"/>
                <w:sz w:val="14"/>
                <w:szCs w:val="14"/>
                <w:color w:val="auto"/>
              </w:rPr>
              <w:t>Parents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8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640" w:type="dxa"/>
            <w:vAlign w:val="bottom"/>
            <w:tcBorders>
              <w:top w:val="single" w:sz="8" w:color="auto"/>
            </w:tcBorders>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operating</w:t>
            </w:r>
          </w:p>
        </w:tc>
        <w:tc>
          <w:tcPr>
            <w:tcW w:w="38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66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62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3,744</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3,468</w:t>
            </w: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976</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75</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(964)</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(1,104)</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20" w:type="dxa"/>
            <w:vAlign w:val="bottom"/>
          </w:tcPr>
          <w:p>
            <w:pPr>
              <w:spacing w:after="0"/>
              <w:rPr>
                <w:sz w:val="18"/>
                <w:szCs w:val="18"/>
                <w:color w:val="auto"/>
              </w:rPr>
            </w:pPr>
          </w:p>
        </w:tc>
        <w:tc>
          <w:tcPr>
            <w:tcW w:w="3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(5,658)</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16"/>
        </w:trPr>
        <w:tc>
          <w:tcPr>
            <w:tcW w:w="20" w:type="dxa"/>
            <w:vAlign w:val="bottom"/>
          </w:tcPr>
          <w:p>
            <w:pPr>
              <w:spacing w:after="0"/>
              <w:rPr>
                <w:sz w:val="18"/>
                <w:szCs w:val="18"/>
                <w:color w:val="auto"/>
              </w:rPr>
            </w:pPr>
          </w:p>
        </w:tc>
        <w:tc>
          <w:tcPr>
            <w:tcW w:w="3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18</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01"/>
        </w:trPr>
        <w:tc>
          <w:tcPr>
            <w:tcW w:w="20" w:type="dxa"/>
            <w:vAlign w:val="bottom"/>
          </w:tcPr>
          <w:p>
            <w:pPr>
              <w:spacing w:after="0"/>
              <w:rPr>
                <w:sz w:val="17"/>
                <w:szCs w:val="17"/>
                <w:color w:val="auto"/>
              </w:rPr>
            </w:pPr>
          </w:p>
        </w:tc>
        <w:tc>
          <w:tcPr>
            <w:tcW w:w="364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8"/>
              </w:rPr>
              <w:t>(7,849)</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r>
      <w:tr>
        <w:trPr>
          <w:trHeight w:val="211"/>
        </w:trPr>
        <w:tc>
          <w:tcPr>
            <w:tcW w:w="20" w:type="dxa"/>
            <w:vAlign w:val="bottom"/>
          </w:tcPr>
          <w:p>
            <w:pPr>
              <w:spacing w:after="0"/>
              <w:rPr>
                <w:sz w:val="18"/>
                <w:szCs w:val="18"/>
                <w:color w:val="auto"/>
              </w:rPr>
            </w:pPr>
          </w:p>
        </w:tc>
        <w:tc>
          <w:tcPr>
            <w:tcW w:w="3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Proceeds from (repayments of) short-term</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38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1,688</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1,677</w:t>
            </w:r>
          </w:p>
        </w:tc>
      </w:tr>
      <w:tr>
        <w:trPr>
          <w:trHeight w:val="217"/>
        </w:trPr>
        <w:tc>
          <w:tcPr>
            <w:tcW w:w="20" w:type="dxa"/>
            <w:vAlign w:val="bottom"/>
          </w:tcPr>
          <w:p>
            <w:pPr>
              <w:spacing w:after="0"/>
              <w:rPr>
                <w:sz w:val="18"/>
                <w:szCs w:val="18"/>
                <w:color w:val="auto"/>
              </w:rPr>
            </w:pPr>
          </w:p>
        </w:tc>
        <w:tc>
          <w:tcPr>
            <w:tcW w:w="3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3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(1,000)</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(1,759)</w:t>
            </w:r>
          </w:p>
        </w:tc>
      </w:tr>
      <w:tr>
        <w:trPr>
          <w:trHeight w:val="216"/>
        </w:trPr>
        <w:tc>
          <w:tcPr>
            <w:tcW w:w="20" w:type="dxa"/>
            <w:vAlign w:val="bottom"/>
          </w:tcPr>
          <w:p>
            <w:pPr>
              <w:spacing w:after="0"/>
              <w:rPr>
                <w:sz w:val="18"/>
                <w:szCs w:val="18"/>
                <w:color w:val="auto"/>
              </w:rPr>
            </w:pPr>
          </w:p>
        </w:tc>
        <w:tc>
          <w:tcPr>
            <w:tcW w:w="3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(525)</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3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(46)</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162</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171</w:t>
            </w:r>
          </w:p>
        </w:tc>
      </w:tr>
      <w:tr>
        <w:trPr>
          <w:trHeight w:val="201"/>
        </w:trPr>
        <w:tc>
          <w:tcPr>
            <w:tcW w:w="20" w:type="dxa"/>
            <w:vAlign w:val="bottom"/>
          </w:tcPr>
          <w:p>
            <w:pPr>
              <w:spacing w:after="0"/>
              <w:rPr>
                <w:sz w:val="17"/>
                <w:szCs w:val="17"/>
                <w:color w:val="auto"/>
              </w:rPr>
            </w:pPr>
          </w:p>
        </w:tc>
        <w:tc>
          <w:tcPr>
            <w:tcW w:w="3640" w:type="dxa"/>
            <w:vAlign w:val="bottom"/>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314</w:t>
            </w:r>
          </w:p>
        </w:tc>
        <w:tc>
          <w:tcPr>
            <w:tcW w:w="32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(1,000)</w:t>
            </w:r>
          </w:p>
        </w:tc>
        <w:tc>
          <w:tcPr>
            <w:tcW w:w="64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(743)</w:t>
            </w: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1"/>
              </w:rPr>
              <w:t>Increase (decrease) in cash and cash equivalents</w:t>
            </w:r>
          </w:p>
        </w:tc>
        <w:tc>
          <w:tcPr>
            <w:tcW w:w="3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(4,162)</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5"/>
              </w:rPr>
              <w:t>Cash and cash equivalents, beginning of period</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5,984</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5,984</w:t>
            </w:r>
          </w:p>
        </w:tc>
      </w:tr>
      <w:tr>
        <w:trPr>
          <w:trHeight w:val="217"/>
        </w:trPr>
        <w:tc>
          <w:tcPr>
            <w:tcW w:w="20" w:type="dxa"/>
            <w:vAlign w:val="bottom"/>
          </w:tcPr>
          <w:p>
            <w:pPr>
              <w:spacing w:after="0"/>
              <w:rPr>
                <w:sz w:val="18"/>
                <w:szCs w:val="18"/>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1,822</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1,822</w:t>
            </w: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ind w:right="322"/>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73"/>
              <w:spacing w:after="0" w:line="149" w:lineRule="exact"/>
              <w:rPr>
                <w:sz w:val="20"/>
                <w:szCs w:val="20"/>
                <w:color w:val="auto"/>
              </w:rPr>
            </w:pPr>
            <w:r>
              <w:rPr>
                <w:rFonts w:ascii="Arial" w:cs="Arial" w:eastAsia="Arial" w:hAnsi="Arial"/>
                <w:sz w:val="14"/>
                <w:szCs w:val="14"/>
                <w:color w:val="auto"/>
                <w:w w:val="98"/>
              </w:rPr>
              <w:t>Non-</w:t>
            </w:r>
          </w:p>
        </w:tc>
        <w:tc>
          <w:tcPr>
            <w:tcW w:w="380" w:type="dxa"/>
            <w:vAlign w:val="bottom"/>
          </w:tcPr>
          <w:p>
            <w:pPr>
              <w:spacing w:after="0"/>
              <w:rPr>
                <w:sz w:val="12"/>
                <w:szCs w:val="12"/>
                <w:color w:val="auto"/>
              </w:rPr>
            </w:pPr>
          </w:p>
        </w:tc>
        <w:tc>
          <w:tcPr>
            <w:tcW w:w="820" w:type="dxa"/>
            <w:vAlign w:val="bottom"/>
          </w:tcPr>
          <w:p>
            <w:pPr>
              <w:jc w:val="center"/>
              <w:ind w:right="33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6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20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color w:val="auto"/>
                <w:w w:val="82"/>
              </w:rPr>
              <w:t>Parent</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252"/>
              <w:spacing w:after="0"/>
              <w:rPr>
                <w:sz w:val="20"/>
                <w:szCs w:val="20"/>
                <w:color w:val="auto"/>
              </w:rPr>
            </w:pPr>
            <w:r>
              <w:rPr>
                <w:rFonts w:ascii="Arial" w:cs="Arial" w:eastAsia="Arial" w:hAnsi="Arial"/>
                <w:sz w:val="14"/>
                <w:szCs w:val="14"/>
                <w:color w:val="auto"/>
              </w:rPr>
              <w:t>Parents</w:t>
            </w: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operating activities</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w w:val="87"/>
              </w:rPr>
              <w:t>(1,178)</w:t>
            </w:r>
          </w:p>
        </w:tc>
        <w:tc>
          <w:tcPr>
            <w:tcW w:w="30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25</w:t>
            </w:r>
          </w:p>
        </w:tc>
        <w:tc>
          <w:tcPr>
            <w:tcW w:w="4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(76)</w:t>
            </w:r>
          </w:p>
        </w:tc>
        <w:tc>
          <w:tcPr>
            <w:tcW w:w="38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4,151</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2,903</w:t>
            </w: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(25)</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76</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19</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(82)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(924)</w:t>
            </w:r>
          </w:p>
        </w:tc>
        <w:tc>
          <w:tcPr>
            <w:tcW w:w="3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(117)</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4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4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Net cash provided by (used in) investing activities</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(25)</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(1,337)</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r>
      <w:tr>
        <w:trPr>
          <w:trHeight w:val="210"/>
        </w:trPr>
        <w:tc>
          <w:tcPr>
            <w:tcW w:w="20" w:type="dxa"/>
            <w:vAlign w:val="bottom"/>
          </w:tcPr>
          <w:p>
            <w:pPr>
              <w:spacing w:after="0"/>
              <w:rPr>
                <w:sz w:val="18"/>
                <w:szCs w:val="18"/>
                <w:color w:val="auto"/>
              </w:rPr>
            </w:pPr>
          </w:p>
        </w:tc>
        <w:tc>
          <w:tcPr>
            <w:tcW w:w="41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w w:val="97"/>
              </w:rPr>
              <w:t>2,394</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2,408</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41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44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4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8"/>
              </w:rPr>
              <w:t>Net cash provided by (used in) financing activities</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7"/>
              </w:rPr>
              <w:t>1,167</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1,165</w:t>
            </w:r>
          </w:p>
        </w:tc>
      </w:tr>
      <w:tr>
        <w:trPr>
          <w:trHeight w:val="210"/>
        </w:trPr>
        <w:tc>
          <w:tcPr>
            <w:tcW w:w="20" w:type="dxa"/>
            <w:vAlign w:val="bottom"/>
          </w:tcPr>
          <w:p>
            <w:pPr>
              <w:spacing w:after="0"/>
              <w:rPr>
                <w:sz w:val="18"/>
                <w:szCs w:val="18"/>
                <w:color w:val="auto"/>
              </w:rPr>
            </w:pPr>
          </w:p>
        </w:tc>
        <w:tc>
          <w:tcPr>
            <w:tcW w:w="41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2,812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2,812</w:t>
            </w:r>
          </w:p>
        </w:tc>
      </w:tr>
      <w:tr>
        <w:trPr>
          <w:trHeight w:val="216"/>
        </w:trPr>
        <w:tc>
          <w:tcPr>
            <w:tcW w:w="2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671</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r>
      <w:tr>
        <w:trPr>
          <w:trHeight w:val="217"/>
        </w:trPr>
        <w:tc>
          <w:tcPr>
            <w:tcW w:w="20" w:type="dxa"/>
            <w:vAlign w:val="bottom"/>
          </w:tcPr>
          <w:p>
            <w:pPr>
              <w:spacing w:after="0"/>
              <w:rPr>
                <w:sz w:val="18"/>
                <w:szCs w:val="18"/>
                <w:color w:val="auto"/>
              </w:rPr>
            </w:pPr>
          </w:p>
        </w:tc>
        <w:tc>
          <w:tcPr>
            <w:tcW w:w="4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3,483</w:t>
            </w:r>
          </w:p>
        </w:tc>
        <w:tc>
          <w:tcPr>
            <w:tcW w:w="38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3,483</w:t>
            </w: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ind w:right="192"/>
              <w:spacing w:after="0"/>
              <w:rPr>
                <w:sz w:val="20"/>
                <w:szCs w:val="20"/>
                <w:color w:val="auto"/>
              </w:rPr>
            </w:pPr>
            <w:r>
              <w:rPr>
                <w:rFonts w:ascii="Arial" w:cs="Arial" w:eastAsia="Arial" w:hAnsi="Arial"/>
                <w:sz w:val="18"/>
                <w:szCs w:val="18"/>
                <w:color w:val="auto"/>
                <w:w w:val="99"/>
              </w:rPr>
              <w:t>32</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leading provider of entertainment, information and communications products and services. On January 28, 2011, we closed our transaction with General Electric Company (“GE”) in which we acquired control of the businesses of NBCUniversal, Inc. (now named NBCUniversal Media, LLC (“NBCUniversal”)). As a result of the NBCUniversal transaction, we now present five reportable segments: Cable Communications (previously our Cable segment), Cable Networks, Broadcast Television, Filmed Entertainment and Theme Parks. The operations of our national programming networks (previously presented in our Programming segment), our regional sports and news networks (previously presented in our Cable segment) and our contributed Comcast Interactive Media businesses (previously presented in Corporate and Other) are presented within the Cable Networks segment. Our Cable Networks, Broadcast Television, Filmed Entertainment and Theme Parks segments are the NBCUniversal businesses and referred to as the “NBCUniversal segments.” The businesses of Comcast Interactive Media that were not contributed to NBCUniversal are included in our Cable Communications segment. Additional information about the transaction is discussed below under the heading “NBCUniversal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Communications segment is one of the nation’s leading providers of video, high-speed Internet and phone services (“cable services”) to residential and business customers. As of March 31, 2011, our cable systems served approximately 22.8 million video customers, 17.4 million high-speed Internet customers and 8.9 million phone customers and passed more than 52 million homes and businesses in 39 states and the District of Columbia. We report the results of our cable system operations as our Cable Communications segment, which represented approximately 75% of our consolidated revenue during the three months ended March 31, 2011.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to global audiences. Our Cable Networks segment consists primarily of our national cable programming networks, our regional sports and news networks, our international entertainment and news and information networks, certain digital media properties, which consist primarily of brand-aligned websites, and our cable television production operations.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Network and its owned NBC affiliated local television stations, the Telemundo Network and its owned Telemundo affiliated local television stations, our broadcast television production operations, and related digital media properties, which consist primarily of brand-aligned websites.</w:t>
      </w:r>
    </w:p>
    <w:p>
      <w:pPr>
        <w:spacing w:after="0" w:line="46"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Filmed Entertainment consists of the operations of Universal Pictures, which produces, acquires, markets and distributes filmed entertainment and stage plays worldwide in various media formats for theatrical, home entertainment, television and other distribution platforms.</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Theme Parks segment consists primarily of the Universal Studios Hollywood theme park, Wet ‘n Wild water park and fees from intellectual property licenses and other services from third parties that own and operate Universal Studios Japan and Universal Studios Singapore. Also included in our Theme Park segment is our 50% interest in Universal City Development Partners (“UCDP”), which owns Universal Studios Florida and Universal’s Islands of Adventure.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three months ended March 31, 2011:</w:t>
      </w:r>
    </w:p>
    <w:p>
      <w:pPr>
        <w:spacing w:after="0" w:line="77" w:lineRule="exact"/>
        <w:rPr>
          <w:sz w:val="20"/>
          <w:szCs w:val="20"/>
          <w:color w:val="auto"/>
        </w:rPr>
      </w:pPr>
    </w:p>
    <w:p>
      <w:pPr>
        <w:ind w:left="1020" w:right="1260" w:hanging="215"/>
        <w:spacing w:after="0" w:line="26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close of the NBCUniversal transaction on January 28, 2011; see “NBCUniversal Transaction” below for additional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consolidated revenue of 31.8% to $12.1 billion and an increase in consolidated operating income of 14.9% to $2.2 billion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5.8% to $9.1 billion and an increase in Cable Communications segment operating income before depreciation and amortization of 7.7% to $3.7 billion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Cable Communications business services revenue of 49.9% to $394 million</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resulting from the acquired NBCUniversal businesses to revenue of $2.2 billion and to operating income before depreciation and amortization of $212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 of 418,000 high-speed Internet customers and 260,000 phone customers; and a decrease of 39,000 video customers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15.4% to $1.1 billion</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repurchase of approximately 23 million shares of our Class A Special common stock under our share repurchase authorization for approximately $525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payment of $261 million in dividends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Transaction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28, 2011, we closed our transaction with GE to form a new company named NBCUniversal, LLC (“NBCUniversal Holdings”). We now control and own 51% of NBCUniversal Holdings and GE owns the remaining 49%. As part of the NBCUniversal transaction, GE contributed the existing businesses of NBCUniversal, which is now a wholly owned subsidiary of NBCUniversal Holdings.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We contributed our national cable programming networks, our regional sports and news networks, certain of our Internet businesses, including DailyCandy and Fandango, and other related assets (the “Comcast Content Business”). In addition to contributing the Comcast Content Business, we also made a cash payment to GE of $6.2 billion, which included various transaction-related costs. We expect to receive tax benefits related to the transaction and have agreed to share with GE certain of these future tax benefits, as they are realized.</w:t>
      </w:r>
    </w:p>
    <w:p>
      <w:pPr>
        <w:spacing w:after="0" w:line="25"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connection with the NBCUniversal transaction, NBCUniversal issued $9.1 billion of senior debt securities with maturities ranging from 2014 to 2041 and repaid approximately $1.7 billion of existing debt during 2010. Prior to the closing, NBCUniversal made a cash distribution of approximately $7.4 billion to GE.</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incurred significant transaction costs directly related to the NBCUniversal transaction. The incremental expenses related to legal, accounting and valuation services and investment banking fees are reflected in operating costs and expenses. We also incurred certain financing costs and other shared costs with GE associated with NBCUniversal debt facilities that were entered into in December 2009 and with the issuance of NBCUniversal’s senior notes in 2010, which are included in other income (expense), net and interest expense.</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during the three months ended March 31, 2011, NBCUniversal incurred transaction-related costs associated with severance and other related compensation charges which are included in operating costs and expenses.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amounts related to these expenses included in our consolidated statement of income.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3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95"/>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jc w:val="right"/>
              <w:ind w:right="97"/>
              <w:spacing w:after="0" w:line="142" w:lineRule="exact"/>
              <w:rPr>
                <w:sz w:val="20"/>
                <w:szCs w:val="20"/>
                <w:color w:val="auto"/>
              </w:rPr>
            </w:pPr>
            <w:r>
              <w:rPr>
                <w:rFonts w:ascii="Arial" w:cs="Arial" w:eastAsia="Arial" w:hAnsi="Arial"/>
                <w:sz w:val="14"/>
                <w:szCs w:val="14"/>
                <w:color w:val="auto"/>
                <w:w w:val="89"/>
              </w:rPr>
              <w:t>2011</w:t>
            </w:r>
          </w:p>
        </w:tc>
        <w:tc>
          <w:tcPr>
            <w:tcW w:w="800" w:type="dxa"/>
            <w:vAlign w:val="bottom"/>
          </w:tcPr>
          <w:p>
            <w:pPr>
              <w:spacing w:after="0"/>
              <w:rPr>
                <w:sz w:val="12"/>
                <w:szCs w:val="12"/>
                <w:color w:val="auto"/>
              </w:rPr>
            </w:pPr>
          </w:p>
        </w:tc>
        <w:tc>
          <w:tcPr>
            <w:tcW w:w="520" w:type="dxa"/>
            <w:vAlign w:val="bottom"/>
          </w:tcPr>
          <w:p>
            <w:pPr>
              <w:jc w:val="right"/>
              <w:ind w:right="135"/>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7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Transaction costs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Transaction-related costs</w:t>
            </w:r>
          </w:p>
        </w:tc>
        <w:tc>
          <w:tcPr>
            <w:tcW w:w="7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8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80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Other expense</w:t>
            </w:r>
          </w:p>
        </w:tc>
        <w:tc>
          <w:tcPr>
            <w:tcW w:w="7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8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123</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now control NBCUniversal Holdings, we have applied acquisition accounting to the NBCUniversal contributed businesses and their results of operations are included in our consolidated results of operations following the acquisition date. The assets and liabilities of the NBCUniversal contributed businesses were recorded at their estimated fair value. In valuing acquired assets and liabilities, fair value estimates are based on, but are not limited to, future expected cash flows, market rate assumptions for contractual obligations, actuarial assumptions for benefit plans, settlement plans for litigation and contingencies, and appropriate discount rates. The acquisition adjustments have a significant impact on depreciation and amortization expense and also impact film and television costs, which are included in operating costs and expenses. The estimated values are not finalized and are subject to change, and the changes could be significant. We will finalize the amounts recognized as we obtain the information necessary to complete the analysis. We will finalize these amounts as soon as possible but no later than one year from the acquisition date. The Comcast Content Business continues at its historical or carry-over basis.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3"/>
          </w:tcPr>
          <w:p>
            <w:pPr>
              <w:jc w:val="right"/>
              <w:ind w:right="574"/>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7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0"/>
                <w:szCs w:val="20"/>
                <w:color w:val="auto"/>
              </w:rPr>
            </w:pPr>
          </w:p>
        </w:tc>
        <w:tc>
          <w:tcPr>
            <w:tcW w:w="1060" w:type="dxa"/>
            <w:vAlign w:val="bottom"/>
          </w:tcPr>
          <w:p>
            <w:pPr>
              <w:jc w:val="right"/>
              <w:ind w:right="657"/>
              <w:spacing w:after="0"/>
              <w:rPr>
                <w:sz w:val="20"/>
                <w:szCs w:val="20"/>
                <w:color w:val="auto"/>
              </w:rPr>
            </w:pPr>
            <w:r>
              <w:rPr>
                <w:rFonts w:ascii="Arial" w:cs="Arial" w:eastAsia="Arial" w:hAnsi="Arial"/>
                <w:sz w:val="14"/>
                <w:szCs w:val="14"/>
                <w:color w:val="auto"/>
                <w:w w:val="96"/>
              </w:rPr>
              <w:t>2011</w:t>
            </w:r>
          </w:p>
        </w:tc>
        <w:tc>
          <w:tcPr>
            <w:tcW w:w="160" w:type="dxa"/>
            <w:vAlign w:val="bottom"/>
          </w:tcPr>
          <w:p>
            <w:pPr>
              <w:spacing w:after="0"/>
              <w:rPr>
                <w:sz w:val="20"/>
                <w:szCs w:val="20"/>
                <w:color w:val="auto"/>
              </w:rPr>
            </w:pPr>
          </w:p>
        </w:tc>
        <w:tc>
          <w:tcPr>
            <w:tcW w:w="780" w:type="dxa"/>
            <w:vAlign w:val="bottom"/>
          </w:tcPr>
          <w:p>
            <w:pPr>
              <w:jc w:val="right"/>
              <w:ind w:right="414"/>
              <w:spacing w:after="0"/>
              <w:rPr>
                <w:sz w:val="20"/>
                <w:szCs w:val="20"/>
                <w:color w:val="auto"/>
              </w:rPr>
            </w:pPr>
            <w:r>
              <w:rPr>
                <w:rFonts w:ascii="Arial" w:cs="Arial" w:eastAsia="Arial" w:hAnsi="Arial"/>
                <w:sz w:val="14"/>
                <w:szCs w:val="14"/>
                <w:color w:val="auto"/>
                <w:w w:val="83"/>
              </w:rPr>
              <w:t>2010</w:t>
            </w:r>
          </w:p>
        </w:tc>
        <w:tc>
          <w:tcPr>
            <w:tcW w:w="1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w w:val="83"/>
              </w:rPr>
              <w:t>12,128</w:t>
            </w:r>
          </w:p>
        </w:tc>
        <w:tc>
          <w:tcPr>
            <w:tcW w:w="1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w w:val="88"/>
              </w:rPr>
              <w:t>9,202</w:t>
            </w:r>
          </w:p>
        </w:tc>
        <w:tc>
          <w:tcPr>
            <w:tcW w:w="1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5E5E5"/>
          </w:tcPr>
          <w:p>
            <w:pPr>
              <w:spacing w:after="0"/>
              <w:rPr>
                <w:sz w:val="20"/>
                <w:szCs w:val="20"/>
                <w:color w:val="auto"/>
              </w:rPr>
            </w:pPr>
            <w:r>
              <w:rPr>
                <w:rFonts w:ascii="Arial" w:cs="Arial" w:eastAsia="Arial" w:hAnsi="Arial"/>
                <w:sz w:val="18"/>
                <w:szCs w:val="18"/>
                <w:color w:val="auto"/>
              </w:rPr>
              <w:t>Operating costs and expenses (excluding depreciation and amortization)</w:t>
            </w:r>
          </w:p>
        </w:tc>
        <w:tc>
          <w:tcPr>
            <w:tcW w:w="6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497"/>
              <w:spacing w:after="0"/>
              <w:rPr>
                <w:sz w:val="20"/>
                <w:szCs w:val="20"/>
                <w:color w:val="auto"/>
              </w:rPr>
            </w:pPr>
            <w:r>
              <w:rPr>
                <w:rFonts w:ascii="Arial" w:cs="Arial" w:eastAsia="Arial" w:hAnsi="Arial"/>
                <w:sz w:val="18"/>
                <w:szCs w:val="18"/>
                <w:color w:val="auto"/>
              </w:rPr>
              <w:t>8,062</w:t>
            </w:r>
          </w:p>
        </w:tc>
        <w:tc>
          <w:tcPr>
            <w:tcW w:w="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w w:val="88"/>
              </w:rPr>
              <w:t>5,637</w:t>
            </w:r>
          </w:p>
        </w:tc>
        <w:tc>
          <w:tcPr>
            <w:tcW w:w="11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8"/>
                <w:szCs w:val="18"/>
                <w:color w:val="auto"/>
              </w:rPr>
            </w:pPr>
          </w:p>
        </w:tc>
        <w:tc>
          <w:tcPr>
            <w:tcW w:w="1060" w:type="dxa"/>
            <w:vAlign w:val="bottom"/>
          </w:tcPr>
          <w:p>
            <w:pPr>
              <w:jc w:val="right"/>
              <w:ind w:right="497"/>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1,379</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6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497"/>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251</w:t>
            </w:r>
          </w:p>
        </w:tc>
        <w:tc>
          <w:tcPr>
            <w:tcW w:w="11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41.9</w:t>
            </w: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Pr>
          <w:p>
            <w:pPr>
              <w:spacing w:after="0"/>
              <w:rPr>
                <w:sz w:val="18"/>
                <w:szCs w:val="18"/>
                <w:color w:val="auto"/>
              </w:rPr>
            </w:pPr>
          </w:p>
        </w:tc>
        <w:tc>
          <w:tcPr>
            <w:tcW w:w="1060" w:type="dxa"/>
            <w:vAlign w:val="bottom"/>
          </w:tcPr>
          <w:p>
            <w:pPr>
              <w:jc w:val="right"/>
              <w:ind w:right="497"/>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1,935</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6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(465)</w:t>
            </w:r>
          </w:p>
        </w:tc>
        <w:tc>
          <w:tcPr>
            <w:tcW w:w="11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26.7</w:t>
            </w: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8"/>
                <w:szCs w:val="18"/>
                <w:color w:val="auto"/>
              </w:rPr>
            </w:pPr>
          </w:p>
        </w:tc>
        <w:tc>
          <w:tcPr>
            <w:tcW w:w="1060" w:type="dxa"/>
            <w:vAlign w:val="bottom"/>
          </w:tcPr>
          <w:p>
            <w:pPr>
              <w:jc w:val="right"/>
              <w:ind w:right="497"/>
              <w:spacing w:after="0"/>
              <w:rPr>
                <w:sz w:val="20"/>
                <w:szCs w:val="20"/>
                <w:color w:val="auto"/>
              </w:rPr>
            </w:pPr>
            <w:r>
              <w:rPr>
                <w:rFonts w:ascii="Arial" w:cs="Arial" w:eastAsia="Arial" w:hAnsi="Arial"/>
                <w:sz w:val="18"/>
                <w:szCs w:val="18"/>
                <w:color w:val="auto"/>
              </w:rPr>
              <w:t>1,635</w:t>
            </w:r>
          </w:p>
        </w:tc>
        <w:tc>
          <w:tcPr>
            <w:tcW w:w="16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w w:val="88"/>
              </w:rPr>
              <w:t>1,470</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(596)</w:t>
            </w:r>
          </w:p>
        </w:tc>
        <w:tc>
          <w:tcPr>
            <w:tcW w:w="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(591)</w:t>
            </w:r>
          </w:p>
        </w:tc>
        <w:tc>
          <w:tcPr>
            <w:tcW w:w="11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0.9</w:t>
            </w: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620" w:type="dxa"/>
            <w:vAlign w:val="bottom"/>
          </w:tcPr>
          <w:p>
            <w:pPr>
              <w:spacing w:after="0"/>
              <w:rPr>
                <w:sz w:val="18"/>
                <w:szCs w:val="18"/>
                <w:color w:val="auto"/>
              </w:rPr>
            </w:pPr>
          </w:p>
        </w:tc>
        <w:tc>
          <w:tcPr>
            <w:tcW w:w="1060" w:type="dxa"/>
            <w:vAlign w:val="bottom"/>
          </w:tcPr>
          <w:p>
            <w:pPr>
              <w:jc w:val="right"/>
              <w:ind w:right="497"/>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879</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18.1</w:t>
            </w:r>
          </w:p>
        </w:tc>
      </w:tr>
      <w:tr>
        <w:trPr>
          <w:trHeight w:val="216"/>
        </w:trPr>
        <w:tc>
          <w:tcPr>
            <w:tcW w:w="20" w:type="dxa"/>
            <w:vAlign w:val="bottom"/>
          </w:tcPr>
          <w:p>
            <w:pPr>
              <w:spacing w:after="0"/>
              <w:rPr>
                <w:sz w:val="18"/>
                <w:szCs w:val="18"/>
                <w:color w:val="auto"/>
              </w:rPr>
            </w:pPr>
          </w:p>
        </w:tc>
        <w:tc>
          <w:tcPr>
            <w:tcW w:w="7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NM</w:t>
            </w:r>
          </w:p>
        </w:tc>
      </w:tr>
      <w:tr>
        <w:trPr>
          <w:trHeight w:val="222"/>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97"/>
              <w:spacing w:after="0"/>
              <w:rPr>
                <w:sz w:val="20"/>
                <w:szCs w:val="20"/>
                <w:color w:val="auto"/>
              </w:rPr>
            </w:pPr>
            <w:r>
              <w:rPr>
                <w:rFonts w:ascii="Arial" w:cs="Arial" w:eastAsia="Arial" w:hAnsi="Arial"/>
                <w:sz w:val="18"/>
                <w:szCs w:val="18"/>
                <w:b w:val="1"/>
                <w:bCs w:val="1"/>
                <w:color w:val="auto"/>
              </w:rPr>
              <w:t>943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274"/>
              <w:spacing w:after="0"/>
              <w:rPr>
                <w:sz w:val="20"/>
                <w:szCs w:val="20"/>
                <w:color w:val="auto"/>
              </w:rPr>
            </w:pPr>
            <w:r>
              <w:rPr>
                <w:rFonts w:ascii="Arial" w:cs="Arial" w:eastAsia="Arial" w:hAnsi="Arial"/>
                <w:sz w:val="18"/>
                <w:szCs w:val="18"/>
                <w:b w:val="1"/>
                <w:bCs w:val="1"/>
                <w:color w:val="auto"/>
              </w:rPr>
              <w:t>866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NBCUniversal’s results of operations are included in our consolidated financial statements following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 in consolidated revenue for the three months ended March 31, 2011 compared to the same period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2010. For the three months ended March 31, 2011, $2.2 billion of the increase was related to the addition of the NBCUniversal contributed businesses. The remaining changes in consolidated revenue related to our other business activities, primarily Comcast Spectacor. Revenue for our Cable Communications and NBCUniversal segments is discussed separately under the heading “Segment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 in consolidated operating costs and expenses for the three months ended March 31, 2011 compared to the same period in 2010. For the three months ended March 31, 2011, $2 billion of the increase was related to the addition of the NBCUniversal contributed businesses. The remaining changes in consolidated operating costs and expenses related to our other business activities, primarily Comcast Spectacor, and costs associated with the NBCUniversal transaction of $63 million for the three months ended March 31, 2011. Operating costs and expenses for our Cable Communications and NBCUniversal segments are discussed separately under the heading “Segment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depreciation expense and amortization expense increased primarily as a result of the NBCUniversal transaction. For the three months ended March 31, 2011, $154 million of the increase in consolidated depreciation and amortization was related to the addition of the NBCUniversal contributed businesses. Depreciation in our Cable Communications segment increased for the three months ended March 31, 2011 compared to the same period in 2010 primarily due to an increase in capital spending.</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Beginning in the first quarter of 2011, we changed our reportable segments as a result of the close of the NBCUniversal transaction on January 28, 2011. We have recast our segment presentation for the three months ended March 31, 2010 to reflect our current operating segments.</w:t>
      </w:r>
    </w:p>
    <w:p>
      <w:pPr>
        <w:spacing w:after="0" w:line="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our businesses and from intangible assets recognized in business combinations. Additionally, it is unaffected by our capital structure or investment activities. In the Theme Parks segment, we also include the equity in income (loss) of investees in measuring operating income (loss) before depreciation and amortization. This amount is not included when we measure total NBCUniversal and our consolidated operating income (loss) before depreciation and amortization.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17 to our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ind w:right="640"/>
              <w:spacing w:after="0"/>
              <w:rPr>
                <w:sz w:val="20"/>
                <w:szCs w:val="20"/>
                <w:color w:val="auto"/>
              </w:rPr>
            </w:pPr>
            <w:r>
              <w:rPr>
                <w:rFonts w:ascii="Arial" w:cs="Arial" w:eastAsia="Arial" w:hAnsi="Arial"/>
                <w:sz w:val="14"/>
                <w:szCs w:val="14"/>
                <w:color w:val="auto"/>
                <w:w w:val="87"/>
              </w:rPr>
              <w:t>Three Months Ended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2"/>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620"/>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color w:val="auto"/>
                <w:w w:val="96"/>
              </w:rPr>
              <w:t>2011</w:t>
            </w:r>
          </w:p>
        </w:tc>
        <w:tc>
          <w:tcPr>
            <w:tcW w:w="64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Arial" w:cs="Arial" w:eastAsia="Arial" w:hAnsi="Arial"/>
                <w:sz w:val="14"/>
                <w:szCs w:val="14"/>
                <w:color w:val="auto"/>
                <w:w w:val="96"/>
              </w:rPr>
              <w:t>2010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96"/>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1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right w:val="single" w:sz="8" w:color="E5E5E5"/>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Video</w:t>
            </w:r>
          </w:p>
        </w:tc>
        <w:tc>
          <w:tcPr>
            <w:tcW w:w="2680" w:type="dxa"/>
            <w:vAlign w:val="bottom"/>
            <w:gridSpan w:val="3"/>
          </w:tcPr>
          <w:p>
            <w:pPr>
              <w:ind w:left="25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4,891</w:t>
            </w:r>
          </w:p>
        </w:tc>
        <w:tc>
          <w:tcPr>
            <w:tcW w:w="640" w:type="dxa"/>
            <w:vAlign w:val="bottom"/>
          </w:tcPr>
          <w:p>
            <w:pPr>
              <w:ind w:left="5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4,808</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High-speed Internet</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2,106</w:t>
            </w: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1,936</w:t>
            </w: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170</w:t>
            </w: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Phone</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455</w:t>
            </w: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412</w:t>
            </w: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Business services</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394</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131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378</w:t>
            </w:r>
          </w:p>
        </w:tc>
        <w:tc>
          <w:tcPr>
            <w:tcW w:w="6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356</w:t>
            </w:r>
          </w:p>
        </w:tc>
        <w:tc>
          <w:tcPr>
            <w:tcW w:w="4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22</w:t>
            </w:r>
          </w:p>
        </w:tc>
        <w:tc>
          <w:tcPr>
            <w:tcW w:w="880" w:type="dxa"/>
            <w:vAlign w:val="bottom"/>
            <w:tcBorders>
              <w:bottom w:val="single" w:sz="8" w:color="auto"/>
            </w:tcBorders>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9,084</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8,583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Programming</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1,973</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Technical labor</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584</w:t>
            </w: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561</w:t>
            </w: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Customer service</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464</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Marketing</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568</w:t>
            </w: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491</w:t>
            </w: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77</w:t>
            </w: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21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5,335</w:t>
            </w:r>
          </w:p>
        </w:tc>
        <w:tc>
          <w:tcPr>
            <w:tcW w:w="6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5,103</w:t>
            </w:r>
          </w:p>
        </w:tc>
        <w:tc>
          <w:tcPr>
            <w:tcW w:w="4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232</w:t>
            </w:r>
          </w:p>
        </w:tc>
        <w:tc>
          <w:tcPr>
            <w:tcW w:w="880" w:type="dxa"/>
            <w:vAlign w:val="bottom"/>
            <w:tcBorders>
              <w:bottom w:val="single" w:sz="8" w:color="auto"/>
            </w:tcBorders>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Operating income before depreciation and amortization</w:t>
            </w:r>
          </w:p>
        </w:tc>
        <w:tc>
          <w:tcPr>
            <w:tcW w:w="2680" w:type="dxa"/>
            <w:vAlign w:val="bottom"/>
            <w:tcBorders>
              <w:bottom w:val="single" w:sz="8" w:color="auto"/>
            </w:tcBorders>
            <w:gridSpan w:val="3"/>
          </w:tcPr>
          <w:p>
            <w:pPr>
              <w:ind w:left="258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3,749</w:t>
            </w:r>
          </w:p>
        </w:tc>
        <w:tc>
          <w:tcPr>
            <w:tcW w:w="6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3,480</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269</w:t>
            </w: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80" w:type="dxa"/>
            <w:vAlign w:val="bottom"/>
            <w:gridSpan w:val="3"/>
          </w:tcPr>
          <w:p>
            <w:pPr>
              <w:ind w:left="340"/>
              <w:spacing w:after="0"/>
              <w:rPr>
                <w:sz w:val="20"/>
                <w:szCs w:val="20"/>
                <w:color w:val="auto"/>
              </w:rPr>
            </w:pPr>
            <w:r>
              <w:rPr>
                <w:rFonts w:ascii="Arial" w:cs="Arial" w:eastAsia="Arial" w:hAnsi="Arial"/>
                <w:sz w:val="18"/>
                <w:szCs w:val="18"/>
                <w:b w:val="1"/>
                <w:bCs w:val="1"/>
                <w:color w:val="auto"/>
              </w:rPr>
              <w:t>Customer Metrics</w:t>
            </w:r>
          </w:p>
        </w:tc>
        <w:tc>
          <w:tcPr>
            <w:tcW w:w="1120" w:type="dxa"/>
            <w:vAlign w:val="bottom"/>
            <w:gridSpan w:val="2"/>
            <w:vMerge w:val="restart"/>
          </w:tcPr>
          <w:p>
            <w:pPr>
              <w:jc w:val="center"/>
              <w:ind w:left="296"/>
              <w:spacing w:after="0"/>
              <w:rPr>
                <w:sz w:val="20"/>
                <w:szCs w:val="20"/>
                <w:color w:val="auto"/>
              </w:rPr>
            </w:pPr>
            <w:r>
              <w:rPr>
                <w:rFonts w:ascii="Arial" w:cs="Arial" w:eastAsia="Arial" w:hAnsi="Arial"/>
                <w:sz w:val="14"/>
                <w:szCs w:val="14"/>
                <w:color w:val="auto"/>
                <w:w w:val="85"/>
              </w:rPr>
              <w:t>Customers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4"/>
            <w:vMerge w:val="restart"/>
          </w:tcPr>
          <w:p>
            <w:pPr>
              <w:jc w:val="right"/>
              <w:ind w:right="440"/>
              <w:spacing w:after="0"/>
              <w:rPr>
                <w:sz w:val="20"/>
                <w:szCs w:val="20"/>
                <w:color w:val="auto"/>
              </w:rPr>
            </w:pPr>
            <w:r>
              <w:rPr>
                <w:rFonts w:ascii="Arial" w:cs="Arial" w:eastAsia="Arial" w:hAnsi="Arial"/>
                <w:sz w:val="14"/>
                <w:szCs w:val="14"/>
                <w:color w:val="auto"/>
                <w:w w:val="93"/>
              </w:rPr>
              <w:t>Net Additional Customers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86"/>
              </w:rPr>
              <w:t>March 31,</w:t>
            </w:r>
          </w:p>
        </w:tc>
        <w:tc>
          <w:tcPr>
            <w:tcW w:w="1180" w:type="dxa"/>
            <w:vAlign w:val="bottom"/>
            <w:tcBorders>
              <w:top w:val="single" w:sz="8" w:color="auto"/>
            </w:tcBorders>
            <w:gridSpan w:val="2"/>
          </w:tcPr>
          <w:p>
            <w:pPr>
              <w:ind w:left="560"/>
              <w:spacing w:after="0" w:line="131" w:lineRule="exact"/>
              <w:rPr>
                <w:sz w:val="20"/>
                <w:szCs w:val="20"/>
                <w:color w:val="auto"/>
              </w:rPr>
            </w:pPr>
            <w:r>
              <w:rPr>
                <w:rFonts w:ascii="Arial" w:cs="Arial" w:eastAsia="Arial" w:hAnsi="Arial"/>
                <w:sz w:val="14"/>
                <w:szCs w:val="14"/>
                <w:color w:val="auto"/>
                <w:w w:val="93"/>
              </w:rPr>
              <w:t>March 31,</w:t>
            </w:r>
          </w:p>
        </w:tc>
        <w:tc>
          <w:tcPr>
            <w:tcW w:w="480" w:type="dxa"/>
            <w:vAlign w:val="bottom"/>
          </w:tcPr>
          <w:p>
            <w:pPr>
              <w:spacing w:after="0"/>
              <w:rPr>
                <w:sz w:val="11"/>
                <w:szCs w:val="11"/>
                <w:color w:val="auto"/>
              </w:rPr>
            </w:pPr>
          </w:p>
        </w:tc>
        <w:tc>
          <w:tcPr>
            <w:tcW w:w="1200" w:type="dxa"/>
            <w:vAlign w:val="bottom"/>
            <w:tcBorders>
              <w:top w:val="single" w:sz="8" w:color="auto"/>
            </w:tcBorders>
            <w:gridSpan w:val="3"/>
          </w:tcPr>
          <w:p>
            <w:pPr>
              <w:jc w:val="right"/>
              <w:ind w:right="620"/>
              <w:spacing w:after="0" w:line="131" w:lineRule="exact"/>
              <w:rPr>
                <w:sz w:val="20"/>
                <w:szCs w:val="20"/>
                <w:color w:val="auto"/>
              </w:rPr>
            </w:pPr>
            <w:r>
              <w:rPr>
                <w:rFonts w:ascii="Arial" w:cs="Arial" w:eastAsia="Arial" w:hAnsi="Arial"/>
                <w:sz w:val="14"/>
                <w:szCs w:val="14"/>
                <w:color w:val="auto"/>
                <w:w w:val="89"/>
              </w:rPr>
              <w:t>March 31,</w:t>
            </w:r>
          </w:p>
        </w:tc>
        <w:tc>
          <w:tcPr>
            <w:tcW w:w="6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3"/>
              </w:rPr>
              <w:t>March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gridSpan w:val="2"/>
          </w:tcPr>
          <w:p>
            <w:pPr>
              <w:spacing w:after="0" w:line="159" w:lineRule="exact"/>
              <w:rPr>
                <w:sz w:val="20"/>
                <w:szCs w:val="20"/>
                <w:color w:val="auto"/>
              </w:rPr>
            </w:pPr>
            <w:r>
              <w:rPr>
                <w:rFonts w:ascii="Arial" w:cs="Arial" w:eastAsia="Arial" w:hAnsi="Arial"/>
                <w:sz w:val="14"/>
                <w:szCs w:val="14"/>
                <w:color w:val="auto"/>
              </w:rPr>
              <w:t>(in thousands)</w:t>
            </w:r>
          </w:p>
        </w:tc>
        <w:tc>
          <w:tcPr>
            <w:tcW w:w="2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6"/>
              <w:spacing w:after="0" w:line="159" w:lineRule="exact"/>
              <w:rPr>
                <w:sz w:val="20"/>
                <w:szCs w:val="20"/>
                <w:color w:val="auto"/>
              </w:rPr>
            </w:pPr>
            <w:r>
              <w:rPr>
                <w:rFonts w:ascii="Arial" w:cs="Arial" w:eastAsia="Arial" w:hAnsi="Arial"/>
                <w:sz w:val="14"/>
                <w:szCs w:val="14"/>
                <w:color w:val="auto"/>
                <w:w w:val="96"/>
              </w:rPr>
              <w:t>2011</w:t>
            </w:r>
          </w:p>
        </w:tc>
        <w:tc>
          <w:tcPr>
            <w:tcW w:w="640" w:type="dxa"/>
            <w:vAlign w:val="bottom"/>
          </w:tcPr>
          <w:p>
            <w:pPr>
              <w:spacing w:after="0"/>
              <w:rPr>
                <w:sz w:val="13"/>
                <w:szCs w:val="13"/>
                <w:color w:val="auto"/>
              </w:rPr>
            </w:pPr>
          </w:p>
        </w:tc>
        <w:tc>
          <w:tcPr>
            <w:tcW w:w="540" w:type="dxa"/>
            <w:vAlign w:val="bottom"/>
          </w:tcPr>
          <w:p>
            <w:pPr>
              <w:jc w:val="right"/>
              <w:ind w:right="134"/>
              <w:spacing w:after="0" w:line="159" w:lineRule="exact"/>
              <w:rPr>
                <w:sz w:val="20"/>
                <w:szCs w:val="20"/>
                <w:color w:val="auto"/>
              </w:rPr>
            </w:pPr>
            <w:r>
              <w:rPr>
                <w:rFonts w:ascii="Arial" w:cs="Arial" w:eastAsia="Arial" w:hAnsi="Arial"/>
                <w:sz w:val="14"/>
                <w:szCs w:val="14"/>
                <w:color w:val="auto"/>
                <w:w w:val="96"/>
              </w:rPr>
              <w:t>2010</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ind w:right="96"/>
              <w:spacing w:after="0" w:line="159" w:lineRule="exact"/>
              <w:rPr>
                <w:sz w:val="20"/>
                <w:szCs w:val="20"/>
                <w:color w:val="auto"/>
              </w:rPr>
            </w:pPr>
            <w:r>
              <w:rPr>
                <w:rFonts w:ascii="Arial" w:cs="Arial" w:eastAsia="Arial" w:hAnsi="Arial"/>
                <w:sz w:val="14"/>
                <w:szCs w:val="14"/>
                <w:color w:val="auto"/>
                <w:w w:val="89"/>
              </w:rPr>
              <w:t>2011</w:t>
            </w:r>
          </w:p>
        </w:tc>
        <w:tc>
          <w:tcPr>
            <w:tcW w:w="580" w:type="dxa"/>
            <w:vAlign w:val="bottom"/>
          </w:tcPr>
          <w:p>
            <w:pPr>
              <w:spacing w:after="0"/>
              <w:rPr>
                <w:sz w:val="13"/>
                <w:szCs w:val="13"/>
                <w:color w:val="auto"/>
              </w:rPr>
            </w:pPr>
          </w:p>
        </w:tc>
        <w:tc>
          <w:tcPr>
            <w:tcW w:w="66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22,763</w:t>
            </w: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w w:val="83"/>
              </w:rPr>
              <w:t>23,477</w:t>
            </w: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520"/>
              <w:spacing w:after="0"/>
              <w:rPr>
                <w:sz w:val="20"/>
                <w:szCs w:val="20"/>
                <w:color w:val="auto"/>
              </w:rPr>
            </w:pPr>
            <w:r>
              <w:rPr>
                <w:rFonts w:ascii="Arial" w:cs="Arial" w:eastAsia="Arial" w:hAnsi="Arial"/>
                <w:sz w:val="18"/>
                <w:szCs w:val="18"/>
                <w:color w:val="auto"/>
              </w:rPr>
              <w:t>(39)</w:t>
            </w: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17,406</w:t>
            </w: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16,329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418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2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8,870</w:t>
            </w:r>
          </w:p>
        </w:tc>
        <w:tc>
          <w:tcPr>
            <w:tcW w:w="6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7,895</w:t>
            </w:r>
          </w:p>
        </w:tc>
        <w:tc>
          <w:tcPr>
            <w:tcW w:w="4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260</w:t>
            </w:r>
          </w:p>
        </w:tc>
        <w:tc>
          <w:tcPr>
            <w:tcW w:w="8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E5E5E5"/>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average monthly total revenue per video customer for the three months ended March 31, 2011 increased to approximately $133 from approximately $122 for the three months ended March 31, 2010. The increase in average monthly total revenue per video customer was primarily due to an increased number of customers receiving multiple services, rate adjustments and a higher contribution from business services.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video revenue increased during the three months ended March 31, 2011 compared to the same period in 2010 primarily due to rate adjustments and customer upgrades to our digital and advanced services, which consist of high-definition television (“HDTV”) and digital video recorder (“DVR”); these increases were offset by declines in the number of lower tier residential video customers. During the three months ended March 31, 2011, the number of video customers decreased primarily due to competitive pressures in our service areas and weakness in the economy. We expect further declines in the number of residential video customers during the remainder of 2011 for similar reasons. As of March 31, 2011, 88% of our 22.8 million video customers subscribed to at least one of our digital video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high-speed Internet revenue increased during the three months ended March 31, 2011 compared to the same period in 2010 primarily due to increases in the number of residential customers and rate adjustments.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phone revenue increased during the three months ended March 31, 2011 compared to the same period in 2010 primarily due to increases in the number of residential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advertising revenue increased during the three months ended March 31, 2011 compared to the same period in 2010 primarily due to improvements in the overall television advertising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services revenue increased during the three months ended March 31, 2011 compared to the same period in 2010 primarily due to increases in the number of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includes revenue generated from franchise and other regulatory fees, our digital media center, commissions from electronic retailing networks and fees from other services.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Programming expenses increased during the three months ended March 31, 2011 compared to the same period in 2010 primarily due to increased rates, additional digital customers and additional programming options offered. Technical labor expenses increased during the three months ended March 31, 2011 compared to the same period in 2010 primarily due to increases in base pay, overtime, benefits and taxes. Customer service expenses increased during the three months ended March 31, 2011 compared to the same period in 2010 primarily due to higher activity levels associated with an increase in the number of customers. Marketing expenses increased during the three months ended March 31, 2011 compared to the same period in 2010 primarily due to an increase in spending associated with the continued expansion of business services and costs associated with the Xfinity brand and competitive marketing.</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discussion below compares actual results with the pro forma results for the NBCUniversal segments. Management believes reviewing our operating results by combining actual and pro forma results for the NBCUniversal segments is more useful in identifying trends in; or reaching conclusions regarding the overall operating performance of these segments. Our pro forma segment information includes adjustments as if the NBCUniversal transaction occurred on January 1, 2010. Our pro forma data is also adjusted for the effects of acquisition accounting and eliminating the costs and expenses directly related to the transaction,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since January 1, 2010, nor of our future results.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NBCUniversal segments are presented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vMerge w:val="restart"/>
          </w:tcPr>
          <w:p>
            <w:pPr>
              <w:jc w:val="right"/>
              <w:ind w:right="334"/>
              <w:spacing w:after="0"/>
              <w:rPr>
                <w:sz w:val="20"/>
                <w:szCs w:val="20"/>
                <w:color w:val="auto"/>
              </w:rPr>
            </w:pPr>
            <w:r>
              <w:rPr>
                <w:rFonts w:ascii="Arial" w:cs="Arial" w:eastAsia="Arial" w:hAnsi="Arial"/>
                <w:sz w:val="14"/>
                <w:szCs w:val="14"/>
                <w:color w:val="auto"/>
                <w:w w:val="86"/>
              </w:rPr>
              <w:t>Pro Forma Combined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4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Pro Forma</w:t>
            </w:r>
          </w:p>
        </w:tc>
        <w:tc>
          <w:tcPr>
            <w:tcW w:w="300" w:type="dxa"/>
            <w:vAlign w:val="bottom"/>
          </w:tcPr>
          <w:p>
            <w:pPr>
              <w:spacing w:after="0"/>
              <w:rPr>
                <w:sz w:val="10"/>
                <w:szCs w:val="10"/>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180" w:type="dxa"/>
            <w:vAlign w:val="bottom"/>
            <w:gridSpan w:val="2"/>
            <w:vMerge w:val="restart"/>
          </w:tcPr>
          <w:p>
            <w:pPr>
              <w:jc w:val="right"/>
              <w:ind w:right="175"/>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40" w:type="dxa"/>
            <w:vAlign w:val="bottom"/>
            <w:gridSpan w:val="2"/>
          </w:tcPr>
          <w:p>
            <w:pPr>
              <w:jc w:val="center"/>
              <w:spacing w:after="0" w:line="115" w:lineRule="exact"/>
              <w:rPr>
                <w:sz w:val="20"/>
                <w:szCs w:val="20"/>
                <w:color w:val="auto"/>
              </w:rPr>
            </w:pPr>
            <w:r>
              <w:rPr>
                <w:rFonts w:ascii="Arial" w:cs="Arial" w:eastAsia="Arial" w:hAnsi="Arial"/>
                <w:sz w:val="12"/>
                <w:szCs w:val="12"/>
                <w:color w:val="auto"/>
              </w:rPr>
              <w:t>Pro Forma</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300" w:type="dxa"/>
            <w:vAlign w:val="bottom"/>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4"/>
                <w:szCs w:val="14"/>
                <w:color w:val="auto"/>
                <w:w w:val="88"/>
              </w:rPr>
              <w:t>Increase/(Decrease)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ind w:right="218"/>
              <w:spacing w:after="0" w:line="131" w:lineRule="exact"/>
              <w:rPr>
                <w:sz w:val="20"/>
                <w:szCs w:val="20"/>
                <w:color w:val="auto"/>
              </w:rPr>
            </w:pPr>
            <w:r>
              <w:rPr>
                <w:rFonts w:ascii="Arial" w:cs="Arial" w:eastAsia="Arial" w:hAnsi="Arial"/>
                <w:sz w:val="14"/>
                <w:szCs w:val="14"/>
                <w:color w:val="auto"/>
                <w:w w:val="90"/>
              </w:rPr>
              <w:t>For the</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center"/>
              <w:ind w:right="215"/>
              <w:spacing w:after="0" w:line="149" w:lineRule="exact"/>
              <w:rPr>
                <w:sz w:val="20"/>
                <w:szCs w:val="20"/>
                <w:color w:val="auto"/>
              </w:rPr>
            </w:pPr>
            <w:r>
              <w:rPr>
                <w:rFonts w:ascii="Arial" w:cs="Arial" w:eastAsia="Arial" w:hAnsi="Arial"/>
                <w:sz w:val="14"/>
                <w:szCs w:val="14"/>
                <w:color w:val="auto"/>
                <w:w w:val="87"/>
              </w:rPr>
              <w:t>Three</w:t>
            </w:r>
          </w:p>
        </w:tc>
        <w:tc>
          <w:tcPr>
            <w:tcW w:w="240" w:type="dxa"/>
            <w:vAlign w:val="bottom"/>
          </w:tcPr>
          <w:p>
            <w:pPr>
              <w:spacing w:after="0"/>
              <w:rPr>
                <w:sz w:val="12"/>
                <w:szCs w:val="12"/>
                <w:color w:val="auto"/>
              </w:rPr>
            </w:pPr>
          </w:p>
        </w:tc>
        <w:tc>
          <w:tcPr>
            <w:tcW w:w="82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8"/>
              </w:rPr>
              <w:t>Period</w:t>
            </w:r>
          </w:p>
        </w:tc>
        <w:tc>
          <w:tcPr>
            <w:tcW w:w="260" w:type="dxa"/>
            <w:vAlign w:val="bottom"/>
          </w:tcPr>
          <w:p>
            <w:pPr>
              <w:spacing w:after="0"/>
              <w:rPr>
                <w:sz w:val="12"/>
                <w:szCs w:val="12"/>
                <w:color w:val="auto"/>
              </w:rPr>
            </w:pPr>
          </w:p>
        </w:tc>
        <w:tc>
          <w:tcPr>
            <w:tcW w:w="6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87"/>
              </w:rPr>
              <w:t>Three</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87"/>
              </w:rPr>
              <w:t>Three</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Months</w:t>
            </w:r>
          </w:p>
        </w:tc>
        <w:tc>
          <w:tcPr>
            <w:tcW w:w="240" w:type="dxa"/>
            <w:vAlign w:val="bottom"/>
          </w:tcPr>
          <w:p>
            <w:pPr>
              <w:spacing w:after="0"/>
              <w:rPr>
                <w:sz w:val="12"/>
                <w:szCs w:val="12"/>
                <w:color w:val="auto"/>
              </w:rPr>
            </w:pPr>
          </w:p>
        </w:tc>
        <w:tc>
          <w:tcPr>
            <w:tcW w:w="820" w:type="dxa"/>
            <w:vAlign w:val="bottom"/>
          </w:tcPr>
          <w:p>
            <w:pPr>
              <w:jc w:val="center"/>
              <w:ind w:right="218"/>
              <w:spacing w:after="0" w:line="149" w:lineRule="exact"/>
              <w:rPr>
                <w:sz w:val="20"/>
                <w:szCs w:val="20"/>
                <w:color w:val="auto"/>
              </w:rPr>
            </w:pPr>
            <w:r>
              <w:rPr>
                <w:rFonts w:ascii="Arial" w:cs="Arial" w:eastAsia="Arial" w:hAnsi="Arial"/>
                <w:sz w:val="14"/>
                <w:szCs w:val="14"/>
                <w:color w:val="auto"/>
                <w:w w:val="84"/>
              </w:rPr>
              <w:t>January 1</w:t>
            </w:r>
          </w:p>
        </w:tc>
        <w:tc>
          <w:tcPr>
            <w:tcW w:w="260" w:type="dxa"/>
            <w:vAlign w:val="bottom"/>
          </w:tcPr>
          <w:p>
            <w:pPr>
              <w:spacing w:after="0"/>
              <w:rPr>
                <w:sz w:val="12"/>
                <w:szCs w:val="12"/>
                <w:color w:val="auto"/>
              </w:rPr>
            </w:pPr>
          </w:p>
        </w:tc>
        <w:tc>
          <w:tcPr>
            <w:tcW w:w="68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87"/>
              </w:rPr>
              <w:t>Months</w:t>
            </w:r>
          </w:p>
        </w:tc>
        <w:tc>
          <w:tcPr>
            <w:tcW w:w="300" w:type="dxa"/>
            <w:vAlign w:val="bottom"/>
          </w:tcPr>
          <w:p>
            <w:pPr>
              <w:spacing w:after="0"/>
              <w:rPr>
                <w:sz w:val="12"/>
                <w:szCs w:val="12"/>
                <w:color w:val="auto"/>
              </w:rPr>
            </w:pP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ind w:right="136"/>
              <w:spacing w:after="0" w:line="149" w:lineRule="exact"/>
              <w:rPr>
                <w:sz w:val="20"/>
                <w:szCs w:val="20"/>
                <w:color w:val="auto"/>
              </w:rPr>
            </w:pPr>
            <w:r>
              <w:rPr>
                <w:rFonts w:ascii="Arial" w:cs="Arial" w:eastAsia="Arial" w:hAnsi="Arial"/>
                <w:sz w:val="14"/>
                <w:szCs w:val="14"/>
                <w:color w:val="auto"/>
                <w:w w:val="91"/>
              </w:rPr>
              <w:t>Months</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center"/>
              <w:ind w:right="195"/>
              <w:spacing w:after="0" w:line="149" w:lineRule="exact"/>
              <w:rPr>
                <w:sz w:val="20"/>
                <w:szCs w:val="20"/>
                <w:color w:val="auto"/>
              </w:rPr>
            </w:pPr>
            <w:r>
              <w:rPr>
                <w:rFonts w:ascii="Arial" w:cs="Arial" w:eastAsia="Arial" w:hAnsi="Arial"/>
                <w:sz w:val="14"/>
                <w:szCs w:val="14"/>
                <w:color w:val="auto"/>
                <w:w w:val="83"/>
              </w:rPr>
              <w:t>Ended</w:t>
            </w:r>
          </w:p>
        </w:tc>
        <w:tc>
          <w:tcPr>
            <w:tcW w:w="240" w:type="dxa"/>
            <w:vAlign w:val="bottom"/>
          </w:tcPr>
          <w:p>
            <w:pPr>
              <w:spacing w:after="0"/>
              <w:rPr>
                <w:sz w:val="12"/>
                <w:szCs w:val="12"/>
                <w:color w:val="auto"/>
              </w:rPr>
            </w:pPr>
          </w:p>
        </w:tc>
        <w:tc>
          <w:tcPr>
            <w:tcW w:w="820" w:type="dxa"/>
            <w:vAlign w:val="bottom"/>
          </w:tcPr>
          <w:p>
            <w:pPr>
              <w:jc w:val="center"/>
              <w:ind w:right="198"/>
              <w:spacing w:after="0" w:line="149" w:lineRule="exact"/>
              <w:rPr>
                <w:sz w:val="20"/>
                <w:szCs w:val="20"/>
                <w:color w:val="auto"/>
              </w:rPr>
            </w:pPr>
            <w:r>
              <w:rPr>
                <w:rFonts w:ascii="Arial" w:cs="Arial" w:eastAsia="Arial" w:hAnsi="Arial"/>
                <w:sz w:val="14"/>
                <w:szCs w:val="14"/>
                <w:color w:val="auto"/>
                <w:w w:val="88"/>
              </w:rPr>
              <w:t>through</w:t>
            </w:r>
          </w:p>
        </w:tc>
        <w:tc>
          <w:tcPr>
            <w:tcW w:w="260" w:type="dxa"/>
            <w:vAlign w:val="bottom"/>
          </w:tcPr>
          <w:p>
            <w:pPr>
              <w:spacing w:after="0"/>
              <w:rPr>
                <w:sz w:val="12"/>
                <w:szCs w:val="12"/>
                <w:color w:val="auto"/>
              </w:rPr>
            </w:pPr>
          </w:p>
        </w:tc>
        <w:tc>
          <w:tcPr>
            <w:tcW w:w="680" w:type="dxa"/>
            <w:vAlign w:val="bottom"/>
          </w:tcPr>
          <w:p>
            <w:pPr>
              <w:jc w:val="center"/>
              <w:ind w:right="136"/>
              <w:spacing w:after="0" w:line="149" w:lineRule="exact"/>
              <w:rPr>
                <w:sz w:val="20"/>
                <w:szCs w:val="20"/>
                <w:color w:val="auto"/>
              </w:rPr>
            </w:pPr>
            <w:r>
              <w:rPr>
                <w:rFonts w:ascii="Arial" w:cs="Arial" w:eastAsia="Arial" w:hAnsi="Arial"/>
                <w:sz w:val="14"/>
                <w:szCs w:val="14"/>
                <w:color w:val="auto"/>
                <w:w w:val="83"/>
              </w:rPr>
              <w:t>Ended</w:t>
            </w:r>
          </w:p>
        </w:tc>
        <w:tc>
          <w:tcPr>
            <w:tcW w:w="300" w:type="dxa"/>
            <w:vAlign w:val="bottom"/>
          </w:tcPr>
          <w:p>
            <w:pPr>
              <w:spacing w:after="0"/>
              <w:rPr>
                <w:sz w:val="12"/>
                <w:szCs w:val="12"/>
                <w:color w:val="auto"/>
              </w:rPr>
            </w:pPr>
          </w:p>
        </w:tc>
        <w:tc>
          <w:tcPr>
            <w:tcW w:w="90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Content</w:t>
            </w: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260" w:type="dxa"/>
            <w:vAlign w:val="bottom"/>
          </w:tcPr>
          <w:p>
            <w:pPr>
              <w:spacing w:after="0"/>
              <w:rPr>
                <w:sz w:val="12"/>
                <w:szCs w:val="12"/>
                <w:color w:val="auto"/>
              </w:rPr>
            </w:pPr>
          </w:p>
        </w:tc>
        <w:tc>
          <w:tcPr>
            <w:tcW w:w="680" w:type="dxa"/>
            <w:vAlign w:val="bottom"/>
          </w:tcPr>
          <w:p>
            <w:pPr>
              <w:jc w:val="center"/>
              <w:ind w:right="136"/>
              <w:spacing w:after="0" w:line="149" w:lineRule="exact"/>
              <w:rPr>
                <w:sz w:val="20"/>
                <w:szCs w:val="20"/>
                <w:color w:val="auto"/>
              </w:rPr>
            </w:pPr>
            <w:r>
              <w:rPr>
                <w:rFonts w:ascii="Arial" w:cs="Arial" w:eastAsia="Arial" w:hAnsi="Arial"/>
                <w:sz w:val="14"/>
                <w:szCs w:val="14"/>
                <w:color w:val="auto"/>
                <w:w w:val="83"/>
              </w:rPr>
              <w:t>Ended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9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March 31</w:t>
            </w:r>
          </w:p>
        </w:tc>
        <w:tc>
          <w:tcPr>
            <w:tcW w:w="10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6"/>
              </w:rPr>
              <w:t>January 28</w:t>
            </w:r>
          </w:p>
        </w:tc>
        <w:tc>
          <w:tcPr>
            <w:tcW w:w="9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9"/>
              </w:rPr>
              <w:t>March 31</w:t>
            </w:r>
          </w:p>
        </w:tc>
        <w:tc>
          <w:tcPr>
            <w:tcW w:w="300" w:type="dxa"/>
            <w:vAlign w:val="bottom"/>
          </w:tcPr>
          <w:p>
            <w:pPr>
              <w:spacing w:after="0"/>
              <w:rPr>
                <w:sz w:val="13"/>
                <w:szCs w:val="13"/>
                <w:color w:val="auto"/>
              </w:rPr>
            </w:pPr>
          </w:p>
        </w:tc>
        <w:tc>
          <w:tcPr>
            <w:tcW w:w="9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Business</w:t>
            </w:r>
          </w:p>
        </w:tc>
        <w:tc>
          <w:tcPr>
            <w:tcW w:w="260" w:type="dxa"/>
            <w:vAlign w:val="bottom"/>
          </w:tcPr>
          <w:p>
            <w:pPr>
              <w:spacing w:after="0"/>
              <w:rPr>
                <w:sz w:val="13"/>
                <w:szCs w:val="13"/>
                <w:color w:val="auto"/>
              </w:rPr>
            </w:pPr>
          </w:p>
        </w:tc>
        <w:tc>
          <w:tcPr>
            <w:tcW w:w="920" w:type="dxa"/>
            <w:vAlign w:val="bottom"/>
          </w:tcPr>
          <w:p>
            <w:pPr>
              <w:jc w:val="right"/>
              <w:ind w:right="235"/>
              <w:spacing w:after="0" w:line="159" w:lineRule="exact"/>
              <w:rPr>
                <w:sz w:val="20"/>
                <w:szCs w:val="20"/>
                <w:color w:val="auto"/>
              </w:rPr>
            </w:pPr>
            <w:r>
              <w:rPr>
                <w:rFonts w:ascii="Arial" w:cs="Arial" w:eastAsia="Arial" w:hAnsi="Arial"/>
                <w:sz w:val="14"/>
                <w:szCs w:val="14"/>
                <w:color w:val="auto"/>
                <w:w w:val="80"/>
              </w:rPr>
              <w:t>Businesses</w:t>
            </w:r>
          </w:p>
        </w:tc>
        <w:tc>
          <w:tcPr>
            <w:tcW w:w="9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9"/>
              </w:rPr>
              <w:t>March 31</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ind w:right="437"/>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94"/>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Cable Networks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5"/>
              <w:spacing w:after="0"/>
              <w:rPr>
                <w:sz w:val="20"/>
                <w:szCs w:val="20"/>
                <w:color w:val="auto"/>
              </w:rPr>
            </w:pPr>
            <w:r>
              <w:rPr>
                <w:rFonts w:ascii="Arial" w:cs="Arial" w:eastAsia="Arial" w:hAnsi="Arial"/>
                <w:sz w:val="18"/>
                <w:szCs w:val="18"/>
                <w:color w:val="auto"/>
                <w:w w:val="88"/>
              </w:rPr>
              <w:t>1,632</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8"/>
              <w:spacing w:after="0"/>
              <w:rPr>
                <w:sz w:val="20"/>
                <w:szCs w:val="20"/>
                <w:color w:val="auto"/>
              </w:rPr>
            </w:pPr>
            <w:r>
              <w:rPr>
                <w:rFonts w:ascii="Arial" w:cs="Arial" w:eastAsia="Arial" w:hAnsi="Arial"/>
                <w:sz w:val="18"/>
                <w:szCs w:val="18"/>
                <w:color w:val="auto"/>
              </w:rPr>
              <w:t>388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2,020</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99"/>
              </w:rPr>
              <w:t>638</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1,145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1,783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37"/>
              <w:spacing w:after="0"/>
              <w:rPr>
                <w:sz w:val="20"/>
                <w:szCs w:val="20"/>
                <w:color w:val="auto"/>
              </w:rPr>
            </w:pPr>
            <w:r>
              <w:rPr>
                <w:rFonts w:ascii="Arial" w:cs="Arial" w:eastAsia="Arial" w:hAnsi="Arial"/>
                <w:sz w:val="18"/>
                <w:szCs w:val="18"/>
                <w:color w:val="auto"/>
              </w:rPr>
              <w:t>237</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Broadcast Television</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464</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2,078</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2,078</w:t>
            </w:r>
          </w:p>
        </w:tc>
        <w:tc>
          <w:tcPr>
            <w:tcW w:w="3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5"/>
              </w:rPr>
              <w:t>(726)</w:t>
            </w:r>
          </w:p>
        </w:tc>
        <w:tc>
          <w:tcPr>
            <w:tcW w:w="9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Filmed Entertainment</w:t>
            </w:r>
          </w:p>
        </w:tc>
        <w:tc>
          <w:tcPr>
            <w:tcW w:w="320" w:type="dxa"/>
            <w:vAlign w:val="bottom"/>
          </w:tcPr>
          <w:p>
            <w:pPr>
              <w:spacing w:after="0"/>
              <w:rPr>
                <w:sz w:val="18"/>
                <w:szCs w:val="18"/>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8"/>
                <w:szCs w:val="18"/>
                <w:color w:val="auto"/>
              </w:rPr>
            </w:pPr>
          </w:p>
        </w:tc>
        <w:tc>
          <w:tcPr>
            <w:tcW w:w="820" w:type="dxa"/>
            <w:vAlign w:val="bottom"/>
          </w:tcPr>
          <w:p>
            <w:pPr>
              <w:jc w:val="right"/>
              <w:ind w:right="118"/>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177"/>
              <w:spacing w:after="0"/>
              <w:rPr>
                <w:sz w:val="20"/>
                <w:szCs w:val="20"/>
                <w:color w:val="auto"/>
              </w:rPr>
            </w:pPr>
            <w:r>
              <w:rPr>
                <w:rFonts w:ascii="Arial" w:cs="Arial" w:eastAsia="Arial" w:hAnsi="Arial"/>
                <w:sz w:val="18"/>
                <w:szCs w:val="18"/>
                <w:color w:val="auto"/>
              </w:rPr>
              <w:t>(86)</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Theme Parks</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68</w:t>
            </w:r>
          </w:p>
        </w:tc>
        <w:tc>
          <w:tcPr>
            <w:tcW w:w="2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27</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95</w:t>
            </w: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82</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82</w:t>
            </w:r>
          </w:p>
        </w:tc>
        <w:tc>
          <w:tcPr>
            <w:tcW w:w="3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13</w:t>
            </w:r>
          </w:p>
        </w:tc>
        <w:tc>
          <w:tcPr>
            <w:tcW w:w="9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Headquarters, other and</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(6)</w:t>
            </w: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w w:val="88"/>
              </w:rPr>
              <w:t>3,143</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1,205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4,348</w:t>
            </w:r>
          </w:p>
        </w:tc>
        <w:tc>
          <w:tcPr>
            <w:tcW w:w="300" w:type="dxa"/>
            <w:vAlign w:val="bottom"/>
            <w:tcBorders>
              <w:bottom w:val="single" w:sz="8" w:color="E5E5E5"/>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99"/>
              </w:rPr>
              <w:t>638</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4,278</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4,916</w:t>
            </w:r>
          </w:p>
        </w:tc>
        <w:tc>
          <w:tcPr>
            <w:tcW w:w="320" w:type="dxa"/>
            <w:vAlign w:val="bottom"/>
            <w:tcBorders>
              <w:bottom w:val="single" w:sz="8" w:color="E5E5E5"/>
            </w:tcBorders>
            <w:shd w:val="clear" w:color="auto" w:fill="E5E5E5"/>
          </w:tcPr>
          <w:p>
            <w:pPr>
              <w:spacing w:after="0"/>
              <w:rPr>
                <w:sz w:val="18"/>
                <w:szCs w:val="18"/>
                <w:color w:val="auto"/>
              </w:rPr>
            </w:pPr>
          </w:p>
        </w:tc>
        <w:tc>
          <w:tcPr>
            <w:tcW w:w="1040" w:type="dxa"/>
            <w:vAlign w:val="bottom"/>
            <w:tcBorders>
              <w:bottom w:val="single" w:sz="8" w:color="auto"/>
            </w:tcBorders>
            <w:gridSpan w:val="2"/>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(568)</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31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Before Depreciation and</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817</w:t>
            </w:r>
          </w:p>
        </w:tc>
        <w:tc>
          <w:tcPr>
            <w:tcW w:w="700" w:type="dxa"/>
            <w:vAlign w:val="bottom"/>
            <w:gridSpan w:val="2"/>
            <w:shd w:val="clear" w:color="auto" w:fill="E5E5E5"/>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9"/>
              </w:rPr>
              <w:t>188</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574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762</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55</w:t>
            </w:r>
          </w:p>
        </w:tc>
        <w:tc>
          <w:tcPr>
            <w:tcW w:w="92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320" w:type="dxa"/>
            <w:vAlign w:val="bottom"/>
          </w:tcPr>
          <w:p>
            <w:pPr>
              <w:spacing w:after="0"/>
              <w:rPr>
                <w:sz w:val="18"/>
                <w:szCs w:val="18"/>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237"/>
              <w:spacing w:after="0"/>
              <w:rPr>
                <w:sz w:val="20"/>
                <w:szCs w:val="20"/>
                <w:color w:val="auto"/>
              </w:rPr>
            </w:pPr>
            <w:r>
              <w:rPr>
                <w:rFonts w:ascii="Arial" w:cs="Arial" w:eastAsia="Arial" w:hAnsi="Arial"/>
                <w:sz w:val="18"/>
                <w:szCs w:val="18"/>
                <w:color w:val="auto"/>
              </w:rPr>
              <w:t>202</w:t>
            </w: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58"/>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(12)</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5"/>
              </w:rPr>
              <w:t>(134)</w:t>
            </w:r>
          </w:p>
        </w:tc>
        <w:tc>
          <w:tcPr>
            <w:tcW w:w="9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320" w:type="dxa"/>
            <w:vAlign w:val="bottom"/>
          </w:tcPr>
          <w:p>
            <w:pPr>
              <w:spacing w:after="0"/>
              <w:rPr>
                <w:sz w:val="18"/>
                <w:szCs w:val="18"/>
                <w:color w:val="auto"/>
              </w:rPr>
            </w:pPr>
          </w:p>
        </w:tc>
        <w:tc>
          <w:tcPr>
            <w:tcW w:w="620" w:type="dxa"/>
            <w:vAlign w:val="bottom"/>
          </w:tcPr>
          <w:p>
            <w:pPr>
              <w:jc w:val="right"/>
              <w:ind w:right="115"/>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820" w:type="dxa"/>
            <w:vAlign w:val="bottom"/>
          </w:tcPr>
          <w:p>
            <w:pPr>
              <w:jc w:val="right"/>
              <w:ind w:right="118"/>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237"/>
              <w:spacing w:after="0"/>
              <w:rPr>
                <w:sz w:val="20"/>
                <w:szCs w:val="20"/>
                <w:color w:val="auto"/>
              </w:rPr>
            </w:pPr>
            <w:r>
              <w:rPr>
                <w:rFonts w:ascii="Arial" w:cs="Arial" w:eastAsia="Arial" w:hAnsi="Arial"/>
                <w:sz w:val="18"/>
                <w:szCs w:val="18"/>
                <w:color w:val="auto"/>
              </w:rPr>
              <w:t>46</w:t>
            </w: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other and</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E5E5E5"/>
          </w:tcPr>
          <w:p>
            <w:pPr>
              <w:ind w:left="64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58"/>
              <w:spacing w:after="0"/>
              <w:rPr>
                <w:sz w:val="20"/>
                <w:szCs w:val="20"/>
                <w:color w:val="auto"/>
              </w:rPr>
            </w:pPr>
            <w:r>
              <w:rPr>
                <w:rFonts w:ascii="Arial" w:cs="Arial" w:eastAsia="Arial" w:hAnsi="Arial"/>
                <w:sz w:val="18"/>
                <w:szCs w:val="18"/>
                <w:color w:val="auto"/>
              </w:rPr>
              <w:t>(104)</w:t>
            </w:r>
          </w:p>
        </w:tc>
        <w:tc>
          <w:tcPr>
            <w:tcW w:w="26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E5E5E5"/>
            </w:tcBorders>
            <w:shd w:val="clear" w:color="auto" w:fill="E5E5E5"/>
          </w:tcPr>
          <w:p>
            <w:pPr>
              <w:spacing w:after="0"/>
              <w:rPr>
                <w:sz w:val="19"/>
                <w:szCs w:val="19"/>
                <w:color w:val="auto"/>
              </w:rPr>
            </w:pPr>
          </w:p>
        </w:tc>
        <w:tc>
          <w:tcPr>
            <w:tcW w:w="40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E5E5E5"/>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w w:val="95"/>
              </w:rPr>
              <w:t>(146)</w:t>
            </w:r>
          </w:p>
        </w:tc>
        <w:tc>
          <w:tcPr>
            <w:tcW w:w="9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Pr>
          <w:p>
            <w:pPr>
              <w:spacing w:after="0" w:line="196" w:lineRule="exact"/>
              <w:rPr>
                <w:sz w:val="20"/>
                <w:szCs w:val="20"/>
                <w:color w:val="auto"/>
              </w:rPr>
            </w:pPr>
            <w:r>
              <w:rPr>
                <w:rFonts w:ascii="Arial" w:cs="Arial" w:eastAsia="Arial" w:hAnsi="Arial"/>
                <w:sz w:val="18"/>
                <w:szCs w:val="18"/>
                <w:b w:val="1"/>
                <w:bCs w:val="1"/>
                <w:color w:val="auto"/>
              </w:rPr>
              <w:t>Total operating income before</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458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496</w:t>
            </w:r>
          </w:p>
        </w:tc>
        <w:tc>
          <w:tcPr>
            <w:tcW w:w="300" w:type="dxa"/>
            <w:vAlign w:val="bottom"/>
          </w:tcPr>
          <w:p>
            <w:pPr>
              <w:spacing w:after="0"/>
              <w:rPr>
                <w:sz w:val="20"/>
                <w:szCs w:val="20"/>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188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473</w:t>
            </w:r>
          </w:p>
        </w:tc>
        <w:tc>
          <w:tcPr>
            <w:tcW w:w="32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23</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months ended March 31, 2011 and 2010 and the results of operations for the NBCUniversal acquired businesses for the period January 29, 2011 through March 31, 2011.</w:t>
      </w:r>
    </w:p>
    <w:p>
      <w:pPr>
        <w:spacing w:after="0" w:line="43" w:lineRule="exact"/>
        <w:rPr>
          <w:rFonts w:ascii="Arial" w:cs="Arial" w:eastAsia="Arial" w:hAnsi="Arial"/>
          <w:sz w:val="14"/>
          <w:szCs w:val="14"/>
          <w:color w:val="auto"/>
        </w:rPr>
      </w:pPr>
    </w:p>
    <w:p>
      <w:pPr>
        <w:jc w:val="both"/>
        <w:ind w:left="340" w:hanging="332"/>
        <w:spacing w:after="0" w:line="273"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from January 1, 2011 through January 28, 2011 and for the three months ended March 31,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 Total pro forma adjustments increased operating income before depreciation and amortization by $3 million and $36 million for the period January 1 through January 28, 2011 and the three months ended March 31, 2010, respectively.</w:t>
      </w:r>
    </w:p>
    <w:p>
      <w:pPr>
        <w:spacing w:after="0" w:line="25"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occurred on January 1, 2010 but are not necessarily indicative of what the results would have been had we operated the businesses since January 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Segment—Actual and Pro Forma Results of Operations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segment consists primarily of our national cable entertainment networks (USA Network, Syfy, E!, Bravo, Oxygen, Style, G4, Chiller, Sleuth and Universal HD); our national news and information networks (CNBC, MSNBC and CNBC World); our national cable sports networks (Golf Channel and VERSUS); our regional sports and news networks; our international entertainment and news and information networks (including CNBC Europe, CNBC Asia and our Universal Networks International portfolio of networks); certain digital media properties consisting primarily of brand-aligned websites and other websites, such as DailyCandy, Fandango and iVillage; and our cable television production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640" w:type="dxa"/>
            <w:vAlign w:val="bottom"/>
            <w:gridSpan w:val="2"/>
            <w:vMerge w:val="restart"/>
          </w:tcPr>
          <w:p>
            <w:pPr>
              <w:jc w:val="center"/>
              <w:ind w:right="37"/>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800" w:type="dxa"/>
            <w:vAlign w:val="bottom"/>
            <w:gridSpan w:val="2"/>
          </w:tcPr>
          <w:p>
            <w:pPr>
              <w:jc w:val="center"/>
              <w:ind w:left="45"/>
              <w:spacing w:after="0" w:line="129" w:lineRule="exact"/>
              <w:rPr>
                <w:sz w:val="20"/>
                <w:szCs w:val="20"/>
                <w:color w:val="auto"/>
              </w:rPr>
            </w:pPr>
            <w:r>
              <w:rPr>
                <w:rFonts w:ascii="Arial" w:cs="Arial" w:eastAsia="Arial" w:hAnsi="Arial"/>
                <w:sz w:val="14"/>
                <w:szCs w:val="14"/>
                <w:color w:val="auto"/>
                <w:w w:val="84"/>
              </w:rPr>
              <w:t>Pro Forma</w:t>
            </w:r>
          </w:p>
        </w:tc>
        <w:tc>
          <w:tcPr>
            <w:tcW w:w="24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040" w:type="dxa"/>
            <w:vAlign w:val="bottom"/>
            <w:gridSpan w:val="2"/>
            <w:vMerge w:val="restart"/>
          </w:tcPr>
          <w:p>
            <w:pPr>
              <w:jc w:val="right"/>
              <w:ind w:right="77"/>
              <w:spacing w:after="0"/>
              <w:rPr>
                <w:sz w:val="20"/>
                <w:szCs w:val="20"/>
                <w:color w:val="auto"/>
              </w:rPr>
            </w:pPr>
            <w:r>
              <w:rPr>
                <w:rFonts w:ascii="Arial" w:cs="Arial" w:eastAsia="Arial" w:hAnsi="Arial"/>
                <w:sz w:val="14"/>
                <w:szCs w:val="14"/>
                <w:color w:val="auto"/>
              </w:rPr>
              <w:t>Pro Forma</w:t>
            </w:r>
            <w:r>
              <w:rPr>
                <w:rFonts w:ascii="Arial" w:cs="Arial" w:eastAsia="Arial" w:hAnsi="Arial"/>
                <w:sz w:val="22"/>
                <w:szCs w:val="22"/>
                <w:color w:val="auto"/>
                <w:vertAlign w:val="superscript"/>
              </w:rPr>
              <w:t>(b)</w:t>
            </w:r>
          </w:p>
        </w:tc>
        <w:tc>
          <w:tcPr>
            <w:tcW w:w="940" w:type="dxa"/>
            <w:vAlign w:val="bottom"/>
            <w:gridSpan w:val="3"/>
          </w:tcPr>
          <w:p>
            <w:pPr>
              <w:jc w:val="center"/>
              <w:spacing w:after="0" w:line="129" w:lineRule="exact"/>
              <w:rPr>
                <w:sz w:val="20"/>
                <w:szCs w:val="20"/>
                <w:color w:val="auto"/>
              </w:rPr>
            </w:pPr>
            <w:r>
              <w:rPr>
                <w:rFonts w:ascii="Arial" w:cs="Arial" w:eastAsia="Arial" w:hAnsi="Arial"/>
                <w:sz w:val="14"/>
                <w:szCs w:val="14"/>
                <w:color w:val="auto"/>
                <w:w w:val="87"/>
              </w:rPr>
              <w:t>Pro Forma</w:t>
            </w:r>
          </w:p>
        </w:tc>
        <w:tc>
          <w:tcPr>
            <w:tcW w:w="120" w:type="dxa"/>
            <w:vAlign w:val="bottom"/>
          </w:tcPr>
          <w:p>
            <w:pPr>
              <w:spacing w:after="0"/>
              <w:rPr>
                <w:sz w:val="11"/>
                <w:szCs w:val="11"/>
                <w:color w:val="auto"/>
              </w:rPr>
            </w:pPr>
          </w:p>
        </w:tc>
        <w:tc>
          <w:tcPr>
            <w:tcW w:w="1500" w:type="dxa"/>
            <w:vAlign w:val="bottom"/>
            <w:gridSpan w:val="4"/>
          </w:tcPr>
          <w:p>
            <w:pPr>
              <w:jc w:val="right"/>
              <w:ind w:right="280"/>
              <w:spacing w:after="0" w:line="129" w:lineRule="exact"/>
              <w:rPr>
                <w:sz w:val="20"/>
                <w:szCs w:val="20"/>
                <w:color w:val="auto"/>
              </w:rPr>
            </w:pPr>
            <w:r>
              <w:rPr>
                <w:rFonts w:ascii="Arial" w:cs="Arial" w:eastAsia="Arial" w:hAnsi="Arial"/>
                <w:sz w:val="14"/>
                <w:szCs w:val="14"/>
                <w:color w:val="auto"/>
                <w:w w:val="89"/>
              </w:rPr>
              <w:t>Pro Forma Combined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gridSpan w:val="2"/>
          </w:tcPr>
          <w:p>
            <w:pPr>
              <w:jc w:val="center"/>
              <w:ind w:left="45"/>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240" w:type="dxa"/>
            <w:vAlign w:val="bottom"/>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gridSpan w:val="2"/>
          </w:tcPr>
          <w:p>
            <w:pPr>
              <w:jc w:val="center"/>
              <w:ind w:left="45"/>
              <w:spacing w:after="0" w:line="176" w:lineRule="exact"/>
              <w:rPr>
                <w:sz w:val="20"/>
                <w:szCs w:val="20"/>
                <w:color w:val="auto"/>
              </w:rPr>
            </w:pPr>
            <w:r>
              <w:rPr>
                <w:rFonts w:ascii="Arial" w:cs="Arial" w:eastAsia="Arial" w:hAnsi="Arial"/>
                <w:sz w:val="13"/>
                <w:szCs w:val="13"/>
                <w:color w:val="auto"/>
                <w:w w:val="93"/>
              </w:rPr>
              <w:t>Combined</w:t>
            </w:r>
            <w:r>
              <w:rPr>
                <w:rFonts w:ascii="Arial" w:cs="Arial" w:eastAsia="Arial" w:hAnsi="Arial"/>
                <w:sz w:val="20"/>
                <w:szCs w:val="20"/>
                <w:color w:val="auto"/>
                <w:w w:val="93"/>
                <w:vertAlign w:val="superscript"/>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color w:val="auto"/>
                <w:w w:val="83"/>
              </w:rPr>
              <w:t>Increase/(Decrease)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17"/>
              <w:spacing w:after="0" w:line="145" w:lineRule="exact"/>
              <w:rPr>
                <w:sz w:val="20"/>
                <w:szCs w:val="20"/>
                <w:color w:val="auto"/>
              </w:rPr>
            </w:pPr>
            <w:r>
              <w:rPr>
                <w:rFonts w:ascii="Arial" w:cs="Arial" w:eastAsia="Arial" w:hAnsi="Arial"/>
                <w:sz w:val="14"/>
                <w:szCs w:val="14"/>
                <w:color w:val="auto"/>
                <w:w w:val="87"/>
              </w:rPr>
              <w:t>Three</w:t>
            </w:r>
          </w:p>
        </w:tc>
        <w:tc>
          <w:tcPr>
            <w:tcW w:w="10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7"/>
              </w:rPr>
              <w:t>For the period</w:t>
            </w:r>
          </w:p>
        </w:tc>
        <w:tc>
          <w:tcPr>
            <w:tcW w:w="220" w:type="dxa"/>
            <w:vAlign w:val="bottom"/>
          </w:tcPr>
          <w:p>
            <w:pPr>
              <w:spacing w:after="0"/>
              <w:rPr>
                <w:sz w:val="12"/>
                <w:szCs w:val="12"/>
                <w:color w:val="auto"/>
              </w:rPr>
            </w:pPr>
          </w:p>
        </w:tc>
        <w:tc>
          <w:tcPr>
            <w:tcW w:w="580" w:type="dxa"/>
            <w:vAlign w:val="bottom"/>
          </w:tcPr>
          <w:p>
            <w:pPr>
              <w:jc w:val="center"/>
              <w:ind w:right="19"/>
              <w:spacing w:after="0" w:line="145" w:lineRule="exact"/>
              <w:rPr>
                <w:sz w:val="20"/>
                <w:szCs w:val="20"/>
                <w:color w:val="auto"/>
              </w:rPr>
            </w:pPr>
            <w:r>
              <w:rPr>
                <w:rFonts w:ascii="Arial" w:cs="Arial" w:eastAsia="Arial" w:hAnsi="Arial"/>
                <w:sz w:val="14"/>
                <w:szCs w:val="14"/>
                <w:color w:val="auto"/>
                <w:w w:val="87"/>
              </w:rPr>
              <w:t>Three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87"/>
              </w:rPr>
              <w:t>Three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40" w:type="dxa"/>
            <w:vAlign w:val="bottom"/>
            <w:gridSpan w:val="2"/>
          </w:tcPr>
          <w:p>
            <w:pPr>
              <w:jc w:val="center"/>
              <w:ind w:right="57"/>
              <w:spacing w:after="0" w:line="149" w:lineRule="exact"/>
              <w:rPr>
                <w:sz w:val="20"/>
                <w:szCs w:val="20"/>
                <w:color w:val="auto"/>
              </w:rPr>
            </w:pPr>
            <w:r>
              <w:rPr>
                <w:rFonts w:ascii="Arial" w:cs="Arial" w:eastAsia="Arial" w:hAnsi="Arial"/>
                <w:sz w:val="14"/>
                <w:szCs w:val="14"/>
                <w:color w:val="auto"/>
                <w:w w:val="91"/>
              </w:rPr>
              <w:t>Months</w:t>
            </w:r>
          </w:p>
        </w:tc>
        <w:tc>
          <w:tcPr>
            <w:tcW w:w="220" w:type="dxa"/>
            <w:vAlign w:val="bottom"/>
          </w:tcPr>
          <w:p>
            <w:pPr>
              <w:spacing w:after="0"/>
              <w:rPr>
                <w:sz w:val="12"/>
                <w:szCs w:val="12"/>
                <w:color w:val="auto"/>
              </w:rPr>
            </w:pPr>
          </w:p>
        </w:tc>
        <w:tc>
          <w:tcPr>
            <w:tcW w:w="800" w:type="dxa"/>
            <w:vAlign w:val="bottom"/>
          </w:tcPr>
          <w:p>
            <w:pPr>
              <w:jc w:val="center"/>
              <w:ind w:right="160"/>
              <w:spacing w:after="0" w:line="149" w:lineRule="exact"/>
              <w:rPr>
                <w:sz w:val="20"/>
                <w:szCs w:val="20"/>
                <w:color w:val="auto"/>
              </w:rPr>
            </w:pPr>
            <w:r>
              <w:rPr>
                <w:rFonts w:ascii="Arial" w:cs="Arial" w:eastAsia="Arial" w:hAnsi="Arial"/>
                <w:sz w:val="14"/>
                <w:szCs w:val="14"/>
                <w:color w:val="auto"/>
                <w:w w:val="84"/>
              </w:rPr>
              <w:t>January 1</w:t>
            </w:r>
          </w:p>
        </w:tc>
        <w:tc>
          <w:tcPr>
            <w:tcW w:w="22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7"/>
              </w:rPr>
              <w:t>Months</w:t>
            </w:r>
          </w:p>
        </w:tc>
        <w:tc>
          <w:tcPr>
            <w:tcW w:w="24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83"/>
              </w:rPr>
              <w:t>Ended</w:t>
            </w:r>
          </w:p>
        </w:tc>
        <w:tc>
          <w:tcPr>
            <w:tcW w:w="220" w:type="dxa"/>
            <w:vAlign w:val="bottom"/>
          </w:tcPr>
          <w:p>
            <w:pPr>
              <w:spacing w:after="0"/>
              <w:rPr>
                <w:sz w:val="12"/>
                <w:szCs w:val="12"/>
                <w:color w:val="auto"/>
              </w:rPr>
            </w:pPr>
          </w:p>
        </w:tc>
        <w:tc>
          <w:tcPr>
            <w:tcW w:w="80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88"/>
              </w:rPr>
              <w:t>through</w:t>
            </w:r>
          </w:p>
        </w:tc>
        <w:tc>
          <w:tcPr>
            <w:tcW w:w="22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8"/>
              </w:rPr>
              <w:t>Ended</w:t>
            </w:r>
          </w:p>
        </w:tc>
        <w:tc>
          <w:tcPr>
            <w:tcW w:w="240" w:type="dxa"/>
            <w:vAlign w:val="bottom"/>
          </w:tcPr>
          <w:p>
            <w:pPr>
              <w:spacing w:after="0"/>
              <w:rPr>
                <w:sz w:val="12"/>
                <w:szCs w:val="12"/>
                <w:color w:val="auto"/>
              </w:rPr>
            </w:pPr>
          </w:p>
        </w:tc>
        <w:tc>
          <w:tcPr>
            <w:tcW w:w="6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w w:val="89"/>
              </w:rPr>
              <w:t>Content</w:t>
            </w: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24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640" w:type="dxa"/>
            <w:vAlign w:val="bottom"/>
            <w:gridSpan w:val="2"/>
          </w:tcPr>
          <w:p>
            <w:pPr>
              <w:jc w:val="center"/>
              <w:ind w:right="37"/>
              <w:spacing w:after="0" w:line="159" w:lineRule="exact"/>
              <w:rPr>
                <w:sz w:val="20"/>
                <w:szCs w:val="20"/>
                <w:color w:val="auto"/>
              </w:rPr>
            </w:pPr>
            <w:r>
              <w:rPr>
                <w:rFonts w:ascii="Arial" w:cs="Arial" w:eastAsia="Arial" w:hAnsi="Arial"/>
                <w:sz w:val="14"/>
                <w:szCs w:val="14"/>
                <w:color w:val="auto"/>
                <w:w w:val="89"/>
              </w:rPr>
              <w:t>March 31</w:t>
            </w:r>
          </w:p>
        </w:tc>
        <w:tc>
          <w:tcPr>
            <w:tcW w:w="220" w:type="dxa"/>
            <w:vAlign w:val="bottom"/>
          </w:tcPr>
          <w:p>
            <w:pPr>
              <w:spacing w:after="0"/>
              <w:rPr>
                <w:sz w:val="13"/>
                <w:szCs w:val="13"/>
                <w:color w:val="auto"/>
              </w:rPr>
            </w:pPr>
          </w:p>
        </w:tc>
        <w:tc>
          <w:tcPr>
            <w:tcW w:w="800" w:type="dxa"/>
            <w:vAlign w:val="bottom"/>
          </w:tcPr>
          <w:p>
            <w:pPr>
              <w:jc w:val="center"/>
              <w:ind w:right="140"/>
              <w:spacing w:after="0" w:line="159" w:lineRule="exact"/>
              <w:rPr>
                <w:sz w:val="20"/>
                <w:szCs w:val="20"/>
                <w:color w:val="auto"/>
              </w:rPr>
            </w:pPr>
            <w:r>
              <w:rPr>
                <w:rFonts w:ascii="Arial" w:cs="Arial" w:eastAsia="Arial" w:hAnsi="Arial"/>
                <w:sz w:val="14"/>
                <w:szCs w:val="14"/>
                <w:color w:val="auto"/>
                <w:w w:val="83"/>
              </w:rPr>
              <w:t>January 28</w:t>
            </w:r>
          </w:p>
        </w:tc>
        <w:tc>
          <w:tcPr>
            <w:tcW w:w="800" w:type="dxa"/>
            <w:vAlign w:val="bottom"/>
            <w:gridSpan w:val="2"/>
          </w:tcPr>
          <w:p>
            <w:pPr>
              <w:jc w:val="center"/>
              <w:ind w:left="45"/>
              <w:spacing w:after="0" w:line="159" w:lineRule="exact"/>
              <w:rPr>
                <w:sz w:val="20"/>
                <w:szCs w:val="20"/>
                <w:color w:val="auto"/>
              </w:rPr>
            </w:pPr>
            <w:r>
              <w:rPr>
                <w:rFonts w:ascii="Arial" w:cs="Arial" w:eastAsia="Arial" w:hAnsi="Arial"/>
                <w:sz w:val="14"/>
                <w:szCs w:val="14"/>
                <w:color w:val="auto"/>
                <w:w w:val="89"/>
              </w:rPr>
              <w:t>March 31</w:t>
            </w:r>
          </w:p>
        </w:tc>
        <w:tc>
          <w:tcPr>
            <w:tcW w:w="240" w:type="dxa"/>
            <w:vAlign w:val="bottom"/>
          </w:tcPr>
          <w:p>
            <w:pPr>
              <w:spacing w:after="0"/>
              <w:rPr>
                <w:sz w:val="13"/>
                <w:szCs w:val="13"/>
                <w:color w:val="auto"/>
              </w:rPr>
            </w:pPr>
          </w:p>
        </w:tc>
        <w:tc>
          <w:tcPr>
            <w:tcW w:w="620" w:type="dxa"/>
            <w:vAlign w:val="bottom"/>
            <w:gridSpan w:val="2"/>
          </w:tcPr>
          <w:p>
            <w:pPr>
              <w:spacing w:after="0" w:line="159" w:lineRule="exact"/>
              <w:rPr>
                <w:sz w:val="20"/>
                <w:szCs w:val="20"/>
                <w:color w:val="auto"/>
              </w:rPr>
            </w:pPr>
            <w:r>
              <w:rPr>
                <w:rFonts w:ascii="Arial" w:cs="Arial" w:eastAsia="Arial" w:hAnsi="Arial"/>
                <w:sz w:val="14"/>
                <w:szCs w:val="14"/>
                <w:color w:val="auto"/>
              </w:rPr>
              <w:t>Business</w:t>
            </w:r>
          </w:p>
        </w:tc>
        <w:tc>
          <w:tcPr>
            <w:tcW w:w="220" w:type="dxa"/>
            <w:vAlign w:val="bottom"/>
          </w:tcPr>
          <w:p>
            <w:pPr>
              <w:spacing w:after="0"/>
              <w:rPr>
                <w:sz w:val="13"/>
                <w:szCs w:val="13"/>
                <w:color w:val="auto"/>
              </w:rPr>
            </w:pPr>
          </w:p>
        </w:tc>
        <w:tc>
          <w:tcPr>
            <w:tcW w:w="820" w:type="dxa"/>
            <w:vAlign w:val="bottom"/>
          </w:tcPr>
          <w:p>
            <w:pPr>
              <w:jc w:val="right"/>
              <w:ind w:right="137"/>
              <w:spacing w:after="0" w:line="159" w:lineRule="exact"/>
              <w:rPr>
                <w:sz w:val="20"/>
                <w:szCs w:val="20"/>
                <w:color w:val="auto"/>
              </w:rPr>
            </w:pPr>
            <w:r>
              <w:rPr>
                <w:rFonts w:ascii="Arial" w:cs="Arial" w:eastAsia="Arial" w:hAnsi="Arial"/>
                <w:sz w:val="14"/>
                <w:szCs w:val="14"/>
                <w:color w:val="auto"/>
                <w:w w:val="80"/>
              </w:rPr>
              <w:t>Businesses</w:t>
            </w:r>
          </w:p>
        </w:tc>
        <w:tc>
          <w:tcPr>
            <w:tcW w:w="9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357"/>
              <w:spacing w:after="0" w:line="15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35"/>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w:t>
            </w:r>
          </w:p>
        </w:tc>
        <w:tc>
          <w:tcPr>
            <w:tcW w:w="8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1,101</w:t>
            </w:r>
          </w:p>
        </w:tc>
        <w:tc>
          <w:tcPr>
            <w:tcW w:w="400" w:type="dxa"/>
            <w:vAlign w:val="bottom"/>
            <w:gridSpan w:val="2"/>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E5E5E5"/>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976</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125</w:t>
            </w:r>
          </w:p>
        </w:tc>
        <w:tc>
          <w:tcPr>
            <w:tcW w:w="7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8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57"/>
              <w:spacing w:after="0"/>
              <w:rPr>
                <w:sz w:val="20"/>
                <w:szCs w:val="20"/>
                <w:color w:val="auto"/>
              </w:rPr>
            </w:pPr>
            <w:r>
              <w:rPr>
                <w:rFonts w:ascii="Arial" w:cs="Arial" w:eastAsia="Arial" w:hAnsi="Arial"/>
                <w:sz w:val="18"/>
                <w:szCs w:val="18"/>
                <w:color w:val="auto"/>
              </w:rPr>
              <w:t>96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8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8"/>
                <w:szCs w:val="18"/>
                <w:color w:val="auto"/>
                <w:w w:val="93"/>
              </w:rPr>
              <w:t>1,632</w:t>
            </w:r>
          </w:p>
        </w:tc>
        <w:tc>
          <w:tcPr>
            <w:tcW w:w="22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157"/>
              <w:spacing w:after="0"/>
              <w:rPr>
                <w:sz w:val="20"/>
                <w:szCs w:val="20"/>
                <w:color w:val="auto"/>
              </w:rPr>
            </w:pPr>
            <w:r>
              <w:rPr>
                <w:rFonts w:ascii="Arial" w:cs="Arial" w:eastAsia="Arial" w:hAnsi="Arial"/>
                <w:sz w:val="18"/>
                <w:szCs w:val="18"/>
                <w:color w:val="auto"/>
              </w:rPr>
              <w:t>237</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967</w:t>
            </w:r>
          </w:p>
        </w:tc>
        <w:tc>
          <w:tcPr>
            <w:tcW w:w="2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1,203</w:t>
            </w:r>
          </w:p>
        </w:tc>
        <w:tc>
          <w:tcPr>
            <w:tcW w:w="240" w:type="dxa"/>
            <w:vAlign w:val="bottom"/>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571</w:t>
            </w: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182</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w w:val="94"/>
              </w:rPr>
              <w:t>Operating income before depreciation and amortization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ind w:right="37"/>
              <w:spacing w:after="0"/>
              <w:rPr>
                <w:sz w:val="20"/>
                <w:szCs w:val="20"/>
                <w:color w:val="auto"/>
              </w:rPr>
            </w:pPr>
            <w:r>
              <w:rPr>
                <w:rFonts w:ascii="Arial" w:cs="Arial" w:eastAsia="Arial" w:hAnsi="Arial"/>
                <w:sz w:val="18"/>
                <w:szCs w:val="18"/>
                <w:b w:val="1"/>
                <w:bCs w:val="1"/>
                <w:color w:val="auto"/>
              </w:rPr>
              <w:t>665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40"/>
              <w:spacing w:after="0"/>
              <w:rPr>
                <w:sz w:val="20"/>
                <w:szCs w:val="20"/>
                <w:color w:val="auto"/>
              </w:rPr>
            </w:pPr>
            <w:r>
              <w:rPr>
                <w:rFonts w:ascii="Arial" w:cs="Arial" w:eastAsia="Arial" w:hAnsi="Arial"/>
                <w:sz w:val="18"/>
                <w:szCs w:val="18"/>
                <w:b w:val="1"/>
                <w:bCs w:val="1"/>
                <w:color w:val="auto"/>
              </w:rPr>
              <w:t>152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817</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32"/>
              <w:spacing w:after="0"/>
              <w:rPr>
                <w:sz w:val="20"/>
                <w:szCs w:val="20"/>
                <w:color w:val="auto"/>
              </w:rPr>
            </w:pPr>
            <w:r>
              <w:rPr>
                <w:rFonts w:ascii="Arial" w:cs="Arial" w:eastAsia="Arial" w:hAnsi="Arial"/>
                <w:sz w:val="18"/>
                <w:szCs w:val="18"/>
                <w:b w:val="1"/>
                <w:bCs w:val="1"/>
                <w:color w:val="auto"/>
              </w:rPr>
              <w:t>188</w:t>
            </w:r>
          </w:p>
        </w:tc>
        <w:tc>
          <w:tcPr>
            <w:tcW w:w="220" w:type="dxa"/>
            <w:vAlign w:val="bottom"/>
          </w:tcPr>
          <w:p>
            <w:pPr>
              <w:ind w:left="12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37"/>
              <w:spacing w:after="0"/>
              <w:rPr>
                <w:sz w:val="20"/>
                <w:szCs w:val="20"/>
                <w:color w:val="auto"/>
              </w:rPr>
            </w:pPr>
            <w:r>
              <w:rPr>
                <w:rFonts w:ascii="Arial" w:cs="Arial" w:eastAsia="Arial" w:hAnsi="Arial"/>
                <w:sz w:val="18"/>
                <w:szCs w:val="18"/>
                <w:b w:val="1"/>
                <w:bCs w:val="1"/>
                <w:color w:val="auto"/>
              </w:rPr>
              <w:t>574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157"/>
              <w:spacing w:after="0"/>
              <w:rPr>
                <w:sz w:val="20"/>
                <w:szCs w:val="20"/>
                <w:color w:val="auto"/>
              </w:rPr>
            </w:pPr>
            <w:r>
              <w:rPr>
                <w:rFonts w:ascii="Arial" w:cs="Arial" w:eastAsia="Arial" w:hAnsi="Arial"/>
                <w:sz w:val="18"/>
                <w:szCs w:val="18"/>
                <w:b w:val="1"/>
                <w:bCs w:val="1"/>
                <w:color w:val="auto"/>
              </w:rPr>
              <w:t>55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8"/>
        </w:trPr>
        <w:tc>
          <w:tcPr>
            <w:tcW w:w="20" w:type="dxa"/>
            <w:vAlign w:val="bottom"/>
            <w:shd w:val="clear" w:color="auto" w:fill="000000"/>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months ended March 31, 2011 and 2010 and the results of operations for the NBCUniversal acquired businesses for the period January 29, 2011 through March 31, 2011.</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from January 1, 2011 through January 28, 2011 and for the three months ended March 31,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Segment—Revenue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primarily generates revenue from distribution of our cable programming content and advertising. Distribution revenue is generated from distribution agreements with multichannel video providers. Advertising revenue is generated from the sale of commercial time on our national and international cable networks and related digital media properties. We also generate television production revenue from the exploitation of our owned programming.</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Distribution revenue is affected by the number of subscribers receiving our cable programming networks and the fees we charge per subscriber for each of our cable networks. Our advertising revenue depends on audience ratings, the value of the demographics of our cable programming networks’ viewers to advertisers and the number of advertising units we can place in our cable programming networks’ programming schedules. Advertising revenue is affected by the strength of the advertising market, general economic conditions and the success of our programming. Our U.S. advertising revenue is also generally higher in the second and fourth quarters of each year due to seasonal increases in consumer advertising.</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 forma combined distribution revenue increased for the three months ended March 31, 2011 compared to the same period in 2010 primarily due to rate increases and an increase in the number of subscribers to our cable programming networks. Pro forma combined advertising revenue increased for the three months ended March 31, 2011 compared to the same period in 2010 primarily due to increases in price and volume of advertising sold. Pro forma combined other revenue increased for the three months ended March 31, 2011 compared to the same period in 2010 primarily due to the domestic, international and online exploitation of our owned content. For the three months ended March 31, 2011, approximately 14% of our Cable Networks segment pro forma combined revenue was generated from our Cable Communications segment. These amounts are eliminated in our consolidated financial statements but are included in the amounts presented above.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Segment—Operating Costs and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Cable Networks segment operating costs and expenses consist primarily of programming and production costs, advertising and marketing costs, and other operating costs and expenses. Programming and production costs include the amortization of owned and acquired programming, direct production costs, residual and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participation payments, production overhead and on-air talent costs. Advertising and marketing costs primarily consist of the costs incurred in promoting our cable programming networks, as well as in the replication, distribution and marketing costs of standard-definition DVDs and high-definition Blu-ray discs (together, “DVDs”), costs associated with digital media, and the costs of licensing our programming to third-party networks and other media platforms. Other operating costs and expenses include salaries, employee benefits, rent and other overhead costs.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 forma combined operating costs and expenses increased for the three months ended March 31, 2011 compared to the same period in 2010 primarily due to higher programming and production costs associated with an increase in the number of original content productions, and increases in advertising and promotion costs and other operating costs and expenses.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Segment—Actual and Pro Forma Results of Operations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our U.S. broadcast networks, NBC and Telemundo; our 10 NBC and 16 Telemundo owned local television stations; our broadcast television production operations; and our related digital media properties, consisting primarily of brand-aligned and other websites.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9"/>
              </w:rPr>
              <w:t>2010</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vMerge w:val="restart"/>
          </w:tcPr>
          <w:p>
            <w:pPr>
              <w:jc w:val="center"/>
              <w:ind w:right="717"/>
              <w:spacing w:after="0"/>
              <w:rPr>
                <w:sz w:val="20"/>
                <w:szCs w:val="20"/>
                <w:color w:val="auto"/>
              </w:rPr>
            </w:pPr>
            <w:r>
              <w:rPr>
                <w:rFonts w:ascii="Arial" w:cs="Arial" w:eastAsia="Arial" w:hAnsi="Arial"/>
                <w:sz w:val="14"/>
                <w:szCs w:val="14"/>
                <w:color w:val="auto"/>
                <w:w w:val="82"/>
              </w:rPr>
              <w:t>Pro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vMerge w:val="restart"/>
          </w:tcPr>
          <w:p>
            <w:pPr>
              <w:jc w:val="center"/>
              <w:ind w:right="259"/>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320" w:type="dxa"/>
            <w:vAlign w:val="bottom"/>
          </w:tcPr>
          <w:p>
            <w:pPr>
              <w:spacing w:after="0"/>
              <w:rPr>
                <w:sz w:val="11"/>
                <w:szCs w:val="11"/>
                <w:color w:val="auto"/>
              </w:rPr>
            </w:pPr>
          </w:p>
        </w:tc>
        <w:tc>
          <w:tcPr>
            <w:tcW w:w="1140" w:type="dxa"/>
            <w:vAlign w:val="bottom"/>
            <w:vMerge w:val="restart"/>
          </w:tcPr>
          <w:p>
            <w:pPr>
              <w:jc w:val="center"/>
              <w:ind w:right="28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300" w:type="dxa"/>
            <w:vAlign w:val="bottom"/>
          </w:tcPr>
          <w:p>
            <w:pPr>
              <w:spacing w:after="0"/>
              <w:rPr>
                <w:sz w:val="11"/>
                <w:szCs w:val="11"/>
                <w:color w:val="auto"/>
              </w:rPr>
            </w:pPr>
          </w:p>
        </w:tc>
        <w:tc>
          <w:tcPr>
            <w:tcW w:w="900" w:type="dxa"/>
            <w:vAlign w:val="bottom"/>
          </w:tcPr>
          <w:p>
            <w:pPr>
              <w:jc w:val="center"/>
              <w:ind w:right="98"/>
              <w:spacing w:after="0" w:line="133" w:lineRule="exact"/>
              <w:rPr>
                <w:sz w:val="20"/>
                <w:szCs w:val="20"/>
                <w:color w:val="auto"/>
              </w:rPr>
            </w:pPr>
            <w:r>
              <w:rPr>
                <w:rFonts w:ascii="Arial" w:cs="Arial" w:eastAsia="Arial" w:hAnsi="Arial"/>
                <w:sz w:val="14"/>
                <w:szCs w:val="14"/>
                <w:color w:val="auto"/>
                <w:w w:val="90"/>
              </w:rPr>
              <w:t>Pro Forma</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vMerge w:val="restart"/>
          </w:tcPr>
          <w:p>
            <w:pPr>
              <w:jc w:val="center"/>
              <w:ind w:right="137"/>
              <w:spacing w:after="0"/>
              <w:rPr>
                <w:sz w:val="20"/>
                <w:szCs w:val="20"/>
                <w:color w:val="auto"/>
              </w:rPr>
            </w:pPr>
            <w:r>
              <w:rPr>
                <w:rFonts w:ascii="Arial" w:cs="Arial" w:eastAsia="Arial" w:hAnsi="Arial"/>
                <w:sz w:val="14"/>
                <w:szCs w:val="14"/>
                <w:color w:val="auto"/>
                <w:w w:val="84"/>
              </w:rPr>
              <w:t>Pro Forma</w:t>
            </w:r>
            <w:r>
              <w:rPr>
                <w:rFonts w:ascii="Arial" w:cs="Arial" w:eastAsia="Arial" w:hAnsi="Arial"/>
                <w:sz w:val="22"/>
                <w:szCs w:val="22"/>
                <w:color w:val="auto"/>
                <w:w w:val="84"/>
                <w:vertAlign w:val="superscript"/>
              </w:rPr>
              <w:t>(c)</w:t>
            </w:r>
          </w:p>
        </w:tc>
        <w:tc>
          <w:tcPr>
            <w:tcW w:w="420" w:type="dxa"/>
            <w:vAlign w:val="bottom"/>
          </w:tcPr>
          <w:p>
            <w:pPr>
              <w:spacing w:after="0"/>
              <w:rPr>
                <w:sz w:val="11"/>
                <w:szCs w:val="11"/>
                <w:color w:val="auto"/>
              </w:rPr>
            </w:pPr>
          </w:p>
        </w:tc>
        <w:tc>
          <w:tcPr>
            <w:tcW w:w="2020" w:type="dxa"/>
            <w:vAlign w:val="bottom"/>
            <w:gridSpan w:val="2"/>
          </w:tcPr>
          <w:p>
            <w:pPr>
              <w:jc w:val="center"/>
              <w:ind w:left="42"/>
              <w:spacing w:after="0" w:line="133" w:lineRule="exact"/>
              <w:rPr>
                <w:sz w:val="20"/>
                <w:szCs w:val="20"/>
                <w:color w:val="auto"/>
              </w:rPr>
            </w:pPr>
            <w:r>
              <w:rPr>
                <w:rFonts w:ascii="Arial" w:cs="Arial" w:eastAsia="Arial" w:hAnsi="Arial"/>
                <w:sz w:val="14"/>
                <w:szCs w:val="14"/>
                <w:color w:val="auto"/>
                <w:w w:val="86"/>
              </w:rPr>
              <w:t>Forma Combined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8"/>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4"/>
                <w:szCs w:val="14"/>
                <w:color w:val="auto"/>
                <w:w w:val="83"/>
              </w:rPr>
              <w:t>Increase/(Decrease)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jc w:val="center"/>
              <w:ind w:right="259"/>
              <w:spacing w:after="0" w:line="131" w:lineRule="exact"/>
              <w:rPr>
                <w:sz w:val="20"/>
                <w:szCs w:val="20"/>
                <w:color w:val="auto"/>
              </w:rPr>
            </w:pPr>
            <w:r>
              <w:rPr>
                <w:rFonts w:ascii="Arial" w:cs="Arial" w:eastAsia="Arial" w:hAnsi="Arial"/>
                <w:sz w:val="14"/>
                <w:szCs w:val="14"/>
                <w:color w:val="auto"/>
                <w:w w:val="87"/>
              </w:rPr>
              <w:t>For the period</w:t>
            </w:r>
          </w:p>
        </w:tc>
        <w:tc>
          <w:tcPr>
            <w:tcW w:w="320" w:type="dxa"/>
            <w:vAlign w:val="bottom"/>
          </w:tcPr>
          <w:p>
            <w:pPr>
              <w:spacing w:after="0"/>
              <w:rPr>
                <w:sz w:val="11"/>
                <w:szCs w:val="11"/>
                <w:color w:val="auto"/>
              </w:rPr>
            </w:pPr>
          </w:p>
        </w:tc>
        <w:tc>
          <w:tcPr>
            <w:tcW w:w="1140" w:type="dxa"/>
            <w:vAlign w:val="bottom"/>
          </w:tcPr>
          <w:p>
            <w:pPr>
              <w:jc w:val="center"/>
              <w:ind w:right="260"/>
              <w:spacing w:after="0" w:line="131" w:lineRule="exact"/>
              <w:rPr>
                <w:sz w:val="20"/>
                <w:szCs w:val="20"/>
                <w:color w:val="auto"/>
              </w:rPr>
            </w:pPr>
            <w:r>
              <w:rPr>
                <w:rFonts w:ascii="Arial" w:cs="Arial" w:eastAsia="Arial" w:hAnsi="Arial"/>
                <w:sz w:val="14"/>
                <w:szCs w:val="14"/>
                <w:color w:val="auto"/>
                <w:w w:val="87"/>
              </w:rPr>
              <w:t>For the period</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40" w:type="dxa"/>
            <w:vAlign w:val="bottom"/>
            <w:gridSpan w:val="2"/>
          </w:tcPr>
          <w:p>
            <w:pPr>
              <w:jc w:val="center"/>
              <w:ind w:left="39"/>
              <w:spacing w:after="0" w:line="149" w:lineRule="exact"/>
              <w:rPr>
                <w:sz w:val="20"/>
                <w:szCs w:val="20"/>
                <w:color w:val="auto"/>
              </w:rPr>
            </w:pPr>
            <w:r>
              <w:rPr>
                <w:rFonts w:ascii="Arial" w:cs="Arial" w:eastAsia="Arial" w:hAnsi="Arial"/>
                <w:sz w:val="14"/>
                <w:szCs w:val="14"/>
                <w:color w:val="auto"/>
                <w:w w:val="86"/>
              </w:rPr>
              <w:t>January 29 through</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January 1 through</w:t>
            </w:r>
          </w:p>
        </w:tc>
        <w:tc>
          <w:tcPr>
            <w:tcW w:w="1200" w:type="dxa"/>
            <w:vAlign w:val="bottom"/>
            <w:gridSpan w:val="2"/>
          </w:tcPr>
          <w:p>
            <w:pPr>
              <w:jc w:val="center"/>
              <w:ind w:left="42"/>
              <w:spacing w:after="0" w:line="149" w:lineRule="exact"/>
              <w:rPr>
                <w:sz w:val="20"/>
                <w:szCs w:val="20"/>
                <w:color w:val="auto"/>
              </w:rPr>
            </w:pPr>
            <w:r>
              <w:rPr>
                <w:rFonts w:ascii="Arial" w:cs="Arial" w:eastAsia="Arial" w:hAnsi="Arial"/>
                <w:sz w:val="14"/>
                <w:szCs w:val="14"/>
                <w:color w:val="auto"/>
                <w:w w:val="87"/>
              </w:rPr>
              <w:t>Three Months</w:t>
            </w:r>
          </w:p>
        </w:tc>
        <w:tc>
          <w:tcPr>
            <w:tcW w:w="440" w:type="dxa"/>
            <w:vAlign w:val="bottom"/>
          </w:tcPr>
          <w:p>
            <w:pPr>
              <w:spacing w:after="0"/>
              <w:rPr>
                <w:sz w:val="12"/>
                <w:szCs w:val="12"/>
                <w:color w:val="auto"/>
              </w:rPr>
            </w:pPr>
          </w:p>
        </w:tc>
        <w:tc>
          <w:tcPr>
            <w:tcW w:w="1380" w:type="dxa"/>
            <w:vAlign w:val="bottom"/>
            <w:gridSpan w:val="2"/>
          </w:tcPr>
          <w:p>
            <w:pPr>
              <w:jc w:val="center"/>
              <w:ind w:left="186"/>
              <w:spacing w:after="0" w:line="149" w:lineRule="exact"/>
              <w:rPr>
                <w:sz w:val="20"/>
                <w:szCs w:val="20"/>
                <w:color w:val="auto"/>
              </w:rPr>
            </w:pPr>
            <w:r>
              <w:rPr>
                <w:rFonts w:ascii="Arial" w:cs="Arial" w:eastAsia="Arial" w:hAnsi="Arial"/>
                <w:sz w:val="14"/>
                <w:szCs w:val="14"/>
                <w:color w:val="auto"/>
                <w:w w:val="87"/>
              </w:rPr>
              <w:t>Three Months</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6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3"/>
                <w:szCs w:val="13"/>
                <w:color w:val="auto"/>
              </w:rPr>
            </w:pPr>
          </w:p>
        </w:tc>
        <w:tc>
          <w:tcPr>
            <w:tcW w:w="1180" w:type="dxa"/>
            <w:vAlign w:val="bottom"/>
          </w:tcPr>
          <w:p>
            <w:pPr>
              <w:jc w:val="center"/>
              <w:ind w:right="259"/>
              <w:spacing w:after="0" w:line="159" w:lineRule="exact"/>
              <w:rPr>
                <w:sz w:val="20"/>
                <w:szCs w:val="20"/>
                <w:color w:val="auto"/>
              </w:rPr>
            </w:pPr>
            <w:r>
              <w:rPr>
                <w:rFonts w:ascii="Arial" w:cs="Arial" w:eastAsia="Arial" w:hAnsi="Arial"/>
                <w:sz w:val="14"/>
                <w:szCs w:val="14"/>
                <w:color w:val="auto"/>
                <w:w w:val="89"/>
              </w:rPr>
              <w:t>March 31</w:t>
            </w:r>
          </w:p>
        </w:tc>
        <w:tc>
          <w:tcPr>
            <w:tcW w:w="320" w:type="dxa"/>
            <w:vAlign w:val="bottom"/>
          </w:tcPr>
          <w:p>
            <w:pPr>
              <w:spacing w:after="0"/>
              <w:rPr>
                <w:sz w:val="13"/>
                <w:szCs w:val="13"/>
                <w:color w:val="auto"/>
              </w:rPr>
            </w:pPr>
          </w:p>
        </w:tc>
        <w:tc>
          <w:tcPr>
            <w:tcW w:w="1140" w:type="dxa"/>
            <w:vAlign w:val="bottom"/>
          </w:tcPr>
          <w:p>
            <w:pPr>
              <w:jc w:val="center"/>
              <w:ind w:right="280"/>
              <w:spacing w:after="0" w:line="159" w:lineRule="exact"/>
              <w:rPr>
                <w:sz w:val="20"/>
                <w:szCs w:val="20"/>
                <w:color w:val="auto"/>
              </w:rPr>
            </w:pPr>
            <w:r>
              <w:rPr>
                <w:rFonts w:ascii="Arial" w:cs="Arial" w:eastAsia="Arial" w:hAnsi="Arial"/>
                <w:sz w:val="14"/>
                <w:szCs w:val="14"/>
                <w:color w:val="auto"/>
                <w:w w:val="83"/>
              </w:rPr>
              <w:t>January 28</w:t>
            </w:r>
          </w:p>
        </w:tc>
        <w:tc>
          <w:tcPr>
            <w:tcW w:w="1200" w:type="dxa"/>
            <w:vAlign w:val="bottom"/>
            <w:gridSpan w:val="2"/>
          </w:tcPr>
          <w:p>
            <w:pPr>
              <w:jc w:val="center"/>
              <w:ind w:left="22"/>
              <w:spacing w:after="0" w:line="159" w:lineRule="exact"/>
              <w:rPr>
                <w:sz w:val="20"/>
                <w:szCs w:val="20"/>
                <w:color w:val="auto"/>
              </w:rPr>
            </w:pPr>
            <w:r>
              <w:rPr>
                <w:rFonts w:ascii="Arial" w:cs="Arial" w:eastAsia="Arial" w:hAnsi="Arial"/>
                <w:sz w:val="14"/>
                <w:szCs w:val="14"/>
                <w:color w:val="auto"/>
                <w:w w:val="87"/>
              </w:rPr>
              <w:t>Ended March 31</w:t>
            </w:r>
          </w:p>
        </w:tc>
        <w:tc>
          <w:tcPr>
            <w:tcW w:w="440" w:type="dxa"/>
            <w:vAlign w:val="bottom"/>
          </w:tcPr>
          <w:p>
            <w:pPr>
              <w:spacing w:after="0"/>
              <w:rPr>
                <w:sz w:val="13"/>
                <w:szCs w:val="13"/>
                <w:color w:val="auto"/>
              </w:rPr>
            </w:pPr>
          </w:p>
        </w:tc>
        <w:tc>
          <w:tcPr>
            <w:tcW w:w="1380" w:type="dxa"/>
            <w:vAlign w:val="bottom"/>
            <w:gridSpan w:val="2"/>
          </w:tcPr>
          <w:p>
            <w:pPr>
              <w:jc w:val="center"/>
              <w:ind w:left="166"/>
              <w:spacing w:after="0" w:line="159" w:lineRule="exact"/>
              <w:rPr>
                <w:sz w:val="20"/>
                <w:szCs w:val="20"/>
                <w:color w:val="auto"/>
              </w:rPr>
            </w:pPr>
            <w:r>
              <w:rPr>
                <w:rFonts w:ascii="Arial" w:cs="Arial" w:eastAsia="Arial" w:hAnsi="Arial"/>
                <w:sz w:val="14"/>
                <w:szCs w:val="14"/>
                <w:color w:val="auto"/>
                <w:w w:val="87"/>
              </w:rPr>
              <w:t>Ended March 31</w:t>
            </w:r>
          </w:p>
        </w:tc>
        <w:tc>
          <w:tcPr>
            <w:tcW w:w="1340" w:type="dxa"/>
            <w:vAlign w:val="bottom"/>
            <w:gridSpan w:val="2"/>
          </w:tcPr>
          <w:p>
            <w:pPr>
              <w:jc w:val="right"/>
              <w:ind w:right="222"/>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ind w:left="5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11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11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595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315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1,450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(540)</w:t>
            </w: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46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324</w:t>
            </w:r>
          </w:p>
        </w:tc>
        <w:tc>
          <w:tcPr>
            <w:tcW w:w="4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314</w:t>
            </w:r>
          </w:p>
        </w:tc>
        <w:tc>
          <w:tcPr>
            <w:tcW w:w="1340" w:type="dxa"/>
            <w:vAlign w:val="bottom"/>
            <w:gridSpan w:val="2"/>
            <w:shd w:val="clear" w:color="auto" w:fill="E5E5E5"/>
          </w:tcPr>
          <w:p>
            <w:pPr>
              <w:jc w:val="right"/>
              <w:ind w:right="22"/>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314</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888</w:t>
            </w:r>
          </w:p>
        </w:tc>
        <w:tc>
          <w:tcPr>
            <w:tcW w:w="32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464</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1,352</w:t>
            </w:r>
          </w:p>
        </w:tc>
        <w:tc>
          <w:tcPr>
            <w:tcW w:w="44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2,078</w:t>
            </w:r>
          </w:p>
        </w:tc>
        <w:tc>
          <w:tcPr>
            <w:tcW w:w="13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(726)</w:t>
            </w:r>
          </w:p>
        </w:tc>
        <w:tc>
          <w:tcPr>
            <w:tcW w:w="11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6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18"/>
                <w:szCs w:val="18"/>
                <w:color w:val="auto"/>
              </w:rPr>
            </w:pP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479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1,332</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2,260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1100" w:type="dxa"/>
            <w:vAlign w:val="bottom"/>
          </w:tcPr>
          <w:p>
            <w:pPr>
              <w:jc w:val="right"/>
              <w:ind w:right="117"/>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tcBorders>
              <w:top w:val="single" w:sz="8" w:color="auto"/>
            </w:tcBorders>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86"/>
              </w:rPr>
              <w:t>Operating income before depreciation</w:t>
            </w:r>
          </w:p>
        </w:tc>
        <w:tc>
          <w:tcPr>
            <w:tcW w:w="460" w:type="dxa"/>
            <w:vAlign w:val="bottom"/>
            <w:tcBorders>
              <w:top w:val="single" w:sz="8" w:color="auto"/>
            </w:tcBorders>
            <w:shd w:val="clear" w:color="auto" w:fill="E5E5E5"/>
          </w:tcPr>
          <w:p>
            <w:pPr>
              <w:spacing w:after="0"/>
              <w:rPr>
                <w:sz w:val="16"/>
                <w:szCs w:val="16"/>
                <w:color w:val="auto"/>
              </w:rPr>
            </w:pPr>
          </w:p>
        </w:tc>
        <w:tc>
          <w:tcPr>
            <w:tcW w:w="1180" w:type="dxa"/>
            <w:vAlign w:val="bottom"/>
            <w:tcBorders>
              <w:top w:val="single" w:sz="8" w:color="auto"/>
            </w:tcBorders>
            <w:shd w:val="clear" w:color="auto" w:fill="E5E5E5"/>
          </w:tcPr>
          <w:p>
            <w:pPr>
              <w:spacing w:after="0"/>
              <w:rPr>
                <w:sz w:val="16"/>
                <w:szCs w:val="16"/>
                <w:color w:val="auto"/>
              </w:rPr>
            </w:pPr>
          </w:p>
        </w:tc>
        <w:tc>
          <w:tcPr>
            <w:tcW w:w="320" w:type="dxa"/>
            <w:vAlign w:val="bottom"/>
            <w:tcBorders>
              <w:top w:val="single" w:sz="8" w:color="auto"/>
            </w:tcBorders>
            <w:shd w:val="clear" w:color="auto" w:fill="E5E5E5"/>
          </w:tcPr>
          <w:p>
            <w:pPr>
              <w:spacing w:after="0"/>
              <w:rPr>
                <w:sz w:val="16"/>
                <w:szCs w:val="16"/>
                <w:color w:val="auto"/>
              </w:rPr>
            </w:pPr>
          </w:p>
        </w:tc>
        <w:tc>
          <w:tcPr>
            <w:tcW w:w="1140" w:type="dxa"/>
            <w:vAlign w:val="bottom"/>
            <w:tcBorders>
              <w:top w:val="single" w:sz="8" w:color="auto"/>
            </w:tcBorders>
            <w:shd w:val="clear" w:color="auto" w:fill="E5E5E5"/>
          </w:tcPr>
          <w:p>
            <w:pPr>
              <w:spacing w:after="0"/>
              <w:rPr>
                <w:sz w:val="16"/>
                <w:szCs w:val="16"/>
                <w:color w:val="auto"/>
              </w:rPr>
            </w:pPr>
          </w:p>
        </w:tc>
        <w:tc>
          <w:tcPr>
            <w:tcW w:w="300" w:type="dxa"/>
            <w:vAlign w:val="bottom"/>
            <w:tcBorders>
              <w:top w:val="single" w:sz="8" w:color="auto"/>
            </w:tcBorders>
            <w:shd w:val="clear" w:color="auto" w:fill="E5E5E5"/>
          </w:tcPr>
          <w:p>
            <w:pPr>
              <w:spacing w:after="0"/>
              <w:rPr>
                <w:sz w:val="16"/>
                <w:szCs w:val="16"/>
                <w:color w:val="auto"/>
              </w:rPr>
            </w:pPr>
          </w:p>
        </w:tc>
        <w:tc>
          <w:tcPr>
            <w:tcW w:w="900" w:type="dxa"/>
            <w:vAlign w:val="bottom"/>
            <w:tcBorders>
              <w:top w:val="single" w:sz="8" w:color="auto"/>
            </w:tcBorders>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460" w:type="dxa"/>
            <w:vAlign w:val="bottom"/>
            <w:tcBorders>
              <w:top w:val="single" w:sz="8" w:color="auto"/>
            </w:tcBorders>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spacing w:after="0"/>
              <w:rPr>
                <w:sz w:val="16"/>
                <w:szCs w:val="16"/>
                <w:color w:val="auto"/>
              </w:rPr>
            </w:pPr>
          </w:p>
        </w:tc>
        <w:tc>
          <w:tcPr>
            <w:tcW w:w="1100" w:type="dxa"/>
            <w:vAlign w:val="bottom"/>
            <w:tcBorders>
              <w:top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and amortization</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b w:val="1"/>
                <w:bCs w:val="1"/>
                <w:color w:val="auto"/>
              </w:rPr>
              <w:t>35</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440" w:type="dxa"/>
            <w:vAlign w:val="bottom"/>
            <w:tcBorders>
              <w:bottom w:val="single" w:sz="8" w:color="E5E5E5"/>
            </w:tcBorders>
            <w:shd w:val="clear" w:color="auto" w:fill="E5E5E5"/>
          </w:tcPr>
          <w:p>
            <w:pPr>
              <w:spacing w:after="0"/>
              <w:rPr>
                <w:sz w:val="20"/>
                <w:szCs w:val="20"/>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(182)</w:t>
            </w:r>
          </w:p>
        </w:tc>
        <w:tc>
          <w:tcPr>
            <w:tcW w:w="420" w:type="dxa"/>
            <w:vAlign w:val="bottom"/>
            <w:tcBorders>
              <w:bottom w:val="single" w:sz="8" w:color="E5E5E5"/>
            </w:tcBorders>
            <w:shd w:val="clear" w:color="auto" w:fill="E5E5E5"/>
          </w:tcPr>
          <w:p>
            <w:pPr>
              <w:spacing w:after="0"/>
              <w:rPr>
                <w:sz w:val="20"/>
                <w:szCs w:val="20"/>
                <w:color w:val="auto"/>
              </w:rPr>
            </w:pPr>
          </w:p>
        </w:tc>
        <w:tc>
          <w:tcPr>
            <w:tcW w:w="9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$ 202</w:t>
            </w:r>
          </w:p>
        </w:tc>
        <w:tc>
          <w:tcPr>
            <w:tcW w:w="110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March 31, 2011.</w:t>
      </w:r>
    </w:p>
    <w:p>
      <w:pPr>
        <w:spacing w:after="0" w:line="55"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from January 1, 2011 through January 28, 2011 and for the three months ended March 31,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Segment—Revenue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Broadcast Television segment revenue consists primarily of advertising revenue and content licensing revenue. Advertising revenue is generated from the sale of commercial time on our broadcast networks, owned local television stations and related digital media properties. Content licensing revenue includes content license fees and other revenue generated from the exploitation of our owned programming in the U.S. and internationally. We also generate other revenue from the sale of our owned programming on DVDs, electronic sell-through and other formats, and the licensing of our brands and characters for consumer products.</w:t>
      </w:r>
    </w:p>
    <w:p>
      <w:pPr>
        <w:spacing w:after="0" w:line="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advertising revenue is generally based on audience ratings, the value of the demographics of our broadcast networks’ and owned television stations’ viewers to advertisers, and the number of advertising units we can place in our broadcast networks’ and owned television stations’ programming schedules. Advertising revenue is affected by the strength of the advertising market, general economic conditions and the success of our programming.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U.S. advertising revenue is generally higher in the second and fourth quarters of each year due to seasonal increases in consumer advertising.</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Content licensing revenue depends on the length and terms of the initial network license for our owned programming and our ability to subsequently license that programming to other networks, both in the U.S. and internationally, and to individual U.S. local television stations. In recent years, the production and distribution costs related to our owned programming have exceeded the license fees generated from the initial network license by an increasing amount. Exploitation of our owned television programming after the initial network license is critical to the financial success of a television series. Other revenue from further exploitation of our owned programming and intellectual property is driven primarily by the popularity of our broadcast networks and series and, therefore, fluctuates based on consumer spending and acceptance.</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 forma combined advertising and other revenue for the three months ended March 31, 2011 decreased compared to the same period in 2010 primarily due to $782 million of revenue recognized in 2010 related to the 2010 Vancouver Olympics. Pro forma combined content licensing revenue for the three months ended March 31, 2011 increased slightly compared to the same period in 2010 due to increased volume of original production, partially offset by lower syndication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Segment—Operating Costs and Expenses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Broadcast Television segment operating costs and expenses consist primarily of programming and production costs, advertising and marketing costs, and other operating costs and expenses. Programming and production costs relate to content originating on our broadcast networks and owned local television stations and include the amortization of owned and acquired programming costs, direct production costs, residual and participation payments, production overhead, and on-air talent costs. Advertising and marketing costs consist primarily of the costs incurred in promoting our owned television programming, as well as the replication, distribution and marketing costs of DVDs, costs associated with digital media, and the costs of licensing our programming to third-parties and other media platforms. Other operating costs and expenses include salaries, employee benefits, rent and other overhead costs.</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Pro forma combined operating costs and expenses decreased for the three months ended March 31, 2011 compared to the same period in 2010 primarily due to $1 billion of programming costs recognized in 2010 associated with the 2010 Vancouver Olympics. Excluding the impact of the Vancouver Olympics, programming costs and advertising costs increased $86 million, partially offset by lower other operating costs and expenses.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Segment—Actual and Pro Forma Results of Operations</w:t>
      </w:r>
    </w:p>
    <w:p>
      <w:pPr>
        <w:spacing w:after="0" w:line="7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Our Filmed Entertainment segment consists of the operations of Universal Pictures, which produces, acquires, markets and distributes filmed entertainment and stage plays worldwide in various media formats for theatrical, home entertainment, television and other distribution platforms.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20"/>
              <w:spacing w:after="0" w:line="160"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8"/>
              <w:spacing w:after="0" w:line="160" w:lineRule="exact"/>
              <w:rPr>
                <w:sz w:val="20"/>
                <w:szCs w:val="20"/>
                <w:color w:val="auto"/>
              </w:rPr>
            </w:pPr>
            <w:r>
              <w:rPr>
                <w:rFonts w:ascii="Arial" w:cs="Arial" w:eastAsia="Arial" w:hAnsi="Arial"/>
                <w:sz w:val="14"/>
                <w:szCs w:val="14"/>
                <w:color w:val="auto"/>
                <w:w w:val="83"/>
              </w:rPr>
              <w:t>2010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4"/>
            <w:vMerge w:val="restart"/>
          </w:tcPr>
          <w:p>
            <w:pPr>
              <w:jc w:val="right"/>
              <w:ind w:right="360"/>
              <w:spacing w:after="0"/>
              <w:rPr>
                <w:sz w:val="20"/>
                <w:szCs w:val="20"/>
                <w:color w:val="auto"/>
              </w:rPr>
            </w:pPr>
            <w:r>
              <w:rPr>
                <w:rFonts w:ascii="Arial" w:cs="Arial" w:eastAsia="Arial" w:hAnsi="Arial"/>
                <w:sz w:val="14"/>
                <w:szCs w:val="14"/>
                <w:color w:val="auto"/>
                <w:w w:val="94"/>
              </w:rPr>
              <w:t>Pro Forma Combined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540"/>
              <w:spacing w:after="0" w:line="131" w:lineRule="exact"/>
              <w:rPr>
                <w:sz w:val="20"/>
                <w:szCs w:val="20"/>
                <w:color w:val="auto"/>
              </w:rPr>
            </w:pPr>
            <w:r>
              <w:rPr>
                <w:rFonts w:ascii="Arial" w:cs="Arial" w:eastAsia="Arial" w:hAnsi="Arial"/>
                <w:sz w:val="14"/>
                <w:szCs w:val="14"/>
                <w:color w:val="auto"/>
                <w:w w:val="87"/>
              </w:rPr>
              <w:t>Pro Forma</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2"/>
              </w:rPr>
              <w:t>Actual(a)</w:t>
            </w:r>
          </w:p>
        </w:tc>
        <w:tc>
          <w:tcPr>
            <w:tcW w:w="160" w:type="dxa"/>
            <w:vAlign w:val="bottom"/>
          </w:tcPr>
          <w:p>
            <w:pPr>
              <w:spacing w:after="0"/>
              <w:rPr>
                <w:sz w:val="13"/>
                <w:szCs w:val="13"/>
                <w:color w:val="auto"/>
              </w:rPr>
            </w:pPr>
          </w:p>
        </w:tc>
        <w:tc>
          <w:tcPr>
            <w:tcW w:w="1120" w:type="dxa"/>
            <w:vAlign w:val="bottom"/>
            <w:gridSpan w:val="3"/>
          </w:tcPr>
          <w:p>
            <w:pPr>
              <w:jc w:val="center"/>
              <w:ind w:right="360"/>
              <w:spacing w:after="0" w:line="159" w:lineRule="exact"/>
              <w:rPr>
                <w:sz w:val="20"/>
                <w:szCs w:val="20"/>
                <w:color w:val="auto"/>
              </w:rPr>
            </w:pPr>
            <w:r>
              <w:rPr>
                <w:rFonts w:ascii="Arial" w:cs="Arial" w:eastAsia="Arial" w:hAnsi="Arial"/>
                <w:sz w:val="14"/>
                <w:szCs w:val="14"/>
                <w:color w:val="auto"/>
                <w:w w:val="86"/>
              </w:rPr>
              <w:t>Pro Forma(b)</w:t>
            </w:r>
          </w:p>
        </w:tc>
        <w:tc>
          <w:tcPr>
            <w:tcW w:w="140" w:type="dxa"/>
            <w:vAlign w:val="bottom"/>
          </w:tcPr>
          <w:p>
            <w:pPr>
              <w:spacing w:after="0"/>
              <w:rPr>
                <w:sz w:val="13"/>
                <w:szCs w:val="13"/>
                <w:color w:val="auto"/>
              </w:rPr>
            </w:pPr>
          </w:p>
        </w:tc>
        <w:tc>
          <w:tcPr>
            <w:tcW w:w="140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7"/>
              </w:rPr>
              <w:t>Combined(c)</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center"/>
              <w:ind w:right="900"/>
              <w:spacing w:after="0" w:line="159" w:lineRule="exact"/>
              <w:rPr>
                <w:sz w:val="20"/>
                <w:szCs w:val="20"/>
                <w:color w:val="auto"/>
              </w:rPr>
            </w:pPr>
            <w:r>
              <w:rPr>
                <w:rFonts w:ascii="Arial" w:cs="Arial" w:eastAsia="Arial" w:hAnsi="Arial"/>
                <w:sz w:val="14"/>
                <w:szCs w:val="14"/>
                <w:color w:val="auto"/>
                <w:w w:val="89"/>
              </w:rPr>
              <w:t>Pro Forma(c)</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4"/>
          </w:tcPr>
          <w:p>
            <w:pPr>
              <w:jc w:val="right"/>
              <w:ind w:right="400"/>
              <w:spacing w:after="0" w:line="159" w:lineRule="exact"/>
              <w:rPr>
                <w:sz w:val="20"/>
                <w:szCs w:val="20"/>
                <w:color w:val="auto"/>
              </w:rPr>
            </w:pPr>
            <w:r>
              <w:rPr>
                <w:rFonts w:ascii="Arial" w:cs="Arial" w:eastAsia="Arial" w:hAnsi="Arial"/>
                <w:sz w:val="14"/>
                <w:szCs w:val="14"/>
                <w:color w:val="auto"/>
                <w:w w:val="96"/>
              </w:rPr>
              <w:t>Increase/(Decrease)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January 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4"/>
              </w:rPr>
              <w:t>January 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through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through</w:t>
            </w:r>
          </w:p>
        </w:tc>
        <w:tc>
          <w:tcPr>
            <w:tcW w:w="15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7"/>
              </w:rPr>
              <w:t>Three Months Ended</w:t>
            </w:r>
          </w:p>
        </w:tc>
        <w:tc>
          <w:tcPr>
            <w:tcW w:w="280" w:type="dxa"/>
            <w:vAlign w:val="bottom"/>
          </w:tcPr>
          <w:p>
            <w:pPr>
              <w:spacing w:after="0"/>
              <w:rPr>
                <w:sz w:val="12"/>
                <w:szCs w:val="12"/>
                <w:color w:val="auto"/>
              </w:rPr>
            </w:pPr>
          </w:p>
        </w:tc>
        <w:tc>
          <w:tcPr>
            <w:tcW w:w="1900" w:type="dxa"/>
            <w:vAlign w:val="bottom"/>
            <w:gridSpan w:val="5"/>
          </w:tcPr>
          <w:p>
            <w:pPr>
              <w:jc w:val="center"/>
              <w:ind w:right="760"/>
              <w:spacing w:after="0" w:line="149" w:lineRule="exact"/>
              <w:rPr>
                <w:sz w:val="20"/>
                <w:szCs w:val="20"/>
                <w:color w:val="auto"/>
              </w:rPr>
            </w:pPr>
            <w:r>
              <w:rPr>
                <w:rFonts w:ascii="Arial" w:cs="Arial" w:eastAsia="Arial" w:hAnsi="Arial"/>
                <w:sz w:val="14"/>
                <w:szCs w:val="14"/>
                <w:color w:val="auto"/>
                <w:w w:val="87"/>
              </w:rPr>
              <w:t>Three Months Ended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9"/>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440"/>
              <w:spacing w:after="0" w:line="159" w:lineRule="exact"/>
              <w:rPr>
                <w:sz w:val="20"/>
                <w:szCs w:val="20"/>
                <w:color w:val="auto"/>
              </w:rPr>
            </w:pPr>
            <w:r>
              <w:rPr>
                <w:rFonts w:ascii="Arial" w:cs="Arial" w:eastAsia="Arial" w:hAnsi="Arial"/>
                <w:sz w:val="14"/>
                <w:szCs w:val="14"/>
                <w:color w:val="auto"/>
                <w:w w:val="86"/>
              </w:rPr>
              <w:t>January 28</w:t>
            </w:r>
          </w:p>
        </w:tc>
        <w:tc>
          <w:tcPr>
            <w:tcW w:w="140" w:type="dxa"/>
            <w:vAlign w:val="bottom"/>
          </w:tcPr>
          <w:p>
            <w:pPr>
              <w:spacing w:after="0"/>
              <w:rPr>
                <w:sz w:val="13"/>
                <w:szCs w:val="13"/>
                <w:color w:val="auto"/>
              </w:rPr>
            </w:pPr>
          </w:p>
        </w:tc>
        <w:tc>
          <w:tcPr>
            <w:tcW w:w="1400" w:type="dxa"/>
            <w:vAlign w:val="bottom"/>
            <w:gridSpan w:val="2"/>
          </w:tcPr>
          <w:p>
            <w:pPr>
              <w:jc w:val="center"/>
              <w:ind w:right="560"/>
              <w:spacing w:after="0" w:line="159" w:lineRule="exact"/>
              <w:rPr>
                <w:sz w:val="20"/>
                <w:szCs w:val="20"/>
                <w:color w:val="auto"/>
              </w:rPr>
            </w:pPr>
            <w:r>
              <w:rPr>
                <w:rFonts w:ascii="Arial" w:cs="Arial" w:eastAsia="Arial" w:hAnsi="Arial"/>
                <w:sz w:val="14"/>
                <w:szCs w:val="14"/>
                <w:color w:val="auto"/>
                <w:w w:val="89"/>
              </w:rPr>
              <w:t>March 31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center"/>
              <w:ind w:right="880"/>
              <w:spacing w:after="0" w:line="159" w:lineRule="exact"/>
              <w:rPr>
                <w:sz w:val="20"/>
                <w:szCs w:val="20"/>
                <w:color w:val="auto"/>
              </w:rPr>
            </w:pPr>
            <w:r>
              <w:rPr>
                <w:rFonts w:ascii="Arial" w:cs="Arial" w:eastAsia="Arial" w:hAnsi="Arial"/>
                <w:sz w:val="14"/>
                <w:szCs w:val="14"/>
                <w:color w:val="auto"/>
                <w:w w:val="89"/>
              </w:rPr>
              <w:t>March 31</w:t>
            </w:r>
          </w:p>
        </w:tc>
        <w:tc>
          <w:tcPr>
            <w:tcW w:w="1320" w:type="dxa"/>
            <w:vAlign w:val="bottom"/>
            <w:gridSpan w:val="5"/>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52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Theatrical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8"/>
                <w:szCs w:val="18"/>
                <w:color w:val="auto"/>
              </w:rPr>
              <w:t>$  (36)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40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36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320" w:type="dxa"/>
            <w:vAlign w:val="bottom"/>
            <w:gridSpan w:val="5"/>
            <w:shd w:val="clear" w:color="auto" w:fill="E5E5E5"/>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Home entertainment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8"/>
                <w:szCs w:val="18"/>
                <w:color w:val="auto"/>
              </w:rPr>
              <w:t>(98)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40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36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1680" w:type="dxa"/>
            <w:vAlign w:val="bottom"/>
            <w:gridSpan w:val="6"/>
            <w:shd w:val="clear" w:color="auto" w:fill="E5E5E5"/>
          </w:tcPr>
          <w:p>
            <w:pPr>
              <w:jc w:val="right"/>
              <w:ind w:right="300"/>
              <w:spacing w:after="0"/>
              <w:rPr>
                <w:sz w:val="20"/>
                <w:szCs w:val="20"/>
                <w:color w:val="auto"/>
              </w:rPr>
            </w:pPr>
            <w:r>
              <w:rPr>
                <w:rFonts w:ascii="Arial" w:cs="Arial" w:eastAsia="Arial" w:hAnsi="Arial"/>
                <w:sz w:val="18"/>
                <w:szCs w:val="18"/>
                <w:color w:val="auto"/>
              </w:rPr>
              <w:t>(29)</w:t>
            </w:r>
          </w:p>
        </w:tc>
        <w:tc>
          <w:tcPr>
            <w:tcW w:w="7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8"/>
                <w:szCs w:val="18"/>
                <w:color w:val="auto"/>
              </w:rPr>
              <w:t>(86)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20" w:type="dxa"/>
            <w:vAlign w:val="bottom"/>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356</w:t>
            </w:r>
          </w:p>
        </w:tc>
        <w:tc>
          <w:tcPr>
            <w:tcW w:w="36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40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1,121</w:t>
            </w:r>
          </w:p>
        </w:tc>
        <w:tc>
          <w:tcPr>
            <w:tcW w:w="28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36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1320" w:type="dxa"/>
            <w:vAlign w:val="bottom"/>
            <w:gridSpan w:val="5"/>
            <w:shd w:val="clear" w:color="auto" w:fill="E5E5E5"/>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E5E5E5"/>
          </w:tcPr>
          <w:p>
            <w:pPr>
              <w:spacing w:after="0"/>
              <w:rPr>
                <w:sz w:val="21"/>
                <w:szCs w:val="21"/>
                <w:color w:val="auto"/>
              </w:rPr>
            </w:pPr>
          </w:p>
        </w:tc>
        <w:tc>
          <w:tcPr>
            <w:tcW w:w="7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Operating income before</w:t>
            </w:r>
          </w:p>
        </w:tc>
        <w:tc>
          <w:tcPr>
            <w:tcW w:w="260" w:type="dxa"/>
            <w:vAlign w:val="bottom"/>
            <w:tcBorders>
              <w:top w:val="single" w:sz="8" w:color="E5E5E5"/>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E5E5E5"/>
            </w:tcBorders>
          </w:tcPr>
          <w:p>
            <w:pPr>
              <w:spacing w:after="0"/>
              <w:rPr>
                <w:sz w:val="17"/>
                <w:szCs w:val="17"/>
                <w:color w:val="auto"/>
              </w:rPr>
            </w:pPr>
          </w:p>
        </w:tc>
        <w:tc>
          <w:tcPr>
            <w:tcW w:w="160" w:type="dxa"/>
            <w:vAlign w:val="bottom"/>
            <w:tcBorders>
              <w:top w:val="single" w:sz="8" w:color="E5E5E5"/>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60" w:type="dxa"/>
            <w:vAlign w:val="bottom"/>
            <w:tcBorders>
              <w:top w:val="single" w:sz="8" w:color="E5E5E5"/>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Borders>
              <w:top w:val="single" w:sz="8" w:color="E5E5E5"/>
            </w:tcBorders>
          </w:tcPr>
          <w:p>
            <w:pPr>
              <w:spacing w:after="0"/>
              <w:rPr>
                <w:sz w:val="17"/>
                <w:szCs w:val="17"/>
                <w:color w:val="auto"/>
              </w:rPr>
            </w:pPr>
          </w:p>
        </w:tc>
        <w:tc>
          <w:tcPr>
            <w:tcW w:w="280" w:type="dxa"/>
            <w:vAlign w:val="bottom"/>
            <w:tcBorders>
              <w:top w:val="single" w:sz="8" w:color="E5E5E5"/>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60" w:type="dxa"/>
            <w:vAlign w:val="bottom"/>
            <w:tcBorders>
              <w:top w:val="single" w:sz="8" w:color="E5E5E5"/>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E5E5E5"/>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E5E5E5"/>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E5E5E5"/>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Borders>
              <w:top w:val="single" w:sz="8" w:color="E5E5E5"/>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Borders>
              <w:top w:val="single" w:sz="8" w:color="E5E5E5"/>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Pr>
          <w:p>
            <w:pPr>
              <w:ind w:left="200"/>
              <w:spacing w:after="0"/>
              <w:rPr>
                <w:sz w:val="20"/>
                <w:szCs w:val="20"/>
                <w:color w:val="auto"/>
              </w:rPr>
            </w:pPr>
            <w:r>
              <w:rPr>
                <w:rFonts w:ascii="Arial" w:cs="Arial" w:eastAsia="Arial" w:hAnsi="Arial"/>
                <w:sz w:val="18"/>
                <w:szCs w:val="18"/>
                <w:b w:val="1"/>
                <w:bCs w:val="1"/>
                <w:color w:val="auto"/>
                <w:w w:val="97"/>
              </w:rPr>
              <w:t>depreciation and amortization</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(146)</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 (134)</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March 31,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78" w:lineRule="auto"/>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from January 1, 2011 through January 28, 2011 and for the three months ended March 31,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Segment—Revenue</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Filmed Entertainment segment revenue consists primarily of theatrical revenue, content licensing revenue and home entertainment revenue. Theatrical revenue is generated from the worldwide theatrical release of our owned and acquired films. Content licensing revenue is generated primarily from the licensing of owned and acquired films to pay and advertising supported television distribution platforms. Home entertainment revenue is generated from the license or sale of our owned and acquired films to retail stores and through digital media platforms, including electronic sell-through. We also generate revenue from distributing third parties’ filmed entertainment, producing stage plays, publishing music and licensing consumer products.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in our Filmed Entertainment segment is significantly affected by the timing and number of our theatrical and home entertainment releases, as well as their acceptance by consumers. Theatrical and home entertainment release dates are determined by several factors, including production schedules, vacation and holiday periods and the timing of competitive releases. As a result, revenue may fluctuate from period to period and is typically highest in the fourth quarter of each year. Theatrical revenue is affected by the number of exhibition screens, ticket prices, the percentage of ticket sale retention by theatrical exhibitors and the popularity of competing films at the time our films are released. The theatrical success of a film is a significant factor in determining the revenue a film is likely to generate in succeeding distribution platforms.</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Pro forma combined theatrical revenue for the three months ended March 31, 2011 decreased compared to the same period in 2010 primarily due to the underperformance of the theatrical releases in our 2011 slate. Pro forma combined content licensing revenue for the three months ended March 31, 2011 increased compared to the same period in 2010 primarily due to increases in content licensing of our film products on free and pay television platforms.</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 forma combined home entertainment revenue for the three months ended March 31, 2011 decreased compared to the same period in 2010 primarily due to fewer lead title releases during the three months ended March 31, 2011. Also, our home entertainment revenue has been negatively affected by declines in DVD sales, both in the U.S. and internationally. Several factors have contributed to these declines, including weak economic conditions, the maturation of the standard-definition DVD format, piracy, and intense competition for consumer discretionary spending and leisure time. DVD sales have also been negatively affected by an increasing shift by consumers toward subscription rental services, discount rental kiosks and digital forms of entertainment, such as video on demand services, which generate less revenue per transaction than DVD sales. We expect overall home entertainment revenue in 2011 will continue to be negatively affected by an overall decline in DVD sales.</w:t>
      </w:r>
    </w:p>
    <w:p>
      <w:pPr>
        <w:spacing w:after="0" w:line="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Pro forma combined other revenue for the three months ended March 31, 2011 decreased compared to the same period in 2010 primarily due to a decrease in revenue generated from our stage plays.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Segment—Operating Costs and Expenses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Filmed Entertainment segment operating costs and expenses consist primarily of amortization of capitalized film production and acquisition costs, residual and participation payments, and distribution and marketing costs. Residual payments represent amounts payable to certain of our employees who are represented by labor unions or guilds, such as the Writers Guild of America, Screen Actors Guild and the Directors Guild of America, and are based on post-theatrical revenue. Participation payments are primarily based on film performance and represent contingent consideration payable to creative talent and other parties involved in the production of a film, including producers, writers, directors, actors, and technical and production personnel, under employment or other agreements and to our film co-financing partners under co-financing agreements. Distribution and marketing costs consist primarily of the costs associated with theatrical prints and advertising and the replication, distribution and marketing of DVDs. Other operating costs and expenses include salaries, employee benefits, rent and other overhead costs.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incur significant marketing costs before and throughout the theatrical release of a film and in connection with the release of a film on other distribution platforms. As a result, we typically incur losses on a film prior to and during the film’s theatrical exhibition and may not realize profits, if any, until the film generates home entertainment and content licensing revenue. The costs of producing and marketing films have generally increased in recent years and may continue to increase in the future, particularly if competition within the filmed entertainment industry continues to intensify.</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 forma combined operating costs and expenses for the three months ended March 31, 2011 increased compared to the same period in 2010 primarily due to an increase in distribution and marketing costs associated with promoting theatrical releases in the second quarter of 2011. These costs were offset by lower amortization costs resulting from lower theatrical and home entertainment revenue.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Segment—Actual and Pro Forma Results of Operations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Theme Parks segment consists primarily of our Universal Studios Hollywood park, our Wet ‘n Wild water park, and fees from intellectual property licenses and other services from third parties that own and operate Universal Studios Japan and Universal Studios Singapore. We also have a 50% equity interest in, and receive special and other fees from UCDP, which owns Universal Studios Florida and Universal’s Islands of Adventure in Orlando, Florida. The income (loss) from this equity investment and other related properties (“Orlando Parks”) is included in operating income (loss) before depreciation and amortization for the Theme Parks segment.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vMerge w:val="restart"/>
          </w:tcPr>
          <w:p>
            <w:pPr>
              <w:jc w:val="center"/>
              <w:ind w:right="320"/>
              <w:spacing w:after="0"/>
              <w:rPr>
                <w:sz w:val="20"/>
                <w:szCs w:val="20"/>
                <w:color w:val="auto"/>
              </w:rPr>
            </w:pPr>
            <w:r>
              <w:rPr>
                <w:rFonts w:ascii="Arial" w:cs="Arial" w:eastAsia="Arial" w:hAnsi="Arial"/>
                <w:sz w:val="14"/>
                <w:szCs w:val="14"/>
                <w:color w:val="auto"/>
                <w:w w:val="89"/>
              </w:rPr>
              <w:t>Pro Forma Combined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restart"/>
          </w:tcPr>
          <w:p>
            <w:pPr>
              <w:jc w:val="center"/>
              <w:ind w:right="68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360" w:type="dxa"/>
            <w:vAlign w:val="bottom"/>
            <w:gridSpan w:val="3"/>
            <w:vMerge w:val="restart"/>
          </w:tcPr>
          <w:p>
            <w:pPr>
              <w:jc w:val="center"/>
              <w:ind w:right="580"/>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160" w:type="dxa"/>
            <w:vAlign w:val="bottom"/>
          </w:tcPr>
          <w:p>
            <w:pPr>
              <w:spacing w:after="0"/>
              <w:rPr>
                <w:sz w:val="10"/>
                <w:szCs w:val="10"/>
                <w:color w:val="auto"/>
              </w:rPr>
            </w:pPr>
          </w:p>
        </w:tc>
        <w:tc>
          <w:tcPr>
            <w:tcW w:w="1000" w:type="dxa"/>
            <w:vAlign w:val="bottom"/>
          </w:tcPr>
          <w:p>
            <w:pPr>
              <w:jc w:val="center"/>
              <w:ind w:right="82"/>
              <w:spacing w:after="0" w:line="115" w:lineRule="exact"/>
              <w:rPr>
                <w:sz w:val="20"/>
                <w:szCs w:val="20"/>
                <w:color w:val="auto"/>
              </w:rPr>
            </w:pPr>
            <w:r>
              <w:rPr>
                <w:rFonts w:ascii="Arial" w:cs="Arial" w:eastAsia="Arial" w:hAnsi="Arial"/>
                <w:sz w:val="12"/>
                <w:szCs w:val="12"/>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84"/>
              </w:rPr>
              <w:t>Pro Forma</w:t>
            </w:r>
            <w:r>
              <w:rPr>
                <w:rFonts w:ascii="Arial" w:cs="Arial" w:eastAsia="Arial" w:hAnsi="Arial"/>
                <w:sz w:val="22"/>
                <w:szCs w:val="22"/>
                <w:color w:val="auto"/>
                <w:w w:val="84"/>
                <w:vertAlign w:val="superscript"/>
              </w:rPr>
              <w:t>(c)</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740"/>
              <w:spacing w:after="0" w:line="176" w:lineRule="exact"/>
              <w:rPr>
                <w:sz w:val="20"/>
                <w:szCs w:val="20"/>
                <w:color w:val="auto"/>
              </w:rPr>
            </w:pPr>
            <w:r>
              <w:rPr>
                <w:rFonts w:ascii="Arial" w:cs="Arial" w:eastAsia="Arial" w:hAnsi="Arial"/>
                <w:sz w:val="13"/>
                <w:szCs w:val="13"/>
                <w:color w:val="auto"/>
                <w:w w:val="90"/>
              </w:rPr>
              <w:t>Combined</w:t>
            </w:r>
            <w:r>
              <w:rPr>
                <w:rFonts w:ascii="Arial" w:cs="Arial" w:eastAsia="Arial" w:hAnsi="Arial"/>
                <w:sz w:val="20"/>
                <w:szCs w:val="20"/>
                <w:color w:val="auto"/>
                <w:w w:val="90"/>
                <w:vertAlign w:val="superscript"/>
              </w:rPr>
              <w:t>(c)</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color w:val="auto"/>
                <w:w w:val="85"/>
              </w:rPr>
              <w:t>Increase/(Decrease)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60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9"/>
              </w:rPr>
              <w:t>For the period</w:t>
            </w:r>
          </w:p>
        </w:tc>
        <w:tc>
          <w:tcPr>
            <w:tcW w:w="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6"/>
              </w:rPr>
              <w:t>January 29</w:t>
            </w:r>
          </w:p>
        </w:tc>
        <w:tc>
          <w:tcPr>
            <w:tcW w:w="10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4"/>
              </w:rPr>
              <w:t>January 1</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8"/>
              </w:rPr>
              <w:t>through</w:t>
            </w:r>
          </w:p>
        </w:tc>
        <w:tc>
          <w:tcPr>
            <w:tcW w:w="10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8"/>
              </w:rPr>
              <w:t>through</w:t>
            </w:r>
          </w:p>
        </w:tc>
        <w:tc>
          <w:tcPr>
            <w:tcW w:w="174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7"/>
              </w:rPr>
              <w:t>Three Months Ended</w:t>
            </w: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7"/>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9"/>
              </w:rPr>
              <w:t>March 31</w:t>
            </w:r>
          </w:p>
        </w:tc>
        <w:tc>
          <w:tcPr>
            <w:tcW w:w="100" w:type="dxa"/>
            <w:vAlign w:val="bottom"/>
          </w:tcPr>
          <w:p>
            <w:pPr>
              <w:spacing w:after="0"/>
              <w:rPr>
                <w:sz w:val="13"/>
                <w:szCs w:val="13"/>
                <w:color w:val="auto"/>
              </w:rPr>
            </w:pPr>
          </w:p>
        </w:tc>
        <w:tc>
          <w:tcPr>
            <w:tcW w:w="126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3"/>
              </w:rPr>
              <w:t>January 28</w:t>
            </w:r>
          </w:p>
        </w:tc>
        <w:tc>
          <w:tcPr>
            <w:tcW w:w="160" w:type="dxa"/>
            <w:vAlign w:val="bottom"/>
          </w:tcPr>
          <w:p>
            <w:pPr>
              <w:spacing w:after="0"/>
              <w:rPr>
                <w:sz w:val="13"/>
                <w:szCs w:val="13"/>
                <w:color w:val="auto"/>
              </w:rPr>
            </w:pPr>
          </w:p>
        </w:tc>
        <w:tc>
          <w:tcPr>
            <w:tcW w:w="158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9"/>
              </w:rPr>
              <w:t>March 31</w:t>
            </w:r>
          </w:p>
        </w:tc>
        <w:tc>
          <w:tcPr>
            <w:tcW w:w="160" w:type="dxa"/>
            <w:vAlign w:val="bottom"/>
          </w:tcPr>
          <w:p>
            <w:pPr>
              <w:spacing w:after="0"/>
              <w:rPr>
                <w:sz w:val="13"/>
                <w:szCs w:val="13"/>
                <w:color w:val="auto"/>
              </w:rPr>
            </w:pPr>
          </w:p>
        </w:tc>
        <w:tc>
          <w:tcPr>
            <w:tcW w:w="1320" w:type="dxa"/>
            <w:vAlign w:val="bottom"/>
            <w:gridSpan w:val="2"/>
          </w:tcPr>
          <w:p>
            <w:pPr>
              <w:jc w:val="center"/>
              <w:ind w:right="480"/>
              <w:spacing w:after="0" w:line="159" w:lineRule="exact"/>
              <w:rPr>
                <w:sz w:val="20"/>
                <w:szCs w:val="20"/>
                <w:color w:val="auto"/>
              </w:rPr>
            </w:pPr>
            <w:r>
              <w:rPr>
                <w:rFonts w:ascii="Arial" w:cs="Arial" w:eastAsia="Arial" w:hAnsi="Arial"/>
                <w:sz w:val="14"/>
                <w:szCs w:val="14"/>
                <w:color w:val="auto"/>
                <w:w w:val="89"/>
              </w:rPr>
              <w:t>March 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ind w:right="101"/>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5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center"/>
              <w:ind w:left="442"/>
              <w:spacing w:after="0"/>
              <w:rPr>
                <w:sz w:val="20"/>
                <w:szCs w:val="20"/>
                <w:color w:val="auto"/>
              </w:rPr>
            </w:pPr>
            <w:r>
              <w:rPr>
                <w:rFonts w:ascii="Arial" w:cs="Arial" w:eastAsia="Arial" w:hAnsi="Arial"/>
                <w:sz w:val="18"/>
                <w:szCs w:val="18"/>
                <w:color w:val="auto"/>
                <w:w w:val="79"/>
              </w:rPr>
              <w:t>68</w:t>
            </w:r>
          </w:p>
        </w:tc>
        <w:tc>
          <w:tcPr>
            <w:tcW w:w="600" w:type="dxa"/>
            <w:vAlign w:val="bottom"/>
            <w:shd w:val="clear" w:color="auto" w:fill="E5E5E5"/>
          </w:tcPr>
          <w:p>
            <w:pPr>
              <w:spacing w:after="0"/>
              <w:rPr>
                <w:sz w:val="18"/>
                <w:szCs w:val="18"/>
                <w:color w:val="auto"/>
              </w:rPr>
            </w:pPr>
          </w:p>
        </w:tc>
        <w:tc>
          <w:tcPr>
            <w:tcW w:w="1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58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E5E5E5"/>
          </w:tcPr>
          <w:p>
            <w:pPr>
              <w:spacing w:after="0"/>
              <w:rPr>
                <w:sz w:val="18"/>
                <w:szCs w:val="18"/>
                <w:color w:val="auto"/>
              </w:rPr>
            </w:pPr>
          </w:p>
        </w:tc>
        <w:tc>
          <w:tcPr>
            <w:tcW w:w="4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E5E5E5"/>
          </w:tcPr>
          <w:p>
            <w:pPr>
              <w:spacing w:after="0"/>
              <w:rPr>
                <w:sz w:val="18"/>
                <w:szCs w:val="18"/>
                <w:color w:val="auto"/>
              </w:rPr>
            </w:pPr>
          </w:p>
        </w:tc>
        <w:tc>
          <w:tcPr>
            <w:tcW w:w="70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w w:val="93"/>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(9)</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shd w:val="clear" w:color="auto" w:fill="E5E5E5"/>
          </w:tcPr>
          <w:p>
            <w:pPr>
              <w:spacing w:after="0"/>
              <w:rPr>
                <w:sz w:val="20"/>
                <w:szCs w:val="20"/>
                <w:color w:val="auto"/>
              </w:rPr>
            </w:pPr>
            <w:r>
              <w:rPr>
                <w:rFonts w:ascii="Arial" w:cs="Arial" w:eastAsia="Arial" w:hAnsi="Arial"/>
                <w:sz w:val="18"/>
                <w:szCs w:val="18"/>
                <w:color w:val="auto"/>
              </w:rPr>
              <w:t>Orlando Parks</w:t>
            </w:r>
          </w:p>
        </w:tc>
        <w:tc>
          <w:tcPr>
            <w:tcW w:w="48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5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3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620" w:type="dxa"/>
            <w:vAlign w:val="bottom"/>
            <w:shd w:val="clear" w:color="auto" w:fill="E5E5E5"/>
          </w:tcPr>
          <w:p>
            <w:pPr>
              <w:spacing w:after="0"/>
              <w:rPr>
                <w:sz w:val="19"/>
                <w:szCs w:val="19"/>
                <w:color w:val="auto"/>
              </w:rPr>
            </w:pPr>
          </w:p>
        </w:tc>
        <w:tc>
          <w:tcPr>
            <w:tcW w:w="7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Operating income before depreciation</w:t>
            </w: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and amortization</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center"/>
              <w:ind w:left="442"/>
              <w:spacing w:after="0"/>
              <w:rPr>
                <w:sz w:val="20"/>
                <w:szCs w:val="20"/>
                <w:color w:val="auto"/>
              </w:rPr>
            </w:pPr>
            <w:r>
              <w:rPr>
                <w:rFonts w:ascii="Arial" w:cs="Arial" w:eastAsia="Arial" w:hAnsi="Arial"/>
                <w:sz w:val="18"/>
                <w:szCs w:val="18"/>
                <w:b w:val="1"/>
                <w:bCs w:val="1"/>
                <w:color w:val="auto"/>
                <w:w w:val="79"/>
              </w:rPr>
              <w:t>33</w:t>
            </w:r>
          </w:p>
        </w:tc>
        <w:tc>
          <w:tcPr>
            <w:tcW w:w="6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5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6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for the period January 29, 2011 through March 31, 2011.</w:t>
      </w:r>
    </w:p>
    <w:p>
      <w:pPr>
        <w:spacing w:after="0" w:line="55"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Pro forma amounts include the results of operations for the NBCUniversal acquired businesses from January 1, 2011 through January 28, 2011 and for the three months ended March 31, 2010. These amounts also include pro forma adjustments as if the NBCUniversal transaction occurred on January 1, 2010 including the effects of acquisition accounting and eliminating operating costs and expenses directly related to the transaction,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22"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transaction occurred on January 1, 2010 but are not necessarily indicative of what the results would have been had we operated the businesses since January 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Segment—Revenue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revenue is generated primarily from theme park attendance and related per capita spending, including ticket sales and in-park spending on food, beverage and merchandise, as well as from management, licensing and other fees.</w:t>
      </w:r>
    </w:p>
    <w:p>
      <w:pPr>
        <w:spacing w:after="0" w:line="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Revenue in our theme parks business fluctuates with the changes in theme park attendance that result from the seasonal nature of vacation travel, local entertainment offerings and seasonal weather variations. Our theme parks experience peak attendance generally during the summer months when school vacations occur and during early winter and spring holiday periods. License and other fees relate primarily to our agreements with third parties that operate the Universal Studios Japan and the Universal Studios Singapore theme parks to license the Universal Studios brand name, certain characters and other intellectual property.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 forma combined revenue for the three months ended March 31, 2011 increased compared to the same period in 2010 primarily due to increases in attendance and per capita spending at our Hollywood theme park, as well as additional management fees from our investment in the Orlando Parks. These increases were slightly offset by a decrease in international licensing fees.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Segment—Operating Costs and Expenses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costs of food, beverage and merchandise; labor costs; and sales and marketing costs.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Pro forma combined operating costs and expenses for the three months ended March 31, 2011 increased compared to the same period in 2010 primarily due to additional costs associated with increases in attendance and per capita spending at our Hollywood theme park.</w:t>
      </w:r>
    </w:p>
    <w:p>
      <w:pPr>
        <w:spacing w:after="0" w:line="37" w:lineRule="exact"/>
        <w:rPr>
          <w:sz w:val="20"/>
          <w:szCs w:val="20"/>
          <w:color w:val="auto"/>
        </w:rPr>
      </w:pPr>
    </w:p>
    <w:p>
      <w:pPr>
        <w:ind w:right="840"/>
        <w:spacing w:after="0" w:line="352" w:lineRule="auto"/>
        <w:rPr>
          <w:sz w:val="20"/>
          <w:szCs w:val="20"/>
          <w:color w:val="auto"/>
        </w:rPr>
      </w:pPr>
      <w:r>
        <w:rPr>
          <w:rFonts w:ascii="Arial" w:cs="Arial" w:eastAsia="Arial" w:hAnsi="Arial"/>
          <w:sz w:val="18"/>
          <w:szCs w:val="18"/>
          <w:color w:val="auto"/>
        </w:rPr>
        <w:t xml:space="preserve">We expect operating costs and expenses in our Theme Parks segment to increase due to our continued investment in and promotion of new attractions. </w:t>
      </w:r>
      <w:r>
        <w:rPr>
          <w:rFonts w:ascii="Arial" w:cs="Arial" w:eastAsia="Arial" w:hAnsi="Arial"/>
          <w:sz w:val="18"/>
          <w:szCs w:val="18"/>
          <w:b w:val="1"/>
          <w:bCs w:val="1"/>
          <w:i w:val="1"/>
          <w:iCs w:val="1"/>
          <w:color w:val="auto"/>
        </w:rPr>
        <w:t>Theme Parks Segment – Equity in Income (Loss) of Orlando Parks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 forma combined equity in income (loss) of Orlando Parks for the three months ended March 31, 2011 increased compared to the same period in 2010 primarily due to increases in attendance at the Orlando Parks related to the opening of the Wizarding World of Harry Potter</w:t>
      </w:r>
      <w:r>
        <w:rPr>
          <w:rFonts w:ascii="Arial" w:cs="Arial" w:eastAsia="Arial" w:hAnsi="Arial"/>
          <w:sz w:val="11"/>
          <w:szCs w:val="11"/>
          <w:color w:val="auto"/>
        </w:rPr>
        <w:t>TM</w:t>
      </w:r>
      <w:r>
        <w:rPr>
          <w:rFonts w:ascii="Arial" w:cs="Arial" w:eastAsia="Arial" w:hAnsi="Arial"/>
          <w:sz w:val="18"/>
          <w:szCs w:val="18"/>
          <w:color w:val="auto"/>
        </w:rPr>
        <w:t xml:space="preserve"> attraction in June 2010. The loss for the three months ended March 31, 2010 was primarily due to marketing and promotional expenses and lower attendance at the Orlando Parks in anticipation of the opening of the new Harry Potter attraction.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Headquarters and Other operating costs and expenses include corporate overhead, employee benefit expenses, expenses related to the NBCUniversal transaction, and corporate initiatives. Operating costs and expenses increased during the three months ended March 31, 2011 compared to the same period in 2010 primarily due to transaction-related costs, including severance and other compensation-related costs.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5"/>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jc w:val="right"/>
              <w:ind w:right="118"/>
              <w:spacing w:after="0" w:line="142" w:lineRule="exact"/>
              <w:rPr>
                <w:sz w:val="20"/>
                <w:szCs w:val="20"/>
                <w:color w:val="auto"/>
              </w:rPr>
            </w:pPr>
            <w:r>
              <w:rPr>
                <w:rFonts w:ascii="Arial" w:cs="Arial" w:eastAsia="Arial" w:hAnsi="Arial"/>
                <w:sz w:val="14"/>
                <w:szCs w:val="14"/>
                <w:color w:val="auto"/>
                <w:w w:val="83"/>
              </w:rPr>
              <w:t>2011</w:t>
            </w:r>
          </w:p>
        </w:tc>
        <w:tc>
          <w:tcPr>
            <w:tcW w:w="70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(605)</w:t>
            </w:r>
          </w:p>
        </w:tc>
        <w:tc>
          <w:tcPr>
            <w:tcW w:w="7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(589)</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(465)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 in interest expense for the three months ended March 31, 2011 compared to the same period in 2010 is primarily due to the effects of the NBCUniversal transaction and the consolidation of NBCUniversal’s outstanding debt of $9.1 billion.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2011 and 2010 are presented in a table in Note 6 to our condensed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Income tax expense for the three months ended March 31, 2011 and 2010 reflects an effective income tax rate that differs from the federal statutory rate primarily due to state income taxes and interest on uncertain tax positions, and, in 2011, due to the partnership structure of NBCUniversal Holdings. We expect our 2011 annual effective tax rate to be in the range of 35% to 40% due to the partnership structure of NBCUniversal Holdings.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Loss Attributable to Noncontrolling Interests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(income) loss attributable to noncontrolling interests for the three months ended March 31, 2011 increased compared to the same period in 2010 due to the NBCUniversal transaction. GE’s interest in NBCUniversal Holdings is recorded as a redeemable noncontrolling interest in our consolidated financial statements due to the redemption provisions outlined in Note 4 to our condensed consolidated financial statements. Net (income) loss attributable to noncontrolling interests includes GE’s allocated share of the earnings of NBCUniversal Holdings and NBCUniversal.</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Effective with the closing of the NBCUniversal transaction on January 28, 2011, NBCUniversal has a $750 million three-year revolving credit facility, which remained undrawn as of March 31, 2011.</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NBCUniversal transaction, we were required to make a cash payment of $6.2 billion to GE at the close of the transaction. We funded this payment with cash on hand and $650 million of commercial paper borrowings. The transaction also calls for the payment to GE, in the future, of certain tax benefits as they are realized. As of the closing of the NBCUniversal transaction on January 28, 2011, we consolidated $9.1 billion of NBCUniversal senior debt securities with maturities ranging from 2014 to 2041. We do not guarantee NBCUniversal’s debt obligations. Any future redemptions of GE’s stake in NBCUniversal Holdings are expected to be funded primarily through NBCUniversal’s cash flows from operating activities and its borrowing capacity. If any borrowings by NBCUniversal to fund either of GE’s two potential redemptions would result in NBCUniversal exceeding a certain leverage ratio or losing investment grade status or if it cannot otherwise fund such redemptions, we are committed to fund up to $2.875 billion in cash or our common stock for each of the two potential redemptions (for an aggregate of up to $5.75 billion, with amounts not used in the first redemption to be available for the second redemption) to the extent NBCUniversal Holdings cannot fund the redemptions.</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Affiliates of Blackstone Group L.P. (“Blackstone”) and NBCUniversal are 50% partners in UCDP. On March 9, 2011, Blackstone offered to sell its interest in UCDP to NBCUniversal. We have until early June 2011 to accept the offer. If we do not accept the offer, Blackstone has the right to market their and our UCDP interests to third parties, and both they and we would be required to sell our interests if a third party offers each of us a price that is at least 90% of the price at which Blackstone offered to sell its interest to us. We are currently evaluating Blackstone’s offer.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Activities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1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gridSpan w:val="2"/>
            <w:vMerge w:val="continue"/>
          </w:tcPr>
          <w:p>
            <w:pPr>
              <w:spacing w:after="0"/>
              <w:rPr>
                <w:sz w:val="12"/>
                <w:szCs w:val="12"/>
                <w:color w:val="auto"/>
              </w:rPr>
            </w:pPr>
          </w:p>
        </w:tc>
        <w:tc>
          <w:tcPr>
            <w:tcW w:w="1500" w:type="dxa"/>
            <w:vAlign w:val="bottom"/>
          </w:tcPr>
          <w:p>
            <w:pPr>
              <w:jc w:val="right"/>
              <w:ind w:right="577"/>
              <w:spacing w:after="0" w:line="142" w:lineRule="exact"/>
              <w:rPr>
                <w:sz w:val="20"/>
                <w:szCs w:val="20"/>
                <w:color w:val="auto"/>
              </w:rPr>
            </w:pPr>
            <w:r>
              <w:rPr>
                <w:rFonts w:ascii="Arial" w:cs="Arial" w:eastAsia="Arial" w:hAnsi="Arial"/>
                <w:sz w:val="14"/>
                <w:szCs w:val="14"/>
                <w:color w:val="auto"/>
              </w:rPr>
              <w:t>2011</w:t>
            </w: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Borders>
              <w:top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$ 2,224</w:t>
            </w:r>
          </w:p>
        </w:tc>
        <w:tc>
          <w:tcPr>
            <w:tcW w:w="66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9"/>
              </w:rPr>
              <w:t>$ 1,935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1,842</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income before depreciation and amortization</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4,066</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84</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7</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Cash basis operating income</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4,157</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(657)</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(74)</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68</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150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color w:val="auto"/>
              </w:rPr>
              <w:t>(26)</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b w:val="1"/>
                <w:bCs w:val="1"/>
                <w:color w:val="auto"/>
              </w:rPr>
              <w:t>$ 3,468</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9"/>
              </w:rPr>
              <w:t>$ 2,903</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changes in operating assets and liabilities during the three months ended March 31, 2011 compared to the same period in 2010 were primarily due to the NBCUniversal transaction and the timing of payments of operating items and payroll.</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interest payments during the three months ended March 31, 2011 compared to the same period in 2010 was primarily due to an increase in our outstanding debt.</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income tax payments during the three months ended March 31, 2011 compared to the same period in 2010 was primarily due to tax payments made in 2011 that related to prior years and NBCUniversal’s foreign tax payments.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investing activities for the three months ended March 31, 2011 consisted primarily of cash paid, net of cash acquired, for the NBCUniversal acquisition of $5.7 billion, capital expenditures of $1.1 billion and intangible assets of $123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three months ended March 31, 2011 consisted primarily of proceeds from short-term borrowings, net of $1.7 billion, offset by our repayments of debt at maturity of $1.8 billion, repurchases of our Class A Special common stock of $525 million and dividend payments of $261 million.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March 31, 2011, amounts available under all of our credit facilities totaled approximately $5.5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2011, we repurchased approximately 23 million shares of our Class A Special common stock under our share repurchase authorization for approximately $525 million. As of March 31, 2011, we had approximately $1.6 billion of availability remaining under our current share repurchase authorization. We intend to complete repurchases under the current share repurchase authorization by the end of 2011, subject to market conditions.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2011, our Board of Directors approved an increase of 19% to our planned annual dividend to $0.45 per share and approved the first quarterly dividend of $0.1125 per share, totaling $312 million, to be paid in April 2011. We expect to continue to pay quarterly dividends, although each dividend is subject to approval by our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NBCUniversal transaction, two additional areas have been identified as critical in the preparation of our condensed consolidated financial statements. The two additional critical accounting judgments and estimates are associated with the accounting for film and television costs and the valuation of acquisition-related assets and liabilities. See below for a discussion of these items.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a discussion of the other accounting judgments and estimates that we have identified as critical in the preparation of our consolidated financial statements, please refer to our 2010 Annual Report on Form 10-K.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the NBCUniversal transaction, we capitalize film and television production costs, including direct costs, production overhead, print costs, development costs and interest. We amortize capitalized film and television production costs, as well as associated participation and residual payments, on an individual production basis using the ratio of the current period’s actual revenue to estimated total remaining gross revenue from all sources (“ultimate revenue”). Estimates of ultimate revenue have a significant impact on how quickly capitalized costs are amortized and, therefore, are updated regularly.</w:t>
      </w:r>
    </w:p>
    <w:p>
      <w:pPr>
        <w:spacing w:after="0" w:line="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license revenue has historically exhibited a high correlation to theatrical performance. Upon a film’s release, our estimates of revenue from succeeding markets, including home entertainment, and other media platforms are revised based on historical relationships and an analysis of current market trends.</w:t>
      </w:r>
    </w:p>
    <w:p>
      <w:pPr>
        <w:spacing w:after="0" w:line="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in subsequent platforms, revenue estimates for these platforms, such as U.S. and international syndication, home entertainment and other media platforms, are included in ultimate revenue. In the case of television series and owned television programming, revenue estimates for produced episodes include revenue expected to be earned within 10 years of delivery of the initial episode or, if still in production, 5 years from the delivery of the most recent episode, if later.</w:t>
      </w:r>
    </w:p>
    <w:p>
      <w:pPr>
        <w:spacing w:after="0" w:line="2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Capitalized film and television costs are subject to impairment if the fair value of a film or owned television programming falls below its unamortized cost. The fair value assessment is generally based on estimated future discounted cash flows, which is supported by our internal forecasts.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Acquisition-Related Assets and Liabilities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allocate the purchase price of acquired companies to the tangible and intangible assets and liabilities based on their estimated fair values. In determining fair value, management is required to make estimates and assumptions that affect the recorded amounts. Management’s estimates of fair value are based on assumptions believed to be reasonable but that are inherently uncertain. To assist in the estimation process, third-party valuation specialists are engaged to assist in the valuation of certain of these assets and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judgments used to determine the estimated fair value assigned to each class of acquired assets and liabilities, as well as asset lives, can materially impact our results of operations. For instance, the determination of asset lives can impact our results of operations as different types of assets will have different useful lives and certain assets may even be considered to have indefinite useful lives.</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Below is a summary of the methodologies and significant assumptions used in estimating the fair value of certain of NBCUniversal’s assets and liabilities and GE’s redeemable noncontrolling interest.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 and Television Costs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Film and television costs consist of our preliminary estimates of fair value for released films and television series; completed, not released theatrical films; and television series and theatrical films in-production and in-development. Released theatrical films and television series and completed, not released theatrical films were valued using a multi-period cash flow model, a form of the income approach. This measure of fair value requires considerable judgments about the timing of cash flows and distribution patterns. Television series and theatrical films in-production and in-development were valued at historical cost. Contractual programming rights were adjusted to market rates using undiscounted cash flows and market assumptions, when available.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preliminary estimates of fair value for significant investments in non-public investees were determined using an income approach. This method starts with a forecast of all of the expected future net cash flows associated with the investment and then involves adjusting the forecast to present value by applying an appropriate discount rate that reflects the risk factors associated with the cash flow streams of the underlying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preliminary estimated fair value of acquired property and equipment was primarily determined using a market approach for land and a replacement cost approach for depreciable property and equipment. The market approach for land assets represents a sales comparison that measures the value of an asset through an analysis of sales and offerings of comparable property. The replacement cost approach used for depreciable property and equipment measures the value of an asset by estimating the cost to acquire or construct comparable assets and adjusts for age and condition of the asset.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7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Intangible assets primarily consist of our preliminary estimates of fair value for relationships with advertisers and multichannel video providers, each with an estimated useful life not to exceed 20 years, and indefinite-lived trade names and Federal Communication Commission (“FCC”) licenses.</w:t>
      </w:r>
    </w:p>
    <w:p>
      <w:pPr>
        <w:spacing w:after="0" w:line="1"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Relationships with advertisers and multichannel video providers were valued using a multi-period cash flow model, a form of the income approach. This measure of fair value requires considerable judgments about future events, including contract renewal estimates, attrition and technology changes.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determining the estimated lives and method of amortization for finite-lived intangibles, we use the method and life that most closely follows the undiscounted cash flows over the estimated life of the asset.</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Tradenames were valued using the relief-from-royalty method, a form of the income approach. This measure of fair value requires considerable judgment about the value a market participant would be willing to pay in order to achieve the benefits associated with the tradename.</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FCC licenses were valued using the Greenfield method, a form of the income approach. This measure of fair value captures the future income potential assuming the license is used by a hypothetical start-up operation.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other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were adjusted to market rates using a combination of discounted cash flows or market assumptions, when available.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fair value component of the redeemable noncontrolling interest in NBCUniversal Holdings is based on an income approach including assumptions related to expected future net cash flows, the timing and nature of tax attributes and the redemption features.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Fair Values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estimates associated with the accounting for the NBCUniversal transaction have and will continue to change as final valuation reports are obtained and additional information becomes available regarding acquired assets and liabilities. The recorded amounts are preliminary and subject to change. The following items are the significant areas subject to change:</w:t>
      </w:r>
    </w:p>
    <w:p>
      <w:pPr>
        <w:spacing w:after="0" w:line="46" w:lineRule="exact"/>
        <w:rPr>
          <w:sz w:val="20"/>
          <w:szCs w:val="20"/>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film and television costs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indefinite-lived and finite-lived intangibles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commitments and contingencies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contingent consideration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redeemable noncontrolling interest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final amount of goodwill and the allocation of goodwill to reporting units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2010 Annual Report on Form 10-K and except as discussed below, there have been no significant changes to this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a result of the NBCUniversal transaction, our condensed consolidated balance sheet now includes $9.1 billion principal amount of senior debt securities with fixed interest rates ranging from 2.1% to 6.4% and maturities ranging from 2014 to 2041. In accordance with our policies, we have entered into fixed to variable swaps on $600 million principal amount of these senior debt securities, with maturities ranging from 2014 to 2016.</w:t>
      </w:r>
    </w:p>
    <w:p>
      <w:pPr>
        <w:spacing w:after="0" w:line="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8 to our condensed consolidated financial statements for a discussion on the NBCUniversal senior debt securities and to Note 9 to our condensed consolidated financial statements for a discussion on our derivative financial instruments.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 Management</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NBCUniversal has significant operations in a number of countries outside the U.S. and certain of NBCUniversal’s operations are conducted in foreign currencies. The value of these currencies fluctuates relative to the U.S. dollar. As a result, we are exposed to exchange rate fluctuations, which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we enter into derivative financial instruments related to a significant portion of our foreign currency exposures anticipated over the calendar year. The primary type of derivative financial instrument that we enter into is a foreign currency forward contract that changes in value as foreign exchange rates change to protect the U.S. dollar equivalent value of our existing foreign currency assets, liabilities, commitments, and forecasted foreign currency revenues and expenses. In accordance with our policy, we hedge forecasted foreign currency transactions for periods generally not to exceed one year. In certain circumstances we may hedge a transaction not to exceed 18 months.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2011, we had foreign exchange contracts on a total notional value of $1.304 billion, with aggregate estimated fair value losses of $22 million.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a result of our acquisition of NBCUniversal on January 28, 2011, our internal control over financial reporting, subsequent to the date of acquisition, includes certain additional internal controls relating to NBCUniversal. Except as described above, there were no other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16 to our condensed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2010 Annual Report on Form 10-K.</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Board-authorized share repurchase program during the three months ended March 31,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40" w:type="dxa"/>
            <w:vAlign w:val="bottom"/>
            <w:vMerge w:val="restart"/>
          </w:tcPr>
          <w:p>
            <w:pPr>
              <w:jc w:val="center"/>
              <w:ind w:left="782"/>
              <w:spacing w:after="0"/>
              <w:rPr>
                <w:sz w:val="20"/>
                <w:szCs w:val="20"/>
                <w:color w:val="auto"/>
              </w:rPr>
            </w:pPr>
            <w:r>
              <w:rPr>
                <w:rFonts w:ascii="Arial" w:cs="Arial" w:eastAsia="Arial" w:hAnsi="Arial"/>
                <w:sz w:val="14"/>
                <w:szCs w:val="14"/>
                <w:color w:val="auto"/>
                <w:w w:val="89"/>
              </w:rPr>
              <w:t>Total</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w w:val="96"/>
              </w:rPr>
              <w:t>Maximum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color w:val="auto"/>
                <w:w w:val="82"/>
              </w:rPr>
              <w:t>Shares Purchased as</w:t>
            </w:r>
          </w:p>
        </w:tc>
        <w:tc>
          <w:tcPr>
            <w:tcW w:w="400" w:type="dxa"/>
            <w:vAlign w:val="bottom"/>
          </w:tcPr>
          <w:p>
            <w:pPr>
              <w:spacing w:after="0"/>
              <w:rPr>
                <w:sz w:val="11"/>
                <w:szCs w:val="11"/>
                <w:color w:val="auto"/>
              </w:rPr>
            </w:pPr>
          </w:p>
        </w:tc>
        <w:tc>
          <w:tcPr>
            <w:tcW w:w="1200" w:type="dxa"/>
            <w:vAlign w:val="bottom"/>
          </w:tcPr>
          <w:p>
            <w:pPr>
              <w:jc w:val="center"/>
              <w:ind w:right="339"/>
              <w:spacing w:after="0" w:line="135" w:lineRule="exact"/>
              <w:rPr>
                <w:sz w:val="20"/>
                <w:szCs w:val="20"/>
                <w:color w:val="auto"/>
              </w:rPr>
            </w:pPr>
            <w:r>
              <w:rPr>
                <w:rFonts w:ascii="Arial" w:cs="Arial" w:eastAsia="Arial" w:hAnsi="Arial"/>
                <w:sz w:val="14"/>
                <w:szCs w:val="14"/>
                <w:color w:val="auto"/>
                <w:w w:val="92"/>
              </w:rPr>
              <w:t>Total Dollar</w:t>
            </w:r>
          </w:p>
        </w:tc>
        <w:tc>
          <w:tcPr>
            <w:tcW w:w="380" w:type="dxa"/>
            <w:vAlign w:val="bottom"/>
          </w:tcPr>
          <w:p>
            <w:pPr>
              <w:spacing w:after="0"/>
              <w:rPr>
                <w:sz w:val="11"/>
                <w:szCs w:val="11"/>
                <w:color w:val="auto"/>
              </w:rPr>
            </w:pPr>
          </w:p>
        </w:tc>
        <w:tc>
          <w:tcPr>
            <w:tcW w:w="1300" w:type="dxa"/>
            <w:vAlign w:val="bottom"/>
          </w:tcPr>
          <w:p>
            <w:pPr>
              <w:jc w:val="center"/>
              <w:ind w:right="102"/>
              <w:spacing w:after="0" w:line="135" w:lineRule="exact"/>
              <w:rPr>
                <w:sz w:val="20"/>
                <w:szCs w:val="20"/>
                <w:color w:val="auto"/>
              </w:rPr>
            </w:pPr>
            <w:r>
              <w:rPr>
                <w:rFonts w:ascii="Arial" w:cs="Arial" w:eastAsia="Arial" w:hAnsi="Arial"/>
                <w:sz w:val="14"/>
                <w:szCs w:val="14"/>
                <w:color w:val="auto"/>
                <w:w w:val="88"/>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40" w:type="dxa"/>
            <w:vAlign w:val="bottom"/>
          </w:tcPr>
          <w:p>
            <w:pPr>
              <w:jc w:val="center"/>
              <w:ind w:left="782"/>
              <w:spacing w:after="0" w:line="149" w:lineRule="exact"/>
              <w:rPr>
                <w:sz w:val="20"/>
                <w:szCs w:val="20"/>
                <w:color w:val="auto"/>
              </w:rPr>
            </w:pPr>
            <w:r>
              <w:rPr>
                <w:rFonts w:ascii="Arial" w:cs="Arial" w:eastAsia="Arial" w:hAnsi="Arial"/>
                <w:sz w:val="14"/>
                <w:szCs w:val="14"/>
                <w:color w:val="auto"/>
                <w:w w:val="88"/>
              </w:rPr>
              <w:t>Number</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400" w:type="dxa"/>
            <w:vAlign w:val="bottom"/>
          </w:tcPr>
          <w:p>
            <w:pPr>
              <w:spacing w:after="0"/>
              <w:rPr>
                <w:sz w:val="12"/>
                <w:szCs w:val="12"/>
                <w:color w:val="auto"/>
              </w:rPr>
            </w:pPr>
          </w:p>
        </w:tc>
        <w:tc>
          <w:tcPr>
            <w:tcW w:w="1200" w:type="dxa"/>
            <w:vAlign w:val="bottom"/>
          </w:tcPr>
          <w:p>
            <w:pPr>
              <w:jc w:val="center"/>
              <w:ind w:right="319"/>
              <w:spacing w:after="0" w:line="149" w:lineRule="exact"/>
              <w:rPr>
                <w:sz w:val="20"/>
                <w:szCs w:val="20"/>
                <w:color w:val="auto"/>
              </w:rPr>
            </w:pPr>
            <w:r>
              <w:rPr>
                <w:rFonts w:ascii="Arial" w:cs="Arial" w:eastAsia="Arial" w:hAnsi="Arial"/>
                <w:sz w:val="14"/>
                <w:szCs w:val="14"/>
                <w:color w:val="auto"/>
                <w:w w:val="91"/>
              </w:rPr>
              <w:t>Amount</w:t>
            </w:r>
          </w:p>
        </w:tc>
        <w:tc>
          <w:tcPr>
            <w:tcW w:w="380" w:type="dxa"/>
            <w:vAlign w:val="bottom"/>
          </w:tcPr>
          <w:p>
            <w:pPr>
              <w:spacing w:after="0"/>
              <w:rPr>
                <w:sz w:val="12"/>
                <w:szCs w:val="12"/>
                <w:color w:val="auto"/>
              </w:rPr>
            </w:pPr>
          </w:p>
        </w:tc>
        <w:tc>
          <w:tcPr>
            <w:tcW w:w="13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5"/>
              </w:rPr>
              <w:t>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40" w:type="dxa"/>
            <w:vAlign w:val="bottom"/>
          </w:tcPr>
          <w:p>
            <w:pPr>
              <w:jc w:val="center"/>
              <w:ind w:left="782"/>
              <w:spacing w:after="0" w:line="149" w:lineRule="exact"/>
              <w:rPr>
                <w:sz w:val="20"/>
                <w:szCs w:val="20"/>
                <w:color w:val="auto"/>
              </w:rPr>
            </w:pPr>
            <w:r>
              <w:rPr>
                <w:rFonts w:ascii="Arial" w:cs="Arial" w:eastAsia="Arial" w:hAnsi="Arial"/>
                <w:sz w:val="14"/>
                <w:szCs w:val="14"/>
                <w:color w:val="auto"/>
                <w:w w:val="86"/>
              </w:rPr>
              <w:t>of Shares</w:t>
            </w:r>
          </w:p>
        </w:tc>
        <w:tc>
          <w:tcPr>
            <w:tcW w:w="14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Purchased Under</w:t>
            </w:r>
          </w:p>
        </w:tc>
        <w:tc>
          <w:tcPr>
            <w:tcW w:w="380" w:type="dxa"/>
            <w:vAlign w:val="bottom"/>
          </w:tcPr>
          <w:p>
            <w:pPr>
              <w:spacing w:after="0"/>
              <w:rPr>
                <w:sz w:val="12"/>
                <w:szCs w:val="12"/>
                <w:color w:val="auto"/>
              </w:rPr>
            </w:pPr>
          </w:p>
        </w:tc>
        <w:tc>
          <w:tcPr>
            <w:tcW w:w="130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86"/>
              </w:rPr>
              <w:t>Be Purchased Under</w:t>
            </w:r>
          </w:p>
        </w:tc>
        <w:tc>
          <w:tcPr>
            <w:tcW w:w="0" w:type="dxa"/>
            <w:vAlign w:val="bottom"/>
          </w:tcPr>
          <w:p>
            <w:pPr>
              <w:spacing w:after="0"/>
              <w:rPr>
                <w:sz w:val="1"/>
                <w:szCs w:val="1"/>
                <w:color w:val="auto"/>
              </w:rPr>
            </w:pPr>
          </w:p>
        </w:tc>
      </w:tr>
      <w:tr>
        <w:trPr>
          <w:trHeight w:val="173"/>
        </w:trPr>
        <w:tc>
          <w:tcPr>
            <w:tcW w:w="26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340" w:type="dxa"/>
            <w:vAlign w:val="bottom"/>
          </w:tcPr>
          <w:p>
            <w:pPr>
              <w:jc w:val="center"/>
              <w:ind w:left="782"/>
              <w:spacing w:after="0"/>
              <w:rPr>
                <w:sz w:val="20"/>
                <w:szCs w:val="20"/>
                <w:color w:val="auto"/>
              </w:rPr>
            </w:pPr>
            <w:r>
              <w:rPr>
                <w:rFonts w:ascii="Arial" w:cs="Arial" w:eastAsia="Arial" w:hAnsi="Arial"/>
                <w:sz w:val="14"/>
                <w:szCs w:val="14"/>
                <w:color w:val="auto"/>
                <w:w w:val="83"/>
              </w:rPr>
              <w:t>Purchased</w:t>
            </w:r>
          </w:p>
        </w:tc>
        <w:tc>
          <w:tcPr>
            <w:tcW w:w="420" w:type="dxa"/>
            <w:vAlign w:val="bottom"/>
          </w:tcPr>
          <w:p>
            <w:pPr>
              <w:spacing w:after="0"/>
              <w:rPr>
                <w:sz w:val="15"/>
                <w:szCs w:val="15"/>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color w:val="auto"/>
                <w:w w:val="82"/>
              </w:rPr>
              <w:t>Per Share</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Authorization</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the Authorization</w:t>
            </w:r>
          </w:p>
        </w:tc>
        <w:tc>
          <w:tcPr>
            <w:tcW w:w="380" w:type="dxa"/>
            <w:vAlign w:val="bottom"/>
          </w:tcPr>
          <w:p>
            <w:pPr>
              <w:spacing w:after="0"/>
              <w:rPr>
                <w:sz w:val="15"/>
                <w:szCs w:val="15"/>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color w:val="auto"/>
                <w:w w:val="88"/>
              </w:rPr>
              <w:t>the Authorization(a)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January 1-31, 2011</w:t>
            </w:r>
          </w:p>
        </w:tc>
        <w:tc>
          <w:tcPr>
            <w:tcW w:w="2340" w:type="dxa"/>
            <w:vAlign w:val="bottom"/>
            <w:tcBorders>
              <w:top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E5E5E5"/>
          </w:tcPr>
          <w:p>
            <w:pPr>
              <w:jc w:val="right"/>
              <w:ind w:right="24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E5E5E5"/>
          </w:tcPr>
          <w:p>
            <w:pPr>
              <w:ind w:left="30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color w:val="auto"/>
                <w:w w:val="99"/>
              </w:rPr>
              <w:t>2,140,960,220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February 1-28, 2011</w:t>
            </w:r>
          </w:p>
        </w:tc>
        <w:tc>
          <w:tcPr>
            <w:tcW w:w="2340" w:type="dxa"/>
            <w:vAlign w:val="bottom"/>
          </w:tcPr>
          <w:p>
            <w:pPr>
              <w:jc w:val="right"/>
              <w:ind w:right="242"/>
              <w:spacing w:after="0"/>
              <w:rPr>
                <w:sz w:val="20"/>
                <w:szCs w:val="20"/>
                <w:color w:val="auto"/>
              </w:rPr>
            </w:pPr>
            <w:r>
              <w:rPr>
                <w:rFonts w:ascii="Arial" w:cs="Arial" w:eastAsia="Arial" w:hAnsi="Arial"/>
                <w:sz w:val="18"/>
                <w:szCs w:val="18"/>
                <w:color w:val="auto"/>
              </w:rPr>
              <w:t>14,259,276</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36"/>
              <w:spacing w:after="0"/>
              <w:rPr>
                <w:sz w:val="20"/>
                <w:szCs w:val="20"/>
                <w:color w:val="auto"/>
              </w:rPr>
            </w:pPr>
            <w:r>
              <w:rPr>
                <w:rFonts w:ascii="Arial" w:cs="Arial" w:eastAsia="Arial" w:hAnsi="Arial"/>
                <w:sz w:val="18"/>
                <w:szCs w:val="18"/>
                <w:color w:val="auto"/>
              </w:rPr>
              <w:t>22.08</w:t>
            </w:r>
          </w:p>
        </w:tc>
        <w:tc>
          <w:tcPr>
            <w:tcW w:w="1720" w:type="dxa"/>
            <w:vAlign w:val="bottom"/>
          </w:tcPr>
          <w:p>
            <w:pPr>
              <w:jc w:val="right"/>
              <w:ind w:right="243"/>
              <w:spacing w:after="0"/>
              <w:rPr>
                <w:sz w:val="20"/>
                <w:szCs w:val="20"/>
                <w:color w:val="auto"/>
              </w:rPr>
            </w:pPr>
            <w:r>
              <w:rPr>
                <w:rFonts w:ascii="Arial" w:cs="Arial" w:eastAsia="Arial" w:hAnsi="Arial"/>
                <w:sz w:val="18"/>
                <w:szCs w:val="18"/>
                <w:color w:val="auto"/>
              </w:rPr>
              <w:t>14,229,832</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39"/>
              <w:spacing w:after="0"/>
              <w:rPr>
                <w:sz w:val="20"/>
                <w:szCs w:val="20"/>
                <w:color w:val="auto"/>
              </w:rPr>
            </w:pPr>
            <w:r>
              <w:rPr>
                <w:rFonts w:ascii="Arial" w:cs="Arial" w:eastAsia="Arial" w:hAnsi="Arial"/>
                <w:sz w:val="18"/>
                <w:szCs w:val="18"/>
                <w:color w:val="auto"/>
                <w:w w:val="85"/>
              </w:rPr>
              <w:t>314,210,380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62"/>
              <w:spacing w:after="0"/>
              <w:rPr>
                <w:sz w:val="20"/>
                <w:szCs w:val="20"/>
                <w:color w:val="auto"/>
              </w:rPr>
            </w:pPr>
            <w:r>
              <w:rPr>
                <w:rFonts w:ascii="Arial" w:cs="Arial" w:eastAsia="Arial" w:hAnsi="Arial"/>
                <w:sz w:val="18"/>
                <w:szCs w:val="18"/>
                <w:color w:val="auto"/>
                <w:w w:val="99"/>
              </w:rPr>
              <w:t>1,826,749,840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March 1-31, 2011</w:t>
            </w:r>
          </w:p>
        </w:tc>
        <w:tc>
          <w:tcPr>
            <w:tcW w:w="2340" w:type="dxa"/>
            <w:vAlign w:val="bottom"/>
            <w:tcBorders>
              <w:bottom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color w:val="auto"/>
              </w:rPr>
              <w:t>9,100,000</w:t>
            </w:r>
          </w:p>
        </w:tc>
        <w:tc>
          <w:tcPr>
            <w:tcW w:w="42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color w:val="auto"/>
              </w:rPr>
              <w:t>23.17</w:t>
            </w:r>
          </w:p>
        </w:tc>
        <w:tc>
          <w:tcPr>
            <w:tcW w:w="1720" w:type="dxa"/>
            <w:vAlign w:val="bottom"/>
            <w:tcBorders>
              <w:bottom w:val="single" w:sz="8" w:color="auto"/>
            </w:tcBorders>
            <w:shd w:val="clear" w:color="auto" w:fill="E5E5E5"/>
          </w:tcPr>
          <w:p>
            <w:pPr>
              <w:jc w:val="right"/>
              <w:ind w:right="243"/>
              <w:spacing w:after="0"/>
              <w:rPr>
                <w:sz w:val="20"/>
                <w:szCs w:val="20"/>
                <w:color w:val="auto"/>
              </w:rPr>
            </w:pPr>
            <w:r>
              <w:rPr>
                <w:rFonts w:ascii="Arial" w:cs="Arial" w:eastAsia="Arial" w:hAnsi="Arial"/>
                <w:sz w:val="18"/>
                <w:szCs w:val="18"/>
                <w:color w:val="auto"/>
              </w:rPr>
              <w:t>9,100,000</w:t>
            </w:r>
          </w:p>
        </w:tc>
        <w:tc>
          <w:tcPr>
            <w:tcW w:w="4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5E5E5"/>
          </w:tcPr>
          <w:p>
            <w:pPr>
              <w:jc w:val="right"/>
              <w:ind w:right="239"/>
              <w:spacing w:after="0"/>
              <w:rPr>
                <w:sz w:val="20"/>
                <w:szCs w:val="20"/>
                <w:color w:val="auto"/>
              </w:rPr>
            </w:pPr>
            <w:r>
              <w:rPr>
                <w:rFonts w:ascii="Arial" w:cs="Arial" w:eastAsia="Arial" w:hAnsi="Arial"/>
                <w:sz w:val="18"/>
                <w:szCs w:val="18"/>
                <w:color w:val="auto"/>
                <w:w w:val="85"/>
              </w:rPr>
              <w:t>210,875,970</w:t>
            </w:r>
          </w:p>
        </w:tc>
        <w:tc>
          <w:tcPr>
            <w:tcW w:w="38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color w:val="auto"/>
                <w:w w:val="99"/>
              </w:rPr>
              <w:t>1,615,873,870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34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23,359,276</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22.51</w:t>
            </w: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8"/>
                <w:szCs w:val="18"/>
                <w:b w:val="1"/>
                <w:bCs w:val="1"/>
                <w:color w:val="auto"/>
              </w:rPr>
              <w:t>23,329,832</w:t>
            </w:r>
          </w:p>
        </w:tc>
        <w:tc>
          <w:tcPr>
            <w:tcW w:w="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w w:val="85"/>
              </w:rPr>
              <w:t>525,086,350</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w w:val="99"/>
              </w:rPr>
              <w:t>1,615,873,870</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2007, our Board of Directors authorized a $7 billion addition to our existing share repurchase authorization. Under this authorization, we may repurchase shares in the open market or in private transactions, subject to market conditions. The current share repurchase authorization does not have an expiration date. As of March 31, 2011, we had approximately $1.6 billion of availability remaining under our share repurchase authorization. We intend to complete repurchases under the current share repurchase authorization by the end of 2011, subject to market conditions.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March 31, 2011 includes 29,444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7"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5"/>
          <w:szCs w:val="15"/>
          <w:color w:val="auto"/>
        </w:rPr>
        <w:t>Comcast Corporation 2002 Non-Employee Director Compensation Plan, as amended and restated effective February 23, 2011.</w:t>
      </w:r>
    </w:p>
    <w:p>
      <w:pPr>
        <w:spacing w:after="0" w:line="9" w:lineRule="exact"/>
        <w:rPr>
          <w:rFonts w:ascii="Arial" w:cs="Arial" w:eastAsia="Arial" w:hAnsi="Arial"/>
          <w:sz w:val="18"/>
          <w:szCs w:val="18"/>
          <w:color w:val="auto"/>
        </w:rPr>
      </w:pPr>
    </w:p>
    <w:p>
      <w:pPr>
        <w:ind w:left="820" w:hanging="810"/>
        <w:spacing w:after="0" w:line="250" w:lineRule="auto"/>
        <w:rPr>
          <w:rFonts w:ascii="Arial" w:cs="Arial" w:eastAsia="Arial" w:hAnsi="Arial"/>
          <w:sz w:val="18"/>
          <w:szCs w:val="18"/>
          <w:color w:val="auto"/>
        </w:rPr>
      </w:pPr>
      <w:r>
        <w:rPr>
          <w:rFonts w:ascii="Arial" w:cs="Arial" w:eastAsia="Arial" w:hAnsi="Arial"/>
          <w:sz w:val="18"/>
          <w:szCs w:val="18"/>
          <w:color w:val="auto"/>
        </w:rPr>
        <w:t>10.2*Comcast-NBCUniversal 2011 Employee Stock Purchase Plan (incorporated by reference to Appendix A to our Definitive Proxy Statement on Schedule 14A filed on April 1, 2011).</w:t>
      </w:r>
    </w:p>
    <w:p>
      <w:pPr>
        <w:ind w:left="820" w:hanging="810"/>
        <w:spacing w:after="0" w:line="250" w:lineRule="auto"/>
        <w:rPr>
          <w:rFonts w:ascii="Arial" w:cs="Arial" w:eastAsia="Arial" w:hAnsi="Arial"/>
          <w:sz w:val="18"/>
          <w:szCs w:val="18"/>
          <w:color w:val="auto"/>
        </w:rPr>
      </w:pPr>
      <w:r>
        <w:rPr>
          <w:rFonts w:ascii="Arial" w:cs="Arial" w:eastAsia="Arial" w:hAnsi="Arial"/>
          <w:sz w:val="18"/>
          <w:szCs w:val="18"/>
          <w:color w:val="auto"/>
        </w:rPr>
        <w:t>10.3*Comcast Corporation 2002 Restricted Stock Plan, as amended and restated effective February 22, 2011 (incorporated by reference to Appendix B to our Definitive Proxy Statement on Schedule 14A filed on April 1, 2011).</w:t>
      </w:r>
    </w:p>
    <w:p>
      <w:pPr>
        <w:ind w:left="820" w:hanging="810"/>
        <w:spacing w:after="0" w:line="250" w:lineRule="auto"/>
        <w:rPr>
          <w:rFonts w:ascii="Arial" w:cs="Arial" w:eastAsia="Arial" w:hAnsi="Arial"/>
          <w:sz w:val="18"/>
          <w:szCs w:val="18"/>
          <w:color w:val="auto"/>
        </w:rPr>
      </w:pPr>
      <w:r>
        <w:rPr>
          <w:rFonts w:ascii="Arial" w:cs="Arial" w:eastAsia="Arial" w:hAnsi="Arial"/>
          <w:sz w:val="18"/>
          <w:szCs w:val="18"/>
          <w:color w:val="auto"/>
        </w:rPr>
        <w:t>10.4*Comcast Corporation 2003 Stock Option Plan, as amended and restated effective February 22, 2011 (incorporated by reference to Appendix C to our Definitive Proxy Statement on Schedule 14A filed on April 1, 2011).</w:t>
      </w:r>
    </w:p>
    <w:p>
      <w:pPr>
        <w:spacing w:after="0"/>
        <w:rPr>
          <w:rFonts w:ascii="Arial" w:cs="Arial" w:eastAsia="Arial" w:hAnsi="Arial"/>
          <w:sz w:val="18"/>
          <w:szCs w:val="18"/>
          <w:color w:val="auto"/>
        </w:rPr>
      </w:pPr>
      <w:r>
        <w:rPr>
          <w:rFonts w:ascii="Arial" w:cs="Arial" w:eastAsia="Arial" w:hAnsi="Arial"/>
          <w:sz w:val="18"/>
          <w:szCs w:val="18"/>
          <w:color w:val="auto"/>
        </w:rPr>
        <w:t>10.5*</w:t>
      </w:r>
      <w:r>
        <w:rPr>
          <w:rFonts w:ascii="Arial" w:cs="Arial" w:eastAsia="Arial" w:hAnsi="Arial"/>
          <w:sz w:val="15"/>
          <w:szCs w:val="15"/>
          <w:color w:val="auto"/>
        </w:rPr>
        <w:t>Comcast Corporation 2006 Cash Bonus Plan, as amended and restated effective February 22, 2011.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10.6*</w:t>
      </w:r>
      <w:r>
        <w:rPr>
          <w:rFonts w:ascii="Arial" w:cs="Arial" w:eastAsia="Arial" w:hAnsi="Arial"/>
          <w:sz w:val="15"/>
          <w:szCs w:val="15"/>
          <w:color w:val="auto"/>
        </w:rPr>
        <w:t>Comcast Corporation 2005 Deferred Compensation Plan, as amended and restated effective February 22, 2011.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10.7*</w:t>
      </w:r>
      <w:r>
        <w:rPr>
          <w:rFonts w:ascii="Arial" w:cs="Arial" w:eastAsia="Arial" w:hAnsi="Arial"/>
          <w:sz w:val="15"/>
          <w:szCs w:val="15"/>
          <w:color w:val="auto"/>
        </w:rPr>
        <w:t>Form of Restricted Stock Unit Award under the Comcast Corporation 2002 Restricted Stock Plan.</w:t>
      </w:r>
    </w:p>
    <w:p>
      <w:pPr>
        <w:spacing w:after="0" w:line="9" w:lineRule="exact"/>
        <w:rPr>
          <w:rFonts w:ascii="Arial" w:cs="Arial" w:eastAsia="Arial" w:hAnsi="Arial"/>
          <w:sz w:val="18"/>
          <w:szCs w:val="18"/>
          <w:color w:val="auto"/>
        </w:rPr>
      </w:pPr>
    </w:p>
    <w:p>
      <w:pPr>
        <w:jc w:val="both"/>
        <w:ind w:left="820" w:hanging="812"/>
        <w:spacing w:after="0" w:line="253"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months ended March 31, 2011, filed with the Securities and Exchange Commission on May 4, 2011,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ind w:left="5620" w:right="5600" w:hanging="5612"/>
        <w:spacing w:after="0" w:line="525" w:lineRule="auto"/>
        <w:tabs>
          <w:tab w:leader="none" w:pos="458"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2011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NON-EMPLOYEE DIRECTOR COMPENSATION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February 23, 2011)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BACKGROUND AND PURPOSE</w:t>
      </w:r>
    </w:p>
    <w:p>
      <w:pPr>
        <w:spacing w:after="0" w:line="9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Non-Employee Director Compensation Plan</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February 23, 2011, except as otherwise specifically provided herein. The purpose of the Plan is to provide Non-Employee Directors of COMCAST CORPORATION (the “Company”) with compensation for services to the Company.</w:t>
      </w:r>
    </w:p>
    <w:p>
      <w:pPr>
        <w:spacing w:after="0" w:line="215"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300" w:firstLine="921"/>
        <w:spacing w:after="0" w:line="268"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Retainer</w:t>
      </w:r>
      <w:r>
        <w:rPr>
          <w:rFonts w:ascii="Arial" w:cs="Arial" w:eastAsia="Arial" w:hAnsi="Arial"/>
          <w:sz w:val="18"/>
          <w:szCs w:val="18"/>
          <w:color w:val="auto"/>
        </w:rPr>
        <w:t>” means the amount payable for service as a Non-Employee Director for a calendar year, as a member of the Board, and as a member of one or more Committees as determined under Paragraph 3(a) of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Meeting</w:t>
      </w:r>
      <w:r>
        <w:rPr>
          <w:rFonts w:ascii="Arial" w:cs="Arial" w:eastAsia="Arial" w:hAnsi="Arial"/>
          <w:sz w:val="18"/>
          <w:szCs w:val="18"/>
          <w:color w:val="auto"/>
        </w:rPr>
        <w:t>” means a meeting of the Board, whether in person or by telephone.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duly-constituted committee of the Board.</w:t>
      </w:r>
    </w:p>
    <w:p>
      <w:pPr>
        <w:spacing w:after="0" w:line="171" w:lineRule="exact"/>
        <w:rPr>
          <w:rFonts w:ascii="Arial" w:cs="Arial" w:eastAsia="Arial" w:hAnsi="Arial"/>
          <w:sz w:val="18"/>
          <w:szCs w:val="18"/>
          <w:color w:val="auto"/>
        </w:rPr>
      </w:pPr>
    </w:p>
    <w:p>
      <w:pPr>
        <w:ind w:firstLine="921"/>
        <w:spacing w:after="0" w:line="268"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 Meeting</w:t>
      </w:r>
      <w:r>
        <w:rPr>
          <w:rFonts w:ascii="Arial" w:cs="Arial" w:eastAsia="Arial" w:hAnsi="Arial"/>
          <w:sz w:val="18"/>
          <w:szCs w:val="18"/>
          <w:color w:val="auto"/>
        </w:rPr>
        <w:t>” means a meeting of a Committee, whether in person or by telephone, other than a meeting of a Committee that is convened and held during a Board Meeting.</w:t>
      </w:r>
    </w:p>
    <w:p>
      <w:pPr>
        <w:spacing w:after="0" w:line="131" w:lineRule="exact"/>
        <w:rPr>
          <w:rFonts w:ascii="Arial" w:cs="Arial" w:eastAsia="Arial" w:hAnsi="Arial"/>
          <w:sz w:val="18"/>
          <w:szCs w:val="18"/>
          <w:color w:val="auto"/>
        </w:rPr>
      </w:pPr>
    </w:p>
    <w:p>
      <w:pPr>
        <w:ind w:right="60" w:firstLine="921"/>
        <w:spacing w:after="0" w:line="268" w:lineRule="auto"/>
        <w:tabs>
          <w:tab w:leader="none" w:pos="11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 Emeritus</w:t>
      </w:r>
      <w:r>
        <w:rPr>
          <w:rFonts w:ascii="Arial" w:cs="Arial" w:eastAsia="Arial" w:hAnsi="Arial"/>
          <w:sz w:val="16"/>
          <w:szCs w:val="16"/>
          <w:color w:val="auto"/>
        </w:rPr>
        <w:t>” means an individual designated by the Board, in its sole discretion, as Director Emeritus, pursuant to the Board’s Director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Emeritus Policy.</w:t>
      </w:r>
    </w:p>
    <w:p>
      <w:pPr>
        <w:spacing w:after="0" w:line="245" w:lineRule="exact"/>
        <w:rPr>
          <w:rFonts w:ascii="Arial" w:cs="Arial" w:eastAsia="Arial" w:hAnsi="Arial"/>
          <w:sz w:val="16"/>
          <w:szCs w:val="16"/>
          <w:color w:val="auto"/>
        </w:rPr>
      </w:pPr>
    </w:p>
    <w:p>
      <w:pPr>
        <w:ind w:left="1160" w:hanging="239"/>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right="380" w:firstLine="1492"/>
        <w:spacing w:after="0" w:line="332" w:lineRule="auto"/>
        <w:tabs>
          <w:tab w:leader="none" w:pos="1693"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ectPr>
          <w:pgSz w:w="11900" w:h="16838" w:orient="portrait"/>
          <w:cols w:equalWidth="0" w:num="1">
            <w:col w:w="11420"/>
          </w:cols>
          <w:pgMar w:left="240" w:top="125" w:right="239" w:bottom="1440" w:gutter="0" w:footer="0" w:header="0"/>
        </w:sectPr>
      </w:pPr>
    </w:p>
    <w:bookmarkStart w:id="55" w:name="page56"/>
    <w:bookmarkEnd w:id="55"/>
    <w:p>
      <w:pPr>
        <w:ind w:firstLine="1492"/>
        <w:spacing w:after="0" w:line="370" w:lineRule="auto"/>
        <w:tabs>
          <w:tab w:leader="none" w:pos="1742" w:val="left"/>
        </w:tabs>
        <w:numPr>
          <w:ilvl w:val="2"/>
          <w:numId w:val="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62" w:lineRule="exact"/>
        <w:rPr>
          <w:rFonts w:ascii="Arial" w:cs="Arial" w:eastAsia="Arial" w:hAnsi="Arial"/>
          <w:sz w:val="15"/>
          <w:szCs w:val="15"/>
          <w:color w:val="auto"/>
        </w:rPr>
      </w:pPr>
    </w:p>
    <w:p>
      <w:pPr>
        <w:ind w:left="1800" w:hanging="308"/>
        <w:spacing w:after="0"/>
        <w:tabs>
          <w:tab w:leader="none" w:pos="18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rFonts w:ascii="Arial" w:cs="Arial" w:eastAsia="Arial" w:hAnsi="Arial"/>
          <w:sz w:val="16"/>
          <w:szCs w:val="16"/>
          <w:color w:val="auto"/>
        </w:rPr>
      </w:pPr>
    </w:p>
    <w:p>
      <w:pPr>
        <w:ind w:right="560" w:firstLine="921"/>
        <w:spacing w:after="0" w:line="268" w:lineRule="auto"/>
        <w:tabs>
          <w:tab w:leader="none" w:pos="1123"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2003 Non-Employee Director Compensation Plan, as set forth herein, and as amended from time to time.</w:t>
      </w:r>
    </w:p>
    <w:p>
      <w:pPr>
        <w:spacing w:after="0" w:line="205" w:lineRule="exact"/>
        <w:rPr>
          <w:rFonts w:ascii="Arial" w:cs="Arial" w:eastAsia="Arial" w:hAnsi="Arial"/>
          <w:sz w:val="15"/>
          <w:szCs w:val="15"/>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right="200" w:firstLine="921"/>
        <w:spacing w:after="0" w:line="268" w:lineRule="auto"/>
        <w:tabs>
          <w:tab w:leader="none" w:pos="1123"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such other more recently-adopted generally applicable plan pursuant to which the Company grants restricted stock or restricted stock units).</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Restricted Stock Unit granted under the Restricted Stock Plan.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Comcast Corporation Class A Common Stock, par value $0.01.</w:t>
      </w:r>
    </w:p>
    <w:p>
      <w:pPr>
        <w:spacing w:after="0" w:line="246"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DIRECTOR COMPENSATION</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Package</w:t>
      </w:r>
      <w:r>
        <w:rPr>
          <w:rFonts w:ascii="Arial" w:cs="Arial" w:eastAsia="Arial" w:hAnsi="Arial"/>
          <w:sz w:val="16"/>
          <w:szCs w:val="16"/>
          <w:color w:val="auto"/>
        </w:rPr>
        <w:t>. Non-Employee Directors shall be entitled to payments, grants and awards determined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Annual Retainer</w:t>
      </w:r>
      <w:r>
        <w:rPr>
          <w:rFonts w:ascii="Arial" w:cs="Arial" w:eastAsia="Arial" w:hAnsi="Arial"/>
          <w:sz w:val="18"/>
          <w:szCs w:val="18"/>
          <w:color w:val="auto"/>
        </w:rPr>
        <w:t>. The Annual Retainer for service to the Company as a Non-Employee Director shall be $60,000.</w:t>
      </w:r>
    </w:p>
    <w:p>
      <w:pPr>
        <w:spacing w:after="0" w:line="171" w:lineRule="exact"/>
        <w:rPr>
          <w:rFonts w:ascii="Arial" w:cs="Arial" w:eastAsia="Arial" w:hAnsi="Arial"/>
          <w:sz w:val="18"/>
          <w:szCs w:val="18"/>
          <w:color w:val="auto"/>
        </w:rPr>
      </w:pPr>
    </w:p>
    <w:p>
      <w:pPr>
        <w:ind w:right="100" w:firstLine="1492"/>
        <w:spacing w:after="0" w:line="259" w:lineRule="auto"/>
        <w:tabs>
          <w:tab w:leader="none" w:pos="1742"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Board Meeting Fee</w:t>
      </w:r>
      <w:r>
        <w:rPr>
          <w:rFonts w:ascii="Arial" w:cs="Arial" w:eastAsia="Arial" w:hAnsi="Arial"/>
          <w:sz w:val="18"/>
          <w:szCs w:val="18"/>
          <w:color w:val="auto"/>
        </w:rPr>
        <w:t>. The fee payable for attendance in person or via telephone at a Board Meeting shall be $2,500. The Board Meeting Fee will also be paid when a member of the Board is asked to attend a meeting or otherwise to conduct business on behalf of the Company in his or her capacity as a Director.</w:t>
      </w:r>
    </w:p>
    <w:p>
      <w:pPr>
        <w:spacing w:after="0" w:line="140" w:lineRule="exact"/>
        <w:rPr>
          <w:rFonts w:ascii="Arial" w:cs="Arial" w:eastAsia="Arial" w:hAnsi="Arial"/>
          <w:sz w:val="18"/>
          <w:szCs w:val="18"/>
          <w:color w:val="auto"/>
        </w:rPr>
      </w:pPr>
    </w:p>
    <w:p>
      <w:pPr>
        <w:ind w:left="1800" w:hanging="308"/>
        <w:spacing w:after="0"/>
        <w:tabs>
          <w:tab w:leader="none" w:pos="1800"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Annual Retainer: Chair – Audit Committee</w:t>
      </w:r>
      <w:r>
        <w:rPr>
          <w:rFonts w:ascii="Arial" w:cs="Arial" w:eastAsia="Arial" w:hAnsi="Arial"/>
          <w:sz w:val="16"/>
          <w:szCs w:val="16"/>
          <w:color w:val="auto"/>
        </w:rPr>
        <w:t>. The Annual Retainer for service as Chair of the Audit Committee shall be $20,000</w:t>
      </w:r>
    </w:p>
    <w:p>
      <w:pPr>
        <w:spacing w:after="0" w:line="194" w:lineRule="exact"/>
        <w:rPr>
          <w:rFonts w:ascii="Arial" w:cs="Arial" w:eastAsia="Arial" w:hAnsi="Arial"/>
          <w:sz w:val="16"/>
          <w:szCs w:val="16"/>
          <w:color w:val="auto"/>
        </w:rPr>
      </w:pPr>
    </w:p>
    <w:p>
      <w:pPr>
        <w:ind w:left="5680" w:right="80" w:hanging="4188"/>
        <w:spacing w:after="0" w:line="440" w:lineRule="auto"/>
        <w:tabs>
          <w:tab w:leader="none" w:pos="1799"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Annual Retainer: Member – Audit Committee</w:t>
      </w:r>
      <w:r>
        <w:rPr>
          <w:rFonts w:ascii="Arial" w:cs="Arial" w:eastAsia="Arial" w:hAnsi="Arial"/>
          <w:sz w:val="18"/>
          <w:szCs w:val="18"/>
          <w:color w:val="auto"/>
        </w:rPr>
        <w:t>. The Annual Retainer for service as a member of the Audit Committee shall be $10,000. 2</w:t>
      </w:r>
    </w:p>
    <w:p>
      <w:pPr>
        <w:sectPr>
          <w:pgSz w:w="11900" w:h="16838" w:orient="portrait"/>
          <w:cols w:equalWidth="0" w:num="1">
            <w:col w:w="11360"/>
          </w:cols>
          <w:pgMar w:left="240" w:top="280" w:right="299" w:bottom="1440" w:gutter="0" w:footer="0" w:header="0"/>
        </w:sectPr>
      </w:pPr>
    </w:p>
    <w:bookmarkStart w:id="56" w:name="page57"/>
    <w:bookmarkEnd w:id="56"/>
    <w:p>
      <w:pPr>
        <w:ind w:right="320" w:firstLine="1492"/>
        <w:spacing w:after="0" w:line="332" w:lineRule="auto"/>
        <w:tabs>
          <w:tab w:leader="none" w:pos="17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Retainer: Chair – Compensation Committee and Governance and Directors Nominating Committee</w:t>
      </w:r>
      <w:r>
        <w:rPr>
          <w:rFonts w:ascii="Arial" w:cs="Arial" w:eastAsia="Arial" w:hAnsi="Arial"/>
          <w:sz w:val="16"/>
          <w:szCs w:val="16"/>
          <w:color w:val="auto"/>
        </w:rPr>
        <w:t>. The Annual Retainer for service as Chair of the Compensation Committee and the Governance and Directors Nominating Committee shall be $10,000.</w:t>
      </w:r>
    </w:p>
    <w:p>
      <w:pPr>
        <w:spacing w:after="0" w:line="85" w:lineRule="exact"/>
        <w:rPr>
          <w:rFonts w:ascii="Arial" w:cs="Arial" w:eastAsia="Arial" w:hAnsi="Arial"/>
          <w:sz w:val="16"/>
          <w:szCs w:val="16"/>
          <w:color w:val="auto"/>
        </w:rPr>
      </w:pPr>
    </w:p>
    <w:p>
      <w:pPr>
        <w:ind w:right="80" w:firstLine="1492"/>
        <w:spacing w:after="0" w:line="332" w:lineRule="auto"/>
        <w:tabs>
          <w:tab w:leader="none" w:pos="178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Retainer: Member – Compensation Committee and Governance and Directors Nominating Committee</w:t>
      </w:r>
      <w:r>
        <w:rPr>
          <w:rFonts w:ascii="Arial" w:cs="Arial" w:eastAsia="Arial" w:hAnsi="Arial"/>
          <w:sz w:val="16"/>
          <w:szCs w:val="16"/>
          <w:color w:val="auto"/>
        </w:rPr>
        <w:t>. The Annual Retainer for service as a member of the Compensation Committee and the Governance and Directors Nominating Committee shall be $5,000.</w:t>
      </w:r>
    </w:p>
    <w:p>
      <w:pPr>
        <w:spacing w:after="0" w:line="85" w:lineRule="exact"/>
        <w:rPr>
          <w:rFonts w:ascii="Arial" w:cs="Arial" w:eastAsia="Arial" w:hAnsi="Arial"/>
          <w:sz w:val="16"/>
          <w:szCs w:val="16"/>
          <w:color w:val="auto"/>
        </w:rPr>
      </w:pPr>
    </w:p>
    <w:p>
      <w:pPr>
        <w:ind w:right="120" w:firstLine="1492"/>
        <w:spacing w:after="0" w:line="259" w:lineRule="auto"/>
        <w:tabs>
          <w:tab w:leader="none" w:pos="183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Annual Retainer: Chair – Any Committee of the Board other than the Audit Committee, the Compensation Committee or the Governance and Directors Nominating Committee</w:t>
      </w:r>
      <w:r>
        <w:rPr>
          <w:rFonts w:ascii="Arial" w:cs="Arial" w:eastAsia="Arial" w:hAnsi="Arial"/>
          <w:sz w:val="18"/>
          <w:szCs w:val="18"/>
          <w:color w:val="auto"/>
        </w:rPr>
        <w:t>. The Annual Retainer for service as the Chair of any committee of the Board other than the Audit Committee, the Compensation Committee or the Governance and Directors Nominating Committee shall be $5,000.</w:t>
      </w:r>
    </w:p>
    <w:p>
      <w:pPr>
        <w:spacing w:after="0" w:line="140" w:lineRule="exact"/>
        <w:rPr>
          <w:rFonts w:ascii="Arial" w:cs="Arial" w:eastAsia="Arial" w:hAnsi="Arial"/>
          <w:sz w:val="18"/>
          <w:szCs w:val="18"/>
          <w:color w:val="auto"/>
        </w:rPr>
      </w:pPr>
    </w:p>
    <w:p>
      <w:pPr>
        <w:ind w:right="60" w:firstLine="1492"/>
        <w:spacing w:after="0" w:line="306" w:lineRule="auto"/>
        <w:tabs>
          <w:tab w:leader="none" w:pos="187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Retainer: Member – Any Committee of the Board other than the Audit Committee, the Compensation Committee or the Governance and Directors Nominating Committee</w:t>
      </w:r>
      <w:r>
        <w:rPr>
          <w:rFonts w:ascii="Arial" w:cs="Arial" w:eastAsia="Arial" w:hAnsi="Arial"/>
          <w:sz w:val="16"/>
          <w:szCs w:val="16"/>
          <w:color w:val="auto"/>
        </w:rPr>
        <w:t>. The Annual Retainer for service as a member of any committee of the Board other than the Audit Committee, the Compensation Committee or the Governance and Directors Nominating Committee shall be $2,500.</w:t>
      </w:r>
    </w:p>
    <w:p>
      <w:pPr>
        <w:spacing w:after="0" w:line="106" w:lineRule="exact"/>
        <w:rPr>
          <w:rFonts w:ascii="Arial" w:cs="Arial" w:eastAsia="Arial" w:hAnsi="Arial"/>
          <w:sz w:val="16"/>
          <w:szCs w:val="16"/>
          <w:color w:val="auto"/>
        </w:rPr>
      </w:pPr>
    </w:p>
    <w:p>
      <w:pPr>
        <w:ind w:right="80" w:firstLine="1492"/>
        <w:spacing w:after="0" w:line="259" w:lineRule="auto"/>
        <w:tabs>
          <w:tab w:leader="none" w:pos="178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Committee Meeting Fee – Audit Committee, Compensation Committee and Governance and Directors Nominating Committee</w:t>
      </w:r>
      <w:r>
        <w:rPr>
          <w:rFonts w:ascii="Arial" w:cs="Arial" w:eastAsia="Arial" w:hAnsi="Arial"/>
          <w:sz w:val="18"/>
          <w:szCs w:val="18"/>
          <w:color w:val="auto"/>
        </w:rPr>
        <w:t>. The fee payable for attendance in person or via telephone at a Committee Meeting of the Audit Committee, the Compensation Committee or the Governance and Directors Nominating Committee shall be $2,500.</w:t>
      </w:r>
    </w:p>
    <w:p>
      <w:pPr>
        <w:spacing w:after="0" w:line="140" w:lineRule="exact"/>
        <w:rPr>
          <w:rFonts w:ascii="Arial" w:cs="Arial" w:eastAsia="Arial" w:hAnsi="Arial"/>
          <w:sz w:val="18"/>
          <w:szCs w:val="18"/>
          <w:color w:val="auto"/>
        </w:rPr>
      </w:pPr>
    </w:p>
    <w:p>
      <w:pPr>
        <w:ind w:right="280" w:firstLine="1492"/>
        <w:spacing w:after="0" w:line="306" w:lineRule="auto"/>
        <w:tabs>
          <w:tab w:leader="none" w:pos="17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Committee Meeting Fee – Any Committee of the Board other than the Audit Committee, the Compensation Committee or the Governance and Directors Nominating Committee</w:t>
      </w:r>
      <w:r>
        <w:rPr>
          <w:rFonts w:ascii="Arial" w:cs="Arial" w:eastAsia="Arial" w:hAnsi="Arial"/>
          <w:sz w:val="16"/>
          <w:szCs w:val="16"/>
          <w:color w:val="auto"/>
        </w:rPr>
        <w:t>. The fee payable for attendance in person or via telephone at a Committee Meeting of any Committee other than the Audit Committee, the Compensation Committee or the Governance and Directors Nominating Committee shall be $1,000.</w:t>
      </w:r>
    </w:p>
    <w:p>
      <w:pPr>
        <w:spacing w:after="0" w:line="106" w:lineRule="exact"/>
        <w:rPr>
          <w:rFonts w:ascii="Arial" w:cs="Arial" w:eastAsia="Arial" w:hAnsi="Arial"/>
          <w:sz w:val="16"/>
          <w:szCs w:val="16"/>
          <w:color w:val="auto"/>
        </w:rPr>
      </w:pPr>
    </w:p>
    <w:p>
      <w:pPr>
        <w:ind w:left="1780" w:hanging="288"/>
        <w:spacing w:after="0"/>
        <w:tabs>
          <w:tab w:leader="none" w:pos="178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Stock Grants</w:t>
      </w:r>
      <w:r>
        <w:rPr>
          <w:rFonts w:ascii="Arial" w:cs="Arial" w:eastAsia="Arial" w:hAnsi="Arial"/>
          <w:sz w:val="16"/>
          <w:szCs w:val="16"/>
          <w:color w:val="auto"/>
        </w:rPr>
        <w:t>. This Paragraph 3(a)(xi) shall apply as of November 20, 2007 and as of November 20 of each Plan Year beginning 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2007.</w:t>
      </w:r>
    </w:p>
    <w:p>
      <w:pPr>
        <w:spacing w:after="0" w:line="165" w:lineRule="exact"/>
        <w:rPr>
          <w:sz w:val="20"/>
          <w:szCs w:val="20"/>
          <w:color w:val="auto"/>
        </w:rPr>
      </w:pPr>
    </w:p>
    <w:p>
      <w:pPr>
        <w:ind w:firstLine="1948"/>
        <w:spacing w:after="0" w:line="259" w:lineRule="auto"/>
        <w:tabs>
          <w:tab w:leader="none" w:pos="2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shall grant Restricted Stock Units for Shares having a Fair Market Value on the date of grant of $125,000, provided that with respect to each individual who first becomes a Non-Employee Director after November 20, 2007, the Board shall grant Restricted Stock Units for Shares determined as follows: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30"/>
        </w:trPr>
        <w:tc>
          <w:tcPr>
            <w:tcW w:w="58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Date of Commencement of Service as a Non-Employee Director</w:t>
            </w:r>
          </w:p>
        </w:tc>
        <w:tc>
          <w:tcPr>
            <w:tcW w:w="55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Number of Shares Subject to Grant of Restricted Stock Units</w:t>
            </w:r>
          </w:p>
        </w:tc>
      </w:tr>
      <w:tr>
        <w:trPr>
          <w:trHeight w:val="210"/>
        </w:trPr>
        <w:tc>
          <w:tcPr>
            <w:tcW w:w="5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3"/>
              </w:rPr>
              <w:t>After November 20 of a Plan Year and before the next following February 20</w:t>
            </w: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 having a Fair Market Value on the date of grant of $125,000</w:t>
            </w:r>
          </w:p>
        </w:tc>
      </w:tr>
      <w:tr>
        <w:trPr>
          <w:trHeight w:val="210"/>
        </w:trPr>
        <w:tc>
          <w:tcPr>
            <w:tcW w:w="5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On or after February 20 of a Plan Year and before the next following May 20</w:t>
            </w: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 having a Fair Market Value on the date of grant of $93,750</w:t>
            </w:r>
          </w:p>
        </w:tc>
      </w:tr>
      <w:tr>
        <w:trPr>
          <w:trHeight w:val="206"/>
        </w:trPr>
        <w:tc>
          <w:tcPr>
            <w:tcW w:w="5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On or after May 20 of a Plan Year and before the next following August 20</w:t>
            </w: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 having a Fair Market Value on the date of grant of $62,500</w:t>
            </w:r>
          </w:p>
        </w:tc>
      </w:tr>
      <w:tr>
        <w:trPr>
          <w:trHeight w:val="204"/>
        </w:trPr>
        <w:tc>
          <w:tcPr>
            <w:tcW w:w="5860" w:type="dxa"/>
            <w:vAlign w:val="bottom"/>
            <w:tcBorders>
              <w:left w:val="single" w:sz="8" w:color="auto"/>
              <w:right w:val="single" w:sz="8" w:color="auto"/>
            </w:tcBorders>
          </w:tcPr>
          <w:p>
            <w:pPr>
              <w:ind w:left="120"/>
              <w:spacing w:after="0" w:line="205" w:lineRule="exact"/>
              <w:rPr>
                <w:sz w:val="20"/>
                <w:szCs w:val="20"/>
                <w:color w:val="auto"/>
              </w:rPr>
            </w:pPr>
            <w:r>
              <w:rPr>
                <w:rFonts w:ascii="Arial" w:cs="Arial" w:eastAsia="Arial" w:hAnsi="Arial"/>
                <w:sz w:val="18"/>
                <w:szCs w:val="18"/>
                <w:color w:val="auto"/>
              </w:rPr>
              <w:t>On or after August 20 of a Plan Year and before the next following</w:t>
            </w:r>
          </w:p>
        </w:tc>
        <w:tc>
          <w:tcPr>
            <w:tcW w:w="5560" w:type="dxa"/>
            <w:vAlign w:val="bottom"/>
            <w:tcBorders>
              <w:right w:val="single" w:sz="8" w:color="auto"/>
            </w:tcBorders>
          </w:tcPr>
          <w:p>
            <w:pPr>
              <w:spacing w:after="0"/>
              <w:rPr>
                <w:sz w:val="17"/>
                <w:szCs w:val="17"/>
                <w:color w:val="auto"/>
              </w:rPr>
            </w:pPr>
          </w:p>
        </w:tc>
      </w:tr>
      <w:tr>
        <w:trPr>
          <w:trHeight w:val="221"/>
        </w:trPr>
        <w:tc>
          <w:tcPr>
            <w:tcW w:w="5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November 20</w:t>
            </w: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 having a Fair Market Value on the date of grant of $31,250</w:t>
            </w: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40"/>
        <w:spacing w:after="0" w:line="268" w:lineRule="auto"/>
        <w:rPr>
          <w:sz w:val="20"/>
          <w:szCs w:val="20"/>
          <w:color w:val="auto"/>
        </w:rPr>
      </w:pPr>
      <w:r>
        <w:rPr>
          <w:rFonts w:ascii="Arial" w:cs="Arial" w:eastAsia="Arial" w:hAnsi="Arial"/>
          <w:sz w:val="18"/>
          <w:szCs w:val="18"/>
          <w:color w:val="auto"/>
        </w:rPr>
        <w:t>Each Restricted Stock Unit shall (1) be fully and immediately vested on the date of grant, and (2) bear such other terms and conditions as shall be determined by the Board in its discretion.</w:t>
      </w:r>
    </w:p>
    <w:p>
      <w:pPr>
        <w:spacing w:after="0" w:line="132" w:lineRule="exact"/>
        <w:rPr>
          <w:sz w:val="20"/>
          <w:szCs w:val="20"/>
          <w:color w:val="auto"/>
        </w:rPr>
      </w:pPr>
    </w:p>
    <w:p>
      <w:pPr>
        <w:ind w:right="180" w:firstLine="1948"/>
        <w:spacing w:after="0" w:line="298" w:lineRule="auto"/>
        <w:tabs>
          <w:tab w:leader="none" w:pos="2218" w:val="left"/>
        </w:tabs>
        <w:numPr>
          <w:ilvl w:val="2"/>
          <w:numId w:val="27"/>
        </w:numPr>
        <w:rPr>
          <w:rFonts w:ascii="Arial" w:cs="Arial" w:eastAsia="Arial" w:hAnsi="Arial"/>
          <w:sz w:val="16"/>
          <w:szCs w:val="16"/>
          <w:color w:val="auto"/>
        </w:rPr>
      </w:pPr>
      <w:r>
        <w:rPr>
          <w:rFonts w:ascii="Arial" w:cs="Arial" w:eastAsia="Arial" w:hAnsi="Arial"/>
          <w:sz w:val="16"/>
          <w:szCs w:val="16"/>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Restricted Stock Units under the Plan shall be adjusted consistent with the adjustment made pursuant to the Restricted Stock Plan, and such adjustment shall be effective and binding for all purposes of this Plan.</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Payment Practices</w:t>
      </w:r>
      <w:r>
        <w:rPr>
          <w:rFonts w:ascii="Arial" w:cs="Arial" w:eastAsia="Arial" w:hAnsi="Arial"/>
          <w:sz w:val="16"/>
          <w:szCs w:val="16"/>
          <w:color w:val="auto"/>
        </w:rPr>
        <w:t>. Payments, grants and awards described in Paragraph 3(a) of the Plan shall be subject to the following payment practices:</w:t>
      </w:r>
    </w:p>
    <w:p>
      <w:pPr>
        <w:spacing w:after="0" w:line="194" w:lineRule="exact"/>
        <w:rPr>
          <w:rFonts w:ascii="Arial" w:cs="Arial" w:eastAsia="Arial" w:hAnsi="Arial"/>
          <w:sz w:val="16"/>
          <w:szCs w:val="16"/>
          <w:color w:val="auto"/>
        </w:rPr>
      </w:pPr>
    </w:p>
    <w:p>
      <w:pPr>
        <w:ind w:right="120" w:firstLine="1492"/>
        <w:spacing w:after="0" w:line="255" w:lineRule="auto"/>
        <w:tabs>
          <w:tab w:leader="none" w:pos="16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Annual Retainer payments described in Paragraphs 3(a)(i), 3(a)(iii), 3(a)(iv), 3(a)(v), 3(a)(vi), 3(a)(vii) and 3(a)(viii)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or as a member of a Committee of the Board, as applicable.</w:t>
      </w:r>
    </w:p>
    <w:p>
      <w:pPr>
        <w:spacing w:after="0" w:line="142" w:lineRule="exact"/>
        <w:rPr>
          <w:rFonts w:ascii="Arial" w:cs="Arial" w:eastAsia="Arial" w:hAnsi="Arial"/>
          <w:sz w:val="18"/>
          <w:szCs w:val="18"/>
          <w:color w:val="auto"/>
        </w:rPr>
      </w:pPr>
    </w:p>
    <w:p>
      <w:pPr>
        <w:ind w:right="200" w:firstLine="1492"/>
        <w:spacing w:after="0" w:line="259" w:lineRule="auto"/>
        <w:tabs>
          <w:tab w:leader="none" w:pos="174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Non-Employee Director may elect to receive up to 50% of the Annual Retainer amount described in Paragraph 3(a)(i) in the form of Shares. The number of Shares payable to a Non-Employee Director shall be determined based on the closing price of Shares on the last business day of each calendar quarter.</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Special Rules and Payment Practices for Director Emeritus Compensation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8" w:right="239" w:bottom="1440" w:gutter="0" w:footer="0" w:header="0"/>
        </w:sectPr>
      </w:pPr>
    </w:p>
    <w:bookmarkStart w:id="58" w:name="page59"/>
    <w:bookmarkEnd w:id="58"/>
    <w:p>
      <w:pPr>
        <w:jc w:val="both"/>
        <w:ind w:firstLine="1492"/>
        <w:spacing w:after="0" w:line="306" w:lineRule="auto"/>
        <w:tabs>
          <w:tab w:leader="none" w:pos="1693"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in Paragraph 3(c)(ii) and Paragraph 3(c)(iii), for the duration of an individual’s service to the Company as a Director Emeritus, the Director Emeritus such shall be entitled to compensation on the same basis as a Non-Employee Director as described in Paragraph 3(a) and subject to the same payment practices as apply to a Non-Employee Director as described in Paragraph 3(b).</w:t>
      </w:r>
    </w:p>
    <w:p>
      <w:pPr>
        <w:spacing w:after="0" w:line="106" w:lineRule="exact"/>
        <w:rPr>
          <w:rFonts w:ascii="Arial" w:cs="Arial" w:eastAsia="Arial" w:hAnsi="Arial"/>
          <w:sz w:val="16"/>
          <w:szCs w:val="16"/>
          <w:color w:val="auto"/>
        </w:rPr>
      </w:pPr>
    </w:p>
    <w:p>
      <w:pPr>
        <w:ind w:right="100" w:firstLine="1492"/>
        <w:spacing w:after="0" w:line="332" w:lineRule="auto"/>
        <w:tabs>
          <w:tab w:leader="none" w:pos="17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Paragraph 3(b)(ii), relating to a Non-Employee Director’s elect to receive up to 50% of the Annual Retainer amount described in Paragraph 3(a)(i) in the form of Shares, shall not apply to a Director Emeritus. All Annual Retainer payments to a Director Emeritus shall be in the form of cash.</w:t>
      </w:r>
    </w:p>
    <w:p>
      <w:pPr>
        <w:spacing w:after="0" w:line="85" w:lineRule="exact"/>
        <w:rPr>
          <w:rFonts w:ascii="Arial" w:cs="Arial" w:eastAsia="Arial" w:hAnsi="Arial"/>
          <w:sz w:val="16"/>
          <w:szCs w:val="16"/>
          <w:color w:val="auto"/>
        </w:rPr>
      </w:pPr>
    </w:p>
    <w:p>
      <w:pPr>
        <w:ind w:right="40" w:firstLine="1492"/>
        <w:spacing w:after="0" w:line="259" w:lineRule="auto"/>
        <w:tabs>
          <w:tab w:leader="none" w:pos="17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Paragraph 3(c)(iii) shall apply to a Director Emeritus in lieu of the Stock Grant provisions of Paragraph 3(a)(xi). On November 20, 2011 and each anniversary thereof (or the next following business day if November 20</w:t>
      </w:r>
      <w:r>
        <w:rPr>
          <w:rFonts w:ascii="Arial" w:cs="Arial" w:eastAsia="Arial" w:hAnsi="Arial"/>
          <w:sz w:val="11"/>
          <w:szCs w:val="11"/>
          <w:color w:val="auto"/>
        </w:rPr>
        <w:t>th</w:t>
      </w:r>
      <w:r>
        <w:rPr>
          <w:rFonts w:ascii="Arial" w:cs="Arial" w:eastAsia="Arial" w:hAnsi="Arial"/>
          <w:sz w:val="18"/>
          <w:szCs w:val="18"/>
          <w:color w:val="auto"/>
        </w:rPr>
        <w:t xml:space="preserve"> is not a business day), the Company shall pay each Director Emeritus a single cash lump sum of $125,000.</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ADMINISTRATION OF THE PLAN</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TAXES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AMENDMENT AND TERMINATION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date of this amendment and restatement of the Plan is February 23, 2011. The original effective date of the Plan is November 18, 2002.</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GOVERNING LAW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9" w:name="page60"/>
    <w:bookmarkEnd w:id="5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and all determinations made and actions taken pursuant to the Plan shall be governed in accordance with Pennsylvania law.</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14605</wp:posOffset>
            </wp:positionV>
            <wp:extent cx="26327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400"/>
        <w:spacing w:after="0"/>
        <w:tabs>
          <w:tab w:leader="none" w:pos="734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14605</wp:posOffset>
            </wp:positionV>
            <wp:extent cx="22898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59"/>
          </w:cols>
          <w:pgMar w:left="700" w:top="280" w:right="1440" w:bottom="1440" w:gutter="0" w:footer="0" w:header="0"/>
        </w:sectPr>
      </w:pPr>
    </w:p>
    <w:bookmarkStart w:id="60" w:name="page61"/>
    <w:bookmarkEnd w:id="60"/>
    <w:p>
      <w:pPr>
        <w:jc w:val="center"/>
        <w:ind w:right="-5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511"/>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jc w:val="center"/>
        <w:ind w:right="-511"/>
        <w:spacing w:after="0"/>
        <w:rPr>
          <w:sz w:val="20"/>
          <w:szCs w:val="20"/>
          <w:color w:val="auto"/>
        </w:rPr>
      </w:pPr>
      <w:r>
        <w:rPr>
          <w:rFonts w:ascii="Arial" w:cs="Arial" w:eastAsia="Arial" w:hAnsi="Arial"/>
          <w:sz w:val="18"/>
          <w:szCs w:val="18"/>
          <w:b w:val="1"/>
          <w:bCs w:val="1"/>
          <w:color w:val="auto"/>
        </w:rPr>
        <w:t>NON-EMPLOYEE DIRECTOR COMPENSATION</w:t>
      </w:r>
    </w:p>
    <w:p>
      <w:pPr>
        <w:spacing w:after="0" w:line="9" w:lineRule="exact"/>
        <w:rPr>
          <w:sz w:val="20"/>
          <w:szCs w:val="20"/>
          <w:color w:val="auto"/>
        </w:rPr>
      </w:pPr>
    </w:p>
    <w:p>
      <w:pPr>
        <w:jc w:val="center"/>
        <w:ind w:right="-511"/>
        <w:spacing w:after="0"/>
        <w:rPr>
          <w:sz w:val="20"/>
          <w:szCs w:val="20"/>
          <w:color w:val="auto"/>
        </w:rPr>
      </w:pPr>
      <w:r>
        <w:rPr>
          <w:rFonts w:ascii="Arial" w:cs="Arial" w:eastAsia="Arial" w:hAnsi="Arial"/>
          <w:sz w:val="18"/>
          <w:szCs w:val="18"/>
          <w:b w:val="1"/>
          <w:bCs w:val="1"/>
          <w:color w:val="auto"/>
        </w:rPr>
        <w:t>EFFECTIVE AS OF FEBRUARY 23, 2011</w:t>
      </w:r>
    </w:p>
    <w:p>
      <w:pPr>
        <w:spacing w:after="0" w:line="214" w:lineRule="exact"/>
        <w:rPr>
          <w:sz w:val="20"/>
          <w:szCs w:val="20"/>
          <w:color w:val="auto"/>
        </w:rPr>
      </w:pPr>
    </w:p>
    <w:tbl>
      <w:tblPr>
        <w:tblLayout w:type="fixed"/>
        <w:tblInd w:w="1372" w:type="dxa"/>
        <w:tblCellMar>
          <w:top w:w="0" w:type="dxa"/>
          <w:left w:w="0" w:type="dxa"/>
          <w:bottom w:w="0" w:type="dxa"/>
          <w:right w:w="0" w:type="dxa"/>
        </w:tblCellMar>
      </w:tblP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Director Annual Retainer</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$60,000, subject to election to receive</w:t>
            </w:r>
          </w:p>
        </w:tc>
      </w:tr>
      <w:tr>
        <w:trPr>
          <w:trHeight w:val="216"/>
        </w:trPr>
        <w:tc>
          <w:tcPr>
            <w:tcW w:w="4400" w:type="dxa"/>
            <w:vAlign w:val="bottom"/>
            <w:shd w:val="clear" w:color="auto" w:fill="CCEEFF"/>
          </w:tcPr>
          <w:p>
            <w:pPr>
              <w:spacing w:after="0"/>
              <w:rPr>
                <w:sz w:val="18"/>
                <w:szCs w:val="18"/>
                <w:color w:val="auto"/>
              </w:rPr>
            </w:pP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up to half in the form of Comcast</w:t>
            </w:r>
          </w:p>
        </w:tc>
      </w:tr>
      <w:tr>
        <w:trPr>
          <w:trHeight w:val="238"/>
        </w:trPr>
        <w:tc>
          <w:tcPr>
            <w:tcW w:w="4400" w:type="dxa"/>
            <w:vAlign w:val="bottom"/>
            <w:shd w:val="clear" w:color="auto" w:fill="CCEEFF"/>
          </w:tcPr>
          <w:p>
            <w:pPr>
              <w:spacing w:after="0"/>
              <w:rPr>
                <w:sz w:val="20"/>
                <w:szCs w:val="20"/>
                <w:color w:val="auto"/>
              </w:rPr>
            </w:pP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Corporation Class A Common Stock</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Board Meeting Fee</w:t>
            </w:r>
            <w:r>
              <w:rPr>
                <w:rFonts w:ascii="Arial" w:cs="Arial" w:eastAsia="Arial" w:hAnsi="Arial"/>
                <w:sz w:val="11"/>
                <w:szCs w:val="11"/>
                <w:color w:val="auto"/>
              </w:rPr>
              <w:t>1</w:t>
            </w:r>
          </w:p>
        </w:tc>
        <w:tc>
          <w:tcPr>
            <w:tcW w:w="4280" w:type="dxa"/>
            <w:vAlign w:val="bottom"/>
          </w:tcPr>
          <w:p>
            <w:pPr>
              <w:ind w:left="280"/>
              <w:spacing w:after="0"/>
              <w:rPr>
                <w:sz w:val="20"/>
                <w:szCs w:val="20"/>
                <w:color w:val="auto"/>
              </w:rPr>
            </w:pPr>
            <w:r>
              <w:rPr>
                <w:rFonts w:ascii="Arial" w:cs="Arial" w:eastAsia="Arial" w:hAnsi="Arial"/>
                <w:sz w:val="18"/>
                <w:szCs w:val="18"/>
                <w:color w:val="auto"/>
              </w:rPr>
              <w:t>$2,500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Annual Retainer – Chair</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Compensation Committee Annual Retainer – Chair</w:t>
            </w:r>
          </w:p>
        </w:tc>
        <w:tc>
          <w:tcPr>
            <w:tcW w:w="4280" w:type="dxa"/>
            <w:vAlign w:val="bottom"/>
          </w:tcPr>
          <w:p>
            <w:pPr>
              <w:ind w:left="280"/>
              <w:spacing w:after="0"/>
              <w:rPr>
                <w:sz w:val="20"/>
                <w:szCs w:val="20"/>
                <w:color w:val="auto"/>
              </w:rPr>
            </w:pPr>
            <w:r>
              <w:rPr>
                <w:rFonts w:ascii="Arial" w:cs="Arial" w:eastAsia="Arial" w:hAnsi="Arial"/>
                <w:sz w:val="18"/>
                <w:szCs w:val="18"/>
                <w:color w:val="auto"/>
              </w:rPr>
              <w:t>$10,000</w:t>
            </w: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5"/>
              </w:rPr>
              <w:t>Governance and Directors Nominating Committee Annual</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$10,000</w:t>
            </w: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Retainer – Chair</w:t>
            </w:r>
          </w:p>
        </w:tc>
        <w:tc>
          <w:tcPr>
            <w:tcW w:w="428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Committee Annual Retainer – Chair</w:t>
            </w:r>
          </w:p>
        </w:tc>
        <w:tc>
          <w:tcPr>
            <w:tcW w:w="4280" w:type="dxa"/>
            <w:vAlign w:val="bottom"/>
          </w:tcPr>
          <w:p>
            <w:pPr>
              <w:ind w:left="280"/>
              <w:spacing w:after="0"/>
              <w:rPr>
                <w:sz w:val="20"/>
                <w:szCs w:val="20"/>
                <w:color w:val="auto"/>
              </w:rPr>
            </w:pPr>
            <w:r>
              <w:rPr>
                <w:rFonts w:ascii="Arial" w:cs="Arial" w:eastAsia="Arial" w:hAnsi="Arial"/>
                <w:sz w:val="18"/>
                <w:szCs w:val="18"/>
                <w:color w:val="auto"/>
              </w:rPr>
              <w:t>$5,000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Annual Retainer – Member</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$10,000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Compensation Committee Annual Retainer – Member</w:t>
            </w:r>
          </w:p>
        </w:tc>
        <w:tc>
          <w:tcPr>
            <w:tcW w:w="4280" w:type="dxa"/>
            <w:vAlign w:val="bottom"/>
          </w:tcPr>
          <w:p>
            <w:pPr>
              <w:ind w:left="280"/>
              <w:spacing w:after="0"/>
              <w:rPr>
                <w:sz w:val="20"/>
                <w:szCs w:val="20"/>
                <w:color w:val="auto"/>
              </w:rPr>
            </w:pPr>
            <w:r>
              <w:rPr>
                <w:rFonts w:ascii="Arial" w:cs="Arial" w:eastAsia="Arial" w:hAnsi="Arial"/>
                <w:sz w:val="18"/>
                <w:szCs w:val="18"/>
                <w:color w:val="auto"/>
              </w:rPr>
              <w:t>$5,000</w:t>
            </w: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5"/>
              </w:rPr>
              <w:t>Governance and Directors Nominating Committee Annual</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$5,000</w:t>
            </w: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Retainer – Member</w:t>
            </w:r>
          </w:p>
        </w:tc>
        <w:tc>
          <w:tcPr>
            <w:tcW w:w="428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Committee Annual Retainer – Member</w:t>
            </w:r>
          </w:p>
        </w:tc>
        <w:tc>
          <w:tcPr>
            <w:tcW w:w="4280" w:type="dxa"/>
            <w:vAlign w:val="bottom"/>
          </w:tcPr>
          <w:p>
            <w:pPr>
              <w:ind w:left="280"/>
              <w:spacing w:after="0"/>
              <w:rPr>
                <w:sz w:val="20"/>
                <w:szCs w:val="20"/>
                <w:color w:val="auto"/>
              </w:rPr>
            </w:pPr>
            <w:r>
              <w:rPr>
                <w:rFonts w:ascii="Arial" w:cs="Arial" w:eastAsia="Arial" w:hAnsi="Arial"/>
                <w:sz w:val="18"/>
                <w:szCs w:val="18"/>
                <w:color w:val="auto"/>
              </w:rPr>
              <w:t>$2,500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 Fee – Audit Committee</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$2,500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Committee Meeting Fee – Compensation Committee</w:t>
            </w:r>
          </w:p>
        </w:tc>
        <w:tc>
          <w:tcPr>
            <w:tcW w:w="4280" w:type="dxa"/>
            <w:vAlign w:val="bottom"/>
          </w:tcPr>
          <w:p>
            <w:pPr>
              <w:ind w:left="280"/>
              <w:spacing w:after="0"/>
              <w:rPr>
                <w:sz w:val="20"/>
                <w:szCs w:val="20"/>
                <w:color w:val="auto"/>
              </w:rPr>
            </w:pPr>
            <w:r>
              <w:rPr>
                <w:rFonts w:ascii="Arial" w:cs="Arial" w:eastAsia="Arial" w:hAnsi="Arial"/>
                <w:sz w:val="18"/>
                <w:szCs w:val="18"/>
                <w:color w:val="auto"/>
              </w:rPr>
              <w:t>$2,500</w:t>
            </w: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 Fee — Governance and Directors</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$2,500</w:t>
            </w: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Nominating Committee</w:t>
            </w:r>
          </w:p>
        </w:tc>
        <w:tc>
          <w:tcPr>
            <w:tcW w:w="4280" w:type="dxa"/>
            <w:vAlign w:val="bottom"/>
            <w:shd w:val="clear" w:color="auto" w:fill="CCEEFF"/>
          </w:tcPr>
          <w:p>
            <w:pPr>
              <w:spacing w:after="0"/>
              <w:rPr>
                <w:sz w:val="19"/>
                <w:szCs w:val="19"/>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Committee Meeting Fee – Other Committee</w:t>
            </w:r>
          </w:p>
        </w:tc>
        <w:tc>
          <w:tcPr>
            <w:tcW w:w="4280" w:type="dxa"/>
            <w:vAlign w:val="bottom"/>
          </w:tcPr>
          <w:p>
            <w:pPr>
              <w:ind w:left="280"/>
              <w:spacing w:after="0"/>
              <w:rPr>
                <w:sz w:val="20"/>
                <w:szCs w:val="20"/>
                <w:color w:val="auto"/>
              </w:rPr>
            </w:pPr>
            <w:r>
              <w:rPr>
                <w:rFonts w:ascii="Arial" w:cs="Arial" w:eastAsia="Arial" w:hAnsi="Arial"/>
                <w:sz w:val="18"/>
                <w:szCs w:val="18"/>
                <w:color w:val="auto"/>
              </w:rPr>
              <w:t>$1,000</w:t>
            </w: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Annual Restricted Stock Unit Grant</w:t>
            </w: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having a Fair Market Value on</w:t>
            </w:r>
          </w:p>
        </w:tc>
      </w:tr>
      <w:tr>
        <w:trPr>
          <w:trHeight w:val="238"/>
        </w:trPr>
        <w:tc>
          <w:tcPr>
            <w:tcW w:w="4400" w:type="dxa"/>
            <w:vAlign w:val="bottom"/>
            <w:shd w:val="clear" w:color="auto" w:fill="CCEEFF"/>
          </w:tcPr>
          <w:p>
            <w:pPr>
              <w:spacing w:after="0"/>
              <w:rPr>
                <w:sz w:val="20"/>
                <w:szCs w:val="20"/>
                <w:color w:val="auto"/>
              </w:rPr>
            </w:pPr>
          </w:p>
        </w:tc>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date of grant of $125,000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52" w:hanging="452"/>
        <w:spacing w:after="0" w:line="228" w:lineRule="auto"/>
        <w:tabs>
          <w:tab w:leader="none" w:pos="452"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Fee will also be paid when a member of the Board is asked to attend a meeting or otherwise to conduct business on behalf of the Company in his/her capacity as Director.</w:t>
      </w:r>
    </w:p>
    <w:p>
      <w:pPr>
        <w:spacing w:after="0" w:line="144" w:lineRule="exact"/>
        <w:rPr>
          <w:sz w:val="20"/>
          <w:szCs w:val="20"/>
          <w:color w:val="auto"/>
        </w:rPr>
      </w:pPr>
    </w:p>
    <w:p>
      <w:pPr>
        <w:jc w:val="center"/>
        <w:ind w:right="-5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92"/>
          </w:cols>
          <w:pgMar w:left="248" w:top="274" w:right="7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CASH BONUS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February 22,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BACKGROUND AND PURPOSE</w:t>
      </w:r>
    </w:p>
    <w:p>
      <w:pPr>
        <w:spacing w:after="0" w:line="96"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2006 Cash Bonus Plan (the “Plan”), effective as of February 22, 2011. The Plan was originally adopted effective January 1, 2006. The Plan is the successor to the Comcast Corporation 2002 Cash Bonus Plan (the “2002 CB Plan”), the Comcast Corporation 2002 Executive Cash Bonus Plan (the “Executive Plan”), the Comcast Corporation 2002 Supplemental Cash Bonus Plan (the “Supplemental Plan”) and the Comcast Corporation 2004 Management Achievement Plan (the “MAP”). The purpose of the Plan is to provide management employees of Comcast Corporation (the “Company”) and the Company’s Affiliates (as defined below) with an incentive to accomplish such business objectives as from time to time may be determined by the Committee.</w:t>
      </w:r>
    </w:p>
    <w:p>
      <w:pPr>
        <w:spacing w:after="0" w:line="195" w:lineRule="exact"/>
        <w:rPr>
          <w:sz w:val="20"/>
          <w:szCs w:val="20"/>
          <w:color w:val="auto"/>
        </w:rPr>
      </w:pPr>
    </w:p>
    <w:p>
      <w:pPr>
        <w:ind w:left="640" w:hanging="176"/>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jc w:val="both"/>
        <w:ind w:right="220" w:firstLine="921"/>
        <w:spacing w:after="0" w:line="256" w:lineRule="auto"/>
        <w:tabs>
          <w:tab w:leader="none" w:pos="1152"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40" w:firstLine="921"/>
        <w:spacing w:after="0" w:line="306" w:lineRule="auto"/>
        <w:tabs>
          <w:tab w:leader="none" w:pos="11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cash bonus award granted under the Plan. An Award shall be expressed as the percentage of a Grantee’s base salary payable for a Plan Year that shall become payable if the Targets established by the Committee are satisfied. The portion of an Award that shall be payable to a Grantee shall be determined by the Committee in accordance with the rules established for the Award for each Plan Year.</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jc w:val="both"/>
        <w:ind w:right="180" w:firstLine="921"/>
        <w:spacing w:after="0" w:line="298" w:lineRule="auto"/>
        <w:tabs>
          <w:tab w:leader="none" w:pos="1162"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5" w:right="239" w:bottom="1440" w:gutter="0" w:footer="0" w:header="0"/>
        </w:sectPr>
      </w:pPr>
    </w:p>
    <w:bookmarkStart w:id="62" w:name="page63"/>
    <w:bookmarkEnd w:id="62"/>
    <w:p>
      <w:pPr>
        <w:ind w:firstLine="921"/>
        <w:spacing w:after="0" w:line="332" w:lineRule="auto"/>
        <w:tabs>
          <w:tab w:leader="none" w:pos="1152"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3(c).</w:t>
      </w:r>
    </w:p>
    <w:p>
      <w:pPr>
        <w:spacing w:after="0" w:line="85" w:lineRule="exact"/>
        <w:rPr>
          <w:rFonts w:ascii="Arial" w:cs="Arial" w:eastAsia="Arial" w:hAnsi="Arial"/>
          <w:sz w:val="16"/>
          <w:szCs w:val="16"/>
          <w:color w:val="auto"/>
        </w:rPr>
      </w:pPr>
    </w:p>
    <w:p>
      <w:pPr>
        <w:ind w:right="60" w:firstLine="921"/>
        <w:spacing w:after="0" w:line="268" w:lineRule="auto"/>
        <w:tabs>
          <w:tab w:leader="none" w:pos="113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rFonts w:ascii="Arial" w:cs="Arial" w:eastAsia="Arial" w:hAnsi="Arial"/>
          <w:sz w:val="18"/>
          <w:szCs w:val="18"/>
          <w:color w:val="auto"/>
        </w:rPr>
      </w:pPr>
    </w:p>
    <w:p>
      <w:pPr>
        <w:ind w:right="340" w:firstLine="1492"/>
        <w:spacing w:after="0" w:line="286" w:lineRule="auto"/>
        <w:tabs>
          <w:tab w:leader="none" w:pos="1693" w:val="left"/>
        </w:tabs>
        <w:numPr>
          <w:ilvl w:val="2"/>
          <w:numId w:val="32"/>
        </w:numPr>
        <w:rPr>
          <w:rFonts w:ascii="Arial" w:cs="Arial" w:eastAsia="Arial" w:hAnsi="Arial"/>
          <w:sz w:val="16"/>
          <w:szCs w:val="16"/>
          <w:color w:val="auto"/>
        </w:rPr>
      </w:pPr>
      <w:r>
        <w:rPr>
          <w:rFonts w:ascii="Arial" w:cs="Arial" w:eastAsia="Arial" w:hAnsi="Arial"/>
          <w:sz w:val="16"/>
          <w:szCs w:val="16"/>
          <w:color w:val="auto"/>
        </w:rPr>
        <w:t>A Grantee’s substantially inability to perform the Grantee’s employment duties due to partial or total disability or incapacity resulting from a mental or physical illness, injury or other health-related cause for a period of twelve (12) consecutive months or for a cumulative period of fifty-two</w:t>
      </w: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weeks in any twenty-four (24) consectutive-month period; or</w:t>
      </w:r>
    </w:p>
    <w:p>
      <w:pPr>
        <w:spacing w:after="0" w:line="164" w:lineRule="exact"/>
        <w:rPr>
          <w:rFonts w:ascii="Arial" w:cs="Arial" w:eastAsia="Arial" w:hAnsi="Arial"/>
          <w:sz w:val="18"/>
          <w:szCs w:val="18"/>
          <w:color w:val="auto"/>
        </w:rPr>
      </w:pPr>
    </w:p>
    <w:p>
      <w:pPr>
        <w:ind w:firstLine="1492"/>
        <w:spacing w:after="0" w:line="268" w:lineRule="auto"/>
        <w:tabs>
          <w:tab w:leader="none" w:pos="1742" w:val="left"/>
        </w:tabs>
        <w:numPr>
          <w:ilvl w:val="2"/>
          <w:numId w:val="33"/>
        </w:numPr>
        <w:rPr>
          <w:rFonts w:ascii="Arial" w:cs="Arial" w:eastAsia="Arial" w:hAnsi="Arial"/>
          <w:sz w:val="18"/>
          <w:szCs w:val="18"/>
          <w:color w:val="auto"/>
        </w:rPr>
      </w:pPr>
      <w:r>
        <w:rPr>
          <w:rFonts w:ascii="Arial" w:cs="Arial" w:eastAsia="Arial" w:hAnsi="Arial"/>
          <w:sz w:val="18"/>
          <w:szCs w:val="18"/>
          <w:color w:val="auto"/>
        </w:rPr>
        <w:t>If more favorable to the Grantee,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2006 Cash Bonus Plan as set forth herein, and as amended from time to time.</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rFonts w:ascii="Arial" w:cs="Arial" w:eastAsia="Arial" w:hAnsi="Arial"/>
          <w:sz w:val="18"/>
          <w:szCs w:val="18"/>
          <w:color w:val="auto"/>
        </w:rPr>
      </w:pPr>
    </w:p>
    <w:p>
      <w:pPr>
        <w:ind w:right="160" w:firstLine="921"/>
        <w:spacing w:after="0" w:line="306" w:lineRule="auto"/>
        <w:tabs>
          <w:tab w:leader="none" w:pos="11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customer service,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106" w:lineRule="exact"/>
        <w:rPr>
          <w:rFonts w:ascii="Arial" w:cs="Arial" w:eastAsia="Arial" w:hAnsi="Arial"/>
          <w:sz w:val="16"/>
          <w:szCs w:val="16"/>
          <w:color w:val="auto"/>
        </w:rPr>
      </w:pPr>
    </w:p>
    <w:p>
      <w:pPr>
        <w:jc w:val="both"/>
        <w:ind w:right="80" w:firstLine="921"/>
        <w:spacing w:after="0" w:line="306" w:lineRule="auto"/>
        <w:tabs>
          <w:tab w:leader="none" w:pos="1162"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income, expense, operating cash flow, capital spending,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3" w:name="page64"/>
    <w:bookmarkEnd w:id="6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 “</w:t>
      </w:r>
      <w:r>
        <w:rPr>
          <w:rFonts w:ascii="Arial" w:cs="Arial" w:eastAsia="Arial" w:hAnsi="Arial"/>
          <w:sz w:val="16"/>
          <w:szCs w:val="16"/>
          <w:u w:val="single" w:color="auto"/>
          <w:color w:val="auto"/>
        </w:rPr>
        <w:t>Retirement</w:t>
      </w:r>
      <w:r>
        <w:rPr>
          <w:rFonts w:ascii="Arial" w:cs="Arial" w:eastAsia="Arial" w:hAnsi="Arial"/>
          <w:sz w:val="16"/>
          <w:szCs w:val="16"/>
          <w:color w:val="auto"/>
        </w:rPr>
        <w:t>” means termination of employment with the Company and its Affiliates after reaching age 57 and completing 10 or more years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service.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(q) “</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360" w:firstLine="921"/>
        <w:spacing w:after="0" w:line="259" w:lineRule="auto"/>
        <w:tabs>
          <w:tab w:leader="none" w:pos="1132"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162(m) Award</w:t>
      </w:r>
      <w:r>
        <w:rPr>
          <w:rFonts w:ascii="Arial" w:cs="Arial" w:eastAsia="Arial" w:hAnsi="Arial"/>
          <w:sz w:val="18"/>
          <w:szCs w:val="18"/>
          <w:color w:val="auto"/>
        </w:rPr>
        <w:t>” means an Award granted to an individual who, at the Date of Grant, is a “covered employee” within the meaning of section 162(m)(3) of the Code that is designated as a Section 162(m) Award and under which payment is conditioned on the achievement of one or more Quantitative Performance Standards.</w:t>
      </w:r>
    </w:p>
    <w:p>
      <w:pPr>
        <w:spacing w:after="0" w:line="140" w:lineRule="exact"/>
        <w:rPr>
          <w:rFonts w:ascii="Arial" w:cs="Arial" w:eastAsia="Arial" w:hAnsi="Arial"/>
          <w:sz w:val="18"/>
          <w:szCs w:val="18"/>
          <w:color w:val="auto"/>
        </w:rPr>
      </w:pPr>
    </w:p>
    <w:p>
      <w:pPr>
        <w:ind w:right="160" w:firstLine="921"/>
        <w:spacing w:after="0" w:line="259" w:lineRule="auto"/>
        <w:tabs>
          <w:tab w:leader="none" w:pos="11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firstLine="921"/>
        <w:spacing w:after="0" w:line="268" w:lineRule="auto"/>
        <w:tabs>
          <w:tab w:leader="none" w:pos="1162"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06"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right="280" w:firstLine="921"/>
        <w:spacing w:after="0" w:line="306" w:lineRule="auto"/>
        <w:tabs>
          <w:tab w:leader="none" w:pos="115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06" w:lineRule="exact"/>
        <w:rPr>
          <w:rFonts w:ascii="Arial" w:cs="Arial" w:eastAsia="Arial" w:hAnsi="Arial"/>
          <w:sz w:val="16"/>
          <w:szCs w:val="16"/>
          <w:color w:val="auto"/>
        </w:rPr>
      </w:pPr>
    </w:p>
    <w:p>
      <w:pPr>
        <w:ind w:right="700" w:firstLine="1492"/>
        <w:spacing w:after="0" w:line="268" w:lineRule="auto"/>
        <w:tabs>
          <w:tab w:leader="none" w:pos="1693" w:val="left"/>
        </w:tabs>
        <w:numPr>
          <w:ilvl w:val="3"/>
          <w:numId w:val="35"/>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3"/>
          <w:numId w:val="35"/>
        </w:numPr>
        <w:rPr>
          <w:rFonts w:ascii="Arial" w:cs="Arial" w:eastAsia="Arial" w:hAnsi="Arial"/>
          <w:sz w:val="16"/>
          <w:szCs w:val="16"/>
          <w:color w:val="auto"/>
        </w:rPr>
      </w:pPr>
      <w:r>
        <w:rPr>
          <w:rFonts w:ascii="Arial" w:cs="Arial" w:eastAsia="Arial" w:hAnsi="Arial"/>
          <w:sz w:val="16"/>
          <w:szCs w:val="16"/>
          <w:color w:val="auto"/>
        </w:rPr>
        <w:t>construe the Plan, which construction, as long as made in good faith, shall be final and conclusive upon all parties hereto;</w:t>
      </w:r>
    </w:p>
    <w:p>
      <w:pPr>
        <w:spacing w:after="0" w:line="194" w:lineRule="exact"/>
        <w:rPr>
          <w:rFonts w:ascii="Arial" w:cs="Arial" w:eastAsia="Arial" w:hAnsi="Arial"/>
          <w:sz w:val="16"/>
          <w:szCs w:val="16"/>
          <w:color w:val="auto"/>
        </w:rPr>
      </w:pPr>
    </w:p>
    <w:p>
      <w:pPr>
        <w:ind w:right="240" w:firstLine="1492"/>
        <w:spacing w:after="0" w:line="268" w:lineRule="auto"/>
        <w:tabs>
          <w:tab w:leader="none" w:pos="1791" w:val="left"/>
        </w:tabs>
        <w:numPr>
          <w:ilvl w:val="3"/>
          <w:numId w:val="35"/>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4" w:name="page65"/>
    <w:bookmarkEnd w:id="6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determine whether the conditions to the payment of a cash bonus pursuant to an Award have been satisfied.</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32" w:lineRule="exact"/>
        <w:rPr>
          <w:sz w:val="20"/>
          <w:szCs w:val="20"/>
          <w:color w:val="auto"/>
        </w:rPr>
      </w:pPr>
    </w:p>
    <w:p>
      <w:pPr>
        <w:ind w:right="160" w:firstLine="921"/>
        <w:spacing w:after="0" w:line="259" w:lineRule="auto"/>
        <w:tabs>
          <w:tab w:leader="none" w:pos="116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40" w:lineRule="exact"/>
        <w:rPr>
          <w:rFonts w:ascii="Arial" w:cs="Arial" w:eastAsia="Arial" w:hAnsi="Arial"/>
          <w:sz w:val="18"/>
          <w:szCs w:val="18"/>
          <w:color w:val="auto"/>
        </w:rPr>
      </w:pPr>
    </w:p>
    <w:p>
      <w:pPr>
        <w:ind w:firstLine="921"/>
        <w:spacing w:after="0" w:line="306" w:lineRule="auto"/>
        <w:tabs>
          <w:tab w:leader="none" w:pos="1152"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its authority with respect to the grant, amendment, interpretation and administration of grants to a person, persons or committee, in its sole and absolute discretion. Actions taken by the Committee’s duly-authorized delegate shall have the same force and effect as actions taken by the Committee. Any delegation of authority pursuant to this Paragraph 3(c) shall continue in effect until the earliest of:</w:t>
      </w:r>
    </w:p>
    <w:p>
      <w:pPr>
        <w:spacing w:after="0" w:line="106" w:lineRule="exact"/>
        <w:rPr>
          <w:rFonts w:ascii="Arial" w:cs="Arial" w:eastAsia="Arial" w:hAnsi="Arial"/>
          <w:sz w:val="16"/>
          <w:szCs w:val="16"/>
          <w:color w:val="auto"/>
        </w:rPr>
      </w:pPr>
    </w:p>
    <w:p>
      <w:pPr>
        <w:ind w:left="1700" w:hanging="208"/>
        <w:spacing w:after="0"/>
        <w:tabs>
          <w:tab w:leader="none" w:pos="1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171" w:lineRule="exact"/>
        <w:rPr>
          <w:rFonts w:ascii="Arial" w:cs="Arial" w:eastAsia="Arial" w:hAnsi="Arial"/>
          <w:sz w:val="18"/>
          <w:szCs w:val="18"/>
          <w:color w:val="auto"/>
        </w:rPr>
      </w:pPr>
    </w:p>
    <w:p>
      <w:pPr>
        <w:ind w:right="460" w:firstLine="1492"/>
        <w:spacing w:after="0" w:line="268" w:lineRule="auto"/>
        <w:tabs>
          <w:tab w:leader="none" w:pos="1742"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171" w:lineRule="exact"/>
        <w:rPr>
          <w:rFonts w:ascii="Arial" w:cs="Arial" w:eastAsia="Arial" w:hAnsi="Arial"/>
          <w:sz w:val="18"/>
          <w:szCs w:val="18"/>
          <w:color w:val="auto"/>
        </w:rPr>
      </w:pPr>
    </w:p>
    <w:p>
      <w:pPr>
        <w:ind w:right="20" w:firstLine="921"/>
        <w:spacing w:after="0" w:line="306" w:lineRule="auto"/>
        <w:tabs>
          <w:tab w:leader="none" w:pos="1161"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Grantee Information</w:t>
      </w:r>
      <w:r>
        <w:rPr>
          <w:rFonts w:ascii="Arial" w:cs="Arial" w:eastAsia="Arial" w:hAnsi="Arial"/>
          <w:sz w:val="16"/>
          <w:szCs w:val="16"/>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1" w:lineRule="exact"/>
        <w:rPr>
          <w:rFonts w:ascii="Arial" w:cs="Arial" w:eastAsia="Arial" w:hAnsi="Arial"/>
          <w:sz w:val="16"/>
          <w:szCs w:val="16"/>
          <w:color w:val="auto"/>
        </w:rPr>
      </w:pPr>
    </w:p>
    <w:p>
      <w:pPr>
        <w:ind w:left="640" w:hanging="176"/>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AWARDS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Committee may grant Awards in accordance with the Plan. The terms and conditions of Awards shall be as determined from time to time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Committee, consistent, however, with the following:</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65" w:name="page66"/>
    <w:bookmarkEnd w:id="65"/>
    <w:p>
      <w:pPr>
        <w:ind w:left="1160" w:hanging="239"/>
        <w:spacing w:after="0"/>
        <w:tabs>
          <w:tab w:leader="none" w:pos="116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of Grant</w:t>
      </w:r>
      <w:r>
        <w:rPr>
          <w:rFonts w:ascii="Arial" w:cs="Arial" w:eastAsia="Arial" w:hAnsi="Arial"/>
          <w:sz w:val="15"/>
          <w:szCs w:val="15"/>
          <w:color w:val="auto"/>
        </w:rPr>
        <w:t>. Awards may be granted at any time from the date of adoption of the Plan by the Board until the Plan is terminated by the Board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Committee.</w:t>
      </w:r>
    </w:p>
    <w:p>
      <w:pPr>
        <w:spacing w:after="0" w:line="164" w:lineRule="exact"/>
        <w:rPr>
          <w:rFonts w:ascii="Arial" w:cs="Arial" w:eastAsia="Arial" w:hAnsi="Arial"/>
          <w:sz w:val="15"/>
          <w:szCs w:val="15"/>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pacing w:after="0" w:line="252" w:lineRule="exact"/>
        <w:rPr>
          <w:rFonts w:ascii="Arial" w:cs="Arial" w:eastAsia="Arial" w:hAnsi="Arial"/>
          <w:sz w:val="18"/>
          <w:szCs w:val="18"/>
          <w:color w:val="auto"/>
        </w:rPr>
      </w:pPr>
    </w:p>
    <w:p>
      <w:pPr>
        <w:ind w:left="1160" w:hanging="239"/>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Establishment of Targets and Conditions to Payment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Awards shall be expressed as a percentage of a Grantee’s base salary.</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Committee shall establish such conditions on the payment of a bonus pursuant to an Award as it may, in its sole discretion, deem</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164" w:lineRule="exact"/>
        <w:rPr>
          <w:rFonts w:ascii="Arial" w:cs="Arial" w:eastAsia="Arial" w:hAnsi="Arial"/>
          <w:sz w:val="16"/>
          <w:szCs w:val="16"/>
          <w:color w:val="auto"/>
        </w:rPr>
      </w:pPr>
    </w:p>
    <w:p>
      <w:pPr>
        <w:ind w:right="280" w:firstLine="1492"/>
        <w:spacing w:after="0" w:line="332" w:lineRule="auto"/>
        <w:tabs>
          <w:tab w:leader="none" w:pos="1791"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85" w:lineRule="exact"/>
        <w:rPr>
          <w:rFonts w:ascii="Arial" w:cs="Arial" w:eastAsia="Arial" w:hAnsi="Arial"/>
          <w:sz w:val="16"/>
          <w:szCs w:val="16"/>
          <w:color w:val="auto"/>
        </w:rPr>
      </w:pPr>
    </w:p>
    <w:p>
      <w:pPr>
        <w:ind w:right="160" w:firstLine="1492"/>
        <w:spacing w:after="0" w:line="306" w:lineRule="auto"/>
        <w:tabs>
          <w:tab w:leader="none" w:pos="1781"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any Section 162(m) Award, the Committee shall establish the Targets for each Plan Year no later than 90 days after the first day of the Plan Year, or, if sooner, within the first 25% of the Plan Year, provided, however, that the Committee must determine that, as of the date the Quantitative Performance Standards are established, it is substantially uncertain whether the Quantitative Performance Standards will be achieved.</w:t>
      </w:r>
    </w:p>
    <w:p>
      <w:pPr>
        <w:spacing w:after="0" w:line="106" w:lineRule="exact"/>
        <w:rPr>
          <w:rFonts w:ascii="Arial" w:cs="Arial" w:eastAsia="Arial" w:hAnsi="Arial"/>
          <w:sz w:val="16"/>
          <w:szCs w:val="16"/>
          <w:color w:val="auto"/>
        </w:rPr>
      </w:pPr>
    </w:p>
    <w:p>
      <w:pPr>
        <w:ind w:right="80" w:firstLine="1492"/>
        <w:spacing w:after="0" w:line="306" w:lineRule="auto"/>
        <w:tabs>
          <w:tab w:leader="none" w:pos="173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reasonably practicable following the end of each Plan Year, but not later than 2-1/2 months following the close of such Plan Year.</w:t>
      </w:r>
    </w:p>
    <w:p>
      <w:pPr>
        <w:spacing w:after="0" w:line="106" w:lineRule="exact"/>
        <w:rPr>
          <w:rFonts w:ascii="Arial" w:cs="Arial" w:eastAsia="Arial" w:hAnsi="Arial"/>
          <w:sz w:val="16"/>
          <w:szCs w:val="16"/>
          <w:color w:val="auto"/>
        </w:rPr>
      </w:pPr>
    </w:p>
    <w:p>
      <w:pPr>
        <w:ind w:firstLine="1492"/>
        <w:spacing w:after="0" w:line="288" w:lineRule="auto"/>
        <w:tabs>
          <w:tab w:leader="none" w:pos="1781"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purposes of calculating whether any Quantitative Performance Standard has been met, in the event there is a significant acquisition or disposition of any assets, business division, company or other business operations of the Company or such division or business unit that is reasonably expected to have an effect on the Quantitative Performance Standard as otherwise determined under the terms of the Plan, the relevant performance objectives shall be adjusted to take into account the impact of such acquisition or disposition by increasing or decreasing such goals in the same proportion as the relevant performance measure of the Company or such division or business unit would have been affected for the prior performance measurement period on a pro forma basis had such an acquisition or disposition occurred on the same date during the prior performance measurement period; provided further that such adjustment shall be based upon the historical equivalent of the relevant performance measure of the business or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6" w:name="page67"/>
    <w:bookmarkEnd w:id="66"/>
    <w:p>
      <w:pPr>
        <w:ind w:left="-20" w:right="280" w:firstLine="1492"/>
        <w:spacing w:after="0" w:line="256" w:lineRule="auto"/>
        <w:tabs>
          <w:tab w:leader="none" w:pos="181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determination of the amount of a Grantee’s bonus payable with respect to any Plan Year under the Plan, the Committee shall have the discretion to reduce or eliminate the bonus otherwise payable to a Grantee if it determines that such a reduction or elimination of the bonus is in the best interests of the Company. The Committee may not waive, in whole or in part, any remaining conditions to payment of a Section 162(m) Award.</w:t>
      </w:r>
    </w:p>
    <w:p>
      <w:pPr>
        <w:spacing w:after="0" w:line="143" w:lineRule="exact"/>
        <w:rPr>
          <w:rFonts w:ascii="Arial" w:cs="Arial" w:eastAsia="Arial" w:hAnsi="Arial"/>
          <w:sz w:val="18"/>
          <w:szCs w:val="18"/>
          <w:color w:val="auto"/>
        </w:rPr>
      </w:pPr>
    </w:p>
    <w:p>
      <w:pPr>
        <w:ind w:left="1140" w:hanging="239"/>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Transfer and Termination of Grantee’s Employment</w:t>
      </w:r>
      <w:r>
        <w:rPr>
          <w:rFonts w:ascii="Arial" w:cs="Arial" w:eastAsia="Arial" w:hAnsi="Arial"/>
          <w:sz w:val="18"/>
          <w:szCs w:val="18"/>
          <w:color w:val="auto"/>
        </w:rPr>
        <w:t>.</w:t>
      </w:r>
    </w:p>
    <w:p>
      <w:pPr>
        <w:spacing w:after="0" w:line="171" w:lineRule="exact"/>
        <w:rPr>
          <w:sz w:val="20"/>
          <w:szCs w:val="20"/>
          <w:color w:val="auto"/>
        </w:rPr>
      </w:pPr>
    </w:p>
    <w:p>
      <w:pPr>
        <w:ind w:left="-20" w:firstLine="1492"/>
        <w:spacing w:after="0" w:line="290" w:lineRule="auto"/>
        <w:tabs>
          <w:tab w:leader="none" w:pos="171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Transfer of Employment</w:t>
      </w:r>
      <w:r>
        <w:rPr>
          <w:rFonts w:ascii="Arial" w:cs="Arial" w:eastAsia="Arial" w:hAnsi="Arial"/>
          <w:sz w:val="16"/>
          <w:szCs w:val="16"/>
          <w:color w:val="auto"/>
        </w:rPr>
        <w:t>. 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99" w:lineRule="exact"/>
        <w:rPr>
          <w:rFonts w:ascii="Arial" w:cs="Arial" w:eastAsia="Arial" w:hAnsi="Arial"/>
          <w:sz w:val="16"/>
          <w:szCs w:val="16"/>
          <w:color w:val="auto"/>
        </w:rPr>
      </w:pPr>
    </w:p>
    <w:p>
      <w:pPr>
        <w:ind w:left="1720" w:hanging="248"/>
        <w:spacing w:after="0"/>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140" w:firstLine="1948"/>
        <w:spacing w:after="0" w:line="259" w:lineRule="auto"/>
        <w:tabs>
          <w:tab w:leader="none" w:pos="212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For Any Reason Other Than Death, Disability or Retirement</w:t>
      </w:r>
      <w:r>
        <w:rPr>
          <w:rFonts w:ascii="Arial" w:cs="Arial" w:eastAsia="Arial" w:hAnsi="Arial"/>
          <w:sz w:val="18"/>
          <w:szCs w:val="18"/>
          <w:color w:val="auto"/>
        </w:rPr>
        <w:t>. If a Grantee terminates employment with the Company and its Affiliates for any reason other than death, Disability or Retirement, all Awards remaining subject to conditions to payment shall be forfeited by the Grantee and deemed canceled by the Company.</w:t>
      </w:r>
    </w:p>
    <w:p>
      <w:pPr>
        <w:spacing w:after="0" w:line="140" w:lineRule="exact"/>
        <w:rPr>
          <w:rFonts w:ascii="Arial" w:cs="Arial" w:eastAsia="Arial" w:hAnsi="Arial"/>
          <w:sz w:val="18"/>
          <w:szCs w:val="18"/>
          <w:color w:val="auto"/>
        </w:rPr>
      </w:pPr>
    </w:p>
    <w:p>
      <w:pPr>
        <w:ind w:left="-20" w:right="300" w:firstLine="1948"/>
        <w:spacing w:after="0" w:line="298" w:lineRule="auto"/>
        <w:tabs>
          <w:tab w:leader="none" w:pos="217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 Because of Death</w:t>
      </w:r>
      <w:r>
        <w:rPr>
          <w:rFonts w:ascii="Arial" w:cs="Arial" w:eastAsia="Arial" w:hAnsi="Arial"/>
          <w:sz w:val="16"/>
          <w:szCs w:val="16"/>
          <w:color w:val="auto"/>
        </w:rPr>
        <w:t>. If a Grantee terminates employment with the Company and its Affiliates because of death, the Company shall pay the Award to the Grantee’s estate as soon as practicable following the Grantee’s death, but not later than the 15</w:t>
      </w:r>
      <w:r>
        <w:rPr>
          <w:rFonts w:ascii="Arial" w:cs="Arial" w:eastAsia="Arial" w:hAnsi="Arial"/>
          <w:sz w:val="10"/>
          <w:szCs w:val="10"/>
          <w:color w:val="auto"/>
        </w:rPr>
        <w:t>th</w:t>
      </w:r>
      <w:r>
        <w:rPr>
          <w:rFonts w:ascii="Arial" w:cs="Arial" w:eastAsia="Arial" w:hAnsi="Arial"/>
          <w:sz w:val="16"/>
          <w:szCs w:val="16"/>
          <w:color w:val="auto"/>
        </w:rPr>
        <w:t xml:space="preserve"> day of the third month beginning after calendar year in which the Grantee dies. The Award shall be calculated based on the assumption that the applicable Targets were satisfied, and based on the Grantee’s compensation earned through the date of the Grantee’s death.</w:t>
      </w:r>
    </w:p>
    <w:p>
      <w:pPr>
        <w:spacing w:after="0" w:line="112" w:lineRule="exact"/>
        <w:rPr>
          <w:rFonts w:ascii="Arial" w:cs="Arial" w:eastAsia="Arial" w:hAnsi="Arial"/>
          <w:sz w:val="16"/>
          <w:szCs w:val="16"/>
          <w:color w:val="auto"/>
        </w:rPr>
      </w:pPr>
    </w:p>
    <w:p>
      <w:pPr>
        <w:ind w:left="-20" w:right="240" w:firstLine="1948"/>
        <w:spacing w:after="0" w:line="323" w:lineRule="auto"/>
        <w:tabs>
          <w:tab w:leader="none" w:pos="2227"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Termination Because of Disability or Retirement</w:t>
      </w:r>
      <w:r>
        <w:rPr>
          <w:rFonts w:ascii="Arial" w:cs="Arial" w:eastAsia="Arial" w:hAnsi="Arial"/>
          <w:sz w:val="15"/>
          <w:szCs w:val="15"/>
          <w:color w:val="auto"/>
        </w:rPr>
        <w:t>. If a Grantee terminates employment with the Company and its Affiliates because of Disability or Retirement, the Company shall pay the Award to the Grantee at the same time that Awards are payable to Grantees whose employment has not terminated. The Award shall be calculated based on the extent to which the applicable Targets are actually satisfied for the calendar year in which the Grantee’s employment terminated, and based on the Grantee’s compensation earned through the date of the Grantee’s termination of employment.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67" w:name="page68"/>
    <w:bookmarkEnd w:id="67"/>
    <w:p>
      <w:pPr>
        <w:ind w:left="1140" w:hanging="219"/>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Maximum Grant</w:t>
      </w:r>
      <w:r>
        <w:rPr>
          <w:rFonts w:ascii="Arial" w:cs="Arial" w:eastAsia="Arial" w:hAnsi="Arial"/>
          <w:sz w:val="18"/>
          <w:szCs w:val="18"/>
          <w:color w:val="auto"/>
        </w:rPr>
        <w:t>. In no event shall the amount paid to any Grantee pursuant to an Award for any Plan Year exceed $12 million.</w:t>
      </w:r>
    </w:p>
    <w:p>
      <w:pPr>
        <w:spacing w:after="0" w:line="171" w:lineRule="exact"/>
        <w:rPr>
          <w:rFonts w:ascii="Arial" w:cs="Arial" w:eastAsia="Arial" w:hAnsi="Arial"/>
          <w:sz w:val="18"/>
          <w:szCs w:val="18"/>
          <w:color w:val="auto"/>
        </w:rPr>
      </w:pPr>
    </w:p>
    <w:p>
      <w:pPr>
        <w:ind w:right="220" w:firstLine="921"/>
        <w:spacing w:after="0" w:line="259" w:lineRule="auto"/>
        <w:tabs>
          <w:tab w:leader="none" w:pos="116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effectiveness of the grants of Section 162(m) Awards under the Plan relating to payments on the satisfaction of the Quantitative Performance Standards established by the Committee from time to time shall be conditioned on the approval of the Plan by the Company’s shareholders.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TERMINATING EVENTS</w:t>
      </w:r>
    </w:p>
    <w:p>
      <w:pPr>
        <w:spacing w:after="0" w:line="96"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AMENDMENT AND TERMINATION</w:t>
      </w:r>
    </w:p>
    <w:p>
      <w:pPr>
        <w:spacing w:after="0" w:line="96"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No Awards shall be granted for any period commencing after December 31, 2015, provided that the effectiveness of the grants of Section 162(m) Awards under the Plan after December 31, 2010 relating to payments on the satisfaction of the Quantitative Performance Standards established by the Committee from time to time shall be conditioned on the approval of the Plan by the Company’s shareholders. To the extent that awards are or have been made pursuant to the terms of the 2002 CB Plan, the Executive Plan, the Supplemental Plan or the MAP, the Committee may, in its discretion, treat such awards as Awards under this Plan.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95"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96" w:lineRule="exact"/>
        <w:rPr>
          <w:rFonts w:ascii="Arial" w:cs="Arial" w:eastAsia="Arial" w:hAnsi="Arial"/>
          <w:sz w:val="18"/>
          <w:szCs w:val="18"/>
          <w:b w:val="1"/>
          <w:bCs w:val="1"/>
          <w:color w:val="auto"/>
        </w:rPr>
      </w:pPr>
    </w:p>
    <w:p>
      <w:pPr>
        <w:ind w:right="40" w:firstLine="921"/>
        <w:spacing w:after="0" w:line="298"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Unsecured Creditor Status</w:t>
      </w:r>
      <w:r>
        <w:rPr>
          <w:rFonts w:ascii="Arial" w:cs="Arial" w:eastAsia="Arial" w:hAnsi="Arial"/>
          <w:sz w:val="16"/>
          <w:szCs w:val="16"/>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12" w:lineRule="exact"/>
        <w:rPr>
          <w:rFonts w:ascii="Arial" w:cs="Arial" w:eastAsia="Arial" w:hAnsi="Arial"/>
          <w:sz w:val="16"/>
          <w:szCs w:val="16"/>
          <w:color w:val="auto"/>
        </w:rPr>
      </w:pPr>
    </w:p>
    <w:p>
      <w:pPr>
        <w:ind w:right="100" w:firstLine="921"/>
        <w:spacing w:after="0" w:line="268" w:lineRule="auto"/>
        <w:tabs>
          <w:tab w:leader="none" w:pos="116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Non-Assignment of Awards</w:t>
      </w:r>
      <w:r>
        <w:rPr>
          <w:rFonts w:ascii="Arial" w:cs="Arial" w:eastAsia="Arial" w:hAnsi="Arial"/>
          <w:sz w:val="18"/>
          <w:szCs w:val="18"/>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131" w:lineRule="exact"/>
        <w:rPr>
          <w:rFonts w:ascii="Arial" w:cs="Arial" w:eastAsia="Arial" w:hAnsi="Arial"/>
          <w:sz w:val="18"/>
          <w:szCs w:val="18"/>
          <w:color w:val="auto"/>
        </w:rPr>
      </w:pPr>
    </w:p>
    <w:p>
      <w:pPr>
        <w:ind w:firstLine="921"/>
        <w:spacing w:after="0" w:line="268" w:lineRule="auto"/>
        <w:tabs>
          <w:tab w:leader="none" w:pos="115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Grantee may otherwise be entitled under any other contract, arrangement, or voluntary pension, profit sharing or other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68" w:name="page69"/>
    <w:bookmarkEnd w:id="68"/>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32" w:lineRule="exact"/>
        <w:rPr>
          <w:sz w:val="20"/>
          <w:szCs w:val="20"/>
          <w:color w:val="auto"/>
        </w:rPr>
      </w:pPr>
    </w:p>
    <w:p>
      <w:pPr>
        <w:jc w:val="both"/>
        <w:ind w:right="140" w:firstLine="921"/>
        <w:spacing w:after="0" w:line="332" w:lineRule="auto"/>
        <w:tabs>
          <w:tab w:leader="none" w:pos="116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Separability</w:t>
      </w:r>
      <w:r>
        <w:rPr>
          <w:rFonts w:ascii="Arial" w:cs="Arial" w:eastAsia="Arial" w:hAnsi="Arial"/>
          <w:sz w:val="16"/>
          <w:szCs w:val="16"/>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85" w:lineRule="exact"/>
        <w:rPr>
          <w:rFonts w:ascii="Arial" w:cs="Arial" w:eastAsia="Arial" w:hAnsi="Arial"/>
          <w:sz w:val="16"/>
          <w:szCs w:val="16"/>
          <w:color w:val="auto"/>
        </w:rPr>
      </w:pPr>
    </w:p>
    <w:p>
      <w:pPr>
        <w:jc w:val="both"/>
        <w:ind w:right="480" w:firstLine="921"/>
        <w:spacing w:after="0" w:line="306" w:lineRule="auto"/>
        <w:tabs>
          <w:tab w:leader="none" w:pos="115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06" w:lineRule="exact"/>
        <w:rPr>
          <w:rFonts w:ascii="Arial" w:cs="Arial" w:eastAsia="Arial" w:hAnsi="Arial"/>
          <w:sz w:val="16"/>
          <w:szCs w:val="16"/>
          <w:color w:val="auto"/>
        </w:rPr>
      </w:pPr>
    </w:p>
    <w:p>
      <w:pPr>
        <w:ind w:firstLine="921"/>
        <w:spacing w:after="0" w:line="335" w:lineRule="auto"/>
        <w:tabs>
          <w:tab w:leader="none" w:pos="1132"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Incapacity</w:t>
      </w:r>
      <w:r>
        <w:rPr>
          <w:rFonts w:ascii="Arial" w:cs="Arial" w:eastAsia="Arial" w:hAnsi="Arial"/>
          <w:sz w:val="15"/>
          <w:szCs w:val="15"/>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88" w:lineRule="exact"/>
        <w:rPr>
          <w:rFonts w:ascii="Arial" w:cs="Arial" w:eastAsia="Arial" w:hAnsi="Arial"/>
          <w:sz w:val="15"/>
          <w:szCs w:val="15"/>
          <w:color w:val="auto"/>
        </w:rPr>
      </w:pPr>
    </w:p>
    <w:p>
      <w:pPr>
        <w:ind w:right="260" w:firstLine="921"/>
        <w:spacing w:after="0" w:line="332" w:lineRule="auto"/>
        <w:tabs>
          <w:tab w:leader="none" w:pos="116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a Section 16(b) Officer or a former</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Award (or a portion thereof) granted after February 28, 2007 to such Section 16(b) Officer or former Section 16(b) Officer if (i) the Award was calculated based upon, or contingent on, the achievement of financial or operating results that were the subject of or affected by the restatement, and (ii) the amount of the Award would have been less had the financial statements been correct. In addition, to the extent that the receipt of an Award subject to repayment under this Paragraph 8(h) has been deferred pursuant to the Comcast Corporation 2005 Deferred Compensation Plan (or any other plan, program or arrangement that permits the deferral of receipt of an Award), such Award (and any earnings credited with respect thereto) shall be forfeited in lieu of repayment.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 GOVERNING LAW</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 EFFECTIVE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date of this amendment and restatement of the Plan is February 22, 2011.</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Executed as of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2011</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640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10795</wp:posOffset>
            </wp:positionV>
            <wp:extent cx="26327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jc w:val="both"/>
        <w:ind w:left="6400"/>
        <w:spacing w:after="0"/>
        <w:tabs>
          <w:tab w:leader="none" w:pos="726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10795</wp:posOffset>
            </wp:positionV>
            <wp:extent cx="23412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59"/>
          </w:cols>
          <w:pgMar w:left="700" w:top="274"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February 22, 2011.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the Effective Date,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the Effective Date will be available to be deferred pursuant to the Plan, subject to its terms and conditions.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ectPr>
          <w:pgSz w:w="11900" w:h="16838" w:orient="portrait"/>
          <w:cols w:equalWidth="0" w:num="1">
            <w:col w:w="11420"/>
          </w:cols>
          <w:pgMar w:left="240" w:top="125" w:right="239" w:bottom="1440" w:gutter="0" w:footer="0" w:header="0"/>
        </w:sectPr>
      </w:pPr>
    </w:p>
    <w:bookmarkStart w:id="71" w:name="page72"/>
    <w:bookmarkEnd w:id="71"/>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Participant who is in active service as an Outside Director or a Director Emeritus; and</w:t>
      </w:r>
    </w:p>
    <w:p>
      <w:pPr>
        <w:spacing w:after="0" w:line="171" w:lineRule="exact"/>
        <w:rPr>
          <w:rFonts w:ascii="Arial" w:cs="Arial" w:eastAsia="Arial" w:hAnsi="Arial"/>
          <w:sz w:val="18"/>
          <w:szCs w:val="18"/>
          <w:color w:val="auto"/>
        </w:rPr>
      </w:pPr>
    </w:p>
    <w:p>
      <w:pPr>
        <w:ind w:left="460" w:right="3400" w:firstLine="461"/>
        <w:spacing w:after="0" w:line="438" w:lineRule="auto"/>
        <w:tabs>
          <w:tab w:leader="none" w:pos="11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171" w:lineRule="exact"/>
        <w:rPr>
          <w:sz w:val="20"/>
          <w:szCs w:val="20"/>
          <w:color w:val="auto"/>
        </w:rPr>
      </w:pPr>
    </w:p>
    <w:p>
      <w:pPr>
        <w:ind w:right="240" w:firstLine="921"/>
        <w:spacing w:after="0" w:line="332"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85" w:lineRule="exact"/>
        <w:rPr>
          <w:rFonts w:ascii="Arial" w:cs="Arial" w:eastAsia="Arial" w:hAnsi="Arial"/>
          <w:sz w:val="16"/>
          <w:szCs w:val="16"/>
          <w:color w:val="auto"/>
        </w:rPr>
      </w:pPr>
    </w:p>
    <w:p>
      <w:pPr>
        <w:ind w:right="100" w:firstLine="921"/>
        <w:spacing w:after="0" w:line="255"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72" w:name="page73"/>
    <w:bookmarkEnd w:id="72"/>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90" w:lineRule="exact"/>
        <w:rPr>
          <w:sz w:val="20"/>
          <w:szCs w:val="20"/>
          <w:color w:val="auto"/>
        </w:rPr>
      </w:pPr>
    </w:p>
    <w:p>
      <w:pPr>
        <w:ind w:right="540" w:firstLine="921"/>
        <w:spacing w:after="0" w:line="306" w:lineRule="auto"/>
        <w:tabs>
          <w:tab w:leader="none" w:pos="11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3" w:name="page74"/>
    <w:bookmarkEnd w:id="73"/>
    <w:p>
      <w:pPr>
        <w:ind w:left="1160" w:hanging="239"/>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right="300" w:firstLine="8"/>
        <w:spacing w:after="0" w:line="323" w:lineRule="auto"/>
        <w:tabs>
          <w:tab w:leader="none" w:pos="2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sales commissions or other similar payments or awards, (iii) bonuses earned under any program designated by the Company’s Programming Division as a “long-term incentive plan” and (iv) bonuses earned under any long-term incentive plan for employees of NBC Universal (as defined in Section 3.1(a)(ii).</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340" w:firstLine="921"/>
        <w:spacing w:after="0" w:line="332" w:lineRule="auto"/>
        <w:tabs>
          <w:tab w:leader="none" w:pos="11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right="100"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120" w:firstLine="921"/>
        <w:spacing w:after="0" w:line="268" w:lineRule="auto"/>
        <w:tabs>
          <w:tab w:leader="none" w:pos="11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2.21(a) acting on behalf of such individual.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2.22.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171"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New Key Employee; and</w:t>
      </w:r>
    </w:p>
    <w:p>
      <w:pPr>
        <w:spacing w:after="0" w:line="171"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discretion, as an Eligible Employee; provided, in each case, that such individual’s Compensation is administered under the Company’s common payroll system.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332"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right="420" w:firstLine="921"/>
        <w:spacing w:after="0" w:line="268"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40" w:lineRule="exact"/>
        <w:rPr>
          <w:rFonts w:ascii="Arial" w:cs="Arial" w:eastAsia="Arial" w:hAnsi="Arial"/>
          <w:sz w:val="18"/>
          <w:szCs w:val="18"/>
          <w:color w:val="auto"/>
        </w:rPr>
      </w:pPr>
    </w:p>
    <w:p>
      <w:pPr>
        <w:ind w:firstLine="921"/>
        <w:spacing w:after="0" w:line="259"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75" w:name="page76"/>
    <w:bookmarkEnd w:id="75"/>
    <w:p>
      <w:pPr>
        <w:ind w:right="40" w:firstLine="921"/>
        <w:spacing w:after="0" w:line="256"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Paragraph 2.24.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Paragraph 2.24 for all Participants in similar circumstances.</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Director Emeritus or an Eligible Employee may:</w:t>
      </w:r>
    </w:p>
    <w:p>
      <w:pPr>
        <w:spacing w:after="0" w:line="132" w:lineRule="exact"/>
        <w:rPr>
          <w:sz w:val="20"/>
          <w:szCs w:val="20"/>
          <w:color w:val="auto"/>
        </w:rPr>
      </w:pPr>
    </w:p>
    <w:p>
      <w:pPr>
        <w:ind w:right="100" w:firstLine="921"/>
        <w:spacing w:after="0" w:line="256" w:lineRule="auto"/>
        <w:tabs>
          <w:tab w:leader="none" w:pos="11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Director Emeritus or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171" w:lineRule="exact"/>
        <w:rPr>
          <w:sz w:val="20"/>
          <w:szCs w:val="20"/>
          <w:color w:val="auto"/>
        </w:rPr>
      </w:pPr>
    </w:p>
    <w:p>
      <w:pPr>
        <w:ind w:right="1140" w:firstLine="921"/>
        <w:spacing w:after="0" w:line="268"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$200,000 or more and who, immediately preceding such increase, was not an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2.30.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32" w:lineRule="auto"/>
        <w:tabs>
          <w:tab w:leader="none" w:pos="1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the Company and each Affiliate of the Company designated by the Committee in which the Company owns, directly or indirectly, 50 percent or more of the voting interests or value. Notwithstanding the foregoing, the Administrator may delegate its authority to designate an eligible Affiliate as a Participating Company under this Section 2.33 to an officer of the Company or committee of two or more officers of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2.40.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2.43.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Initial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88" w:lineRule="auto"/>
        <w:tabs>
          <w:tab w:leader="none" w:pos="1693"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Each Outside Director, Director Emeritus and Eligible Employee shall have the right to defer Compensation by filing an Initial Election with respect to Compensation that he would otherwise be entitled to receive for a calendar year at the time and in the manner described in this Article 3. The Compensation of such Outside Director, Director Emeritus or Eligible Employee for a calendar year shall be reduced in an amount equal to the portion of the Compensation deferred by such Outside Director, Director Emeritus or Eligible Employee for such calendar year pursuant to such Outside Director’s, Director Emeritus’s or Eligible Employee’s Initial Election. Such reduction shall be effected on a pro rata basis from each periodic installment payment of such Outside Director’s, Director Emeritus’s or Eligible Employee’s Compensation for the calendar year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19" w:lineRule="exact"/>
        <w:rPr>
          <w:rFonts w:ascii="Arial" w:cs="Arial" w:eastAsia="Arial" w:hAnsi="Arial"/>
          <w:sz w:val="16"/>
          <w:szCs w:val="16"/>
          <w:color w:val="auto"/>
        </w:rPr>
      </w:pPr>
    </w:p>
    <w:p>
      <w:pPr>
        <w:jc w:val="both"/>
        <w:ind w:right="260" w:firstLine="1492"/>
        <w:spacing w:after="0" w:line="306" w:lineRule="auto"/>
        <w:tabs>
          <w:tab w:leader="none" w:pos="174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Employees of NBC Universal, LLC and its Subsidiaries</w:t>
      </w:r>
      <w:r>
        <w:rPr>
          <w:rFonts w:ascii="Arial" w:cs="Arial" w:eastAsia="Arial" w:hAnsi="Arial"/>
          <w:sz w:val="16"/>
          <w:szCs w:val="16"/>
          <w:color w:val="auto"/>
        </w:rPr>
        <w:t>. Effective and contingent upon the closing (the “Closing”) of the transactions contemplated by the Master Agreement, NBC Universal, LLC and its subsidiaries (collectively, “NBC Universal”) shall be Participating Companies, provided that employees of NBC Universal who are “Eligible Employees” shall be eligible to make Initial Elections under the Plan only to the extent provided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78" w:name="page79"/>
    <w:bookmarkEnd w:id="78"/>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Section 3(a)(ii). For this purpose, the term “Master Agreement” means the Master Agreement, dated as of December 3, 2009, by and among: General Electric Company, a New York corporation; NBC Universal, Inc, a Delaware corporation; Comcast; and, Navy, LLC, a Delaware limited liability company. The following employees of NBC Universal shall be eligible to make Initial Elections with respect to calendar years beginning after 2010, provided that they are otherwise so eligible under the rules of the Plan other than this Section 3(a)(ii):</w:t>
      </w:r>
    </w:p>
    <w:p>
      <w:pPr>
        <w:spacing w:after="0" w:line="143" w:lineRule="exact"/>
        <w:rPr>
          <w:sz w:val="20"/>
          <w:szCs w:val="20"/>
          <w:color w:val="auto"/>
        </w:rPr>
      </w:pPr>
    </w:p>
    <w:p>
      <w:pPr>
        <w:ind w:right="40" w:firstLine="2404"/>
        <w:spacing w:after="0" w:line="286" w:lineRule="auto"/>
        <w:tabs>
          <w:tab w:leader="none" w:pos="2684" w:val="left"/>
        </w:tabs>
        <w:numPr>
          <w:ilvl w:val="3"/>
          <w:numId w:val="60"/>
        </w:numPr>
        <w:rPr>
          <w:rFonts w:ascii="Arial" w:cs="Arial" w:eastAsia="Arial" w:hAnsi="Arial"/>
          <w:sz w:val="16"/>
          <w:szCs w:val="16"/>
          <w:color w:val="auto"/>
        </w:rPr>
      </w:pPr>
      <w:r>
        <w:rPr>
          <w:rFonts w:ascii="Arial" w:cs="Arial" w:eastAsia="Arial" w:hAnsi="Arial"/>
          <w:sz w:val="16"/>
          <w:szCs w:val="16"/>
          <w:color w:val="auto"/>
        </w:rPr>
        <w:t>For 2011, except as otherwise provided by the Committee, (x) a “First Day Employee” of NBC Universal who was an Eligible Employee as of December 31, 2010 and who, on or before December 31, 2010, has not filed an “Opt-In Election” with the Committee or its delegate and</w:t>
      </w:r>
    </w:p>
    <w:p>
      <w:pPr>
        <w:ind w:right="300" w:firstLine="8"/>
        <w:spacing w:after="0" w:line="255"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employee of NBC Universal other than a “First Day Employee,” who was an Eligible Employee as of December 31, 2010 and (z) an employee of NBC Universal who (I) becomes a New Key Employee in 2011 and (II) is assigned to a payroll of Comcast Corporation, as determined by the Committee or its delegate.</w:t>
      </w:r>
    </w:p>
    <w:p>
      <w:pPr>
        <w:spacing w:after="0" w:line="144" w:lineRule="exact"/>
        <w:rPr>
          <w:rFonts w:ascii="Arial" w:cs="Arial" w:eastAsia="Arial" w:hAnsi="Arial"/>
          <w:sz w:val="18"/>
          <w:szCs w:val="18"/>
          <w:color w:val="auto"/>
        </w:rPr>
      </w:pPr>
    </w:p>
    <w:p>
      <w:pPr>
        <w:ind w:right="40" w:firstLine="2404"/>
        <w:spacing w:after="0" w:line="294" w:lineRule="auto"/>
        <w:tabs>
          <w:tab w:leader="none" w:pos="2674" w:val="left"/>
        </w:tabs>
        <w:numPr>
          <w:ilvl w:val="3"/>
          <w:numId w:val="61"/>
        </w:numPr>
        <w:rPr>
          <w:rFonts w:ascii="Arial" w:cs="Arial" w:eastAsia="Arial" w:hAnsi="Arial"/>
          <w:sz w:val="16"/>
          <w:szCs w:val="16"/>
          <w:color w:val="auto"/>
        </w:rPr>
      </w:pPr>
      <w:r>
        <w:rPr>
          <w:rFonts w:ascii="Arial" w:cs="Arial" w:eastAsia="Arial" w:hAnsi="Arial"/>
          <w:sz w:val="16"/>
          <w:szCs w:val="16"/>
          <w:color w:val="auto"/>
        </w:rPr>
        <w:t>For years beginning after 2011, except as otherwise provided by the Committee, (x) an employee of NBC Universal other than a First-Day Employee who (I) is an Eligible Employee as of December 31, 2011 and (II) on or before December 31, 2011, has not filed an “Opt-In Election” with the Committee or its delegate and (y) an employee of NBC Universal who (I) is an Eligible Employee as of December 31</w:t>
      </w:r>
      <w:r>
        <w:rPr>
          <w:rFonts w:ascii="Arial" w:cs="Arial" w:eastAsia="Arial" w:hAnsi="Arial"/>
          <w:sz w:val="10"/>
          <w:szCs w:val="10"/>
          <w:color w:val="auto"/>
        </w:rPr>
        <w:t>st</w:t>
      </w:r>
      <w:r>
        <w:rPr>
          <w:rFonts w:ascii="Arial" w:cs="Arial" w:eastAsia="Arial" w:hAnsi="Arial"/>
          <w:sz w:val="16"/>
          <w:szCs w:val="16"/>
          <w:color w:val="auto"/>
        </w:rPr>
        <w:t xml:space="preserve"> of any year beginning after 2011, (II) transferred employment to NBC Universal directly from the Company or a Subsidiary other than NBC Universal and (III) on or before December 31</w:t>
      </w:r>
      <w:r>
        <w:rPr>
          <w:rFonts w:ascii="Arial" w:cs="Arial" w:eastAsia="Arial" w:hAnsi="Arial"/>
          <w:sz w:val="10"/>
          <w:szCs w:val="10"/>
          <w:color w:val="auto"/>
        </w:rPr>
        <w:t>st</w:t>
      </w:r>
      <w:r>
        <w:rPr>
          <w:rFonts w:ascii="Arial" w:cs="Arial" w:eastAsia="Arial" w:hAnsi="Arial"/>
          <w:sz w:val="16"/>
          <w:szCs w:val="16"/>
          <w:color w:val="auto"/>
        </w:rPr>
        <w:t xml:space="preserve"> of the year such transfer of employment becomes effective, has not filed an “Opt-In Election” with the Committee or its delegate.</w:t>
      </w:r>
    </w:p>
    <w:p>
      <w:pPr>
        <w:spacing w:after="0" w:line="115" w:lineRule="exact"/>
        <w:rPr>
          <w:rFonts w:ascii="Arial" w:cs="Arial" w:eastAsia="Arial" w:hAnsi="Arial"/>
          <w:sz w:val="16"/>
          <w:szCs w:val="16"/>
          <w:color w:val="auto"/>
        </w:rPr>
      </w:pPr>
    </w:p>
    <w:p>
      <w:pPr>
        <w:ind w:left="1800" w:hanging="308"/>
        <w:spacing w:after="0"/>
        <w:tabs>
          <w:tab w:leader="none" w:pos="1800"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Special Definitions and Rules Applicable to NBC Universal</w:t>
      </w:r>
      <w:r>
        <w:rPr>
          <w:rFonts w:ascii="Arial" w:cs="Arial" w:eastAsia="Arial" w:hAnsi="Arial"/>
          <w:sz w:val="18"/>
          <w:szCs w:val="18"/>
          <w:color w:val="auto"/>
        </w:rPr>
        <w:t>. For purposes of Section 3(a)(ii):</w:t>
      </w:r>
    </w:p>
    <w:p>
      <w:pPr>
        <w:spacing w:after="0" w:line="171" w:lineRule="exact"/>
        <w:rPr>
          <w:rFonts w:ascii="Arial" w:cs="Arial" w:eastAsia="Arial" w:hAnsi="Arial"/>
          <w:sz w:val="18"/>
          <w:szCs w:val="18"/>
          <w:color w:val="auto"/>
        </w:rPr>
      </w:pPr>
    </w:p>
    <w:p>
      <w:pPr>
        <w:ind w:firstLine="2404"/>
        <w:spacing w:after="0" w:line="306" w:lineRule="auto"/>
        <w:tabs>
          <w:tab w:leader="none" w:pos="2684" w:val="left"/>
        </w:tabs>
        <w:numPr>
          <w:ilvl w:val="3"/>
          <w:numId w:val="62"/>
        </w:numPr>
        <w:rPr>
          <w:rFonts w:ascii="Arial" w:cs="Arial" w:eastAsia="Arial" w:hAnsi="Arial"/>
          <w:sz w:val="16"/>
          <w:szCs w:val="16"/>
          <w:color w:val="auto"/>
        </w:rPr>
      </w:pPr>
      <w:r>
        <w:rPr>
          <w:rFonts w:ascii="Arial" w:cs="Arial" w:eastAsia="Arial" w:hAnsi="Arial"/>
          <w:sz w:val="16"/>
          <w:szCs w:val="16"/>
          <w:color w:val="auto"/>
        </w:rPr>
        <w:t>A “First Day Employee” is an individual who is an Eligible Employee as of December 31, 2010 and who has been designated by the Committee or its delegate as an employee who is expected to have senior leadership responsibilities for NBC Universal effective on the Closing or shortly thereafter in a capacity that is different from the capacity in which such employee served immediately before the Closing.</w:t>
      </w:r>
    </w:p>
    <w:p>
      <w:pPr>
        <w:spacing w:after="0" w:line="106" w:lineRule="exact"/>
        <w:rPr>
          <w:rFonts w:ascii="Arial" w:cs="Arial" w:eastAsia="Arial" w:hAnsi="Arial"/>
          <w:sz w:val="16"/>
          <w:szCs w:val="16"/>
          <w:color w:val="auto"/>
        </w:rPr>
      </w:pPr>
    </w:p>
    <w:p>
      <w:pPr>
        <w:ind w:right="40" w:firstLine="2404"/>
        <w:spacing w:after="0" w:line="291" w:lineRule="auto"/>
        <w:tabs>
          <w:tab w:leader="none" w:pos="2674" w:val="left"/>
        </w:tabs>
        <w:numPr>
          <w:ilvl w:val="3"/>
          <w:numId w:val="62"/>
        </w:numPr>
        <w:rPr>
          <w:rFonts w:ascii="Arial" w:cs="Arial" w:eastAsia="Arial" w:hAnsi="Arial"/>
          <w:sz w:val="16"/>
          <w:szCs w:val="16"/>
          <w:color w:val="auto"/>
        </w:rPr>
      </w:pPr>
      <w:r>
        <w:rPr>
          <w:rFonts w:ascii="Arial" w:cs="Arial" w:eastAsia="Arial" w:hAnsi="Arial"/>
          <w:sz w:val="16"/>
          <w:szCs w:val="16"/>
          <w:color w:val="auto"/>
        </w:rPr>
        <w:t>An “Opt-In Election” is an irrevocable one-time election by an Eligible Employee on a form approved by the Committee or its delegate to become a Participant in one or more retirement or deferred compensation arrangements expected to be sponsored for the benefit of employees of NBC Universal, as may be designated by the Committee or its delegate, effective for years beginning after the date of such Opt-In Election. For avoidance of doubt, all individuals who have filed an Opt-In Election shall be treated as an Active Participant for all other purposes of the Plan with respect such individual’s Account, if any, including but not limited to the provisions of the Plan relating to Subsequent Elections, and shall be treated as actively employed for purposes of the definition of the term “Applicable Interest Rate” until such individual ceases to be employed by the Company or an Affiliate.</w:t>
      </w:r>
    </w:p>
    <w:p>
      <w:pPr>
        <w:spacing w:after="0" w:line="120" w:lineRule="exact"/>
        <w:rPr>
          <w:rFonts w:ascii="Arial" w:cs="Arial" w:eastAsia="Arial" w:hAnsi="Arial"/>
          <w:sz w:val="16"/>
          <w:szCs w:val="16"/>
          <w:color w:val="auto"/>
        </w:rPr>
      </w:pPr>
    </w:p>
    <w:p>
      <w:pPr>
        <w:ind w:right="520" w:firstLine="921"/>
        <w:spacing w:after="0" w:line="268" w:lineRule="auto"/>
        <w:tabs>
          <w:tab w:leader="none" w:pos="116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79" w:name="page80"/>
    <w:bookmarkEnd w:id="7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previously deferred in accordance with the terms of a previously made Initial Election pursuant to the terms of the Plan by filing a Subsequent Election at the time, to the extent, and in the manner described in this Article 3.</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9" w:lineRule="auto"/>
        <w:tabs>
          <w:tab w:leader="none" w:pos="115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Compensation by filing an Initial Election with respect to (i)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 the close of such calendar year, and (ii) the Performance-Based Compensation that he would otherwise be entitled to receive based on services performed for Performance Periods that include the calendar year in which the New Key Employee was hired or promoted and after the filing of the Initial Election. Such Initial Election must be filed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18" w:lineRule="exact"/>
        <w:rPr>
          <w:rFonts w:ascii="Arial" w:cs="Arial" w:eastAsia="Arial" w:hAnsi="Arial"/>
          <w:sz w:val="16"/>
          <w:szCs w:val="16"/>
          <w:color w:val="auto"/>
        </w:rPr>
      </w:pPr>
    </w:p>
    <w:p>
      <w:pPr>
        <w:ind w:right="40" w:firstLine="921"/>
        <w:spacing w:after="0" w:line="291" w:lineRule="auto"/>
        <w:tabs>
          <w:tab w:leader="none" w:pos="116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shall not affect such Outside Director’s or Eligible Employee’s right to make an Initial Election for any other calendar year.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80" w:name="page81"/>
    <w:bookmarkEnd w:id="80"/>
    <w:p>
      <w:pPr>
        <w:ind w:firstLine="921"/>
        <w:spacing w:after="0" w:line="291" w:lineRule="auto"/>
        <w:tabs>
          <w:tab w:leader="none" w:pos="115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Election of Distribution Date</w:t>
      </w:r>
      <w:r>
        <w:rPr>
          <w:rFonts w:ascii="Arial" w:cs="Arial" w:eastAsia="Arial" w:hAnsi="Arial"/>
          <w:sz w:val="16"/>
          <w:szCs w:val="16"/>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ind w:right="260" w:firstLine="921"/>
        <w:spacing w:after="0" w:line="298"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40" w:firstLine="921"/>
        <w:spacing w:after="0" w:line="255" w:lineRule="auto"/>
        <w:tabs>
          <w:tab w:leader="none" w:pos="116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223"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53" w:lineRule="auto"/>
        <w:tabs>
          <w:tab w:leader="none" w:pos="1693"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Subsequent Election</w:t>
      </w:r>
      <w:r>
        <w:rPr>
          <w:rFonts w:ascii="Arial" w:cs="Arial" w:eastAsia="Arial" w:hAnsi="Arial"/>
          <w:sz w:val="18"/>
          <w:szCs w:val="18"/>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47"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1" w:name="page82"/>
    <w:bookmarkEnd w:id="81"/>
    <w:p>
      <w:pPr>
        <w:ind w:firstLine="1492"/>
        <w:spacing w:after="0" w:line="291" w:lineRule="auto"/>
        <w:tabs>
          <w:tab w:leader="none" w:pos="169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120" w:lineRule="exact"/>
        <w:rPr>
          <w:rFonts w:ascii="Arial" w:cs="Arial" w:eastAsia="Arial" w:hAnsi="Arial"/>
          <w:sz w:val="16"/>
          <w:szCs w:val="16"/>
          <w:color w:val="auto"/>
        </w:rPr>
      </w:pPr>
    </w:p>
    <w:p>
      <w:pPr>
        <w:ind w:right="40" w:firstLine="921"/>
        <w:spacing w:after="0" w:line="291"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40" w:firstLine="921"/>
        <w:spacing w:after="0" w:line="259" w:lineRule="auto"/>
        <w:tabs>
          <w:tab w:leader="none" w:pos="11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90" w:lineRule="exact"/>
        <w:rPr>
          <w:sz w:val="20"/>
          <w:szCs w:val="20"/>
          <w:color w:val="auto"/>
        </w:rPr>
      </w:pPr>
    </w:p>
    <w:p>
      <w:pPr>
        <w:ind w:right="200" w:firstLine="921"/>
        <w:spacing w:after="0" w:line="298"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82" w:name="page83"/>
    <w:bookmarkEnd w:id="82"/>
    <w:p>
      <w:pPr>
        <w:ind w:right="260" w:firstLine="921"/>
        <w:spacing w:after="0" w:line="268"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Decedent affirmatively has elected, pursuant to Section 3.7(a), that the terms of this Section 3.7(b) not apply, but only to the extent permitted under Section 409A:</w:t>
      </w:r>
    </w:p>
    <w:p>
      <w:pPr>
        <w:spacing w:after="0" w:line="131" w:lineRule="exact"/>
        <w:rPr>
          <w:rFonts w:ascii="Arial" w:cs="Arial" w:eastAsia="Arial" w:hAnsi="Arial"/>
          <w:sz w:val="18"/>
          <w:szCs w:val="18"/>
          <w:color w:val="auto"/>
        </w:rPr>
      </w:pPr>
    </w:p>
    <w:p>
      <w:pPr>
        <w:ind w:right="40" w:firstLine="1492"/>
        <w:spacing w:after="0" w:line="268" w:lineRule="auto"/>
        <w:tabs>
          <w:tab w:leader="none" w:pos="16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right="160" w:firstLine="1492"/>
        <w:spacing w:after="0" w:line="268" w:lineRule="auto"/>
        <w:tabs>
          <w:tab w:leader="none" w:pos="174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right="320" w:firstLine="1492"/>
        <w:spacing w:after="0" w:line="298" w:lineRule="auto"/>
        <w:tabs>
          <w:tab w:leader="none" w:pos="1791"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right="180" w:firstLine="1492"/>
        <w:spacing w:after="0" w:line="291" w:lineRule="auto"/>
        <w:tabs>
          <w:tab w:leader="none" w:pos="1781"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firstLine="1492"/>
        <w:spacing w:after="0" w:line="332" w:lineRule="auto"/>
        <w:tabs>
          <w:tab w:leader="none" w:pos="1732" w:val="left"/>
        </w:tabs>
        <w:numPr>
          <w:ilvl w:val="1"/>
          <w:numId w:val="70"/>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85" w:lineRule="exact"/>
        <w:rPr>
          <w:rFonts w:ascii="Arial" w:cs="Arial" w:eastAsia="Arial" w:hAnsi="Arial"/>
          <w:sz w:val="16"/>
          <w:szCs w:val="16"/>
          <w:color w:val="auto"/>
        </w:rPr>
      </w:pPr>
    </w:p>
    <w:p>
      <w:pPr>
        <w:ind w:right="20" w:firstLine="1492"/>
        <w:spacing w:after="0" w:line="268" w:lineRule="auto"/>
        <w:tabs>
          <w:tab w:leader="none" w:pos="1781"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Company Credits</w:t>
      </w:r>
      <w:r>
        <w:rPr>
          <w:rFonts w:ascii="Arial" w:cs="Arial" w:eastAsia="Arial" w:hAnsi="Arial"/>
          <w:sz w:val="18"/>
          <w:szCs w:val="18"/>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3" w:name="page84"/>
    <w:bookmarkEnd w:id="8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 Committee, Company Credits shall be credited with income, gains and losses on the same basis as all other amounts credited to the Participant’s Account pursuant to Section 5.2.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Plan Year with respect to which the Company Credits were authorized, unless the Participant timely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90" w:lineRule="exact"/>
        <w:rPr>
          <w:sz w:val="20"/>
          <w:szCs w:val="20"/>
          <w:color w:val="auto"/>
        </w:rPr>
      </w:pPr>
    </w:p>
    <w:p>
      <w:pPr>
        <w:jc w:val="both"/>
        <w:ind w:right="540" w:firstLine="913"/>
        <w:spacing w:after="0" w:line="298"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1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a Company,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80" w:firstLine="8"/>
        <w:spacing w:after="0" w:line="261" w:lineRule="auto"/>
        <w:tabs>
          <w:tab w:leader="none" w:pos="2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84" w:name="page85"/>
    <w:bookmarkEnd w:id="84"/>
    <w:p>
      <w:pPr>
        <w:ind w:right="80" w:firstLine="1492"/>
        <w:spacing w:after="0" w:line="259" w:lineRule="auto"/>
        <w:tabs>
          <w:tab w:leader="none" w:pos="1693"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ind w:firstLine="921"/>
        <w:spacing w:after="0" w:line="255" w:lineRule="auto"/>
        <w:tabs>
          <w:tab w:leader="none" w:pos="11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42" w:lineRule="exact"/>
        <w:rPr>
          <w:rFonts w:ascii="Arial" w:cs="Arial" w:eastAsia="Arial" w:hAnsi="Arial"/>
          <w:sz w:val="18"/>
          <w:szCs w:val="18"/>
          <w:color w:val="auto"/>
        </w:rPr>
      </w:pPr>
    </w:p>
    <w:p>
      <w:pPr>
        <w:ind w:right="120" w:firstLine="921"/>
        <w:spacing w:after="0" w:line="294" w:lineRule="auto"/>
        <w:tabs>
          <w:tab w:leader="none" w:pos="11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85" w:name="page86"/>
    <w:bookmarkEnd w:id="85"/>
    <w:p>
      <w:pPr>
        <w:ind w:left="1160" w:hanging="239"/>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Final Treasury Regulations issued under section 409A of the Code, to the extent provided by the Committee or its delegate:</w:t>
      </w:r>
    </w:p>
    <w:p>
      <w:pPr>
        <w:spacing w:after="0" w:line="194" w:lineRule="exact"/>
        <w:rPr>
          <w:rFonts w:ascii="Arial" w:cs="Arial" w:eastAsia="Arial" w:hAnsi="Arial"/>
          <w:sz w:val="16"/>
          <w:szCs w:val="16"/>
          <w:color w:val="auto"/>
        </w:rPr>
      </w:pPr>
    </w:p>
    <w:p>
      <w:pPr>
        <w:ind w:right="20" w:firstLine="1492"/>
        <w:spacing w:after="0" w:line="291" w:lineRule="auto"/>
        <w:tabs>
          <w:tab w:leader="none" w:pos="1693"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2007 to December 31, 2007, with respect to all or any portion of his or her account under the 2005 Plan that is scheduled to be paid after December 31, 2007, and with respect to all or any portion of his or her account under the Prior Plan that is scheduled to be paid after December 31, 2007,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2008.</w:t>
      </w:r>
    </w:p>
    <w:p>
      <w:pPr>
        <w:spacing w:after="0" w:line="120" w:lineRule="exact"/>
        <w:rPr>
          <w:rFonts w:ascii="Arial" w:cs="Arial" w:eastAsia="Arial" w:hAnsi="Arial"/>
          <w:sz w:val="16"/>
          <w:szCs w:val="16"/>
          <w:color w:val="auto"/>
        </w:rPr>
      </w:pPr>
    </w:p>
    <w:p>
      <w:pPr>
        <w:ind w:firstLine="1492"/>
        <w:spacing w:after="0" w:line="291" w:lineRule="auto"/>
        <w:tabs>
          <w:tab w:leader="none" w:pos="1742"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Participant may, during the period extending from January 1, 2008 to December 31, 2008, with respect to all or any portion of his or her account under the 2005 Plan that is scheduled to be paid after December 31, 2008, and with respect to all or any portion of his or her account under the Prior Plan that is scheduled to be paid after December 31, 2008,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Deferred Compensation Account</w:t>
      </w:r>
      <w:r>
        <w:rPr>
          <w:rFonts w:ascii="Arial" w:cs="Arial" w:eastAsia="Arial" w:hAnsi="Arial"/>
          <w:sz w:val="16"/>
          <w:szCs w:val="16"/>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640" w:firstLine="921"/>
        <w:spacing w:after="0" w:line="268"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right="40" w:firstLine="921"/>
        <w:spacing w:after="0" w:line="259" w:lineRule="auto"/>
        <w:tabs>
          <w:tab w:leader="none" w:pos="116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Outside Director Stock Fund Credits</w:t>
      </w:r>
      <w:r>
        <w:rPr>
          <w:rFonts w:ascii="Arial" w:cs="Arial" w:eastAsia="Arial" w:hAnsi="Arial"/>
          <w:sz w:val="16"/>
          <w:szCs w:val="16"/>
          <w:color w:val="auto"/>
        </w:rPr>
        <w:t>. Amounts credited to the Accounts of Outside Directors in the form of Company Stock shall be credited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income,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86" w:name="page87"/>
    <w:bookmarkEnd w:id="86"/>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0" w:lineRule="exact"/>
        <w:rPr>
          <w:sz w:val="20"/>
          <w:szCs w:val="20"/>
          <w:color w:val="auto"/>
        </w:rPr>
      </w:pPr>
    </w:p>
    <w:p>
      <w:pPr>
        <w:ind w:firstLine="921"/>
        <w:spacing w:after="0" w:line="289" w:lineRule="auto"/>
        <w:tabs>
          <w:tab w:leader="none" w:pos="116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such a payee designation shall relieve the Company and its Affiliates of all liability for such payment.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 – DEATH OF PARTICIPANT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8.2.1. To fulfill a domestic relations order (as defined in section 414(p)(1)(B) of the Code) to the extent permitted by Treasury Regulations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1.409A-3(j)(4)(ii) or any successor provision of law).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8.2.2. To the extent necessary to comply with laws relating to avoidance of conflicts of interest, as provided in Treasury Regulation section 1.409A-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3(j)(4)(iii) (or any successor provision of law).</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8.2.3. To pay employment taxes to the extent permitted by Treasury Regulation section 1.409A-3(j)(4)(vi) (or any successor provision of law).</w:t>
      </w:r>
    </w:p>
    <w:p>
      <w:pPr>
        <w:spacing w:after="0" w:line="194"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8.2.4. In connection with the recognition of income as the result of a failure to comply with Section 409A, to the extent permitted by Treasury Regulation section 1.409A-3(j)(4)(vii) (or any successor provision of law).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88" w:name="page89"/>
    <w:bookmarkEnd w:id="88"/>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8.2.5. To pay state, local or foreign taxes to the extent permitted by Treasury Regulation section 1.409A-3(j)(4)(xi) (or any successor provision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6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8.2.6. 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8.2.7. In connection with a bona fide dispute as to a Participant’s right to payment, to the extent permitted by Treasury Regulation section 1.409A-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3(j)(4)(xiv) (or any successor provision of law).</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89" w:name="page90"/>
    <w:bookmarkEnd w:id="8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90" w:name="page91"/>
    <w:bookmarkEnd w:id="90"/>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by the Participating Company to the Participant, or by the Participant’s delivery of cash to the Participating Company in an amount equal to the applicable withholding tax.</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effective date of this amendment and restatement of the Plan shall be February 22, 2011, except to the extent otherwise provided in the Plan. The original effective date of the Plan is January 1, 2005.</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2011.</w:t>
      </w:r>
    </w:p>
    <w:p>
      <w:pPr>
        <w:spacing w:after="0" w:line="1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COMCAST CORPORATION</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91" w:name="page92"/>
    <w:bookmarkEnd w:id="91"/>
    <w:p>
      <w:pPr>
        <w:ind w:left="5660"/>
        <w:spacing w:after="0"/>
        <w:tabs>
          <w:tab w:leader="none" w:pos="6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r>
        <w:rPr>
          <w:sz w:val="20"/>
          <w:szCs w:val="20"/>
          <w:color w:val="auto"/>
        </w:rPr>
        <w:tab/>
      </w:r>
      <w:r>
        <w:rPr>
          <w:rFonts w:ascii="Arial" w:cs="Arial" w:eastAsia="Arial" w:hAnsi="Arial"/>
          <w:sz w:val="16"/>
          <w:szCs w:val="16"/>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26327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jc w:val="both"/>
        <w:ind w:left="5660"/>
        <w:spacing w:after="0"/>
        <w:tabs>
          <w:tab w:leader="none" w:pos="65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10795</wp:posOffset>
            </wp:positionV>
            <wp:extent cx="23412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28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16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This is a Restricted Stock Unit Award (the “Award”) dated [Month/Day], [Year 1]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13" w:lineRule="exact"/>
        <w:rPr>
          <w:sz w:val="20"/>
          <w:szCs w:val="20"/>
          <w:color w:val="auto"/>
        </w:rPr>
      </w:pPr>
    </w:p>
    <w:p>
      <w:pPr>
        <w:ind w:left="1100" w:hanging="179"/>
        <w:spacing w:after="0"/>
        <w:tabs>
          <w:tab w:leader="none" w:pos="110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194" w:lineRule="exact"/>
        <w:rPr>
          <w:rFonts w:ascii="Arial" w:cs="Arial" w:eastAsia="Arial" w:hAnsi="Arial"/>
          <w:sz w:val="16"/>
          <w:szCs w:val="16"/>
          <w:color w:val="auto"/>
        </w:rPr>
      </w:pPr>
    </w:p>
    <w:p>
      <w:pPr>
        <w:ind w:right="120" w:firstLine="1492"/>
        <w:spacing w:after="0" w:line="306" w:lineRule="auto"/>
        <w:tabs>
          <w:tab w:leader="none" w:pos="1722" w:val="left"/>
        </w:tabs>
        <w:numPr>
          <w:ilvl w:val="1"/>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left="1720" w:hanging="228"/>
        <w:spacing w:after="0"/>
        <w:tabs>
          <w:tab w:leader="none" w:pos="1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2"/>
          <w:numId w:val="79"/>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Grantee’s behalf.</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ectPr>
          <w:pgSz w:w="11900" w:h="16838" w:orient="portrait"/>
          <w:cols w:equalWidth="0" w:num="1">
            <w:col w:w="11420"/>
          </w:cols>
          <w:pgMar w:left="240" w:top="125" w:right="239" w:bottom="1440" w:gutter="0" w:footer="0" w:header="0"/>
        </w:sectPr>
      </w:pPr>
    </w:p>
    <w:bookmarkStart w:id="93" w:name="page94"/>
    <w:bookmarkEnd w:id="93"/>
    <w:p>
      <w:pPr>
        <w:ind w:left="1700" w:hanging="208"/>
        <w:spacing w:after="0"/>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Free Cash Flow</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948"/>
        <w:spacing w:after="0" w:line="290" w:lineRule="auto"/>
        <w:tabs>
          <w:tab w:leader="none" w:pos="218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In general, the term “Free Cash Flow” means the Company’s “Net Cash Provided by Operating Activities” (as stated in the Company’s Consolidated Statement of Cash Flows) reduced by capital expenditures and cash paid for intangible assets; and adjusted for any payments and receipts related to certain nonoperating items, net of estimated tax benefits (such as income taxes on investment sales, and nonrecurring payments related to income tax and litigation contingencies of acquired companies), provided that adjustments to “Net Cash Provided by Operating Activities” applied to determine “Free Cash Flow” for each year shall be determined consistently with prior year reconciliations of “Free Cash Flow” to the Company’s “Net Cash Provided by Operating Activities” to ensure comparability between amounts in the prior calendar year and the year to which the performance condition applies (and without regard to extraordinary items or items unrelated to the Company’s operations).</w:t>
      </w:r>
    </w:p>
    <w:p>
      <w:pPr>
        <w:spacing w:after="0" w:line="118" w:lineRule="exact"/>
        <w:rPr>
          <w:rFonts w:ascii="Arial" w:cs="Arial" w:eastAsia="Arial" w:hAnsi="Arial"/>
          <w:sz w:val="16"/>
          <w:szCs w:val="16"/>
          <w:color w:val="auto"/>
        </w:rPr>
      </w:pPr>
    </w:p>
    <w:p>
      <w:pPr>
        <w:ind w:left="2200" w:hanging="252"/>
        <w:spacing w:after="0"/>
        <w:tabs>
          <w:tab w:leader="none" w:pos="2200"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Adjustments to Free Cash Flow Relating to NBCUniversal Transaction</w:t>
      </w:r>
      <w:r>
        <w:rPr>
          <w:rFonts w:ascii="Arial" w:cs="Arial" w:eastAsia="Arial" w:hAnsi="Arial"/>
          <w:sz w:val="16"/>
          <w:szCs w:val="16"/>
          <w:color w:val="auto"/>
        </w:rPr>
        <w:t>. For purposes of determining whether a Performance Goal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satisfied:</w:t>
      </w:r>
    </w:p>
    <w:p>
      <w:pPr>
        <w:spacing w:after="0" w:line="164" w:lineRule="exact"/>
        <w:rPr>
          <w:rFonts w:ascii="Arial" w:cs="Arial" w:eastAsia="Arial" w:hAnsi="Arial"/>
          <w:sz w:val="16"/>
          <w:szCs w:val="16"/>
          <w:color w:val="auto"/>
        </w:rPr>
      </w:pPr>
    </w:p>
    <w:p>
      <w:pPr>
        <w:ind w:right="40" w:firstLine="2404"/>
        <w:spacing w:after="0" w:line="268" w:lineRule="auto"/>
        <w:tabs>
          <w:tab w:leader="none" w:pos="2635" w:val="left"/>
        </w:tabs>
        <w:numPr>
          <w:ilvl w:val="2"/>
          <w:numId w:val="80"/>
        </w:numPr>
        <w:rPr>
          <w:rFonts w:ascii="Arial" w:cs="Arial" w:eastAsia="Arial" w:hAnsi="Arial"/>
          <w:sz w:val="18"/>
          <w:szCs w:val="18"/>
          <w:color w:val="auto"/>
        </w:rPr>
      </w:pPr>
      <w:r>
        <w:rPr>
          <w:rFonts w:ascii="Arial" w:cs="Arial" w:eastAsia="Arial" w:hAnsi="Arial"/>
          <w:sz w:val="18"/>
          <w:szCs w:val="18"/>
          <w:color w:val="auto"/>
        </w:rPr>
        <w:t>Free Cash Flow for each of the [Year 1], [Year 2], [Year 3], [Year 4] and [Year 5] calendar years shall be adjusted to exclude the operating results of NBCUniversal.</w:t>
      </w:r>
    </w:p>
    <w:p>
      <w:pPr>
        <w:spacing w:after="0" w:line="131" w:lineRule="exact"/>
        <w:rPr>
          <w:rFonts w:ascii="Arial" w:cs="Arial" w:eastAsia="Arial" w:hAnsi="Arial"/>
          <w:sz w:val="18"/>
          <w:szCs w:val="18"/>
          <w:color w:val="auto"/>
        </w:rPr>
      </w:pPr>
    </w:p>
    <w:p>
      <w:pPr>
        <w:ind w:right="180" w:firstLine="2404"/>
        <w:spacing w:after="0" w:line="259" w:lineRule="auto"/>
        <w:tabs>
          <w:tab w:leader="none" w:pos="2645" w:val="left"/>
        </w:tabs>
        <w:numPr>
          <w:ilvl w:val="2"/>
          <w:numId w:val="80"/>
        </w:numPr>
        <w:rPr>
          <w:rFonts w:ascii="Arial" w:cs="Arial" w:eastAsia="Arial" w:hAnsi="Arial"/>
          <w:sz w:val="18"/>
          <w:szCs w:val="18"/>
          <w:color w:val="auto"/>
        </w:rPr>
      </w:pPr>
      <w:r>
        <w:rPr>
          <w:rFonts w:ascii="Arial" w:cs="Arial" w:eastAsia="Arial" w:hAnsi="Arial"/>
          <w:sz w:val="18"/>
          <w:szCs w:val="18"/>
          <w:color w:val="auto"/>
        </w:rPr>
        <w:t>Free Cash Flow for 2010 shall be adjusted to exclude the operating results of the businesses that were contributed to NBCUniversal as part of the NBCUniversal Transaction, including but not limited to the Regional Sports Networks, the Comcast Programming Division, Daily Candy and Fandango.</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each case, after-cash taxes, interest, distributions to non-controlling interests and all other relevant factors shall be adjusted to ensure comparability of Free Cash Flow for a calendar year to Free Cash Flow for the immediately preceding calendar year.</w:t>
      </w:r>
    </w:p>
    <w:p>
      <w:pPr>
        <w:spacing w:after="0" w:line="132" w:lineRule="exact"/>
        <w:rPr>
          <w:sz w:val="20"/>
          <w:szCs w:val="20"/>
          <w:color w:val="auto"/>
        </w:rPr>
      </w:pPr>
    </w:p>
    <w:p>
      <w:pPr>
        <w:ind w:right="40" w:firstLine="1948"/>
        <w:spacing w:after="0" w:line="288" w:lineRule="auto"/>
        <w:tabs>
          <w:tab w:leader="none" w:pos="2189"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Comparability of Free Cash Flow Between Calendar Years</w:t>
      </w:r>
      <w:r>
        <w:rPr>
          <w:rFonts w:ascii="Arial" w:cs="Arial" w:eastAsia="Arial" w:hAnsi="Arial"/>
          <w:sz w:val="16"/>
          <w:szCs w:val="16"/>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Free Cash Flow (other than a transaction that would affect amounts excluded from the determination of Free Cash Flow pursuant to Paragraph 1(j)(2)), the Committee shall adjust the Free Cash Flow for the prior calendar year and the year to which the performance condition applies to take into account the impact of such acquisition or disposition on a pro forma basis such that the measurement of Free Cash Flow for the year to which the performance condition applies is comparable to that for the prior calendar year. Such adjustment shall be based upon the historical equivalent of Free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4" w:name="page95"/>
    <w:bookmarkEnd w:id="94"/>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 “</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Summary Schedule.</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 “</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(m) “</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 Delaware limited liability company, and its controlled Affiliates.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 “</w:t>
      </w:r>
      <w:r>
        <w:rPr>
          <w:rFonts w:ascii="Arial" w:cs="Arial" w:eastAsia="Arial" w:hAnsi="Arial"/>
          <w:sz w:val="18"/>
          <w:szCs w:val="18"/>
          <w:u w:val="single" w:color="auto"/>
          <w:color w:val="auto"/>
        </w:rPr>
        <w:t>NBCUniversal Transaction</w:t>
      </w:r>
      <w:r>
        <w:rPr>
          <w:rFonts w:ascii="Arial" w:cs="Arial" w:eastAsia="Arial" w:hAnsi="Arial"/>
          <w:sz w:val="18"/>
          <w:szCs w:val="18"/>
          <w:color w:val="auto"/>
        </w:rPr>
        <w:t>” means the Company’s acquisition of a controlling interest in NBCUniversal.</w:t>
      </w:r>
    </w:p>
    <w:p>
      <w:pPr>
        <w:spacing w:after="0" w:line="171" w:lineRule="exact"/>
        <w:rPr>
          <w:sz w:val="20"/>
          <w:szCs w:val="20"/>
          <w:color w:val="auto"/>
        </w:rPr>
      </w:pPr>
    </w:p>
    <w:p>
      <w:pPr>
        <w:ind w:right="80" w:firstLine="1484"/>
        <w:spacing w:after="0" w:line="268" w:lineRule="auto"/>
        <w:rPr>
          <w:sz w:val="20"/>
          <w:szCs w:val="20"/>
          <w:color w:val="auto"/>
        </w:rPr>
      </w:pPr>
      <w:r>
        <w:rPr>
          <w:rFonts w:ascii="Arial" w:cs="Arial" w:eastAsia="Arial" w:hAnsi="Arial"/>
          <w:sz w:val="18"/>
          <w:szCs w:val="18"/>
          <w:color w:val="auto"/>
        </w:rPr>
        <w:t>(p)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(q) “</w:t>
      </w:r>
      <w:r>
        <w:rPr>
          <w:rFonts w:ascii="Arial" w:cs="Arial" w:eastAsia="Arial" w:hAnsi="Arial"/>
          <w:sz w:val="16"/>
          <w:szCs w:val="16"/>
          <w:u w:val="single" w:color="auto"/>
          <w:color w:val="auto"/>
        </w:rPr>
        <w:t>Performance Goal</w:t>
      </w:r>
      <w:r>
        <w:rPr>
          <w:rFonts w:ascii="Arial" w:cs="Arial" w:eastAsia="Arial" w:hAnsi="Arial"/>
          <w:sz w:val="16"/>
          <w:szCs w:val="16"/>
          <w:color w:val="auto"/>
        </w:rPr>
        <w:t>”</w:t>
      </w:r>
      <w:r>
        <w:rPr>
          <w:rFonts w:ascii="Arial" w:cs="Arial" w:eastAsia="Arial" w:hAnsi="Arial"/>
          <w:sz w:val="10"/>
          <w:szCs w:val="10"/>
          <w:color w:val="auto"/>
        </w:rPr>
        <w:t>1</w:t>
      </w:r>
      <w:r>
        <w:rPr>
          <w:rFonts w:ascii="Arial" w:cs="Arial" w:eastAsia="Arial" w:hAnsi="Arial"/>
          <w:sz w:val="16"/>
          <w:szCs w:val="16"/>
          <w:color w:val="auto"/>
        </w:rPr>
        <w:t xml:space="preserve"> means Free Cash Flow for a calendar year that exceeds Free Cash Flow for the immediately preceding calendar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 Accordingly:</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 The “</w:t>
      </w:r>
      <w:r>
        <w:rPr>
          <w:rFonts w:ascii="Arial" w:cs="Arial" w:eastAsia="Arial" w:hAnsi="Arial"/>
          <w:sz w:val="18"/>
          <w:szCs w:val="18"/>
          <w:u w:val="single" w:color="auto"/>
          <w:color w:val="auto"/>
        </w:rPr>
        <w:t>First Performance Goal</w:t>
      </w:r>
      <w:r>
        <w:rPr>
          <w:rFonts w:ascii="Arial" w:cs="Arial" w:eastAsia="Arial" w:hAnsi="Arial"/>
          <w:sz w:val="18"/>
          <w:szCs w:val="18"/>
          <w:color w:val="auto"/>
        </w:rPr>
        <w:t>” will be satisfied if Free Cash Flow for [Year 1] exceeds Free Cash Flow for [Year 0];</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(2) The “</w:t>
      </w:r>
      <w:r>
        <w:rPr>
          <w:rFonts w:ascii="Arial" w:cs="Arial" w:eastAsia="Arial" w:hAnsi="Arial"/>
          <w:sz w:val="16"/>
          <w:szCs w:val="16"/>
          <w:u w:val="single" w:color="auto"/>
          <w:color w:val="auto"/>
        </w:rPr>
        <w:t>Second Performance Goal</w:t>
      </w:r>
      <w:r>
        <w:rPr>
          <w:rFonts w:ascii="Arial" w:cs="Arial" w:eastAsia="Arial" w:hAnsi="Arial"/>
          <w:sz w:val="16"/>
          <w:szCs w:val="16"/>
          <w:color w:val="auto"/>
        </w:rPr>
        <w:t>” will be satisfied if Free Cash Flow for [Year 2] exceeds Free Cash Flow for [Year 1];</w:t>
      </w:r>
    </w:p>
    <w:p>
      <w:pPr>
        <w:spacing w:after="0" w:line="19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 The “</w:t>
      </w:r>
      <w:r>
        <w:rPr>
          <w:rFonts w:ascii="Arial" w:cs="Arial" w:eastAsia="Arial" w:hAnsi="Arial"/>
          <w:sz w:val="18"/>
          <w:szCs w:val="18"/>
          <w:u w:val="single" w:color="auto"/>
          <w:color w:val="auto"/>
        </w:rPr>
        <w:t>Third Performance Goal</w:t>
      </w:r>
      <w:r>
        <w:rPr>
          <w:rFonts w:ascii="Arial" w:cs="Arial" w:eastAsia="Arial" w:hAnsi="Arial"/>
          <w:sz w:val="18"/>
          <w:szCs w:val="18"/>
          <w:color w:val="auto"/>
        </w:rPr>
        <w:t>” will be satisfied if Free Cash Flow for [Year 3] exceeds Free Cash Flow for [Year 2];</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(4) The “</w:t>
      </w:r>
      <w:r>
        <w:rPr>
          <w:rFonts w:ascii="Arial" w:cs="Arial" w:eastAsia="Arial" w:hAnsi="Arial"/>
          <w:sz w:val="16"/>
          <w:szCs w:val="16"/>
          <w:u w:val="single" w:color="auto"/>
          <w:color w:val="auto"/>
        </w:rPr>
        <w:t>Fourth Performance Goal</w:t>
      </w:r>
      <w:r>
        <w:rPr>
          <w:rFonts w:ascii="Arial" w:cs="Arial" w:eastAsia="Arial" w:hAnsi="Arial"/>
          <w:sz w:val="16"/>
          <w:szCs w:val="16"/>
          <w:color w:val="auto"/>
        </w:rPr>
        <w:t>” will be satisfied if Free Cash Flow for [Year 4] exceeds Free Cash Flow for [Year 3]; and</w:t>
      </w:r>
    </w:p>
    <w:p>
      <w:pPr>
        <w:spacing w:after="0" w:line="19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The “</w:t>
      </w:r>
      <w:r>
        <w:rPr>
          <w:rFonts w:ascii="Arial" w:cs="Arial" w:eastAsia="Arial" w:hAnsi="Arial"/>
          <w:sz w:val="18"/>
          <w:szCs w:val="18"/>
          <w:u w:val="single" w:color="auto"/>
          <w:color w:val="auto"/>
        </w:rPr>
        <w:t>Fifth Performance Goal</w:t>
      </w:r>
      <w:r>
        <w:rPr>
          <w:rFonts w:ascii="Arial" w:cs="Arial" w:eastAsia="Arial" w:hAnsi="Arial"/>
          <w:sz w:val="18"/>
          <w:szCs w:val="18"/>
          <w:color w:val="auto"/>
        </w:rPr>
        <w:t>” will be satisfied if Free Cash Flow for [Year 5] exceeds Free Cash Flow for [Year 4].</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 “</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165" w:lineRule="exact"/>
        <w:rPr>
          <w:sz w:val="20"/>
          <w:szCs w:val="20"/>
          <w:color w:val="auto"/>
        </w:rPr>
      </w:pPr>
    </w:p>
    <w:p>
      <w:pPr>
        <w:ind w:right="300" w:firstLine="1484"/>
        <w:spacing w:after="0" w:line="268" w:lineRule="auto"/>
        <w:rPr>
          <w:sz w:val="20"/>
          <w:szCs w:val="20"/>
          <w:color w:val="auto"/>
        </w:rPr>
      </w:pPr>
      <w:r>
        <w:rPr>
          <w:rFonts w:ascii="Arial" w:cs="Arial" w:eastAsia="Arial" w:hAnsi="Arial"/>
          <w:sz w:val="18"/>
          <w:szCs w:val="18"/>
          <w:color w:val="auto"/>
        </w:rPr>
        <w:t>(t)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1</w:t>
            </w:r>
          </w:p>
        </w:tc>
        <w:tc>
          <w:tcPr>
            <w:tcW w:w="684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The schedule presented in this form is indicative. The schedule applicable to awards may vary.</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6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684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Summary Schedule. Each Restricted Stock Unit entitles Grantee, upon the Vesting Date of such Restricted Stock Unit, to receive one Share.</w:t>
      </w:r>
    </w:p>
    <w:p>
      <w:pPr>
        <w:spacing w:after="0" w:line="194" w:lineRule="exact"/>
        <w:rPr>
          <w:sz w:val="20"/>
          <w:szCs w:val="20"/>
          <w:color w:val="auto"/>
        </w:rPr>
      </w:pPr>
    </w:p>
    <w:p>
      <w:pPr>
        <w:ind w:left="1740" w:hanging="248"/>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171" w:lineRule="exact"/>
        <w:rPr>
          <w:rFonts w:ascii="Arial" w:cs="Arial" w:eastAsia="Arial" w:hAnsi="Arial"/>
          <w:sz w:val="18"/>
          <w:szCs w:val="18"/>
          <w:color w:val="auto"/>
        </w:rPr>
      </w:pPr>
    </w:p>
    <w:p>
      <w:pPr>
        <w:ind w:right="240" w:firstLine="1492"/>
        <w:spacing w:after="0" w:line="268" w:lineRule="auto"/>
        <w:tabs>
          <w:tab w:leader="none" w:pos="17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right="160" w:firstLine="921"/>
        <w:spacing w:after="0" w:line="268" w:lineRule="auto"/>
        <w:tabs>
          <w:tab w:leader="none" w:pos="108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318" w:lineRule="auto"/>
        <w:tabs>
          <w:tab w:leader="none" w:pos="1722" w:val="left"/>
        </w:tabs>
        <w:numPr>
          <w:ilvl w:val="1"/>
          <w:numId w:val="83"/>
        </w:numPr>
        <w:rPr>
          <w:rFonts w:ascii="Arial" w:cs="Arial" w:eastAsia="Arial" w:hAnsi="Arial"/>
          <w:sz w:val="15"/>
          <w:szCs w:val="15"/>
          <w:color w:val="auto"/>
        </w:rPr>
      </w:pPr>
      <w:r>
        <w:rPr>
          <w:rFonts w:ascii="Arial" w:cs="Arial" w:eastAsia="Arial" w:hAnsi="Arial"/>
          <w:sz w:val="15"/>
          <w:szCs w:val="15"/>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have been satisfied, and provided further that Grantee has complied with all applicable provisions of the HSR Act.</w:t>
      </w:r>
    </w:p>
    <w:p>
      <w:pPr>
        <w:spacing w:after="0" w:line="99" w:lineRule="exact"/>
        <w:rPr>
          <w:rFonts w:ascii="Arial" w:cs="Arial" w:eastAsia="Arial" w:hAnsi="Arial"/>
          <w:sz w:val="15"/>
          <w:szCs w:val="15"/>
          <w:color w:val="auto"/>
        </w:rPr>
      </w:pPr>
    </w:p>
    <w:p>
      <w:pPr>
        <w:ind w:right="80" w:firstLine="1492"/>
        <w:spacing w:after="0" w:line="298" w:lineRule="auto"/>
        <w:tabs>
          <w:tab w:leader="none" w:pos="1732" w:val="left"/>
        </w:tabs>
        <w:numPr>
          <w:ilvl w:val="1"/>
          <w:numId w:val="83"/>
        </w:numPr>
        <w:rPr>
          <w:rFonts w:ascii="Arial" w:cs="Arial" w:eastAsia="Arial" w:hAnsi="Arial"/>
          <w:sz w:val="16"/>
          <w:szCs w:val="16"/>
          <w:color w:val="auto"/>
        </w:rPr>
      </w:pPr>
      <w:r>
        <w:rPr>
          <w:rFonts w:ascii="Arial" w:cs="Arial" w:eastAsia="Arial" w:hAnsi="Arial"/>
          <w:sz w:val="16"/>
          <w:szCs w:val="16"/>
          <w:color w:val="auto"/>
        </w:rPr>
        <w:t>Notwithstanding Paragraph 3(a) to the contrary, if Grantee terminates employment with the Company or a Subsidiary Company during the Restricted Period due to his death or due to Grantee becoming a Disabled Grantee within the meaning of Paragraph 1(h)(1),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12" w:lineRule="exact"/>
        <w:rPr>
          <w:rFonts w:ascii="Arial" w:cs="Arial" w:eastAsia="Arial" w:hAnsi="Arial"/>
          <w:sz w:val="16"/>
          <w:szCs w:val="16"/>
          <w:color w:val="auto"/>
        </w:rPr>
      </w:pPr>
    </w:p>
    <w:p>
      <w:pPr>
        <w:ind w:right="260" w:firstLine="1492"/>
        <w:spacing w:after="0" w:line="298" w:lineRule="auto"/>
        <w:tabs>
          <w:tab w:leader="none" w:pos="1722" w:val="left"/>
        </w:tabs>
        <w:numPr>
          <w:ilvl w:val="1"/>
          <w:numId w:val="83"/>
        </w:numPr>
        <w:rPr>
          <w:rFonts w:ascii="Arial" w:cs="Arial" w:eastAsia="Arial" w:hAnsi="Arial"/>
          <w:sz w:val="16"/>
          <w:szCs w:val="16"/>
          <w:color w:val="auto"/>
        </w:rPr>
      </w:pPr>
      <w:r>
        <w:rPr>
          <w:rFonts w:ascii="Arial" w:cs="Arial" w:eastAsia="Arial" w:hAnsi="Arial"/>
          <w:sz w:val="16"/>
          <w:szCs w:val="16"/>
          <w:color w:val="auto"/>
        </w:rPr>
        <w:t>Notwithstanding Paragraphs 3(a) to the contrary, and subject to the non-solicitation or non-competition obligations described in Paragraph 3(d), if Grantee terminates employment with the Company or a Subsidiary Company during the Restricted Period after having attained age 62 and completing ten (10) or more years of service with the Company or a Subsidiary Company, the following shall apply, provided further that the applicable Performance Goal as set forth on the attached Long-Term Incentive Awards Summary Schedule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satisfied, and provided further that Grantee has complied with all applicable provisions of the HSR Act:</w:t>
      </w:r>
    </w:p>
    <w:p>
      <w:pPr>
        <w:spacing w:after="0" w:line="171" w:lineRule="exact"/>
        <w:rPr>
          <w:sz w:val="20"/>
          <w:szCs w:val="20"/>
          <w:color w:val="auto"/>
        </w:rPr>
      </w:pPr>
    </w:p>
    <w:p>
      <w:pPr>
        <w:ind w:firstLine="1948"/>
        <w:spacing w:after="0" w:line="298" w:lineRule="auto"/>
        <w:tabs>
          <w:tab w:leader="none" w:pos="2189"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10"/>
          <w:szCs w:val="10"/>
          <w:color w:val="auto"/>
        </w:rPr>
        <w:t>rd</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12" w:lineRule="exact"/>
        <w:rPr>
          <w:rFonts w:ascii="Arial" w:cs="Arial" w:eastAsia="Arial" w:hAnsi="Arial"/>
          <w:sz w:val="16"/>
          <w:szCs w:val="16"/>
          <w:color w:val="auto"/>
        </w:rPr>
      </w:pPr>
    </w:p>
    <w:p>
      <w:pPr>
        <w:ind w:right="100" w:firstLine="1948"/>
        <w:spacing w:after="0" w:line="298" w:lineRule="auto"/>
        <w:tabs>
          <w:tab w:leader="none" w:pos="2189"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10"/>
          <w:szCs w:val="10"/>
          <w:color w:val="auto"/>
        </w:rPr>
        <w:t>th</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12" w:lineRule="exact"/>
        <w:rPr>
          <w:rFonts w:ascii="Arial" w:cs="Arial" w:eastAsia="Arial" w:hAnsi="Arial"/>
          <w:sz w:val="16"/>
          <w:szCs w:val="16"/>
          <w:color w:val="auto"/>
        </w:rPr>
      </w:pPr>
    </w:p>
    <w:p>
      <w:pPr>
        <w:ind w:right="400" w:firstLine="1948"/>
        <w:spacing w:after="0" w:line="286" w:lineRule="auto"/>
        <w:tabs>
          <w:tab w:leader="none" w:pos="2189"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w:t>
      </w: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1"/>
          <w:szCs w:val="11"/>
          <w:color w:val="auto"/>
        </w:rPr>
        <w:t>th</w:t>
      </w:r>
      <w:r>
        <w:rPr>
          <w:rFonts w:ascii="Arial" w:cs="Arial" w:eastAsia="Arial" w:hAnsi="Arial"/>
          <w:sz w:val="18"/>
          <w:szCs w:val="18"/>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37" w:lineRule="exact"/>
        <w:rPr>
          <w:rFonts w:ascii="Arial" w:cs="Arial" w:eastAsia="Arial" w:hAnsi="Arial"/>
          <w:sz w:val="16"/>
          <w:szCs w:val="16"/>
          <w:color w:val="auto"/>
        </w:rPr>
      </w:pPr>
    </w:p>
    <w:p>
      <w:pPr>
        <w:ind w:right="200" w:firstLine="1492"/>
        <w:spacing w:after="0" w:line="259" w:lineRule="auto"/>
        <w:tabs>
          <w:tab w:leader="none" w:pos="17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Notwithstanding Paragraph 3(c),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40" w:lineRule="exact"/>
        <w:rPr>
          <w:rFonts w:ascii="Arial" w:cs="Arial" w:eastAsia="Arial" w:hAnsi="Arial"/>
          <w:sz w:val="18"/>
          <w:szCs w:val="18"/>
          <w:color w:val="auto"/>
        </w:rPr>
      </w:pPr>
    </w:p>
    <w:p>
      <w:pPr>
        <w:ind w:right="360" w:firstLine="1948"/>
        <w:spacing w:after="0" w:line="259" w:lineRule="auto"/>
        <w:tabs>
          <w:tab w:leader="none" w:pos="2189" w:val="left"/>
        </w:tabs>
        <w:numPr>
          <w:ilvl w:val="1"/>
          <w:numId w:val="85"/>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40" w:lineRule="exact"/>
        <w:rPr>
          <w:rFonts w:ascii="Arial" w:cs="Arial" w:eastAsia="Arial" w:hAnsi="Arial"/>
          <w:sz w:val="18"/>
          <w:szCs w:val="18"/>
          <w:color w:val="auto"/>
        </w:rPr>
      </w:pPr>
    </w:p>
    <w:p>
      <w:pPr>
        <w:ind w:right="20" w:firstLine="1948"/>
        <w:spacing w:after="0" w:line="291" w:lineRule="auto"/>
        <w:tabs>
          <w:tab w:leader="none" w:pos="2189" w:val="left"/>
        </w:tabs>
        <w:numPr>
          <w:ilvl w:val="1"/>
          <w:numId w:val="85"/>
        </w:numPr>
        <w:rPr>
          <w:rFonts w:ascii="Arial" w:cs="Arial" w:eastAsia="Arial" w:hAnsi="Arial"/>
          <w:sz w:val="16"/>
          <w:szCs w:val="16"/>
          <w:color w:val="auto"/>
        </w:rPr>
      </w:pPr>
      <w:r>
        <w:rPr>
          <w:rFonts w:ascii="Arial" w:cs="Arial" w:eastAsia="Arial" w:hAnsi="Arial"/>
          <w:sz w:val="16"/>
          <w:szCs w:val="16"/>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7" w:name="page98"/>
    <w:bookmarkEnd w:id="9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herein shall prevent Grantee from owning for investment up to one percent (1%) of any class of equity security of an entity whose securities are traded on a national securities exchange or market.</w:t>
      </w:r>
    </w:p>
    <w:p>
      <w:pPr>
        <w:spacing w:after="0" w:line="132" w:lineRule="exact"/>
        <w:rPr>
          <w:sz w:val="20"/>
          <w:szCs w:val="20"/>
          <w:color w:val="auto"/>
        </w:rPr>
      </w:pPr>
    </w:p>
    <w:p>
      <w:pPr>
        <w:ind w:right="60" w:firstLine="1492"/>
        <w:spacing w:after="0" w:line="298" w:lineRule="auto"/>
        <w:tabs>
          <w:tab w:leader="none" w:pos="1722"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Restricted Stock Units would have vested pursuant to the Long-Term Incentive Awards Summary Schedule or Paragraphs 3(b) or 3(c),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3(b) or 3(c) on which Grantee has complied with all applicable provisions of the HSR Act.</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56" w:lineRule="auto"/>
        <w:tabs>
          <w:tab w:leader="none" w:pos="1722"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if Grantee terminates employment with the Company and all Subsidiaries during the Restricted Period, other than due to death or Disability and except as otherwise provided in Paragraph 3(c), Grantee shall forfeit the Restricted Stock Units as of such termination of employment. Upon a forfeiture of the Restricted Stock Units as provided in this Paragraph 4, the Restricted Stock Units shall be deemed canceled.</w:t>
      </w:r>
    </w:p>
    <w:p>
      <w:pPr>
        <w:spacing w:after="0" w:line="143" w:lineRule="exact"/>
        <w:rPr>
          <w:rFonts w:ascii="Arial" w:cs="Arial" w:eastAsia="Arial" w:hAnsi="Arial"/>
          <w:sz w:val="18"/>
          <w:szCs w:val="18"/>
          <w:color w:val="auto"/>
        </w:rPr>
      </w:pPr>
    </w:p>
    <w:p>
      <w:pPr>
        <w:ind w:left="1740" w:hanging="248"/>
        <w:spacing w:after="0"/>
        <w:tabs>
          <w:tab w:leader="none" w:pos="17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provisions of this Paragraph 4 shall not apply to Shares issued in respect of Restricted Stock Units as to which a Vesting Date has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171" w:lineRule="exact"/>
        <w:rPr>
          <w:sz w:val="20"/>
          <w:szCs w:val="20"/>
          <w:color w:val="auto"/>
        </w:rPr>
      </w:pPr>
    </w:p>
    <w:p>
      <w:pPr>
        <w:ind w:left="1740" w:hanging="248"/>
        <w:spacing w:after="0"/>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948"/>
        <w:spacing w:after="0" w:line="259" w:lineRule="auto"/>
        <w:tabs>
          <w:tab w:leader="none" w:pos="2189"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40" w:lineRule="exact"/>
        <w:rPr>
          <w:rFonts w:ascii="Arial" w:cs="Arial" w:eastAsia="Arial" w:hAnsi="Arial"/>
          <w:sz w:val="18"/>
          <w:szCs w:val="18"/>
          <w:color w:val="auto"/>
        </w:rPr>
      </w:pPr>
    </w:p>
    <w:p>
      <w:pPr>
        <w:ind w:right="300" w:firstLine="1948"/>
        <w:spacing w:after="0" w:line="268" w:lineRule="auto"/>
        <w:tabs>
          <w:tab w:leader="none" w:pos="2189"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[Year 1].</w:t>
      </w:r>
    </w:p>
    <w:p>
      <w:pPr>
        <w:spacing w:after="0" w:line="131" w:lineRule="exact"/>
        <w:rPr>
          <w:rFonts w:ascii="Arial" w:cs="Arial" w:eastAsia="Arial" w:hAnsi="Arial"/>
          <w:sz w:val="18"/>
          <w:szCs w:val="18"/>
          <w:color w:val="auto"/>
        </w:rPr>
      </w:pPr>
    </w:p>
    <w:p>
      <w:pPr>
        <w:ind w:right="180" w:firstLine="1948"/>
        <w:spacing w:after="0" w:line="298" w:lineRule="auto"/>
        <w:tabs>
          <w:tab w:leader="none" w:pos="2189"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8" w:name="page99"/>
    <w:bookmarkEnd w:id="98"/>
    <w:p>
      <w:pPr>
        <w:ind w:right="120" w:firstLine="1948"/>
        <w:spacing w:after="0" w:line="268" w:lineRule="auto"/>
        <w:tabs>
          <w:tab w:leader="none" w:pos="2189"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a Subsequent Election is filed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Committee.</w:t>
      </w:r>
    </w:p>
    <w:p>
      <w:pPr>
        <w:spacing w:after="0" w:line="164" w:lineRule="exact"/>
        <w:rPr>
          <w:rFonts w:ascii="Arial" w:cs="Arial" w:eastAsia="Arial" w:hAnsi="Arial"/>
          <w:sz w:val="16"/>
          <w:szCs w:val="16"/>
          <w:color w:val="auto"/>
        </w:rPr>
      </w:pPr>
    </w:p>
    <w:p>
      <w:pPr>
        <w:jc w:val="both"/>
        <w:ind w:right="160" w:firstLine="1948"/>
        <w:spacing w:after="0" w:line="298" w:lineRule="auto"/>
        <w:tabs>
          <w:tab w:leader="none" w:pos="2189"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12" w:lineRule="exact"/>
        <w:rPr>
          <w:rFonts w:ascii="Arial" w:cs="Arial" w:eastAsia="Arial" w:hAnsi="Arial"/>
          <w:sz w:val="16"/>
          <w:szCs w:val="16"/>
          <w:color w:val="auto"/>
        </w:rPr>
      </w:pPr>
    </w:p>
    <w:p>
      <w:pPr>
        <w:ind w:right="40" w:firstLine="1948"/>
        <w:spacing w:after="0" w:line="298" w:lineRule="auto"/>
        <w:tabs>
          <w:tab w:leader="none" w:pos="2189"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12" w:lineRule="exact"/>
        <w:rPr>
          <w:rFonts w:ascii="Arial" w:cs="Arial" w:eastAsia="Arial" w:hAnsi="Arial"/>
          <w:sz w:val="16"/>
          <w:szCs w:val="16"/>
          <w:color w:val="auto"/>
        </w:rPr>
      </w:pPr>
    </w:p>
    <w:p>
      <w:pPr>
        <w:ind w:firstLine="1948"/>
        <w:spacing w:after="0" w:line="306" w:lineRule="auto"/>
        <w:tabs>
          <w:tab w:leader="none" w:pos="2189"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06" w:lineRule="exact"/>
        <w:rPr>
          <w:rFonts w:ascii="Arial" w:cs="Arial" w:eastAsia="Arial" w:hAnsi="Arial"/>
          <w:sz w:val="16"/>
          <w:szCs w:val="16"/>
          <w:color w:val="auto"/>
        </w:rPr>
      </w:pPr>
    </w:p>
    <w:p>
      <w:pPr>
        <w:ind w:right="420" w:firstLine="1492"/>
        <w:spacing w:after="0" w:line="268" w:lineRule="auto"/>
        <w:tabs>
          <w:tab w:leader="none" w:pos="172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31" w:lineRule="exact"/>
        <w:rPr>
          <w:rFonts w:ascii="Arial" w:cs="Arial" w:eastAsia="Arial" w:hAnsi="Arial"/>
          <w:sz w:val="18"/>
          <w:szCs w:val="18"/>
          <w:color w:val="auto"/>
        </w:rPr>
      </w:pPr>
    </w:p>
    <w:p>
      <w:pPr>
        <w:ind w:right="100" w:firstLine="1492"/>
        <w:spacing w:after="0" w:line="255" w:lineRule="auto"/>
        <w:tabs>
          <w:tab w:leader="none" w:pos="173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42" w:lineRule="exact"/>
        <w:rPr>
          <w:rFonts w:ascii="Arial" w:cs="Arial" w:eastAsia="Arial" w:hAnsi="Arial"/>
          <w:sz w:val="18"/>
          <w:szCs w:val="18"/>
          <w:color w:val="auto"/>
        </w:rPr>
      </w:pPr>
    </w:p>
    <w:p>
      <w:pPr>
        <w:ind w:right="280" w:firstLine="1492"/>
        <w:spacing w:after="0" w:line="256" w:lineRule="auto"/>
        <w:tabs>
          <w:tab w:leader="none" w:pos="172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9" w:name="page100"/>
    <w:bookmarkEnd w:id="9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32" w:lineRule="exact"/>
        <w:rPr>
          <w:sz w:val="20"/>
          <w:szCs w:val="20"/>
          <w:color w:val="auto"/>
        </w:rPr>
      </w:pPr>
    </w:p>
    <w:p>
      <w:pPr>
        <w:ind w:right="480" w:firstLine="1492"/>
        <w:spacing w:after="0" w:line="306" w:lineRule="auto"/>
        <w:tabs>
          <w:tab w:leader="none" w:pos="1703"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right="120" w:firstLine="921"/>
        <w:spacing w:after="0" w:line="259" w:lineRule="auto"/>
        <w:tabs>
          <w:tab w:leader="none" w:pos="108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40" w:lineRule="exact"/>
        <w:rPr>
          <w:rFonts w:ascii="Arial" w:cs="Arial" w:eastAsia="Arial" w:hAnsi="Arial"/>
          <w:sz w:val="18"/>
          <w:szCs w:val="18"/>
          <w:color w:val="auto"/>
        </w:rPr>
      </w:pPr>
    </w:p>
    <w:p>
      <w:pPr>
        <w:ind w:firstLine="921"/>
        <w:spacing w:after="0" w:line="259" w:lineRule="auto"/>
        <w:tabs>
          <w:tab w:leader="none" w:pos="108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1492"/>
        <w:spacing w:after="0" w:line="309" w:lineRule="auto"/>
        <w:tabs>
          <w:tab w:leader="none" w:pos="1722" w:val="left"/>
        </w:tabs>
        <w:numPr>
          <w:ilvl w:val="1"/>
          <w:numId w:val="92"/>
        </w:numPr>
        <w:rPr>
          <w:rFonts w:ascii="Arial" w:cs="Arial" w:eastAsia="Arial" w:hAnsi="Arial"/>
          <w:sz w:val="15"/>
          <w:szCs w:val="15"/>
          <w:color w:val="auto"/>
        </w:rPr>
      </w:pPr>
      <w:r>
        <w:rPr>
          <w:rFonts w:ascii="Arial" w:cs="Arial" w:eastAsia="Arial" w:hAnsi="Arial"/>
          <w:sz w:val="15"/>
          <w:szCs w:val="15"/>
          <w:u w:val="single" w:color="auto"/>
          <w:color w:val="auto"/>
        </w:rPr>
        <w:t>Delivery of Shares</w:t>
      </w:r>
      <w:r>
        <w:rPr>
          <w:rFonts w:ascii="Arial" w:cs="Arial" w:eastAsia="Arial" w:hAnsi="Arial"/>
          <w:sz w:val="15"/>
          <w:szCs w:val="15"/>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08" w:lineRule="exact"/>
        <w:rPr>
          <w:rFonts w:ascii="Arial" w:cs="Arial" w:eastAsia="Arial" w:hAnsi="Arial"/>
          <w:sz w:val="15"/>
          <w:szCs w:val="15"/>
          <w:color w:val="auto"/>
        </w:rPr>
      </w:pPr>
    </w:p>
    <w:p>
      <w:pPr>
        <w:ind w:right="60" w:firstLine="1492"/>
        <w:spacing w:after="0" w:line="294" w:lineRule="auto"/>
        <w:tabs>
          <w:tab w:leader="none" w:pos="1732"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0" w:name="page101"/>
    <w:bookmarkEnd w:id="100"/>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107" w:lineRule="exact"/>
        <w:rPr>
          <w:sz w:val="20"/>
          <w:szCs w:val="20"/>
          <w:color w:val="auto"/>
        </w:rPr>
      </w:pPr>
    </w:p>
    <w:p>
      <w:pPr>
        <w:ind w:firstLine="921"/>
        <w:spacing w:after="0" w:line="291" w:lineRule="auto"/>
        <w:tabs>
          <w:tab w:leader="none" w:pos="1088"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are otherwise become deliverable upon the Grantee’s “separation from service” will be deferred (without interest) and issued to the Grantee immediately following that six month period.</w:t>
      </w:r>
    </w:p>
    <w:p>
      <w:pPr>
        <w:spacing w:after="0" w:line="120" w:lineRule="exact"/>
        <w:rPr>
          <w:rFonts w:ascii="Arial" w:cs="Arial" w:eastAsia="Arial" w:hAnsi="Arial"/>
          <w:sz w:val="16"/>
          <w:szCs w:val="16"/>
          <w:color w:val="auto"/>
        </w:rPr>
      </w:pPr>
    </w:p>
    <w:p>
      <w:pPr>
        <w:ind w:right="160" w:firstLine="921"/>
        <w:spacing w:after="0" w:line="268" w:lineRule="auto"/>
        <w:tabs>
          <w:tab w:leader="none" w:pos="117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31" w:lineRule="exact"/>
        <w:rPr>
          <w:rFonts w:ascii="Arial" w:cs="Arial" w:eastAsia="Arial" w:hAnsi="Arial"/>
          <w:sz w:val="18"/>
          <w:szCs w:val="18"/>
          <w:color w:val="auto"/>
        </w:rPr>
      </w:pPr>
    </w:p>
    <w:p>
      <w:pPr>
        <w:ind w:left="1180" w:hanging="259"/>
        <w:spacing w:after="0"/>
        <w:tabs>
          <w:tab w:leader="none" w:pos="118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93"/>
        </w:numPr>
        <w:rPr>
          <w:rFonts w:ascii="Arial" w:cs="Arial" w:eastAsia="Arial" w:hAnsi="Arial"/>
          <w:sz w:val="15"/>
          <w:szCs w:val="15"/>
          <w:color w:val="auto"/>
        </w:rPr>
      </w:pPr>
      <w:r>
        <w:rPr>
          <w:rFonts w:ascii="Arial" w:cs="Arial" w:eastAsia="Arial" w:hAnsi="Arial"/>
          <w:sz w:val="15"/>
          <w:szCs w:val="15"/>
          <w:color w:val="auto"/>
        </w:rPr>
        <w:t>The Award granted hereunder is subject to the approval of the Plan by the shareholders of the Company to the extent that such approval</w:t>
      </w:r>
    </w:p>
    <w:p>
      <w:pPr>
        <w:spacing w:after="0" w:line="49" w:lineRule="exact"/>
        <w:rPr>
          <w:rFonts w:ascii="Arial" w:cs="Arial" w:eastAsia="Arial" w:hAnsi="Arial"/>
          <w:sz w:val="15"/>
          <w:szCs w:val="15"/>
          <w:color w:val="auto"/>
        </w:rPr>
      </w:pPr>
    </w:p>
    <w:p>
      <w:pPr>
        <w:ind w:right="540" w:firstLine="8"/>
        <w:spacing w:after="0" w:line="323"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92" w:lineRule="exact"/>
        <w:rPr>
          <w:rFonts w:ascii="Arial" w:cs="Arial" w:eastAsia="Arial" w:hAnsi="Arial"/>
          <w:sz w:val="16"/>
          <w:szCs w:val="16"/>
          <w:color w:val="auto"/>
        </w:rPr>
      </w:pPr>
    </w:p>
    <w:p>
      <w:pPr>
        <w:ind w:right="660" w:firstLine="1492"/>
        <w:spacing w:after="0" w:line="268" w:lineRule="auto"/>
        <w:tabs>
          <w:tab w:leader="none" w:pos="1732"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31" w:lineRule="exact"/>
        <w:rPr>
          <w:rFonts w:ascii="Arial" w:cs="Arial" w:eastAsia="Arial" w:hAnsi="Arial"/>
          <w:sz w:val="18"/>
          <w:szCs w:val="18"/>
          <w:color w:val="auto"/>
        </w:rPr>
      </w:pPr>
    </w:p>
    <w:p>
      <w:pPr>
        <w:ind w:right="180" w:firstLine="1492"/>
        <w:spacing w:after="0" w:line="268" w:lineRule="auto"/>
        <w:tabs>
          <w:tab w:leader="none" w:pos="1722"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540"/>
        <w:spacing w:after="0"/>
        <w:rPr>
          <w:sz w:val="20"/>
          <w:szCs w:val="20"/>
          <w:color w:val="auto"/>
        </w:rPr>
      </w:pPr>
      <w:r>
        <w:rPr>
          <w:rFonts w:ascii="Arial" w:cs="Arial" w:eastAsia="Arial" w:hAnsi="Arial"/>
          <w:sz w:val="15"/>
          <w:szCs w:val="15"/>
          <w:color w:val="auto"/>
        </w:rPr>
        <w:t>May 4, 2011</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lowerRoman"/>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2"/>
    </w:lvl>
    <w:lvl w:ilvl="1">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lowerLetter"/>
      <w:start w:val="1"/>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2"/>
    </w:lvl>
  </w:abstractNum>
  <w:abstractNum w:abstractNumId="14">
    <w:nsid w:val="275AC794"/>
    <w:multiLevelType w:val="hybridMultilevel"/>
    <w:lvl w:ilvl="0">
      <w:lvlJc w:val="left"/>
      <w:lvlText w:val="(%1)"/>
      <w:numFmt w:val="lowerLetter"/>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1)"/>
      <w:numFmt w:val="lowerLetter"/>
      <w:start w:val="1"/>
    </w:lvl>
  </w:abstractNum>
  <w:abstractNum w:abstractNumId="17">
    <w:nsid w:val="180115BE"/>
    <w:multiLevelType w:val="hybridMultilevel"/>
    <w:lvl w:ilvl="0">
      <w:lvlJc w:val="left"/>
      <w:lvlText w:val="%1"/>
      <w:numFmt w:val="decimal"/>
      <w:start w:val="31"/>
    </w:lvl>
  </w:abstractNum>
  <w:abstractNum w:abstractNumId="18">
    <w:nsid w:val="235BA861"/>
    <w:multiLevelType w:val="hybridMultilevel"/>
    <w:lvl w:ilvl="0">
      <w:lvlJc w:val="left"/>
      <w:lvlText w:val="%1"/>
      <w:numFmt w:val="decimal"/>
      <w:start w:val="10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1">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
    <w:nsid w:val="741226BB"/>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3">
    <w:nsid w:val="D34B6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10233C99"/>
    <w:multiLevelType w:val="hybridMultilevel"/>
    <w:lvl w:ilvl="0">
      <w:lvlJc w:val="left"/>
      <w:lvlText w:val="(%1)"/>
      <w:numFmt w:val="lowerRoman"/>
      <w:start w:val="5"/>
    </w:lvl>
  </w:abstractNum>
  <w:abstractNum w:abstractNumId="25">
    <w:nsid w:val="3F6AB60F"/>
    <w:multiLevelType w:val="hybridMultilevel"/>
    <w:lvl w:ilvl="0">
      <w:lvlJc w:val="left"/>
      <w:lvlText w:val="(%1)"/>
      <w:numFmt w:val="upperLetter"/>
      <w:start w:val="1"/>
    </w:lvl>
  </w:abstractNum>
  <w:abstractNum w:abstractNumId="26">
    <w:nsid w:val="615740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7">
    <w:nsid w:val="7E0C57B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
    <w:nsid w:val="77AE35EB"/>
    <w:multiLevelType w:val="hybridMultilevel"/>
    <w:lvl w:ilvl="0">
      <w:lvlJc w:val="left"/>
      <w:lvlText w:val="(%1)"/>
      <w:numFmt w:val="lowerRoman"/>
      <w:start w:val="1"/>
    </w:lvl>
  </w:abstractNum>
  <w:abstractNum w:abstractNumId="29">
    <w:nsid w:val="579BE4F1"/>
    <w:multiLevelType w:val="hybridMultilevel"/>
    <w:lvl w:ilvl="0">
      <w:lvlJc w:val="left"/>
      <w:lvlText w:val="1"/>
      <w:numFmt w:val="bullet"/>
      <w:start w:val="1"/>
    </w:lvl>
  </w:abstractNum>
  <w:abstractNum w:abstractNumId="30">
    <w:nsid w:val="310C50B3"/>
    <w:multiLevelType w:val="hybridMultilevel"/>
    <w:lvl w:ilvl="0">
      <w:lvlJc w:val="left"/>
      <w:lvlText w:val="%1."/>
      <w:numFmt w:val="decimal"/>
      <w:start w:val="2"/>
    </w:lvl>
    <w:lvl w:ilvl="1">
      <w:lvlJc w:val="left"/>
      <w:lvlText w:val="(%2)"/>
      <w:numFmt w:val="lowerLetter"/>
      <w:start w:val="1"/>
    </w:lvl>
  </w:abstractNum>
  <w:abstractNum w:abstractNumId="31">
    <w:nsid w:val="5FF87E0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32">
    <w:nsid w:val="2F305DEF"/>
    <w:multiLevelType w:val="hybridMultilevel"/>
    <w:lvl w:ilvl="0">
      <w:lvlJc w:val="left"/>
      <w:lvlText w:val="(%1)"/>
      <w:numFmt w:val="decimal"/>
      <w:start w:val="52"/>
    </w:lvl>
    <w:lvl w:ilvl="1">
      <w:lvlJc w:val="left"/>
      <w:lvlText w:val="(%2)"/>
      <w:numFmt w:val="lowerLetter"/>
      <w:start w:val="8"/>
    </w:lvl>
    <w:lvl w:ilvl="2">
      <w:lvlJc w:val="left"/>
      <w:lvlText w:val="(%3)"/>
      <w:numFmt w:val="lowerLetter"/>
      <w:start w:val="35"/>
    </w:lvl>
  </w:abstractNum>
  <w:abstractNum w:abstractNumId="33">
    <w:nsid w:val="25A70BF7"/>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lvl w:ilvl="3">
      <w:lvlJc w:val="left"/>
      <w:lvlText w:val="%4"/>
      <w:numFmt w:val="lowerRoman"/>
      <w:start w:val="1"/>
    </w:lvl>
  </w:abstractNum>
  <w:abstractNum w:abstractNumId="34">
    <w:nsid w:val="1DBABF0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5">
    <w:nsid w:val="4AD084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6">
    <w:nsid w:val="1F48EA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
    <w:nsid w:val="1381823A"/>
    <w:multiLevelType w:val="hybridMultilevel"/>
    <w:lvl w:ilvl="0">
      <w:lvlJc w:val="left"/>
      <w:lvlText w:val="(%1)"/>
      <w:numFmt w:val="lowerLetter"/>
      <w:start w:val="1"/>
    </w:lvl>
    <w:lvl w:ilvl="1">
      <w:lvlJc w:val="left"/>
      <w:lvlText w:val="(%2)"/>
      <w:numFmt w:val="lowerRoman"/>
      <w:start w:val="1"/>
    </w:lvl>
  </w:abstractNum>
  <w:abstractNum w:abstractNumId="38">
    <w:nsid w:val="5DB70AE5"/>
    <w:multiLevelType w:val="hybridMultilevel"/>
    <w:lvl w:ilvl="0">
      <w:lvlJc w:val="left"/>
      <w:lvlText w:val="%1"/>
      <w:numFmt w:val="lowerLetter"/>
      <w:start w:val="1"/>
    </w:lvl>
    <w:lvl w:ilvl="1">
      <w:lvlJc w:val="left"/>
      <w:lvlText w:val="(%2)"/>
      <w:numFmt w:val="lowerRoman"/>
      <w:start w:val="7"/>
    </w:lvl>
  </w:abstractNum>
  <w:abstractNum w:abstractNumId="39">
    <w:nsid w:val="100F8FCA"/>
    <w:multiLevelType w:val="hybridMultilevel"/>
    <w:lvl w:ilvl="0">
      <w:lvlJc w:val="left"/>
      <w:lvlText w:val="(%1)"/>
      <w:numFmt w:val="lowerLetter"/>
      <w:start w:val="5"/>
    </w:lvl>
    <w:lvl w:ilvl="1">
      <w:lvlJc w:val="left"/>
      <w:lvlText w:val="%2"/>
      <w:numFmt w:val="lowerRoman"/>
      <w:start w:val="1"/>
    </w:lvl>
  </w:abstractNum>
  <w:abstractNum w:abstractNumId="40">
    <w:nsid w:val="6590700B"/>
    <w:multiLevelType w:val="hybridMultilevel"/>
    <w:lvl w:ilvl="0">
      <w:lvlJc w:val="left"/>
      <w:lvlText w:val="(%1)"/>
      <w:numFmt w:val="decimal"/>
      <w:start w:val="1"/>
    </w:lvl>
    <w:lvl w:ilvl="1">
      <w:lvlJc w:val="left"/>
      <w:lvlText w:val="(%2)"/>
      <w:numFmt w:val="lowerRoman"/>
      <w:start w:val="1"/>
    </w:lvl>
  </w:abstractNum>
  <w:abstractNum w:abstractNumId="41">
    <w:nsid w:val="15014ACB"/>
    <w:multiLevelType w:val="hybridMultilevel"/>
    <w:lvl w:ilvl="0">
      <w:lvlJc w:val="left"/>
      <w:lvlText w:val="(%1)"/>
      <w:numFmt w:val="lowerLetter"/>
      <w:start w:val="6"/>
    </w:lvl>
  </w:abstractNum>
  <w:abstractNum w:abstractNumId="42">
    <w:nsid w:val="5F5E7FD0"/>
    <w:multiLevelType w:val="hybridMultilevel"/>
    <w:lvl w:ilvl="0">
      <w:lvlJc w:val="left"/>
      <w:lvlText w:val="%1."/>
      <w:numFmt w:val="decimal"/>
      <w:start w:val="8"/>
    </w:lvl>
    <w:lvl w:ilvl="1">
      <w:lvlJc w:val="left"/>
      <w:lvlText w:val="(%2)"/>
      <w:numFmt w:val="lowerLetter"/>
      <w:start w:val="1"/>
    </w:lvl>
  </w:abstractNum>
  <w:abstractNum w:abstractNumId="43">
    <w:nsid w:val="98A3148"/>
    <w:multiLevelType w:val="hybridMultilevel"/>
    <w:lvl w:ilvl="0">
      <w:lvlJc w:val="left"/>
      <w:lvlText w:val="(%1)"/>
      <w:numFmt w:val="lowerLetter"/>
      <w:start w:val="4"/>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1"/>
      <w:numFmt w:val="lowerLetter"/>
      <w:start w:val="1"/>
    </w:lvl>
    <w:lvl w:ilvl="1">
      <w:lvlJc w:val="left"/>
      <w:lvlText w:val="(%2)"/>
      <w:numFmt w:val="lowerLetter"/>
      <w:start w:val="2"/>
    </w:lvl>
  </w:abstractNum>
  <w:abstractNum w:abstractNumId="48">
    <w:nsid w:val="1EBA5D23"/>
    <w:multiLevelType w:val="hybridMultilevel"/>
    <w:lvl w:ilvl="0">
      <w:lvlJc w:val="left"/>
      <w:lvlText w:val="(%1)"/>
      <w:numFmt w:val="lowerLetter"/>
      <w:start w:val="35"/>
    </w:lvl>
    <w:lvl w:ilvl="1">
      <w:lvlJc w:val="left"/>
      <w:lvlText w:val="%2"/>
      <w:numFmt w:val="lowerLetter"/>
      <w:start w:val="1"/>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1"/>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lowerLetter"/>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lowerLetter"/>
      <w:start w:val="4"/>
    </w:lvl>
  </w:abstractNum>
  <w:abstractNum w:abstractNumId="55">
    <w:nsid w:val="BF72B14"/>
    <w:multiLevelType w:val="hybridMultilevel"/>
    <w:lvl w:ilvl="0">
      <w:lvlJc w:val="left"/>
      <w:lvlText w:val="(%1)"/>
      <w:numFmt w:val="lowerLetter"/>
      <w:start w:val="1"/>
    </w:lvl>
  </w:abstractNum>
  <w:abstractNum w:abstractNumId="56">
    <w:nsid w:val="11447B73"/>
    <w:multiLevelType w:val="hybridMultilevel"/>
    <w:lvl w:ilvl="0">
      <w:lvlJc w:val="left"/>
      <w:lvlText w:val="(%1)"/>
      <w:numFmt w:val="lowerLetter"/>
      <w:start w:val="1"/>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1"/>
    </w:lvl>
    <w:lvl w:ilvl="1">
      <w:lvlJc w:val="left"/>
      <w:lvlText w:val="(%2)"/>
      <w:numFmt w:val="lowerRoman"/>
      <w:start w:val="1"/>
    </w:lvl>
  </w:abstractNum>
  <w:abstractNum w:abstractNumId="59">
    <w:nsid w:val="8F2B1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0">
    <w:nsid w:val="1A32234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60"/>
    </w:lvl>
    <w:lvl w:ilvl="3">
      <w:lvlJc w:val="left"/>
      <w:lvlText w:val="(%4)"/>
      <w:numFmt w:val="upperLetter"/>
      <w:start w:val="2"/>
    </w:lvl>
  </w:abstractNum>
  <w:abstractNum w:abstractNumId="61">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2">
    <w:nsid w:val="68EB2F6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lowerLetter"/>
      <w:start w:val="1"/>
    </w:lvl>
    <w:lvl w:ilvl="1">
      <w:lvlJc w:val="left"/>
      <w:lvlText w:val="(%2)"/>
      <w:numFmt w:val="lowerLetter"/>
      <w:start w:val="9"/>
    </w:lvl>
  </w:abstractNum>
  <w:abstractNum w:abstractNumId="66">
    <w:nsid w:val="14330624"/>
    <w:multiLevelType w:val="hybridMultilevel"/>
    <w:lvl w:ilvl="0">
      <w:lvlJc w:val="left"/>
      <w:lvlText w:val="%1"/>
      <w:numFmt w:val="lowerLetter"/>
      <w:start w:val="1"/>
    </w:lvl>
    <w:lvl w:ilvl="1">
      <w:lvlJc w:val="left"/>
      <w:lvlText w:val="(%2)"/>
      <w:numFmt w:val="lowerLetter"/>
      <w:start w:val="9"/>
    </w:lvl>
  </w:abstractNum>
  <w:abstractNum w:abstractNumId="67">
    <w:nsid w:val="7FFFCA11"/>
    <w:multiLevelType w:val="hybridMultilevel"/>
    <w:lvl w:ilvl="0">
      <w:lvlJc w:val="left"/>
      <w:lvlText w:val="(%1)"/>
      <w:numFmt w:val="lowerLetter"/>
      <w:start w:val="5"/>
    </w:lvl>
    <w:lvl w:ilvl="1">
      <w:lvlJc w:val="left"/>
      <w:lvlText w:val="%2"/>
      <w:numFmt w:val="lowerLetter"/>
      <w:start w:val="1"/>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2"/>
    </w:lvl>
    <w:lvl w:ilvl="1">
      <w:lvlJc w:val="left"/>
      <w:lvlText w:val="(%2)"/>
      <w:numFmt w:val="lowerRoman"/>
      <w:start w:val="1"/>
    </w:lvl>
  </w:abstractNum>
  <w:abstractNum w:abstractNumId="70">
    <w:nsid w:val="100F59DC"/>
    <w:multiLevelType w:val="hybridMultilevel"/>
    <w:lvl w:ilvl="0">
      <w:lvlJc w:val="left"/>
      <w:lvlText w:val="%1"/>
      <w:numFmt w:val="lowerLetter"/>
      <w:start w:val="1"/>
    </w:lvl>
    <w:lvl w:ilvl="1">
      <w:lvlJc w:val="left"/>
      <w:lvlText w:val="(%2)"/>
      <w:numFmt w:val="lowerLetter"/>
      <w:start w:val="1"/>
    </w:lvl>
  </w:abstractNum>
  <w:abstractNum w:abstractNumId="71">
    <w:nsid w:val="7FB7E0AA"/>
    <w:multiLevelType w:val="hybridMultilevel"/>
    <w:lvl w:ilvl="0">
      <w:lvlJc w:val="left"/>
      <w:lvlText w:val="(%1)"/>
      <w:numFmt w:val="lowerLetter"/>
      <w:start w:val="35"/>
    </w:lvl>
    <w:lvl w:ilvl="1">
      <w:lvlJc w:val="left"/>
      <w:lvlText w:val="(%2)"/>
      <w:numFmt w:val="lowerLetter"/>
      <w:start w:val="2"/>
    </w:lvl>
  </w:abstractNum>
  <w:abstractNum w:abstractNumId="72">
    <w:nsid w:val="6EB5BD4"/>
    <w:multiLevelType w:val="hybridMultilevel"/>
    <w:lvl w:ilvl="0">
      <w:lvlJc w:val="left"/>
      <w:lvlText w:val="(%1)"/>
      <w:numFmt w:val="lowerRoman"/>
      <w:start w:val="1"/>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3"/>
    </w:lvl>
    <w:lvl w:ilvl="1">
      <w:lvlJc w:val="left"/>
      <w:lvlText w:val="(%2)"/>
      <w:numFmt w:val="lowerRoman"/>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Letter"/>
      <w:start w:val="4"/>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9">
    <w:nsid w:val="14E17E33"/>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80">
    <w:nsid w:val="3222E7CD"/>
    <w:multiLevelType w:val="hybridMultilevel"/>
    <w:lvl w:ilvl="0">
      <w:lvlJc w:val="left"/>
      <w:lvlText w:val="(%1)"/>
      <w:numFmt w:val="decimal"/>
      <w:start w:val="3"/>
    </w:lvl>
  </w:abstractNum>
  <w:abstractNum w:abstractNumId="81">
    <w:nsid w:val="74DE0EE3"/>
    <w:multiLevelType w:val="hybridMultilevel"/>
    <w:lvl w:ilvl="0">
      <w:lvlJc w:val="left"/>
      <w:lvlText w:val="%1"/>
      <w:numFmt w:val="decimal"/>
      <w:start w:val="1"/>
    </w:lvl>
    <w:lvl w:ilvl="1">
      <w:lvlJc w:val="left"/>
      <w:lvlText w:val="(%2)"/>
      <w:numFmt w:val="lowerLetter"/>
      <w:start w:val="21"/>
    </w:lvl>
  </w:abstractNum>
  <w:abstractNum w:abstractNumId="82">
    <w:nsid w:val="68EBC550"/>
    <w:multiLevelType w:val="hybridMultilevel"/>
    <w:lvl w:ilvl="0">
      <w:lvlJc w:val="left"/>
      <w:lvlText w:val="%1."/>
      <w:numFmt w:val="decimal"/>
      <w:start w:val="2"/>
    </w:lvl>
    <w:lvl w:ilvl="1">
      <w:lvlJc w:val="left"/>
      <w:lvlText w:val="(%2)"/>
      <w:numFmt w:val="lowerLetter"/>
      <w:start w:val="1"/>
    </w:lvl>
  </w:abstractNum>
  <w:abstractNum w:abstractNumId="83">
    <w:nsid w:val="2DF6D648"/>
    <w:multiLevelType w:val="hybridMultilevel"/>
    <w:lvl w:ilvl="0">
      <w:lvlJc w:val="left"/>
      <w:lvlText w:val="%1"/>
      <w:numFmt w:val="lowerLetter"/>
      <w:start w:val="1"/>
    </w:lvl>
    <w:lvl w:ilvl="1">
      <w:lvlJc w:val="left"/>
      <w:lvlText w:val="(%2)"/>
      <w:numFmt w:val="decimal"/>
      <w:start w:val="1"/>
    </w:lvl>
  </w:abstractNum>
  <w:abstractNum w:abstractNumId="84">
    <w:nsid w:val="46B7D447"/>
    <w:multiLevelType w:val="hybridMultilevel"/>
    <w:lvl w:ilvl="0">
      <w:lvlJc w:val="left"/>
      <w:lvlText w:val="(%1)"/>
      <w:numFmt w:val="lowerLetter"/>
      <w:start w:val="4"/>
    </w:lvl>
    <w:lvl w:ilvl="1">
      <w:lvlJc w:val="left"/>
      <w:lvlText w:val="(%2)"/>
      <w:numFmt w:val="decimal"/>
      <w:start w:val="1"/>
    </w:lvl>
  </w:abstractNum>
  <w:abstractNum w:abstractNumId="85">
    <w:nsid w:val="4A2AC315"/>
    <w:multiLevelType w:val="hybridMultilevel"/>
    <w:lvl w:ilvl="0">
      <w:lvlJc w:val="left"/>
      <w:lvlText w:val="%1"/>
      <w:numFmt w:val="decimal"/>
      <w:start w:val="1"/>
    </w:lvl>
    <w:lvl w:ilvl="1">
      <w:lvlJc w:val="left"/>
      <w:lvlText w:val="(%2)"/>
      <w:numFmt w:val="lowerLetter"/>
      <w:start w:val="5"/>
    </w:lvl>
  </w:abstractNum>
  <w:abstractNum w:abstractNumId="86">
    <w:nsid w:val="39EE015C"/>
    <w:multiLevelType w:val="hybridMultilevel"/>
    <w:lvl w:ilvl="0">
      <w:lvlJc w:val="left"/>
      <w:lvlText w:val="%1."/>
      <w:numFmt w:val="decimal"/>
      <w:start w:val="4"/>
    </w:lvl>
    <w:lvl w:ilvl="1">
      <w:lvlJc w:val="left"/>
      <w:lvlText w:val="(%2)"/>
      <w:numFmt w:val="lowerLetter"/>
      <w:start w:val="1"/>
    </w:lvl>
  </w:abstractNum>
  <w:abstractNum w:abstractNumId="87">
    <w:nsid w:val="57FC4FBB"/>
    <w:multiLevelType w:val="hybridMultilevel"/>
    <w:lvl w:ilvl="0">
      <w:lvlJc w:val="left"/>
      <w:lvlText w:val="(%1)"/>
      <w:numFmt w:val="lowerLetter"/>
      <w:start w:val="1"/>
    </w:lvl>
    <w:lvl w:ilvl="1">
      <w:lvlJc w:val="left"/>
      <w:lvlText w:val="(%2)"/>
      <w:numFmt w:val="decimal"/>
      <w:start w:val="1"/>
    </w:lvl>
  </w:abstractNum>
  <w:abstractNum w:abstractNumId="88">
    <w:nsid w:val="CC1016F"/>
    <w:multiLevelType w:val="hybridMultilevel"/>
    <w:lvl w:ilvl="0">
      <w:lvlJc w:val="left"/>
      <w:lvlText w:val="%1"/>
      <w:numFmt w:val="lowerLetter"/>
      <w:start w:val="1"/>
    </w:lvl>
    <w:lvl w:ilvl="1">
      <w:lvlJc w:val="left"/>
      <w:lvlText w:val="(%2)"/>
      <w:numFmt w:val="decimal"/>
      <w:start w:val="4"/>
    </w:lvl>
  </w:abstractNum>
  <w:abstractNum w:abstractNumId="89">
    <w:nsid w:val="43F18422"/>
    <w:multiLevelType w:val="hybridMultilevel"/>
    <w:lvl w:ilvl="0">
      <w:lvlJc w:val="left"/>
      <w:lvlText w:val="(%1)"/>
      <w:numFmt w:val="lowerLetter"/>
      <w:start w:val="2"/>
    </w:lvl>
    <w:lvl w:ilvl="1">
      <w:lvlJc w:val="left"/>
      <w:lvlText w:val="(%2)"/>
      <w:numFmt w:val="decimal"/>
      <w:start w:val="1"/>
    </w:lvl>
  </w:abstractNum>
  <w:abstractNum w:abstractNumId="90">
    <w:nsid w:val="60EF0119"/>
    <w:multiLevelType w:val="hybridMultilevel"/>
    <w:lvl w:ilvl="0">
      <w:lvlJc w:val="left"/>
      <w:lvlText w:val="%1"/>
      <w:numFmt w:val="decimal"/>
      <w:start w:val="1"/>
    </w:lvl>
    <w:lvl w:ilvl="1">
      <w:lvlJc w:val="left"/>
      <w:lvlText w:val="(%2)"/>
      <w:numFmt w:val="lowerLetter"/>
      <w:start w:val="6"/>
    </w:lvl>
  </w:abstractNum>
  <w:abstractNum w:abstractNumId="91">
    <w:nsid w:val="26F324BA"/>
    <w:multiLevelType w:val="hybridMultilevel"/>
    <w:lvl w:ilvl="0">
      <w:lvlJc w:val="left"/>
      <w:lvlText w:val="%1."/>
      <w:numFmt w:val="decimal"/>
      <w:start w:val="6"/>
    </w:lvl>
    <w:lvl w:ilvl="1">
      <w:lvlJc w:val="left"/>
      <w:lvlText w:val="(%2)"/>
      <w:numFmt w:val="lowerLetter"/>
      <w:start w:val="1"/>
    </w:lvl>
  </w:abstractNum>
  <w:abstractNum w:abstractNumId="92">
    <w:nsid w:val="7F01579B"/>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93">
    <w:nsid w:val="49DA307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2019-12-10T22:19:18Z</dcterms:created>
  <dcterms:modified xsi:type="dcterms:W3CDTF">2019-12-10T22:19:18Z</dcterms:modified>
</cp:coreProperties>
</file>