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Number 333-266390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September 23,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5"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€900,000,000 3.250% Euro Notes due 2032 (the “2032 Euro Notes”)</w:t>
      </w:r>
    </w:p>
    <w:p>
      <w:pPr>
        <w:spacing w:after="0" w:line="31"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€900,000,000 3.550% Euro Notes due 2036 (the “2036 Euro Notes”)</w:t>
      </w:r>
    </w:p>
    <w:p>
      <w:pPr>
        <w:spacing w:after="0" w:line="9"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£750,000,000 5.250% Sterling Notes due 2040 (the “Sterling Notes”)</w:t>
      </w:r>
    </w:p>
    <w:p>
      <w:pPr>
        <w:spacing w:after="0" w:line="205" w:lineRule="exact"/>
        <w:rPr>
          <w:sz w:val="24"/>
          <w:szCs w:val="24"/>
          <w:color w:val="auto"/>
        </w:rPr>
      </w:pPr>
    </w:p>
    <w:p>
      <w:pPr>
        <w:ind w:right="460" w:firstLine="991"/>
        <w:spacing w:after="0" w:line="284" w:lineRule="auto"/>
        <w:rPr>
          <w:sz w:val="20"/>
          <w:szCs w:val="20"/>
          <w:color w:val="auto"/>
        </w:rPr>
      </w:pPr>
      <w:r>
        <w:rPr>
          <w:rFonts w:ascii="Times New Roman" w:cs="Times New Roman" w:eastAsia="Times New Roman" w:hAnsi="Times New Roman"/>
          <w:sz w:val="18"/>
          <w:szCs w:val="18"/>
          <w:i w:val="1"/>
          <w:iCs w:val="1"/>
          <w:color w:val="auto"/>
        </w:rPr>
        <w:t>The 2032 Euro Notes and 2036 Euro Notes are herein referred to as the “Euro Notes.” The Euro Notes and Sterling Notes are herein referred to as the “Notes.”</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Final Term Sheet</w:t>
      </w:r>
    </w:p>
    <w:p>
      <w:pPr>
        <w:sectPr>
          <w:pgSz w:w="11900" w:h="16838" w:orient="portrait"/>
          <w:cols w:equalWidth="0" w:num="1">
            <w:col w:w="11020"/>
          </w:cols>
          <w:pgMar w:left="440" w:top="225" w:right="439" w:bottom="1440" w:gutter="0" w:footer="0" w:header="0"/>
        </w:sectPr>
      </w:pPr>
    </w:p>
    <w:p>
      <w:pPr>
        <w:spacing w:after="0" w:line="252"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7"/>
          <w:szCs w:val="17"/>
          <w:b w:val="1"/>
          <w:bCs w:val="1"/>
          <w:color w:val="auto"/>
        </w:rPr>
        <w:t>Issuer:</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Comcast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w:t>
      </w:r>
    </w:p>
    <w:p>
      <w:pPr>
        <w:spacing w:after="0" w:line="129" w:lineRule="exact"/>
        <w:rPr>
          <w:sz w:val="24"/>
          <w:szCs w:val="24"/>
          <w:color w:val="auto"/>
        </w:rPr>
      </w:pPr>
    </w:p>
    <w:p>
      <w:pPr>
        <w:sectPr>
          <w:pgSz w:w="11900" w:h="16838" w:orient="portrait"/>
          <w:cols w:equalWidth="0" w:num="2">
            <w:col w:w="2700" w:space="720"/>
            <w:col w:w="7600"/>
          </w:cols>
          <w:pgMar w:left="440" w:top="225" w:right="4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b w:val="1"/>
          <w:bCs w:val="1"/>
          <w:color w:val="auto"/>
        </w:rPr>
        <w:t>Guarantors: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Comcast Cable Communications, LLC and NBCUniversal Media, LLC</w:t>
      </w:r>
    </w:p>
    <w:p>
      <w:pPr>
        <w:spacing w:after="0" w:line="124" w:lineRule="exact"/>
        <w:rPr>
          <w:sz w:val="24"/>
          <w:szCs w:val="24"/>
          <w:color w:val="auto"/>
        </w:rPr>
      </w:pPr>
    </w:p>
    <w:p>
      <w:pPr>
        <w:sectPr>
          <w:pgSz w:w="11900" w:h="16838" w:orient="portrait"/>
          <w:cols w:equalWidth="0" w:num="2">
            <w:col w:w="2700" w:space="720"/>
            <w:col w:w="7600"/>
          </w:cols>
          <w:pgMar w:left="440" w:top="225" w:right="4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b w:val="1"/>
          <w:bCs w:val="1"/>
          <w:color w:val="auto"/>
        </w:rPr>
        <w:t>Issue of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3.250% Euro Notes due 2032</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3.550% Euro Notes due 2036</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5.250% Sterling Notes due 2040</w:t>
      </w:r>
    </w:p>
    <w:p>
      <w:pPr>
        <w:spacing w:after="0" w:line="120" w:lineRule="exact"/>
        <w:rPr>
          <w:sz w:val="24"/>
          <w:szCs w:val="24"/>
          <w:color w:val="auto"/>
        </w:rPr>
      </w:pPr>
    </w:p>
    <w:p>
      <w:pPr>
        <w:sectPr>
          <w:pgSz w:w="11900" w:h="16838" w:orient="portrait"/>
          <w:cols w:equalWidth="0" w:num="2">
            <w:col w:w="2700" w:space="720"/>
            <w:col w:w="7600"/>
          </w:cols>
          <w:pgMar w:left="440" w:top="225" w:right="4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b w:val="1"/>
          <w:bCs w:val="1"/>
          <w:color w:val="auto"/>
        </w:rPr>
        <w:t>Denominations:</w:t>
      </w:r>
    </w:p>
    <w:p>
      <w:pPr>
        <w:spacing w:after="0" w:line="20" w:lineRule="exact"/>
        <w:rPr>
          <w:sz w:val="24"/>
          <w:szCs w:val="24"/>
          <w:color w:val="auto"/>
        </w:rPr>
      </w:pPr>
      <w:r>
        <w:rPr>
          <w:sz w:val="24"/>
          <w:szCs w:val="24"/>
          <w:color w:val="auto"/>
        </w:rPr>
        <w:br w:type="column"/>
      </w:r>
    </w:p>
    <w:p>
      <w:pPr>
        <w:ind w:right="140"/>
        <w:spacing w:after="0" w:line="282" w:lineRule="auto"/>
        <w:rPr>
          <w:sz w:val="20"/>
          <w:szCs w:val="20"/>
          <w:color w:val="auto"/>
        </w:rPr>
      </w:pPr>
      <w:r>
        <w:rPr>
          <w:rFonts w:ascii="Times New Roman" w:cs="Times New Roman" w:eastAsia="Times New Roman" w:hAnsi="Times New Roman"/>
          <w:sz w:val="18"/>
          <w:szCs w:val="18"/>
          <w:color w:val="auto"/>
        </w:rPr>
        <w:t>The Euro Notes will be issued in minimum denominations of €100,000 and integral multiples of €1,000 in excess thereof</w:t>
      </w:r>
    </w:p>
    <w:p>
      <w:pPr>
        <w:spacing w:after="0" w:line="67" w:lineRule="exact"/>
        <w:rPr>
          <w:sz w:val="24"/>
          <w:szCs w:val="24"/>
          <w:color w:val="auto"/>
        </w:rPr>
      </w:pPr>
    </w:p>
    <w:p>
      <w:pPr>
        <w:sectPr>
          <w:pgSz w:w="11900" w:h="16838" w:orient="portrait"/>
          <w:cols w:equalWidth="0" w:num="2">
            <w:col w:w="2700" w:space="720"/>
            <w:col w:w="7600"/>
          </w:cols>
          <w:pgMar w:left="440" w:top="225" w:right="439" w:bottom="1440" w:gutter="0" w:footer="0" w:header="0"/>
          <w:type w:val="continuous"/>
        </w:sectPr>
      </w:pPr>
    </w:p>
    <w:p>
      <w:pPr>
        <w:ind w:left="3420" w:right="460"/>
        <w:spacing w:after="0" w:line="282" w:lineRule="auto"/>
        <w:rPr>
          <w:sz w:val="20"/>
          <w:szCs w:val="20"/>
          <w:color w:val="auto"/>
        </w:rPr>
      </w:pPr>
      <w:r>
        <w:rPr>
          <w:rFonts w:ascii="Times New Roman" w:cs="Times New Roman" w:eastAsia="Times New Roman" w:hAnsi="Times New Roman"/>
          <w:sz w:val="18"/>
          <w:szCs w:val="18"/>
          <w:color w:val="auto"/>
        </w:rPr>
        <w:t>The Sterling Notes will be issued in minimum denominations of £100,000 and integral multiples of £1,000 in excess thereof</w:t>
      </w:r>
    </w:p>
    <w:p>
      <w:pPr>
        <w:sectPr>
          <w:pgSz w:w="11900" w:h="16838" w:orient="portrait"/>
          <w:cols w:equalWidth="0" w:num="1">
            <w:col w:w="11020"/>
          </w:cols>
          <w:pgMar w:left="440" w:top="225" w:right="439" w:bottom="1440" w:gutter="0" w:footer="0" w:header="0"/>
          <w:type w:val="continuous"/>
        </w:sectPr>
      </w:pPr>
    </w:p>
    <w:p>
      <w:pPr>
        <w:spacing w:after="0" w:line="63"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this offering, after deducting underwriters’ discount and expenses, for working capital and general corporate purposes, including the redemption in full of our outstanding 5.250% Notes due November 7, 2025 and the repayment of certain of our other debt with near-term maturities. We have delivered a notice of redemption in respect of the 5.250% Notes due November 7, 2025 on the date hereof.</w:t>
      </w:r>
    </w:p>
    <w:p>
      <w:pPr>
        <w:spacing w:after="0" w:line="71" w:lineRule="exact"/>
        <w:rPr>
          <w:sz w:val="24"/>
          <w:szCs w:val="24"/>
          <w:color w:val="auto"/>
        </w:rPr>
      </w:pPr>
    </w:p>
    <w:p>
      <w:pPr>
        <w:sectPr>
          <w:pgSz w:w="11900" w:h="16838" w:orient="portrait"/>
          <w:cols w:equalWidth="0" w:num="2">
            <w:col w:w="2700" w:space="720"/>
            <w:col w:w="7600"/>
          </w:cols>
          <w:pgMar w:left="440" w:top="225" w:right="4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b w:val="1"/>
          <w:bCs w:val="1"/>
          <w:color w:val="auto"/>
        </w:rPr>
        <w:t>Indenture:</w:t>
      </w:r>
    </w:p>
    <w:p>
      <w:pPr>
        <w:spacing w:after="0" w:line="20" w:lineRule="exact"/>
        <w:rPr>
          <w:sz w:val="24"/>
          <w:szCs w:val="24"/>
          <w:color w:val="auto"/>
        </w:rPr>
      </w:pPr>
      <w:r>
        <w:rPr>
          <w:sz w:val="24"/>
          <w:szCs w:val="24"/>
          <w:color w:val="auto"/>
        </w:rPr>
        <w:br w:type="column"/>
      </w:r>
    </w:p>
    <w:p>
      <w:pPr>
        <w:ind w:right="60"/>
        <w:spacing w:after="0" w:line="258" w:lineRule="auto"/>
        <w:rPr>
          <w:sz w:val="20"/>
          <w:szCs w:val="20"/>
          <w:color w:val="auto"/>
        </w:rPr>
      </w:pPr>
      <w:r>
        <w:rPr>
          <w:rFonts w:ascii="Times New Roman" w:cs="Times New Roman" w:eastAsia="Times New Roman" w:hAnsi="Times New Roman"/>
          <w:sz w:val="18"/>
          <w:szCs w:val="18"/>
          <w:color w:val="auto"/>
        </w:rPr>
        <w:t>Indenture dated as of September 18, 2013 by and among the Company, the guarantors named therein and The Bank of New York Mellon,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amended by the First Supplemental Indenture dated as of November 17, 2015 by and among the Company, the guarantors named therein and the Trustee and as further amended by the Second Supplemental Indenture dated as of July 29, 2022 by and among the Company, the guarantors named therein and the Trustee.</w:t>
      </w:r>
    </w:p>
    <w:p>
      <w:pPr>
        <w:spacing w:after="0" w:line="116" w:lineRule="exact"/>
        <w:rPr>
          <w:sz w:val="24"/>
          <w:szCs w:val="24"/>
          <w:color w:val="auto"/>
        </w:rPr>
      </w:pPr>
    </w:p>
    <w:p>
      <w:pPr>
        <w:sectPr>
          <w:pgSz w:w="11900" w:h="16838" w:orient="portrait"/>
          <w:cols w:equalWidth="0" w:num="2">
            <w:col w:w="2700" w:space="720"/>
            <w:col w:w="7600"/>
          </w:cols>
          <w:pgMar w:left="440" w:top="225"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020"/>
          </w:cols>
          <w:pgMar w:left="440" w:top="225" w:right="439" w:bottom="1440" w:gutter="0" w:footer="0" w:header="0"/>
          <w:type w:val="continuous"/>
        </w:sectPr>
      </w:pPr>
    </w:p>
    <w:bookmarkStart w:id="1" w:name="page2"/>
    <w:bookmarkEnd w:id="1"/>
    <w:p>
      <w:pPr>
        <w:ind w:left="364"/>
        <w:spacing w:after="0"/>
        <w:rPr>
          <w:sz w:val="20"/>
          <w:szCs w:val="20"/>
          <w:color w:val="auto"/>
        </w:rPr>
      </w:pPr>
      <w:r>
        <w:rPr>
          <w:rFonts w:ascii="Times New Roman" w:cs="Times New Roman" w:eastAsia="Times New Roman" w:hAnsi="Times New Roman"/>
          <w:sz w:val="17"/>
          <w:szCs w:val="17"/>
          <w:b w:val="1"/>
          <w:bCs w:val="1"/>
          <w:color w:val="auto"/>
        </w:rPr>
        <w:t>Optional Tax Redemption:</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Each series of Notes may be redeemed, at any time, by the Company, in whole, but not in part, at a redemption price equal to 100% of the aggregate principal amount of such Notes, together with accrued and unpaid interest on such Notes being redeemed to, but not including, the date fixed for redemption, if as a result of any change in, or amendment to, the laws (or any regulations or rulings promulgated under the laws) of the United States (or any taxing authority in the United States), or any change in, or amendment to, an official position regarding the application or interpretation of such laws, regulations or rulings, which change or amendment is announced or becomes effective on or after the date hereof, the Company becomes or, based upon a written opinion of independent counsel selected by the Company, will become obligated to pay additional amounts as described in the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-1402715</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2704" w:space="720"/>
            <w:col w:w="7540"/>
          </w:cols>
          <w:pgMar w:left="436" w:top="374" w:right="499" w:bottom="1440" w:gutter="0" w:footer="0" w:header="0"/>
        </w:sectPr>
      </w:pPr>
    </w:p>
    <w:p>
      <w:pPr>
        <w:ind w:left="364"/>
        <w:spacing w:after="0"/>
        <w:rPr>
          <w:sz w:val="20"/>
          <w:szCs w:val="20"/>
          <w:color w:val="auto"/>
        </w:rPr>
      </w:pPr>
      <w:r>
        <w:rPr>
          <w:rFonts w:ascii="Times New Roman" w:cs="Times New Roman" w:eastAsia="Times New Roman" w:hAnsi="Times New Roman"/>
          <w:sz w:val="17"/>
          <w:szCs w:val="17"/>
          <w:b w:val="1"/>
          <w:bCs w:val="1"/>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Bank of New York Mellon</w:t>
      </w:r>
    </w:p>
    <w:p>
      <w:pPr>
        <w:spacing w:after="0" w:line="125" w:lineRule="exact"/>
        <w:rPr>
          <w:sz w:val="20"/>
          <w:szCs w:val="20"/>
          <w:color w:val="auto"/>
        </w:rPr>
      </w:pPr>
    </w:p>
    <w:p>
      <w:pPr>
        <w:sectPr>
          <w:pgSz w:w="11900" w:h="16838" w:orient="portrait"/>
          <w:cols w:equalWidth="0" w:num="2">
            <w:col w:w="2704" w:space="720"/>
            <w:col w:w="7540"/>
          </w:cols>
          <w:pgMar w:left="436" w:top="374" w:right="499" w:bottom="1440" w:gutter="0" w:footer="0" w:header="0"/>
          <w:type w:val="continuous"/>
        </w:sectPr>
      </w:pPr>
    </w:p>
    <w:p>
      <w:pPr>
        <w:ind w:left="364"/>
        <w:spacing w:after="0"/>
        <w:rPr>
          <w:sz w:val="20"/>
          <w:szCs w:val="20"/>
          <w:color w:val="auto"/>
        </w:rPr>
      </w:pPr>
      <w:r>
        <w:rPr>
          <w:rFonts w:ascii="Times New Roman" w:cs="Times New Roman" w:eastAsia="Times New Roman" w:hAnsi="Times New Roman"/>
          <w:sz w:val="18"/>
          <w:szCs w:val="18"/>
          <w:b w:val="1"/>
          <w:bCs w:val="1"/>
          <w:color w:val="auto"/>
        </w:rPr>
        <w:t>Paying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Bank of New York Mellon, London Branch</w:t>
      </w:r>
    </w:p>
    <w:p>
      <w:pPr>
        <w:spacing w:after="0" w:line="124" w:lineRule="exact"/>
        <w:rPr>
          <w:sz w:val="20"/>
          <w:szCs w:val="20"/>
          <w:color w:val="auto"/>
        </w:rPr>
      </w:pPr>
    </w:p>
    <w:p>
      <w:pPr>
        <w:sectPr>
          <w:pgSz w:w="11900" w:h="16838" w:orient="portrait"/>
          <w:cols w:equalWidth="0" w:num="2">
            <w:col w:w="2704" w:space="720"/>
            <w:col w:w="7540"/>
          </w:cols>
          <w:pgMar w:left="436" w:top="374" w:right="499" w:bottom="1440" w:gutter="0" w:footer="0" w:header="0"/>
          <w:type w:val="continuous"/>
        </w:sectPr>
      </w:pPr>
    </w:p>
    <w:p>
      <w:pPr>
        <w:ind w:left="364"/>
        <w:spacing w:after="0"/>
        <w:rPr>
          <w:sz w:val="20"/>
          <w:szCs w:val="20"/>
          <w:color w:val="auto"/>
        </w:rPr>
      </w:pPr>
      <w:r>
        <w:rPr>
          <w:rFonts w:ascii="Times New Roman" w:cs="Times New Roman" w:eastAsia="Times New Roman" w:hAnsi="Times New Roman"/>
          <w:sz w:val="17"/>
          <w:szCs w:val="17"/>
          <w:b w:val="1"/>
          <w:bCs w:val="1"/>
          <w:color w:val="auto"/>
        </w:rPr>
        <w:t>Expected Ratings:</w:t>
      </w: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Moody’s: A3; S&amp;P: A-; Fitch: A-</w:t>
      </w:r>
    </w:p>
    <w:p>
      <w:pPr>
        <w:spacing w:after="0" w:line="125" w:lineRule="exact"/>
        <w:rPr>
          <w:sz w:val="20"/>
          <w:szCs w:val="20"/>
          <w:color w:val="auto"/>
        </w:rPr>
      </w:pPr>
    </w:p>
    <w:p>
      <w:pPr>
        <w:sectPr>
          <w:pgSz w:w="11900" w:h="16838" w:orient="portrait"/>
          <w:cols w:equalWidth="0" w:num="2">
            <w:col w:w="2704" w:space="720"/>
            <w:col w:w="7540"/>
          </w:cols>
          <w:pgMar w:left="436" w:top="374" w:right="499" w:bottom="1440" w:gutter="0" w:footer="0" w:header="0"/>
          <w:type w:val="continuous"/>
        </w:sectPr>
      </w:pPr>
    </w:p>
    <w:p>
      <w:pPr>
        <w:ind w:left="364"/>
        <w:spacing w:after="0"/>
        <w:rPr>
          <w:sz w:val="20"/>
          <w:szCs w:val="20"/>
          <w:color w:val="auto"/>
        </w:rPr>
      </w:pPr>
      <w:r>
        <w:rPr>
          <w:rFonts w:ascii="Times New Roman" w:cs="Times New Roman" w:eastAsia="Times New Roman" w:hAnsi="Times New Roman"/>
          <w:sz w:val="17"/>
          <w:szCs w:val="17"/>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Morgan Stanley &amp; Co. International plc</w:t>
      </w:r>
    </w:p>
    <w:p>
      <w:pPr>
        <w:spacing w:after="0" w:line="120" w:lineRule="exact"/>
        <w:rPr>
          <w:sz w:val="20"/>
          <w:szCs w:val="20"/>
          <w:color w:val="auto"/>
        </w:rPr>
      </w:pPr>
    </w:p>
    <w:p>
      <w:pPr>
        <w:sectPr>
          <w:pgSz w:w="11900" w:h="16838" w:orient="portrait"/>
          <w:cols w:equalWidth="0" w:num="2">
            <w:col w:w="2804" w:space="620"/>
            <w:col w:w="7540"/>
          </w:cols>
          <w:pgMar w:left="436" w:top="374" w:right="499" w:bottom="1440" w:gutter="0" w:footer="0" w:header="0"/>
          <w:type w:val="continuous"/>
        </w:sectPr>
      </w:pPr>
    </w:p>
    <w:p>
      <w:pPr>
        <w:ind w:left="364"/>
        <w:spacing w:after="0"/>
        <w:rPr>
          <w:sz w:val="20"/>
          <w:szCs w:val="20"/>
          <w:color w:val="auto"/>
        </w:rPr>
      </w:pPr>
      <w:r>
        <w:rPr>
          <w:rFonts w:ascii="Times New Roman" w:cs="Times New Roman" w:eastAsia="Times New Roman" w:hAnsi="Times New Roman"/>
          <w:sz w:val="17"/>
          <w:szCs w:val="17"/>
          <w:b w:val="1"/>
          <w:bCs w:val="1"/>
          <w:color w:val="auto"/>
        </w:rPr>
        <w:t>Co-Managers: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1501775</wp:posOffset>
            </wp:positionV>
            <wp:extent cx="7715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Banco Santander, S.A.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AG, London Branch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Merrill Lynch International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International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SMBC Nikko Capital Markets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Société Générale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Toronto-Dominion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Wells Fargo Securities International Limited</w:t>
      </w:r>
    </w:p>
    <w:p>
      <w:pPr>
        <w:spacing w:after="0" w:line="200" w:lineRule="exact"/>
        <w:rPr>
          <w:sz w:val="20"/>
          <w:szCs w:val="20"/>
          <w:color w:val="auto"/>
        </w:rPr>
      </w:pPr>
    </w:p>
    <w:p>
      <w:pPr>
        <w:sectPr>
          <w:pgSz w:w="11900" w:h="16838" w:orient="portrait"/>
          <w:cols w:equalWidth="0" w:num="2">
            <w:col w:w="2704" w:space="720"/>
            <w:col w:w="7540"/>
          </w:cols>
          <w:pgMar w:left="436" w:top="374" w:right="499" w:bottom="1440" w:gutter="0" w:footer="0" w:header="0"/>
          <w:type w:val="continuous"/>
        </w:sectPr>
      </w:pPr>
    </w:p>
    <w:p>
      <w:pPr>
        <w:spacing w:after="0" w:line="5" w:lineRule="exact"/>
        <w:rPr>
          <w:sz w:val="20"/>
          <w:szCs w:val="20"/>
          <w:color w:val="auto"/>
        </w:rPr>
      </w:pPr>
    </w:p>
    <w:p>
      <w:pPr>
        <w:ind w:left="5464" w:right="1100" w:hanging="5464"/>
        <w:spacing w:after="0" w:line="334" w:lineRule="auto"/>
        <w:tabs>
          <w:tab w:leader="none" w:pos="433" w:val="left"/>
        </w:tabs>
        <w:numPr>
          <w:ilvl w:val="0"/>
          <w:numId w:val="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 securities rating is not a recommendation to buy, sell or hold securities and may be subject to revision or withdrawal at any time. 2</w:t>
      </w:r>
    </w:p>
    <w:p>
      <w:pPr>
        <w:sectPr>
          <w:pgSz w:w="11900" w:h="16838" w:orient="portrait"/>
          <w:cols w:equalWidth="0" w:num="1">
            <w:col w:w="10964"/>
          </w:cols>
          <w:pgMar w:left="436" w:top="374" w:right="499" w:bottom="1440" w:gutter="0" w:footer="0" w:header="0"/>
          <w:type w:val="continuous"/>
        </w:sectPr>
      </w:pPr>
    </w:p>
    <w:bookmarkStart w:id="2" w:name="page3"/>
    <w:bookmarkEnd w:id="2"/>
    <w:p>
      <w:pPr>
        <w:ind w:left="30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ICBC Standard Bank Plc</w:t>
      </w:r>
    </w:p>
    <w:p>
      <w:pPr>
        <w:spacing w:after="0" w:line="2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Lloyds Securities Inc.</w:t>
      </w:r>
    </w:p>
    <w:p>
      <w:pPr>
        <w:spacing w:after="0" w:line="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NatWest Markets Plc</w:t>
      </w:r>
    </w:p>
    <w:p>
      <w:pPr>
        <w:spacing w:after="0" w:line="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color w:val="auto"/>
        </w:rPr>
        <w:t>Scotiabank (Ireland) Designated Activity Company</w:t>
      </w:r>
    </w:p>
    <w:p>
      <w:pPr>
        <w:spacing w:after="0" w:line="2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BNY Mellon Capital Markets, LLC</w:t>
      </w:r>
    </w:p>
    <w:p>
      <w:pPr>
        <w:spacing w:after="0" w:line="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Commerzbank Aktiengesellschaft</w:t>
      </w:r>
    </w:p>
    <w:p>
      <w:pPr>
        <w:spacing w:after="0" w:line="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ING Bank N.V., Belgian Branch</w:t>
      </w:r>
    </w:p>
    <w:p>
      <w:pPr>
        <w:spacing w:after="0" w:line="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Intesa Sanpaolo IMI Securities Corp.</w:t>
      </w:r>
    </w:p>
    <w:p>
      <w:pPr>
        <w:spacing w:after="0" w:line="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Loop Capital Markets LLC</w:t>
      </w:r>
    </w:p>
    <w:p>
      <w:pPr>
        <w:sectPr>
          <w:pgSz w:w="11900" w:h="16838" w:orient="portrait"/>
          <w:cols w:equalWidth="0" w:num="1">
            <w:col w:w="9659"/>
          </w:cols>
          <w:pgMar w:left="800" w:top="270" w:right="1440" w:bottom="1440" w:gutter="0" w:footer="0" w:header="0"/>
        </w:sectPr>
      </w:pP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Trade Date:</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23, 2024</w:t>
      </w:r>
    </w:p>
    <w:p>
      <w:pPr>
        <w:spacing w:after="0" w:line="125" w:lineRule="exact"/>
        <w:rPr>
          <w:sz w:val="20"/>
          <w:szCs w:val="20"/>
          <w:color w:val="auto"/>
        </w:rPr>
      </w:pPr>
    </w:p>
    <w:p>
      <w:pPr>
        <w:sectPr>
          <w:pgSz w:w="11900" w:h="16838" w:orient="portrait"/>
          <w:cols w:equalWidth="0" w:num="2">
            <w:col w:w="2340" w:space="720"/>
            <w:col w:w="6599"/>
          </w:cols>
          <w:pgMar w:left="800" w:top="27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September 26, 2024 (T+3)</w:t>
      </w:r>
    </w:p>
    <w:p>
      <w:pPr>
        <w:spacing w:after="0" w:line="125" w:lineRule="exact"/>
        <w:rPr>
          <w:sz w:val="20"/>
          <w:szCs w:val="20"/>
          <w:color w:val="auto"/>
        </w:rPr>
      </w:pPr>
    </w:p>
    <w:p>
      <w:pPr>
        <w:sectPr>
          <w:pgSz w:w="11900" w:h="16838" w:orient="portrait"/>
          <w:cols w:equalWidth="0" w:num="2">
            <w:col w:w="2340" w:space="720"/>
            <w:col w:w="6599"/>
          </w:cols>
          <w:pgMar w:left="800" w:top="27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Company intends to list each series of Notes on the NASDAQ Global Market</w:t>
      </w:r>
    </w:p>
    <w:p>
      <w:pPr>
        <w:spacing w:after="0" w:line="169" w:lineRule="exact"/>
        <w:rPr>
          <w:sz w:val="20"/>
          <w:szCs w:val="20"/>
          <w:color w:val="auto"/>
        </w:rPr>
      </w:pPr>
    </w:p>
    <w:p>
      <w:pPr>
        <w:sectPr>
          <w:pgSz w:w="11900" w:h="16838" w:orient="portrait"/>
          <w:cols w:equalWidth="0" w:num="2">
            <w:col w:w="2340" w:space="720"/>
            <w:col w:w="6599"/>
          </w:cols>
          <w:pgMar w:left="800" w:top="270" w:right="1440" w:bottom="1440" w:gutter="0" w:footer="0" w:header="0"/>
          <w:type w:val="continuous"/>
        </w:sectPr>
      </w:pPr>
    </w:p>
    <w:p>
      <w:pPr>
        <w:ind w:left="510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659"/>
          </w:cols>
          <w:pgMar w:left="800" w:top="270" w:right="1440"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2032 Euro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 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Bund Rate: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Bund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Spread to Benchmark Bund: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Mid-swap Rate: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Reoffer Spread to Mid-swap: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Underwriters’ Discount:</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Net Proceeds to Comcast, Before Expenses: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Day Count Convention: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-419100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26, 2032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3.250% per annum, accruing from September 26,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26 of each year, commencing September 26,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DBR 1.700% due 15 August 2032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97.560%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125.5 bps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2.363%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+93 bps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3.293%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99.702% plus accrued interest, if any, from September 26,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0.350%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99.352% per €900,000,000 principal amount of 2032 Euro Notes; €894,168,000 total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Actual/Actual (ICMA)</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Prior to June 26, 2032 (three (3) months prior to the maturity date of the 2032 Euro Notes) (the “2032 Euro Notes Par Call Date”), the Company may redeem the 2032 Euro Notes at its option, in whole or in part, at any time and from time to time, at a redemption price (expressed as a percentage of the principal amount and rounded to three decimal places) equal to the greater of: (1) (a) the sum of the present values of the remaining scheduled payments of principal and interest thereon discounted to the redemption date (assuming that the 2032 Euro Notes matured on the 2032 Euro Notes Par Call Date) on an annual basis (ACTUAL/ACTUAL (ICMA)) at the</w:t>
      </w:r>
    </w:p>
    <w:p>
      <w:pPr>
        <w:spacing w:after="0" w:line="12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2">
            <w:col w:w="2500" w:space="560"/>
            <w:col w:w="7540"/>
          </w:cols>
          <w:pgMar w:left="800" w:top="266" w:right="499" w:bottom="1440" w:gutter="0" w:footer="0" w:header="0"/>
        </w:sectPr>
      </w:pPr>
    </w:p>
    <w:bookmarkStart w:id="4" w:name="page5"/>
    <w:bookmarkEnd w:id="4"/>
    <w:p>
      <w:pPr>
        <w:ind w:left="3060"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comparable government bond rate plus 20 basis points, less (b) interest accrued to the date of redemption, and (2) 100% of the principal amount of the 2032 Euro Notes to be redeemed, plus, in either case, accrued and unpaid interest thereon to the redemption date. On or after the 2032 Euro Notes Par Call Date, the Company may redeem the 2032 Euro Notes, in whole or in part, at any time and from time to time, at a redemption price equal to 100% of the principal amount of the 2032 Euro Notes being redeemed plus accrued and unpaid interest thereon to the redemption date.</w:t>
      </w:r>
    </w:p>
    <w:p>
      <w:pPr>
        <w:sectPr>
          <w:pgSz w:w="11900" w:h="16838" w:orient="portrait"/>
          <w:cols w:equalWidth="0" w:num="1">
            <w:col w:w="10660"/>
          </w:cols>
          <w:pgMar w:left="800" w:top="270" w:right="439" w:bottom="1440" w:gutter="0" w:footer="0" w:header="0"/>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Issuances: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 unlimited amount of additional 2032 Euro Notes may be issued. The 2032 Euro Notes and any additional 2032 Euro Notes that may be issued may be treated as a single series for all purposes under the Indenture</w:t>
      </w:r>
    </w:p>
    <w:p>
      <w:pPr>
        <w:spacing w:after="0" w:line="64" w:lineRule="exact"/>
        <w:rPr>
          <w:sz w:val="20"/>
          <w:szCs w:val="20"/>
          <w:color w:val="auto"/>
        </w:rPr>
      </w:pPr>
    </w:p>
    <w:p>
      <w:pPr>
        <w:sectPr>
          <w:pgSz w:w="11900" w:h="16838" w:orient="portrait"/>
          <w:cols w:equalWidth="0" w:num="2">
            <w:col w:w="2340" w:space="720"/>
            <w:col w:w="7600"/>
          </w:cols>
          <w:pgMar w:left="80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CUSIP / ISIN / Common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20030N EL1 / XS2909746310 / 290974631</w:t>
      </w:r>
    </w:p>
    <w:p>
      <w:pPr>
        <w:spacing w:after="0" w:line="169" w:lineRule="exact"/>
        <w:rPr>
          <w:sz w:val="20"/>
          <w:szCs w:val="20"/>
          <w:color w:val="auto"/>
        </w:rPr>
      </w:pPr>
    </w:p>
    <w:p>
      <w:pPr>
        <w:sectPr>
          <w:pgSz w:w="11900" w:h="16838" w:orient="portrait"/>
          <w:cols w:equalWidth="0" w:num="2">
            <w:col w:w="2400" w:space="660"/>
            <w:col w:w="7600"/>
          </w:cols>
          <w:pgMar w:left="800" w:top="270" w:right="439" w:bottom="1440" w:gutter="0" w:footer="0" w:header="0"/>
          <w:type w:val="continuous"/>
        </w:sectPr>
      </w:pPr>
    </w:p>
    <w:p>
      <w:pPr>
        <w:jc w:val="center"/>
        <w:ind w:right="38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660"/>
          </w:cols>
          <w:pgMar w:left="800" w:top="270" w:right="4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2036 Euro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 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Bund Rate: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Bund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Spread to Benchmark Bund: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Mid-swap Rate: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Reoffer Spread to Mid-swap: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Underwriters’ Discount:</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Net Proceeds to Comcast, Before Expenses: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Day Count Convention: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-419100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26, 2036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3.550% per annum, accruing from September 26,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26 of each year, commencing September 26,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DBR 0.000% due 15 May 2036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76.890%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131.1 bps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2.465%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 bps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3.595%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99.568% plus accrued interest, if any, from September 26,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0.375%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99.193% per €900,000,000 principal amount of 2036 Euro Notes; €892,737,000 total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Actual/Actual (ICMA)</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Prior to June 26, 2036 (three (3) months prior to the maturity date of the 2036 Euro Notes) (the “2036 Euro Notes Par Call Date”), the Company may redeem the 2036 Euro Notes at its option, in whole or in part, at any time and from time to time, at a redemption price (expressed as a percentage of the principal amount and rounded to three decimal places) equal to the greater of: (1) (a) the sum of the present values of the remaining scheduled payments of principal and interest thereon discounted to the redemption date (assuming that the 2036 Euro Notes matured on the 2036 Euro Notes Par Call Date) on an annual basis (ACTUAL/ACTUAL (ICMA)) at the</w:t>
      </w:r>
    </w:p>
    <w:p>
      <w:pPr>
        <w:spacing w:after="0" w:line="12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2">
            <w:col w:w="2500" w:space="560"/>
            <w:col w:w="7540"/>
          </w:cols>
          <w:pgMar w:left="800" w:top="266" w:right="499" w:bottom="1440" w:gutter="0" w:footer="0" w:header="0"/>
        </w:sectPr>
      </w:pPr>
    </w:p>
    <w:bookmarkStart w:id="6" w:name="page7"/>
    <w:bookmarkEnd w:id="6"/>
    <w:p>
      <w:pPr>
        <w:ind w:left="3060"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comparable government bond rate plus 20 basis points, less (b) interest accrued to the date of redemption, and (2) 100% of the principal amount of the 2036 Euro Notes to be redeemed, plus, in either case, accrued and unpaid interest thereon to the redemption date. On or after the 2036 Euro Notes Par Call Date, the Company may redeem the 2036 Euro Notes, in whole or in part, at any time and from time to time, at a redemption price equal to 100% of the principal amount of the 2036 Euro Notes being redeemed plus accrued and unpaid interest thereon to the redemption date.</w:t>
      </w:r>
    </w:p>
    <w:p>
      <w:pPr>
        <w:sectPr>
          <w:pgSz w:w="11900" w:h="16838" w:orient="portrait"/>
          <w:cols w:equalWidth="0" w:num="1">
            <w:col w:w="10660"/>
          </w:cols>
          <w:pgMar w:left="800" w:top="270" w:right="439" w:bottom="1440" w:gutter="0" w:footer="0" w:header="0"/>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Issuances: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 unlimited amount of additional 2036 Euro Notes may be issued. The 2036 Euro Notes and any additional 2036 Euro Notes that may be issued may be treated as a single series for all purposes under the Indenture</w:t>
      </w:r>
    </w:p>
    <w:p>
      <w:pPr>
        <w:spacing w:after="0" w:line="64" w:lineRule="exact"/>
        <w:rPr>
          <w:sz w:val="20"/>
          <w:szCs w:val="20"/>
          <w:color w:val="auto"/>
        </w:rPr>
      </w:pPr>
    </w:p>
    <w:p>
      <w:pPr>
        <w:sectPr>
          <w:pgSz w:w="11900" w:h="16838" w:orient="portrait"/>
          <w:cols w:equalWidth="0" w:num="2">
            <w:col w:w="2340" w:space="720"/>
            <w:col w:w="7600"/>
          </w:cols>
          <w:pgMar w:left="80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CUSIP / ISIN / Common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20030N EM9 / XS2909746401 / 290974640</w:t>
      </w:r>
    </w:p>
    <w:p>
      <w:pPr>
        <w:spacing w:after="0" w:line="169" w:lineRule="exact"/>
        <w:rPr>
          <w:sz w:val="20"/>
          <w:szCs w:val="20"/>
          <w:color w:val="auto"/>
        </w:rPr>
      </w:pPr>
    </w:p>
    <w:p>
      <w:pPr>
        <w:sectPr>
          <w:pgSz w:w="11900" w:h="16838" w:orient="portrait"/>
          <w:cols w:equalWidth="0" w:num="2">
            <w:col w:w="2400" w:space="660"/>
            <w:col w:w="7600"/>
          </w:cols>
          <w:pgMar w:left="800" w:top="270" w:right="439" w:bottom="1440" w:gutter="0" w:footer="0" w:header="0"/>
          <w:type w:val="continuous"/>
        </w:sectPr>
      </w:pPr>
    </w:p>
    <w:p>
      <w:pPr>
        <w:jc w:val="center"/>
        <w:ind w:right="38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660"/>
          </w:cols>
          <w:pgMar w:left="800" w:top="270" w:right="4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Sterling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 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Gilt Rate: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Gilt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Spread to Benchmark Gilt: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Underwriters’ Discount:</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Net Proceeds to Comcast, Before Expenses: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Day Count Convention: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-419100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26, 2040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5.250% per annum, accruing from September 26,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26 of each year, commencing September 26,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UKT 4.250% due 7 December 2040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99.560%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 bps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5.306%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99.411% plus accrued interest, if any, from September 26,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0.495%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98.916% per £750,000,000 principal amount of Sterling Notes; £741,870,000 total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Actual/Actual (ICMA)</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Prior to June 26, 2040 (three (3) months prior to the maturity date of the Sterling Notes) (the “Sterling Notes Par Call Date”), the Company may redeem the Sterling Notes at its option, in whole or in part, at any time and from time to time, at a redemption price (expressed as a percentage of the principal amount and rounded to three decimal places) equal to the greater of: (1) (a) the sum of the present values of the remaining scheduled payments of principal and interest thereon discounted to the redemption date (assuming that the Sterling Notes matured on the Sterling Notes Par Call Date) on an annual basis (ACTUAL/ACTUAL (ICMA)) at the applicable comparable government bond rate plus 15 basis points, less (b) interest accrued to the date of redemption, and (2) 100% of the principal amount of the Sterling Notes to be redeemed, plus, in</w:t>
      </w:r>
    </w:p>
    <w:p>
      <w:pPr>
        <w:spacing w:after="0" w:line="12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2">
            <w:col w:w="2500" w:space="560"/>
            <w:col w:w="7540"/>
          </w:cols>
          <w:pgMar w:left="800" w:top="266" w:right="499" w:bottom="1440" w:gutter="0" w:footer="0" w:header="0"/>
        </w:sectPr>
      </w:pPr>
    </w:p>
    <w:bookmarkStart w:id="8" w:name="page9"/>
    <w:bookmarkEnd w:id="8"/>
    <w:p>
      <w:pPr>
        <w:ind w:left="34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either case, accrued and unpaid interest thereon to the redemption date. On or after the Sterling Notes Par Call Date, the Company may redeem the Sterling Notes, in whole or in part, at any time and from time to time, at a redemption price equal to 100% of the principal amount of the Sterling Notes being redeemed plus accrued and unpaid interest thereon to the redemption date.</w:t>
      </w:r>
    </w:p>
    <w:p>
      <w:pPr>
        <w:sectPr>
          <w:pgSz w:w="11900" w:h="16838" w:orient="portrait"/>
          <w:cols w:equalWidth="0" w:num="1">
            <w:col w:w="11000"/>
          </w:cols>
          <w:pgMar w:left="440" w:top="270" w:right="459" w:bottom="1440" w:gutter="0" w:footer="0" w:header="0"/>
        </w:sectPr>
      </w:pP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Additional Issuances: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An unlimited amount of additional Sterling Notes may be issued. The Sterling Notes and any additional Sterling Notes that may be issued may be treated as a single series for all purposes under the Indenture</w:t>
      </w:r>
    </w:p>
    <w:p>
      <w:pPr>
        <w:spacing w:after="0" w:line="28" w:lineRule="exact"/>
        <w:rPr>
          <w:sz w:val="20"/>
          <w:szCs w:val="20"/>
          <w:color w:val="auto"/>
        </w:rPr>
      </w:pPr>
    </w:p>
    <w:p>
      <w:pPr>
        <w:sectPr>
          <w:pgSz w:w="11900" w:h="16838" w:orient="portrait"/>
          <w:cols w:equalWidth="0" w:num="2">
            <w:col w:w="2700" w:space="720"/>
            <w:col w:w="7580"/>
          </w:cols>
          <w:pgMar w:left="440" w:top="270" w:right="45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b w:val="1"/>
          <w:bCs w:val="1"/>
          <w:color w:val="auto"/>
        </w:rPr>
        <w:t>CUSIP / ISIN / Common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20030N EN7 / XS2909746666 / 290974666</w:t>
      </w:r>
    </w:p>
    <w:p>
      <w:pPr>
        <w:spacing w:after="0" w:line="200" w:lineRule="exact"/>
        <w:rPr>
          <w:sz w:val="20"/>
          <w:szCs w:val="20"/>
          <w:color w:val="auto"/>
        </w:rPr>
      </w:pPr>
    </w:p>
    <w:p>
      <w:pPr>
        <w:sectPr>
          <w:pgSz w:w="11900" w:h="16838" w:orient="portrait"/>
          <w:cols w:equalWidth="0" w:num="2">
            <w:col w:w="2760" w:space="660"/>
            <w:col w:w="7580"/>
          </w:cols>
          <w:pgMar w:left="440" w:top="270" w:right="459" w:bottom="1440" w:gutter="0" w:footer="0" w:header="0"/>
          <w:type w:val="continuous"/>
        </w:sectPr>
      </w:pPr>
    </w:p>
    <w:p>
      <w:pPr>
        <w:spacing w:after="0" w:line="37" w:lineRule="exact"/>
        <w:rPr>
          <w:sz w:val="20"/>
          <w:szCs w:val="20"/>
          <w:color w:val="auto"/>
        </w:rPr>
      </w:pPr>
    </w:p>
    <w:p>
      <w:pPr>
        <w:ind w:right="120" w:firstLine="330"/>
        <w:spacing w:after="0" w:line="256" w:lineRule="auto"/>
        <w:rPr>
          <w:sz w:val="20"/>
          <w:szCs w:val="20"/>
          <w:color w:val="auto"/>
        </w:rPr>
      </w:pPr>
      <w:r>
        <w:rPr>
          <w:rFonts w:ascii="Times New Roman" w:cs="Times New Roman" w:eastAsia="Times New Roman" w:hAnsi="Times New Roman"/>
          <w:sz w:val="18"/>
          <w:szCs w:val="18"/>
          <w:color w:val="auto"/>
        </w:rPr>
        <w:t>It is expected that delivery of the Notes will be made against payment therefor on or about September 26, 2024, which is the third business day following the date hereof (such settlement cycle being referred to as “T+3”). Under Rule 15c6-1 under the Securities Exchange Act of 1934, as amended, trades in the secondary market generally are required to settle in one business day unless the parties to any such trade expressly agree otherwise. Accordingly, purchasers who wish to trade the notes prior to the business day preceding the settlement date will be required, by virtue of the fact that the notes initially will settle in T+3, to specify an alternative settlement cycle at the time of any such trade to prevent failed settlement and should consult their own advisors.</w:t>
      </w:r>
    </w:p>
    <w:p>
      <w:pPr>
        <w:spacing w:after="0" w:line="187" w:lineRule="exact"/>
        <w:rPr>
          <w:sz w:val="20"/>
          <w:szCs w:val="20"/>
          <w:color w:val="auto"/>
        </w:rPr>
      </w:pPr>
    </w:p>
    <w:p>
      <w:pPr>
        <w:ind w:firstLine="330"/>
        <w:spacing w:after="0" w:line="255" w:lineRule="auto"/>
        <w:rPr>
          <w:sz w:val="20"/>
          <w:szCs w:val="20"/>
          <w:color w:val="auto"/>
        </w:rPr>
      </w:pPr>
      <w:r>
        <w:rPr>
          <w:rFonts w:ascii="Times New Roman" w:cs="Times New Roman" w:eastAsia="Times New Roman" w:hAnsi="Times New Roman"/>
          <w:sz w:val="18"/>
          <w:szCs w:val="18"/>
          <w:color w:val="auto"/>
        </w:rPr>
        <w:t>The Notes will be represented by beneficial interests in fully registered permanent global notes without interest coupons attached, which will be registered in the name of, and shall be deposited on or about September 26, 2024 with a common depositary for, and in respect of interests held through, Euroclear Bank, S.A./N.V., as operator of the Euroclear System (“Euroclear”), and Clearstream Banking, société anonyme (“Clearstream”). Any Notes represented by global notes held by a nominee of Euroclear or Clearstream will be subject to the then applicable procedures of Euroclear and Clearstream, as applicable. Euroclear and Clearstream’s current practice is to make payments in respect of global notes to participants of record that hold an interest in the relevant global notes at the close of business on the date that is the clearing system business day (for these purposes, Monday to Friday inclusive except December 25th and January 1st) immediately preceding each applicable interest payment date.</w:t>
      </w:r>
    </w:p>
    <w:p>
      <w:pPr>
        <w:spacing w:after="0" w:line="189" w:lineRule="exact"/>
        <w:rPr>
          <w:sz w:val="20"/>
          <w:szCs w:val="20"/>
          <w:color w:val="auto"/>
        </w:rPr>
      </w:pPr>
    </w:p>
    <w:p>
      <w:pPr>
        <w:ind w:right="440" w:firstLine="330"/>
        <w:spacing w:after="0" w:line="312" w:lineRule="auto"/>
        <w:rPr>
          <w:sz w:val="20"/>
          <w:szCs w:val="20"/>
          <w:color w:val="auto"/>
        </w:rPr>
      </w:pPr>
      <w:r>
        <w:rPr>
          <w:rFonts w:ascii="Times New Roman" w:cs="Times New Roman" w:eastAsia="Times New Roman" w:hAnsi="Times New Roman"/>
          <w:sz w:val="17"/>
          <w:szCs w:val="17"/>
          <w:color w:val="auto"/>
        </w:rPr>
        <w:t>This term sheet is not a prospectus for the purposes of Regulation (EU) 2017/1129, including the same as it forms part of domestic law in the United Kingdom by virtue of the European Union (Withdrawal) Act 2018, as amended by the European Union (Withdrawal Agreement) Act 2020.</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type w:val="continuous"/>
        </w:sectPr>
      </w:pPr>
    </w:p>
    <w:bookmarkStart w:id="9" w:name="page10"/>
    <w:bookmarkEnd w:id="9"/>
    <w:p>
      <w:pPr>
        <w:jc w:val="both"/>
        <w:ind w:right="500" w:firstLine="33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MiFID II and UK MiFIR – professionals/ECPs-only / No PRIIPs or UK PRIIPs KID – Manufacturer target market (MiFID II and UK MiFIR product governance) is eligible counterparties and professional clients only (all distribution channels). No PRIIPs or UK PRIIPs key information document (KID) has been prepared as the notes are not available to retail investors in the EEA or UK.</w:t>
      </w:r>
    </w:p>
    <w:p>
      <w:pPr>
        <w:spacing w:after="0" w:line="176" w:lineRule="exact"/>
        <w:rPr>
          <w:sz w:val="20"/>
          <w:szCs w:val="20"/>
          <w:color w:val="auto"/>
        </w:rPr>
      </w:pPr>
    </w:p>
    <w:p>
      <w:pPr>
        <w:ind w:firstLine="330"/>
        <w:spacing w:after="0" w:line="253" w:lineRule="auto"/>
        <w:rPr>
          <w:sz w:val="20"/>
          <w:szCs w:val="20"/>
          <w:color w:val="auto"/>
        </w:rPr>
      </w:pPr>
      <w:r>
        <w:rPr>
          <w:rFonts w:ascii="Times New Roman" w:cs="Times New Roman" w:eastAsia="Times New Roman" w:hAnsi="Times New Roman"/>
          <w:sz w:val="18"/>
          <w:szCs w:val="18"/>
          <w:color w:val="auto"/>
        </w:rPr>
        <w:t>The communication of this term sheet and any other document or materials relating to the issue of the notes is not being made, and such documents or materials have not been approved, by an authorized person for the purposes of Section 21 of the United Kingdom’s Financial Services and Markets Act 2000, as amended. Accordingly, such documents and/or materials are not being distributed to, and must not be passed on to, the general public in the United Kingdom. This document and such other documents and/or materials are for distribution only to persons who (i) have professional experience in matters relating to investments and who fall within the definition of investment professionals (as defined in Article 19(5) of the Financial Services and Markets Act 2000 (Financial Promotion) Order 2005, as amended (the “Financial Promotion Order”)), (ii) fall within Article 49(2)(a) to (d) of the Financial Promotion Order, (iii) are outside the United Kingdom, or (iv) are other persons to whom it may otherwise lawfully be made under the Financial Promotion Order (all such persons together being referred to as “relevant persons”). This document is directed only at relevant persons and must not be acted on or relied on by persons who are not relevant persons. Any investment or investment activity to which this term sheet and any other document or materials relates will be engaged in only with relevant persons. Any person in the United Kingdom that is not a relevant person should not act or rely on this term sheet or any of its contents.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Relevant stabilization regulations including FCA/ICMA will apply.</w:t>
      </w:r>
    </w:p>
    <w:p>
      <w:pPr>
        <w:spacing w:after="0" w:line="225" w:lineRule="exact"/>
        <w:rPr>
          <w:sz w:val="20"/>
          <w:szCs w:val="20"/>
          <w:color w:val="auto"/>
        </w:rPr>
      </w:pPr>
    </w:p>
    <w:p>
      <w:pPr>
        <w:ind w:right="40" w:firstLine="330"/>
        <w:spacing w:after="0" w:line="256" w:lineRule="auto"/>
        <w:rPr>
          <w:sz w:val="20"/>
          <w:szCs w:val="20"/>
          <w:color w:val="auto"/>
        </w:rPr>
      </w:pPr>
      <w:r>
        <w:rPr>
          <w:rFonts w:ascii="Times New Roman" w:cs="Times New Roman" w:eastAsia="Times New Roman" w:hAnsi="Times New Roman"/>
          <w:sz w:val="18"/>
          <w:szCs w:val="18"/>
          <w:color w:val="auto"/>
        </w:rPr>
        <w:t>The issuer has filed a registration statement (including a prospectus and accompanying prospectus supplement) with the SEC for the offering to which this communication relates. Before you invest, you should read the prospectus in that registration statement, the accompanying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the prospectus supplement if you request it by calling Barclays Bank PLC at 1-888-603-5847 or BNP Paribas at (800) 854-5674.</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2024-09-23T16:43:17Z</dcterms:created>
  <dcterms:modified xsi:type="dcterms:W3CDTF">2024-09-23T16:43:17Z</dcterms:modified>
</cp:coreProperties>
</file>