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ind w:left="5000"/>
        <w:spacing w:after="0"/>
        <w:rPr>
          <w:sz w:val="20"/>
          <w:szCs w:val="20"/>
          <w:color w:val="auto"/>
        </w:rPr>
      </w:pPr>
      <w:r>
        <w:rPr>
          <w:rFonts w:ascii="Arial" w:cs="Arial" w:eastAsia="Arial" w:hAnsi="Arial"/>
          <w:sz w:val="25"/>
          <w:szCs w:val="25"/>
          <w:b w:val="1"/>
          <w:bCs w:val="1"/>
          <w:color w:val="auto"/>
        </w:rPr>
        <w:t>FORM 8-K</w:t>
      </w:r>
    </w:p>
    <w:p>
      <w:pPr>
        <w:spacing w:after="0" w:line="226" w:lineRule="exact"/>
        <w:rPr>
          <w:sz w:val="24"/>
          <w:szCs w:val="24"/>
          <w:color w:val="auto"/>
        </w:rPr>
      </w:pPr>
    </w:p>
    <w:p>
      <w:pPr>
        <w:ind w:left="4440"/>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Pursuant to Section 13 or 15(d) of the</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Exchange Act of 1934</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August 16, 2021</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Comcast Corporation</w:t>
      </w:r>
    </w:p>
    <w:p>
      <w:pPr>
        <w:spacing w:after="0" w:line="38" w:lineRule="exact"/>
        <w:rPr>
          <w:sz w:val="24"/>
          <w:szCs w:val="24"/>
          <w:color w:val="auto"/>
        </w:rPr>
      </w:pPr>
    </w:p>
    <w:p>
      <w:pPr>
        <w:ind w:left="4660"/>
        <w:spacing w:after="0"/>
        <w:rPr>
          <w:sz w:val="20"/>
          <w:szCs w:val="20"/>
          <w:color w:val="auto"/>
        </w:rPr>
      </w:pPr>
      <w:r>
        <w:rPr>
          <w:rFonts w:ascii="Arial" w:cs="Arial" w:eastAsia="Arial" w:hAnsi="Arial"/>
          <w:sz w:val="18"/>
          <w:szCs w:val="18"/>
          <w:color w:val="auto"/>
        </w:rPr>
        <w:t>(Exact Name of Registrant</w:t>
      </w:r>
    </w:p>
    <w:p>
      <w:pPr>
        <w:spacing w:after="0" w:line="7" w:lineRule="exact"/>
        <w:rPr>
          <w:sz w:val="24"/>
          <w:szCs w:val="24"/>
          <w:color w:val="auto"/>
        </w:rPr>
      </w:pPr>
    </w:p>
    <w:p>
      <w:pPr>
        <w:ind w:left="4660"/>
        <w:spacing w:after="0"/>
        <w:rPr>
          <w:sz w:val="20"/>
          <w:szCs w:val="20"/>
          <w:color w:val="auto"/>
        </w:rPr>
      </w:pPr>
      <w:r>
        <w:rPr>
          <w:rFonts w:ascii="Arial" w:cs="Arial" w:eastAsia="Arial" w:hAnsi="Arial"/>
          <w:sz w:val="18"/>
          <w:szCs w:val="18"/>
          <w:color w:val="auto"/>
        </w:rPr>
        <w:t>as Specified in its Charter)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Pennsylvania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1300" w:type="dxa"/>
        <w:tblCellMar>
          <w:top w:w="0" w:type="dxa"/>
          <w:left w:w="0" w:type="dxa"/>
          <w:bottom w:w="0" w:type="dxa"/>
          <w:right w:w="0" w:type="dxa"/>
        </w:tblCellMar>
      </w:tblPr>
      <w:tr>
        <w:trPr>
          <w:trHeight w:val="220"/>
        </w:trPr>
        <w:tc>
          <w:tcPr>
            <w:tcW w:w="4440" w:type="dxa"/>
            <w:vAlign w:val="bottom"/>
          </w:tcPr>
          <w:p>
            <w:pPr>
              <w:jc w:val="center"/>
              <w:ind w:right="1410"/>
              <w:spacing w:after="0"/>
              <w:rPr>
                <w:sz w:val="20"/>
                <w:szCs w:val="20"/>
                <w:color w:val="auto"/>
              </w:rPr>
            </w:pPr>
            <w:r>
              <w:rPr>
                <w:rFonts w:ascii="Arial" w:cs="Arial" w:eastAsia="Arial" w:hAnsi="Arial"/>
                <w:sz w:val="18"/>
                <w:szCs w:val="18"/>
                <w:b w:val="1"/>
                <w:bCs w:val="1"/>
                <w:color w:val="auto"/>
                <w:w w:val="90"/>
              </w:rPr>
              <w:t>001-32871</w:t>
            </w:r>
          </w:p>
        </w:tc>
        <w:tc>
          <w:tcPr>
            <w:tcW w:w="400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27-0000798</w:t>
            </w:r>
          </w:p>
        </w:tc>
      </w:tr>
      <w:tr>
        <w:trPr>
          <w:trHeight w:val="230"/>
        </w:trPr>
        <w:tc>
          <w:tcPr>
            <w:tcW w:w="4440" w:type="dxa"/>
            <w:vAlign w:val="bottom"/>
          </w:tcPr>
          <w:p>
            <w:pPr>
              <w:jc w:val="center"/>
              <w:ind w:right="143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left="1430"/>
              <w:spacing w:after="0"/>
              <w:rPr>
                <w:sz w:val="20"/>
                <w:szCs w:val="20"/>
                <w:color w:val="auto"/>
              </w:rPr>
            </w:pPr>
            <w:r>
              <w:rPr>
                <w:rFonts w:ascii="Arial" w:cs="Arial" w:eastAsia="Arial" w:hAnsi="Arial"/>
                <w:sz w:val="18"/>
                <w:szCs w:val="18"/>
                <w:color w:val="auto"/>
                <w:w w:val="94"/>
              </w:rPr>
              <w:t>(IRS Employer Identification No.)</w:t>
            </w:r>
          </w:p>
        </w:tc>
      </w:tr>
      <w:tr>
        <w:trPr>
          <w:trHeight w:val="441"/>
        </w:trPr>
        <w:tc>
          <w:tcPr>
            <w:tcW w:w="4440" w:type="dxa"/>
            <w:vAlign w:val="bottom"/>
          </w:tcPr>
          <w:p>
            <w:pPr>
              <w:jc w:val="center"/>
              <w:ind w:right="1430"/>
              <w:spacing w:after="0"/>
              <w:rPr>
                <w:sz w:val="20"/>
                <w:szCs w:val="20"/>
                <w:color w:val="auto"/>
              </w:rPr>
            </w:pPr>
            <w:r>
              <w:rPr>
                <w:rFonts w:ascii="Arial" w:cs="Arial" w:eastAsia="Arial" w:hAnsi="Arial"/>
                <w:sz w:val="18"/>
                <w:szCs w:val="18"/>
                <w:b w:val="1"/>
                <w:bCs w:val="1"/>
                <w:color w:val="auto"/>
                <w:w w:val="89"/>
              </w:rPr>
              <w:t>One Comcast Center</w:t>
            </w:r>
          </w:p>
        </w:tc>
        <w:tc>
          <w:tcPr>
            <w:tcW w:w="4000" w:type="dxa"/>
            <w:vAlign w:val="bottom"/>
          </w:tcPr>
          <w:p>
            <w:pPr>
              <w:spacing w:after="0"/>
              <w:rPr>
                <w:sz w:val="24"/>
                <w:szCs w:val="24"/>
                <w:color w:val="auto"/>
              </w:rPr>
            </w:pPr>
          </w:p>
        </w:tc>
      </w:tr>
      <w:tr>
        <w:trPr>
          <w:trHeight w:val="220"/>
        </w:trPr>
        <w:tc>
          <w:tcPr>
            <w:tcW w:w="4440" w:type="dxa"/>
            <w:vAlign w:val="bottom"/>
          </w:tcPr>
          <w:p>
            <w:pPr>
              <w:jc w:val="center"/>
              <w:ind w:right="1430"/>
              <w:spacing w:after="0"/>
              <w:rPr>
                <w:sz w:val="20"/>
                <w:szCs w:val="20"/>
                <w:color w:val="auto"/>
              </w:rPr>
            </w:pPr>
            <w:r>
              <w:rPr>
                <w:rFonts w:ascii="Arial" w:cs="Arial" w:eastAsia="Arial" w:hAnsi="Arial"/>
                <w:sz w:val="18"/>
                <w:szCs w:val="18"/>
                <w:b w:val="1"/>
                <w:bCs w:val="1"/>
                <w:color w:val="auto"/>
                <w:w w:val="90"/>
              </w:rPr>
              <w:t>Philadelphia, PA</w:t>
            </w:r>
          </w:p>
        </w:tc>
        <w:tc>
          <w:tcPr>
            <w:tcW w:w="400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19103-2838</w:t>
            </w:r>
          </w:p>
        </w:tc>
      </w:tr>
      <w:tr>
        <w:trPr>
          <w:trHeight w:val="230"/>
        </w:trPr>
        <w:tc>
          <w:tcPr>
            <w:tcW w:w="4440" w:type="dxa"/>
            <w:vAlign w:val="bottom"/>
          </w:tcPr>
          <w:p>
            <w:pPr>
              <w:jc w:val="center"/>
              <w:ind w:right="1430"/>
              <w:spacing w:after="0"/>
              <w:rPr>
                <w:sz w:val="20"/>
                <w:szCs w:val="20"/>
                <w:color w:val="auto"/>
              </w:rPr>
            </w:pPr>
            <w:r>
              <w:rPr>
                <w:rFonts w:ascii="Arial" w:cs="Arial" w:eastAsia="Arial" w:hAnsi="Arial"/>
                <w:sz w:val="18"/>
                <w:szCs w:val="18"/>
                <w:color w:val="auto"/>
                <w:w w:val="92"/>
              </w:rPr>
              <w:t>(Address of Principal Executive Offices)</w:t>
            </w:r>
          </w:p>
        </w:tc>
        <w:tc>
          <w:tcPr>
            <w:tcW w:w="4000" w:type="dxa"/>
            <w:vAlign w:val="bottom"/>
          </w:tcPr>
          <w:p>
            <w:pPr>
              <w:jc w:val="center"/>
              <w:ind w:left="143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(215) 286-1700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Title of Each Class</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Trading symbol(s)</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195"/>
        </w:trPr>
        <w:tc>
          <w:tcPr>
            <w:tcW w:w="5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Class A Common Stock, $0.01 par value</w:t>
            </w:r>
          </w:p>
        </w:tc>
        <w:tc>
          <w:tcPr>
            <w:tcW w:w="220" w:type="dxa"/>
            <w:vAlign w:val="bottom"/>
          </w:tcPr>
          <w:p>
            <w:pPr>
              <w:spacing w:after="0"/>
              <w:rPr>
                <w:sz w:val="16"/>
                <w:szCs w:val="16"/>
                <w:color w:val="auto"/>
              </w:rPr>
            </w:pPr>
          </w:p>
        </w:tc>
        <w:tc>
          <w:tcPr>
            <w:tcW w:w="1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CMCSA</w:t>
            </w:r>
          </w:p>
        </w:tc>
        <w:tc>
          <w:tcPr>
            <w:tcW w:w="220" w:type="dxa"/>
            <w:vAlign w:val="bottom"/>
          </w:tcPr>
          <w:p>
            <w:pPr>
              <w:spacing w:after="0"/>
              <w:rPr>
                <w:sz w:val="16"/>
                <w:szCs w:val="16"/>
                <w:color w:val="auto"/>
              </w:rPr>
            </w:pPr>
          </w:p>
        </w:tc>
        <w:tc>
          <w:tcPr>
            <w:tcW w:w="39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NASDAQ Global Select Market</w:t>
            </w:r>
          </w:p>
        </w:tc>
      </w:tr>
      <w:tr>
        <w:trPr>
          <w:trHeight w:val="216"/>
        </w:trPr>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0.250% Notes due 2027</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CMCS27</w:t>
            </w:r>
          </w:p>
        </w:tc>
        <w:tc>
          <w:tcPr>
            <w:tcW w:w="3920" w:type="dxa"/>
            <w:vAlign w:val="bottom"/>
          </w:tcPr>
          <w:p>
            <w:pPr>
              <w:jc w:val="center"/>
              <w:spacing w:after="0"/>
              <w:rPr>
                <w:sz w:val="20"/>
                <w:szCs w:val="20"/>
                <w:color w:val="auto"/>
              </w:rPr>
            </w:pPr>
            <w:r>
              <w:rPr>
                <w:rFonts w:ascii="Arial" w:cs="Arial" w:eastAsia="Arial" w:hAnsi="Arial"/>
                <w:sz w:val="18"/>
                <w:szCs w:val="18"/>
                <w:color w:val="auto"/>
                <w:w w:val="95"/>
              </w:rPr>
              <w:t>NASDAQ Global Market</w:t>
            </w:r>
          </w:p>
        </w:tc>
      </w:tr>
      <w:tr>
        <w:trPr>
          <w:trHeight w:val="216"/>
        </w:trPr>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1.500% Notes due 2029</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CMCS29</w:t>
            </w:r>
          </w:p>
        </w:tc>
        <w:tc>
          <w:tcPr>
            <w:tcW w:w="3920" w:type="dxa"/>
            <w:vAlign w:val="bottom"/>
          </w:tcPr>
          <w:p>
            <w:pPr>
              <w:jc w:val="center"/>
              <w:spacing w:after="0"/>
              <w:rPr>
                <w:sz w:val="20"/>
                <w:szCs w:val="20"/>
                <w:color w:val="auto"/>
              </w:rPr>
            </w:pPr>
            <w:r>
              <w:rPr>
                <w:rFonts w:ascii="Arial" w:cs="Arial" w:eastAsia="Arial" w:hAnsi="Arial"/>
                <w:sz w:val="18"/>
                <w:szCs w:val="18"/>
                <w:color w:val="auto"/>
                <w:w w:val="95"/>
              </w:rPr>
              <w:t>NASDAQ Global Market</w:t>
            </w:r>
          </w:p>
        </w:tc>
      </w:tr>
      <w:tr>
        <w:trPr>
          <w:trHeight w:val="216"/>
        </w:trPr>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0.750% Notes due 2032</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CMCS32</w:t>
            </w:r>
          </w:p>
        </w:tc>
        <w:tc>
          <w:tcPr>
            <w:tcW w:w="3920" w:type="dxa"/>
            <w:vAlign w:val="bottom"/>
          </w:tcPr>
          <w:p>
            <w:pPr>
              <w:jc w:val="center"/>
              <w:spacing w:after="0"/>
              <w:rPr>
                <w:sz w:val="20"/>
                <w:szCs w:val="20"/>
                <w:color w:val="auto"/>
              </w:rPr>
            </w:pPr>
            <w:r>
              <w:rPr>
                <w:rFonts w:ascii="Arial" w:cs="Arial" w:eastAsia="Arial" w:hAnsi="Arial"/>
                <w:sz w:val="18"/>
                <w:szCs w:val="18"/>
                <w:color w:val="auto"/>
                <w:w w:val="95"/>
              </w:rPr>
              <w:t>NASDAQ Global Market</w:t>
            </w:r>
          </w:p>
        </w:tc>
      </w:tr>
      <w:tr>
        <w:trPr>
          <w:trHeight w:val="216"/>
        </w:trPr>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1.875% Notes due 2036</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CMCS36</w:t>
            </w:r>
          </w:p>
        </w:tc>
        <w:tc>
          <w:tcPr>
            <w:tcW w:w="3920" w:type="dxa"/>
            <w:vAlign w:val="bottom"/>
          </w:tcPr>
          <w:p>
            <w:pPr>
              <w:jc w:val="center"/>
              <w:spacing w:after="0"/>
              <w:rPr>
                <w:sz w:val="20"/>
                <w:szCs w:val="20"/>
                <w:color w:val="auto"/>
              </w:rPr>
            </w:pPr>
            <w:r>
              <w:rPr>
                <w:rFonts w:ascii="Arial" w:cs="Arial" w:eastAsia="Arial" w:hAnsi="Arial"/>
                <w:sz w:val="18"/>
                <w:szCs w:val="18"/>
                <w:color w:val="auto"/>
                <w:w w:val="95"/>
              </w:rPr>
              <w:t>NASDAQ Global Market</w:t>
            </w:r>
          </w:p>
        </w:tc>
      </w:tr>
      <w:tr>
        <w:trPr>
          <w:trHeight w:val="216"/>
        </w:trPr>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1.250% Notes due 2040</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CMCS40</w:t>
            </w:r>
          </w:p>
        </w:tc>
        <w:tc>
          <w:tcPr>
            <w:tcW w:w="3920" w:type="dxa"/>
            <w:vAlign w:val="bottom"/>
          </w:tcPr>
          <w:p>
            <w:pPr>
              <w:jc w:val="center"/>
              <w:spacing w:after="0"/>
              <w:rPr>
                <w:sz w:val="20"/>
                <w:szCs w:val="20"/>
                <w:color w:val="auto"/>
              </w:rPr>
            </w:pPr>
            <w:r>
              <w:rPr>
                <w:rFonts w:ascii="Arial" w:cs="Arial" w:eastAsia="Arial" w:hAnsi="Arial"/>
                <w:sz w:val="18"/>
                <w:szCs w:val="18"/>
                <w:color w:val="auto"/>
                <w:w w:val="95"/>
              </w:rPr>
              <w:t>NASDAQ Global Market</w:t>
            </w:r>
          </w:p>
        </w:tc>
      </w:tr>
      <w:tr>
        <w:trPr>
          <w:trHeight w:val="216"/>
        </w:trPr>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9.455% Guaranteed Notes due 2022</w:t>
            </w:r>
          </w:p>
        </w:tc>
        <w:tc>
          <w:tcPr>
            <w:tcW w:w="202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CMCSA/22</w:t>
            </w:r>
          </w:p>
        </w:tc>
        <w:tc>
          <w:tcPr>
            <w:tcW w:w="392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16"/>
        </w:trPr>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5.50% Notes due 2029</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CCGBP29</w:t>
            </w:r>
          </w:p>
        </w:tc>
        <w:tc>
          <w:tcPr>
            <w:tcW w:w="392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2.0% Exchangeable Subordinated Debentures due 2029</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CCZ</w:t>
            </w:r>
          </w:p>
        </w:tc>
        <w:tc>
          <w:tcPr>
            <w:tcW w:w="392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9" w:right="339" w:bottom="1116" w:gutter="0" w:footer="0" w:header="0"/>
        </w:sectPr>
      </w:pPr>
    </w:p>
    <w:bookmarkStart w:id="1" w:name="page2"/>
    <w:bookmarkEnd w:id="1"/>
    <w:p>
      <w:pPr>
        <w:ind w:left="180"/>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On August 16, 2021, Comcast Corporation (“Comcast” or the “Company”) and NBCUniversal Media, LLC (“NBCUniversal”) issued a press release announcing the early tender results and upsizing of the previously announced private offers (the “Exchange Offers”) (i) (A) by the Company to exchange its 6.400% Notes due 2038, 6.950% Notes due 2037, 6.450% Notes due 2037, 6.400% Notes due March 2040, 6.550% Notes due 2039, 4.600% Notes due 2038, 6.500% Notes due 2035, 5.650% Notes due 2035 and 7.050% Notes due 2033 and (B) by NBCUniversal to exchange NBCUniversal’s 6.400% Notes due April 2040 for the Company’s new Notes due 2051 (the “New 2051 Notes”), (ii) (A) by the Company to exchange its 4.700% Notes due 2048, 4.750% Notes due 2044, 4.650% Notes due 2042 and 4.500% Notes due 2043 and (B) by NBCUniversal to exchange NBCUniversal’s 5.950% Notes due 2041 and 4.450% Notes due 2043 for the Company’s new Notes due 2056 (the “New 2056 Notes”) and (iii) by the Company to exchange its 4.600% Notes due 2045,</w:t>
      </w:r>
    </w:p>
    <w:p>
      <w:pPr>
        <w:spacing w:after="0" w:line="2"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4.950% Notes due 2058 and 4.049% Notes due 2052 for the Company’s new Notes due 2063 (the “New 2063 Notes” and, together with the New 2051 Notes and the New 2056 Notes, the “New Notes”). A copy of the press release is filed as Exhibit 99.1 to this Current Report on Form 8-K and is incorporated herein by reference.</w:t>
      </w:r>
    </w:p>
    <w:p>
      <w:pPr>
        <w:spacing w:after="0" w:line="190"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In addition, on August 16, 2021, Comcast and NBCUniversal issued a press release announcing the pricing terms and expected settlement date of the Exchange Offers. A copy of the press release is filed as Exhibit 99.2 to this Current Report on Form 8-K and is incorporated herein by reference.</w:t>
      </w:r>
    </w:p>
    <w:p>
      <w:pPr>
        <w:spacing w:after="0" w:line="124"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The New Notes have not been registered under the U.S. Securities Act of 1933, as amended (the “Securities Act”) or any other applicable securities laws. Therefore, the New Notes may not be offered or sold except pursuant to an exemption from or in a transaction not subject to the registration requirements of the Securities Act and the applicable state securities laws.</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Item 9.01(d)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0"/>
                <w:szCs w:val="20"/>
                <w:color w:val="auto"/>
              </w:rPr>
            </w:pPr>
          </w:p>
        </w:tc>
        <w:tc>
          <w:tcPr>
            <w:tcW w:w="10220" w:type="dxa"/>
            <w:vAlign w:val="bottom"/>
            <w:gridSpan w:val="6"/>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9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99.1</w:t>
            </w:r>
          </w:p>
        </w:tc>
        <w:tc>
          <w:tcPr>
            <w:tcW w:w="1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9880" w:type="dxa"/>
            <w:vAlign w:val="bottom"/>
            <w:tcBorders>
              <w:top w:val="single" w:sz="8" w:color="auto"/>
              <w:bottom w:val="single" w:sz="8" w:color="0000EE"/>
            </w:tcBorders>
            <w:gridSpan w:val="4"/>
          </w:tcPr>
          <w:p>
            <w:pPr>
              <w:spacing w:after="0" w:line="169"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Comcast Corporation and NBCUniversal Media, LLC Press Release dated August 16, 2021, announcing early tender results of Exchange</w:t>
              </w:r>
            </w:hyperlink>
          </w:p>
        </w:tc>
        <w:tc>
          <w:tcPr>
            <w:tcW w:w="320" w:type="dxa"/>
            <w:vAlign w:val="bottom"/>
            <w:tcBorders>
              <w:top w:val="single" w:sz="8" w:color="auto"/>
            </w:tcBorders>
          </w:tcPr>
          <w:p>
            <w:pPr>
              <w:spacing w:after="0"/>
              <w:rPr>
                <w:sz w:val="14"/>
                <w:szCs w:val="1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Offers.</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99.2</w:t>
            </w:r>
          </w:p>
        </w:tc>
        <w:tc>
          <w:tcPr>
            <w:tcW w:w="100" w:type="dxa"/>
            <w:vAlign w:val="bottom"/>
          </w:tcPr>
          <w:p>
            <w:pPr>
              <w:spacing w:after="0"/>
              <w:rPr>
                <w:sz w:val="17"/>
                <w:szCs w:val="17"/>
                <w:color w:val="auto"/>
              </w:rPr>
            </w:pPr>
          </w:p>
        </w:tc>
        <w:tc>
          <w:tcPr>
            <w:tcW w:w="95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Comcast Corporation and NBCUniversal Media, LLC Press Release dated August 16, 2021, announcing pricing terms and expected</w:t>
              </w:r>
            </w:hyperlink>
          </w:p>
        </w:tc>
        <w:tc>
          <w:tcPr>
            <w:tcW w:w="700" w:type="dxa"/>
            <w:vAlign w:val="bottom"/>
            <w:gridSpan w:val="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settlement date of Exchange Offers.</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7640" w:type="dxa"/>
            <w:vAlign w:val="bottom"/>
            <w:gridSpan w:val="3"/>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10220" w:type="dxa"/>
            <w:vAlign w:val="bottom"/>
            <w:gridSpan w:val="6"/>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310"/>
        </w:trPr>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Arial" w:cs="Arial" w:eastAsia="Arial" w:hAnsi="Arial"/>
                <w:sz w:val="18"/>
                <w:szCs w:val="18"/>
                <w:b w:val="1"/>
                <w:bCs w:val="1"/>
                <w:color w:val="auto"/>
              </w:rPr>
              <w:t>COMCAST CORPORATION</w:t>
            </w:r>
          </w:p>
        </w:tc>
      </w:tr>
      <w:tr>
        <w:trPr>
          <w:trHeight w:val="459"/>
        </w:trPr>
        <w:tc>
          <w:tcPr>
            <w:tcW w:w="3700" w:type="dxa"/>
            <w:vAlign w:val="bottom"/>
          </w:tcPr>
          <w:p>
            <w:pPr>
              <w:spacing w:after="0"/>
              <w:rPr>
                <w:sz w:val="20"/>
                <w:szCs w:val="20"/>
                <w:color w:val="auto"/>
              </w:rPr>
            </w:pPr>
            <w:r>
              <w:rPr>
                <w:rFonts w:ascii="Arial" w:cs="Arial" w:eastAsia="Arial" w:hAnsi="Arial"/>
                <w:sz w:val="18"/>
                <w:szCs w:val="18"/>
                <w:color w:val="auto"/>
              </w:rPr>
              <w:t>Date:  August 16, 2021</w:t>
            </w:r>
          </w:p>
        </w:tc>
        <w:tc>
          <w:tcPr>
            <w:tcW w:w="2500" w:type="dxa"/>
            <w:vAlign w:val="bottom"/>
          </w:tcPr>
          <w:p>
            <w:pPr>
              <w:ind w:left="19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Elizabeth Wideman</w:t>
            </w:r>
          </w:p>
        </w:tc>
      </w:tr>
      <w:tr>
        <w:trPr>
          <w:trHeight w:val="195"/>
        </w:trPr>
        <w:tc>
          <w:tcPr>
            <w:tcW w:w="3700" w:type="dxa"/>
            <w:vAlign w:val="bottom"/>
          </w:tcPr>
          <w:p>
            <w:pPr>
              <w:spacing w:after="0"/>
              <w:rPr>
                <w:sz w:val="16"/>
                <w:szCs w:val="16"/>
                <w:color w:val="auto"/>
              </w:rPr>
            </w:pPr>
          </w:p>
        </w:tc>
        <w:tc>
          <w:tcPr>
            <w:tcW w:w="2500" w:type="dxa"/>
            <w:vAlign w:val="bottom"/>
          </w:tcPr>
          <w:p>
            <w:pPr>
              <w:ind w:left="194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Elizabeth Wideman</w:t>
            </w:r>
          </w:p>
        </w:tc>
      </w:tr>
      <w:tr>
        <w:trPr>
          <w:trHeight w:val="216"/>
        </w:trPr>
        <w:tc>
          <w:tcPr>
            <w:tcW w:w="3700" w:type="dxa"/>
            <w:vAlign w:val="bottom"/>
          </w:tcPr>
          <w:p>
            <w:pPr>
              <w:spacing w:after="0"/>
              <w:rPr>
                <w:sz w:val="18"/>
                <w:szCs w:val="18"/>
                <w:color w:val="auto"/>
              </w:rPr>
            </w:pPr>
          </w:p>
        </w:tc>
        <w:tc>
          <w:tcPr>
            <w:tcW w:w="2500" w:type="dxa"/>
            <w:vAlign w:val="bottom"/>
          </w:tcPr>
          <w:p>
            <w:pPr>
              <w:ind w:left="19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w w:val="91"/>
              </w:rPr>
              <w:t>Senior Vice President, Senior Deputy General Counsel and Assistant</w:t>
            </w:r>
          </w:p>
        </w:tc>
      </w:tr>
      <w:tr>
        <w:trPr>
          <w:trHeight w:val="230"/>
        </w:trPr>
        <w:tc>
          <w:tcPr>
            <w:tcW w:w="37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Secretary</w:t>
            </w:r>
          </w:p>
        </w:tc>
      </w:tr>
      <w:tr>
        <w:trPr>
          <w:trHeight w:val="311"/>
        </w:trPr>
        <w:tc>
          <w:tcPr>
            <w:tcW w:w="3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165735</wp:posOffset>
            </wp:positionV>
            <wp:extent cx="1440180" cy="5054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018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COMCAST AND NBCUNIVERSAL MEDIA ANNOUNCE RESULTS OF EARLY TENDERS IN EXCHANGE OFFERS AND UPSIZE OF EXCHANGE OFFERS</w:t>
      </w:r>
    </w:p>
    <w:p>
      <w:pPr>
        <w:spacing w:after="0" w:line="162"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b w:val="1"/>
          <w:bCs w:val="1"/>
          <w:color w:val="auto"/>
        </w:rPr>
        <w:t xml:space="preserve">Philadelphia, Pennsylvania, August 16, 2021 </w:t>
      </w:r>
      <w:r>
        <w:rPr>
          <w:rFonts w:ascii="Arial" w:cs="Arial" w:eastAsia="Arial" w:hAnsi="Arial"/>
          <w:sz w:val="16"/>
          <w:szCs w:val="16"/>
          <w:color w:val="auto"/>
        </w:rPr>
        <w:t>– Comcast Corporation (Nasdaq: CMCSA) (“Comcast”) and NBCUniversal Media, LLC</w:t>
      </w:r>
      <w:r>
        <w:rPr>
          <w:rFonts w:ascii="Arial" w:cs="Arial" w:eastAsia="Arial" w:hAnsi="Arial"/>
          <w:sz w:val="16"/>
          <w:szCs w:val="16"/>
          <w:b w:val="1"/>
          <w:bCs w:val="1"/>
          <w:color w:val="auto"/>
        </w:rPr>
        <w:t xml:space="preserve"> </w:t>
      </w:r>
      <w:r>
        <w:rPr>
          <w:rFonts w:ascii="Arial" w:cs="Arial" w:eastAsia="Arial" w:hAnsi="Arial"/>
          <w:sz w:val="16"/>
          <w:szCs w:val="16"/>
          <w:color w:val="auto"/>
        </w:rPr>
        <w:t>(“NBCUniversal”) announced today the early tender results of their three pools of Exchange Offers and the upsizing of such Exchange Offers, each as detailed below. In connection with this upsizing, Comcast and NBCUniversal have amended the terms of the Exchange Offers to increase the maximum aggregate principal amount of New Notes that will be issued in the Exchange Offers. Except as described in this press release, the terms and conditions of the Exchange Offers, as described in the offering memorandum, dated August 2, 2021 (the “Exchange Offers”), remain unchanged.</w:t>
      </w:r>
    </w:p>
    <w:p>
      <w:pPr>
        <w:spacing w:after="0" w:line="15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withdrawal deadline for the Exchange Offers occurred at 5:00 p.m. New York City time on August 13, 2021. As a result, tendered Old Notes may no longer be withdrawn, except in certain limited circumstances where additional withdrawal rights are required by law (as determined by Comcast and NBCUniversal).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pricing of the New Notes will occur at 10:00 a.m., New York City time, on August 16, 2021.</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settlement date for Old Notes validly tendered and not validly withdrawn at or prior to 5:00 p.m., New York City time, on August 13, 2021 is expected to be August 19, 2021. Holders whose Old Notes are accepted for exchange will receive in cash accrued and unpaid interest from the last applicable interest payment date to, but excluding, the date on which the exchange of such Old Notes is settled, and amounts due in lieu of fractional amounts of New Notes.</w:t>
      </w:r>
    </w:p>
    <w:p>
      <w:pPr>
        <w:spacing w:after="0" w:line="14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Comcast and NBCUniversal have offered to exchange ten series of notes issued by Comcast or NBCUniversal, respectively, (collectively, the “Pool 1 Notes”) for a combination of cash and a new series of Comcast’s senior notes to be due in 2051 (the “New 2051 Notes”) as described in the table below. The aggregate principal amount of Pool 1 Notes that are accepted for exchange will be based on the order of acceptance priority for such series as set forth in the table below, and such that the aggregate principal amount of Pool 1 Notes accepted results in the issuance of New 2051 Notes in an amount not exceeding $5,000,000,000 (as increased, the “2051 Notes Cap”);</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7"/>
              </w:rPr>
              <w:t>Acceptance</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r>
      <w:tr>
        <w:trPr>
          <w:trHeight w:val="216"/>
        </w:trPr>
        <w:tc>
          <w:tcPr>
            <w:tcW w:w="6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380" w:type="dxa"/>
            <w:vAlign w:val="bottom"/>
          </w:tcPr>
          <w:p>
            <w:pPr>
              <w:jc w:val="center"/>
              <w:ind w:left="30"/>
              <w:spacing w:after="0"/>
              <w:rPr>
                <w:sz w:val="20"/>
                <w:szCs w:val="20"/>
                <w:color w:val="auto"/>
              </w:rPr>
            </w:pPr>
            <w:r>
              <w:rPr>
                <w:rFonts w:ascii="Arial" w:cs="Arial" w:eastAsia="Arial" w:hAnsi="Arial"/>
                <w:sz w:val="18"/>
                <w:szCs w:val="18"/>
                <w:b w:val="1"/>
                <w:bCs w:val="1"/>
                <w:color w:val="auto"/>
                <w:w w:val="98"/>
              </w:rPr>
              <w:t>CUSIP</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8"/>
              </w:rPr>
              <w:t>Priority</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r>
      <w:tr>
        <w:trPr>
          <w:trHeight w:val="270"/>
        </w:trPr>
        <w:tc>
          <w:tcPr>
            <w:tcW w:w="62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Title of Security</w:t>
            </w:r>
          </w:p>
        </w:tc>
        <w:tc>
          <w:tcPr>
            <w:tcW w:w="2620" w:type="dxa"/>
            <w:vAlign w:val="bottom"/>
            <w:tcBorders>
              <w:bottom w:val="single" w:sz="8" w:color="auto"/>
            </w:tcBorders>
          </w:tcPr>
          <w:p>
            <w:pPr>
              <w:ind w:left="1320"/>
              <w:spacing w:after="0"/>
              <w:rPr>
                <w:sz w:val="20"/>
                <w:szCs w:val="20"/>
                <w:color w:val="auto"/>
              </w:rPr>
            </w:pPr>
            <w:r>
              <w:rPr>
                <w:rFonts w:ascii="Arial" w:cs="Arial" w:eastAsia="Arial" w:hAnsi="Arial"/>
                <w:sz w:val="18"/>
                <w:szCs w:val="18"/>
                <w:b w:val="1"/>
                <w:bCs w:val="1"/>
                <w:color w:val="auto"/>
              </w:rPr>
              <w:t>Issuer</w:t>
            </w:r>
          </w:p>
        </w:tc>
        <w:tc>
          <w:tcPr>
            <w:tcW w:w="13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1"/>
              </w:rPr>
              <w:t>Number(s)</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Level</w:t>
            </w:r>
          </w:p>
        </w:tc>
        <w:tc>
          <w:tcPr>
            <w:tcW w:w="120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5"/>
              </w:rPr>
              <w:t>Tendered</w:t>
            </w:r>
            <w:r>
              <w:rPr>
                <w:rFonts w:ascii="Arial" w:cs="Arial" w:eastAsia="Arial" w:hAnsi="Arial"/>
                <w:sz w:val="29"/>
                <w:szCs w:val="29"/>
                <w:b w:val="1"/>
                <w:bCs w:val="1"/>
                <w:color w:val="auto"/>
                <w:w w:val="85"/>
                <w:vertAlign w:val="superscript"/>
              </w:rPr>
              <w:t>(1)</w:t>
            </w:r>
          </w:p>
        </w:tc>
      </w:tr>
      <w:tr>
        <w:trPr>
          <w:trHeight w:val="223"/>
        </w:trPr>
        <w:tc>
          <w:tcPr>
            <w:tcW w:w="2720" w:type="dxa"/>
            <w:vAlign w:val="bottom"/>
            <w:gridSpan w:val="2"/>
            <w:shd w:val="clear" w:color="auto" w:fill="BFBFBF"/>
          </w:tcPr>
          <w:p>
            <w:pPr>
              <w:ind w:left="40"/>
              <w:spacing w:after="0"/>
              <w:rPr>
                <w:sz w:val="20"/>
                <w:szCs w:val="20"/>
                <w:color w:val="auto"/>
              </w:rPr>
            </w:pPr>
            <w:r>
              <w:rPr>
                <w:rFonts w:ascii="Arial" w:cs="Arial" w:eastAsia="Arial" w:hAnsi="Arial"/>
                <w:sz w:val="18"/>
                <w:szCs w:val="18"/>
                <w:color w:val="auto"/>
              </w:rPr>
              <w:t>Pool 1 Notes</w:t>
            </w:r>
          </w:p>
        </w:tc>
        <w:tc>
          <w:tcPr>
            <w:tcW w:w="2620" w:type="dxa"/>
            <w:vAlign w:val="bottom"/>
            <w:shd w:val="clear" w:color="auto" w:fill="BFBFBF"/>
          </w:tcPr>
          <w:p>
            <w:pPr>
              <w:spacing w:after="0"/>
              <w:rPr>
                <w:sz w:val="19"/>
                <w:szCs w:val="19"/>
                <w:color w:val="auto"/>
              </w:rPr>
            </w:pPr>
          </w:p>
        </w:tc>
        <w:tc>
          <w:tcPr>
            <w:tcW w:w="1380" w:type="dxa"/>
            <w:vAlign w:val="bottom"/>
            <w:shd w:val="clear" w:color="auto" w:fill="BFBFBF"/>
          </w:tcPr>
          <w:p>
            <w:pPr>
              <w:spacing w:after="0"/>
              <w:rPr>
                <w:sz w:val="19"/>
                <w:szCs w:val="19"/>
                <w:color w:val="auto"/>
              </w:rPr>
            </w:pPr>
          </w:p>
        </w:tc>
        <w:tc>
          <w:tcPr>
            <w:tcW w:w="1220" w:type="dxa"/>
            <w:vAlign w:val="bottom"/>
            <w:shd w:val="clear" w:color="auto" w:fill="BFBFBF"/>
          </w:tcPr>
          <w:p>
            <w:pPr>
              <w:spacing w:after="0"/>
              <w:rPr>
                <w:sz w:val="19"/>
                <w:szCs w:val="19"/>
                <w:color w:val="auto"/>
              </w:rPr>
            </w:pPr>
          </w:p>
        </w:tc>
        <w:tc>
          <w:tcPr>
            <w:tcW w:w="960" w:type="dxa"/>
            <w:vAlign w:val="bottom"/>
            <w:shd w:val="clear" w:color="auto" w:fill="BFBFBF"/>
          </w:tcPr>
          <w:p>
            <w:pPr>
              <w:spacing w:after="0"/>
              <w:rPr>
                <w:sz w:val="19"/>
                <w:szCs w:val="19"/>
                <w:color w:val="auto"/>
              </w:rPr>
            </w:pPr>
          </w:p>
        </w:tc>
        <w:tc>
          <w:tcPr>
            <w:tcW w:w="1200" w:type="dxa"/>
            <w:vAlign w:val="bottom"/>
            <w:shd w:val="clear" w:color="auto" w:fill="BFBFBF"/>
          </w:tcPr>
          <w:p>
            <w:pPr>
              <w:spacing w:after="0"/>
              <w:rPr>
                <w:sz w:val="19"/>
                <w:szCs w:val="19"/>
                <w:color w:val="auto"/>
              </w:rPr>
            </w:pPr>
          </w:p>
        </w:tc>
      </w:tr>
      <w:tr>
        <w:trPr>
          <w:trHeight w:val="202"/>
        </w:trPr>
        <w:tc>
          <w:tcPr>
            <w:tcW w:w="620" w:type="dxa"/>
            <w:vAlign w:val="bottom"/>
          </w:tcPr>
          <w:p>
            <w:pPr>
              <w:ind w:left="40"/>
              <w:spacing w:after="0" w:line="201" w:lineRule="exact"/>
              <w:rPr>
                <w:sz w:val="20"/>
                <w:szCs w:val="20"/>
                <w:color w:val="auto"/>
              </w:rPr>
            </w:pPr>
            <w:r>
              <w:rPr>
                <w:rFonts w:ascii="Arial" w:cs="Arial" w:eastAsia="Arial" w:hAnsi="Arial"/>
                <w:sz w:val="18"/>
                <w:szCs w:val="18"/>
                <w:color w:val="auto"/>
                <w:w w:val="91"/>
              </w:rPr>
              <w:t>6.400%</w:t>
            </w:r>
          </w:p>
        </w:tc>
        <w:tc>
          <w:tcPr>
            <w:tcW w:w="2100" w:type="dxa"/>
            <w:vAlign w:val="bottom"/>
          </w:tcPr>
          <w:p>
            <w:pPr>
              <w:ind w:left="20"/>
              <w:spacing w:after="0" w:line="201" w:lineRule="exact"/>
              <w:rPr>
                <w:sz w:val="20"/>
                <w:szCs w:val="20"/>
                <w:color w:val="auto"/>
              </w:rPr>
            </w:pPr>
            <w:r>
              <w:rPr>
                <w:rFonts w:ascii="Arial" w:cs="Arial" w:eastAsia="Arial" w:hAnsi="Arial"/>
                <w:sz w:val="18"/>
                <w:szCs w:val="18"/>
                <w:color w:val="auto"/>
              </w:rPr>
              <w:t>Notes due 2038</w:t>
            </w:r>
          </w:p>
        </w:tc>
        <w:tc>
          <w:tcPr>
            <w:tcW w:w="2620" w:type="dxa"/>
            <w:vAlign w:val="bottom"/>
          </w:tcPr>
          <w:p>
            <w:pPr>
              <w:ind w:left="420"/>
              <w:spacing w:after="0" w:line="201" w:lineRule="exact"/>
              <w:rPr>
                <w:sz w:val="20"/>
                <w:szCs w:val="20"/>
                <w:color w:val="auto"/>
              </w:rPr>
            </w:pPr>
            <w:r>
              <w:rPr>
                <w:rFonts w:ascii="Arial" w:cs="Arial" w:eastAsia="Arial" w:hAnsi="Arial"/>
                <w:sz w:val="18"/>
                <w:szCs w:val="18"/>
                <w:color w:val="auto"/>
              </w:rPr>
              <w:t>Comcast Corporation</w:t>
            </w:r>
          </w:p>
        </w:tc>
        <w:tc>
          <w:tcPr>
            <w:tcW w:w="1380" w:type="dxa"/>
            <w:vAlign w:val="bottom"/>
          </w:tcPr>
          <w:p>
            <w:pPr>
              <w:jc w:val="center"/>
              <w:ind w:left="30"/>
              <w:spacing w:after="0" w:line="201" w:lineRule="exact"/>
              <w:rPr>
                <w:sz w:val="20"/>
                <w:szCs w:val="20"/>
                <w:color w:val="auto"/>
              </w:rPr>
            </w:pPr>
            <w:r>
              <w:rPr>
                <w:rFonts w:ascii="Arial" w:cs="Arial" w:eastAsia="Arial" w:hAnsi="Arial"/>
                <w:sz w:val="18"/>
                <w:szCs w:val="18"/>
                <w:color w:val="auto"/>
                <w:w w:val="95"/>
              </w:rPr>
              <w:t>20030N AX9</w:t>
            </w:r>
          </w:p>
        </w:tc>
        <w:tc>
          <w:tcPr>
            <w:tcW w:w="1220" w:type="dxa"/>
            <w:vAlign w:val="bottom"/>
          </w:tcPr>
          <w:p>
            <w:pPr>
              <w:jc w:val="center"/>
              <w:spacing w:after="0" w:line="201" w:lineRule="exact"/>
              <w:rPr>
                <w:sz w:val="20"/>
                <w:szCs w:val="20"/>
                <w:color w:val="auto"/>
              </w:rPr>
            </w:pPr>
            <w:r>
              <w:rPr>
                <w:rFonts w:ascii="Arial" w:cs="Arial" w:eastAsia="Arial" w:hAnsi="Arial"/>
                <w:sz w:val="18"/>
                <w:szCs w:val="18"/>
                <w:color w:val="auto"/>
                <w:w w:val="88"/>
              </w:rPr>
              <w:t>$571,915,000</w:t>
            </w:r>
          </w:p>
        </w:tc>
        <w:tc>
          <w:tcPr>
            <w:tcW w:w="960" w:type="dxa"/>
            <w:vAlign w:val="bottom"/>
          </w:tcPr>
          <w:p>
            <w:pPr>
              <w:jc w:val="center"/>
              <w:spacing w:after="0" w:line="201" w:lineRule="exact"/>
              <w:rPr>
                <w:sz w:val="20"/>
                <w:szCs w:val="20"/>
                <w:color w:val="auto"/>
              </w:rPr>
            </w:pPr>
            <w:r>
              <w:rPr>
                <w:rFonts w:ascii="Arial" w:cs="Arial" w:eastAsia="Arial" w:hAnsi="Arial"/>
                <w:sz w:val="18"/>
                <w:szCs w:val="18"/>
                <w:color w:val="auto"/>
                <w:w w:val="99"/>
              </w:rPr>
              <w:t>1</w:t>
            </w:r>
          </w:p>
        </w:tc>
        <w:tc>
          <w:tcPr>
            <w:tcW w:w="1200" w:type="dxa"/>
            <w:vAlign w:val="bottom"/>
          </w:tcPr>
          <w:p>
            <w:pPr>
              <w:jc w:val="center"/>
              <w:spacing w:after="0" w:line="201" w:lineRule="exact"/>
              <w:rPr>
                <w:sz w:val="20"/>
                <w:szCs w:val="20"/>
                <w:color w:val="auto"/>
              </w:rPr>
            </w:pPr>
            <w:r>
              <w:rPr>
                <w:rFonts w:ascii="Arial" w:cs="Arial" w:eastAsia="Arial" w:hAnsi="Arial"/>
                <w:sz w:val="18"/>
                <w:szCs w:val="18"/>
                <w:color w:val="auto"/>
                <w:w w:val="88"/>
              </w:rPr>
              <w:t>$333,170,000</w:t>
            </w:r>
          </w:p>
        </w:tc>
      </w:tr>
      <w:tr>
        <w:trPr>
          <w:trHeight w:val="216"/>
        </w:trPr>
        <w:tc>
          <w:tcPr>
            <w:tcW w:w="620" w:type="dxa"/>
            <w:vAlign w:val="bottom"/>
          </w:tcPr>
          <w:p>
            <w:pPr>
              <w:ind w:left="40"/>
              <w:spacing w:after="0"/>
              <w:rPr>
                <w:sz w:val="20"/>
                <w:szCs w:val="20"/>
                <w:color w:val="auto"/>
              </w:rPr>
            </w:pPr>
            <w:r>
              <w:rPr>
                <w:rFonts w:ascii="Arial" w:cs="Arial" w:eastAsia="Arial" w:hAnsi="Arial"/>
                <w:sz w:val="18"/>
                <w:szCs w:val="18"/>
                <w:color w:val="auto"/>
                <w:w w:val="91"/>
              </w:rPr>
              <w:t>6.950%</w:t>
            </w:r>
          </w:p>
        </w:tc>
        <w:tc>
          <w:tcPr>
            <w:tcW w:w="2100" w:type="dxa"/>
            <w:vAlign w:val="bottom"/>
          </w:tcPr>
          <w:p>
            <w:pPr>
              <w:ind w:left="20"/>
              <w:spacing w:after="0"/>
              <w:rPr>
                <w:sz w:val="20"/>
                <w:szCs w:val="20"/>
                <w:color w:val="auto"/>
              </w:rPr>
            </w:pPr>
            <w:r>
              <w:rPr>
                <w:rFonts w:ascii="Arial" w:cs="Arial" w:eastAsia="Arial" w:hAnsi="Arial"/>
                <w:sz w:val="18"/>
                <w:szCs w:val="18"/>
                <w:color w:val="auto"/>
              </w:rPr>
              <w:t>Notes due 2037</w:t>
            </w:r>
          </w:p>
        </w:tc>
        <w:tc>
          <w:tcPr>
            <w:tcW w:w="2620" w:type="dxa"/>
            <w:vAlign w:val="bottom"/>
          </w:tcPr>
          <w:p>
            <w:pPr>
              <w:ind w:left="420"/>
              <w:spacing w:after="0"/>
              <w:rPr>
                <w:sz w:val="20"/>
                <w:szCs w:val="20"/>
                <w:color w:val="auto"/>
              </w:rPr>
            </w:pPr>
            <w:r>
              <w:rPr>
                <w:rFonts w:ascii="Arial" w:cs="Arial" w:eastAsia="Arial" w:hAnsi="Arial"/>
                <w:sz w:val="18"/>
                <w:szCs w:val="18"/>
                <w:color w:val="auto"/>
              </w:rPr>
              <w:t>Comcast Corporation</w:t>
            </w:r>
          </w:p>
        </w:tc>
        <w:tc>
          <w:tcPr>
            <w:tcW w:w="1380" w:type="dxa"/>
            <w:vAlign w:val="bottom"/>
          </w:tcPr>
          <w:p>
            <w:pPr>
              <w:jc w:val="center"/>
              <w:ind w:left="30"/>
              <w:spacing w:after="0"/>
              <w:rPr>
                <w:sz w:val="20"/>
                <w:szCs w:val="20"/>
                <w:color w:val="auto"/>
              </w:rPr>
            </w:pPr>
            <w:r>
              <w:rPr>
                <w:rFonts w:ascii="Arial" w:cs="Arial" w:eastAsia="Arial" w:hAnsi="Arial"/>
                <w:sz w:val="18"/>
                <w:szCs w:val="18"/>
                <w:color w:val="auto"/>
                <w:w w:val="92"/>
              </w:rPr>
              <w:t>20030N AV3</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$787,725,000</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$359,168,000</w:t>
            </w:r>
          </w:p>
        </w:tc>
      </w:tr>
      <w:tr>
        <w:trPr>
          <w:trHeight w:val="216"/>
        </w:trPr>
        <w:tc>
          <w:tcPr>
            <w:tcW w:w="620" w:type="dxa"/>
            <w:vAlign w:val="bottom"/>
          </w:tcPr>
          <w:p>
            <w:pPr>
              <w:ind w:left="40"/>
              <w:spacing w:after="0"/>
              <w:rPr>
                <w:sz w:val="20"/>
                <w:szCs w:val="20"/>
                <w:color w:val="auto"/>
              </w:rPr>
            </w:pPr>
            <w:r>
              <w:rPr>
                <w:rFonts w:ascii="Arial" w:cs="Arial" w:eastAsia="Arial" w:hAnsi="Arial"/>
                <w:sz w:val="18"/>
                <w:szCs w:val="18"/>
                <w:color w:val="auto"/>
                <w:w w:val="91"/>
              </w:rPr>
              <w:t>6.450%</w:t>
            </w:r>
          </w:p>
        </w:tc>
        <w:tc>
          <w:tcPr>
            <w:tcW w:w="2100" w:type="dxa"/>
            <w:vAlign w:val="bottom"/>
          </w:tcPr>
          <w:p>
            <w:pPr>
              <w:ind w:left="20"/>
              <w:spacing w:after="0"/>
              <w:rPr>
                <w:sz w:val="20"/>
                <w:szCs w:val="20"/>
                <w:color w:val="auto"/>
              </w:rPr>
            </w:pPr>
            <w:r>
              <w:rPr>
                <w:rFonts w:ascii="Arial" w:cs="Arial" w:eastAsia="Arial" w:hAnsi="Arial"/>
                <w:sz w:val="18"/>
                <w:szCs w:val="18"/>
                <w:color w:val="auto"/>
              </w:rPr>
              <w:t>Notes due 2037</w:t>
            </w:r>
          </w:p>
        </w:tc>
        <w:tc>
          <w:tcPr>
            <w:tcW w:w="2620" w:type="dxa"/>
            <w:vAlign w:val="bottom"/>
          </w:tcPr>
          <w:p>
            <w:pPr>
              <w:ind w:left="420"/>
              <w:spacing w:after="0"/>
              <w:rPr>
                <w:sz w:val="20"/>
                <w:szCs w:val="20"/>
                <w:color w:val="auto"/>
              </w:rPr>
            </w:pPr>
            <w:r>
              <w:rPr>
                <w:rFonts w:ascii="Arial" w:cs="Arial" w:eastAsia="Arial" w:hAnsi="Arial"/>
                <w:sz w:val="18"/>
                <w:szCs w:val="18"/>
                <w:color w:val="auto"/>
              </w:rPr>
              <w:t>Comcast Corporation</w:t>
            </w:r>
          </w:p>
        </w:tc>
        <w:tc>
          <w:tcPr>
            <w:tcW w:w="1380" w:type="dxa"/>
            <w:vAlign w:val="bottom"/>
          </w:tcPr>
          <w:p>
            <w:pPr>
              <w:jc w:val="center"/>
              <w:ind w:left="30"/>
              <w:spacing w:after="0"/>
              <w:rPr>
                <w:sz w:val="20"/>
                <w:szCs w:val="20"/>
                <w:color w:val="auto"/>
              </w:rPr>
            </w:pPr>
            <w:r>
              <w:rPr>
                <w:rFonts w:ascii="Arial" w:cs="Arial" w:eastAsia="Arial" w:hAnsi="Arial"/>
                <w:sz w:val="18"/>
                <w:szCs w:val="18"/>
                <w:color w:val="auto"/>
                <w:w w:val="97"/>
              </w:rPr>
              <w:t>20030N AM3</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$904,355,000</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$288,177,000</w:t>
            </w:r>
          </w:p>
        </w:tc>
      </w:tr>
      <w:tr>
        <w:trPr>
          <w:trHeight w:val="216"/>
        </w:trPr>
        <w:tc>
          <w:tcPr>
            <w:tcW w:w="620" w:type="dxa"/>
            <w:vAlign w:val="bottom"/>
          </w:tcPr>
          <w:p>
            <w:pPr>
              <w:ind w:left="40"/>
              <w:spacing w:after="0"/>
              <w:rPr>
                <w:sz w:val="20"/>
                <w:szCs w:val="20"/>
                <w:color w:val="auto"/>
              </w:rPr>
            </w:pPr>
            <w:r>
              <w:rPr>
                <w:rFonts w:ascii="Arial" w:cs="Arial" w:eastAsia="Arial" w:hAnsi="Arial"/>
                <w:sz w:val="18"/>
                <w:szCs w:val="18"/>
                <w:color w:val="auto"/>
                <w:w w:val="91"/>
              </w:rPr>
              <w:t>6.400%</w:t>
            </w:r>
          </w:p>
        </w:tc>
        <w:tc>
          <w:tcPr>
            <w:tcW w:w="2100" w:type="dxa"/>
            <w:vAlign w:val="bottom"/>
          </w:tcPr>
          <w:p>
            <w:pPr>
              <w:ind w:left="20"/>
              <w:spacing w:after="0"/>
              <w:rPr>
                <w:sz w:val="20"/>
                <w:szCs w:val="20"/>
                <w:color w:val="auto"/>
              </w:rPr>
            </w:pPr>
            <w:r>
              <w:rPr>
                <w:rFonts w:ascii="Arial" w:cs="Arial" w:eastAsia="Arial" w:hAnsi="Arial"/>
                <w:sz w:val="18"/>
                <w:szCs w:val="18"/>
                <w:color w:val="auto"/>
              </w:rPr>
              <w:t>Notes due March 2040</w:t>
            </w:r>
          </w:p>
        </w:tc>
        <w:tc>
          <w:tcPr>
            <w:tcW w:w="2620" w:type="dxa"/>
            <w:vAlign w:val="bottom"/>
          </w:tcPr>
          <w:p>
            <w:pPr>
              <w:ind w:left="420"/>
              <w:spacing w:after="0"/>
              <w:rPr>
                <w:sz w:val="20"/>
                <w:szCs w:val="20"/>
                <w:color w:val="auto"/>
              </w:rPr>
            </w:pPr>
            <w:r>
              <w:rPr>
                <w:rFonts w:ascii="Arial" w:cs="Arial" w:eastAsia="Arial" w:hAnsi="Arial"/>
                <w:sz w:val="18"/>
                <w:szCs w:val="18"/>
                <w:color w:val="auto"/>
              </w:rPr>
              <w:t>Comcast Corporation</w:t>
            </w:r>
          </w:p>
        </w:tc>
        <w:tc>
          <w:tcPr>
            <w:tcW w:w="1380" w:type="dxa"/>
            <w:vAlign w:val="bottom"/>
          </w:tcPr>
          <w:p>
            <w:pPr>
              <w:jc w:val="center"/>
              <w:ind w:left="30"/>
              <w:spacing w:after="0"/>
              <w:rPr>
                <w:sz w:val="20"/>
                <w:szCs w:val="20"/>
                <w:color w:val="auto"/>
              </w:rPr>
            </w:pPr>
            <w:r>
              <w:rPr>
                <w:rFonts w:ascii="Arial" w:cs="Arial" w:eastAsia="Arial" w:hAnsi="Arial"/>
                <w:sz w:val="18"/>
                <w:szCs w:val="18"/>
                <w:color w:val="auto"/>
                <w:w w:val="92"/>
              </w:rPr>
              <w:t>20030N BB6</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$481,743,000</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$189,345,000</w:t>
            </w:r>
          </w:p>
        </w:tc>
      </w:tr>
      <w:tr>
        <w:trPr>
          <w:trHeight w:val="257"/>
        </w:trPr>
        <w:tc>
          <w:tcPr>
            <w:tcW w:w="620" w:type="dxa"/>
            <w:vAlign w:val="bottom"/>
          </w:tcPr>
          <w:p>
            <w:pPr>
              <w:ind w:left="40"/>
              <w:spacing w:after="0"/>
              <w:rPr>
                <w:sz w:val="20"/>
                <w:szCs w:val="20"/>
                <w:color w:val="auto"/>
              </w:rPr>
            </w:pPr>
            <w:r>
              <w:rPr>
                <w:rFonts w:ascii="Arial" w:cs="Arial" w:eastAsia="Arial" w:hAnsi="Arial"/>
                <w:sz w:val="18"/>
                <w:szCs w:val="18"/>
                <w:color w:val="auto"/>
                <w:w w:val="91"/>
              </w:rPr>
              <w:t>6.400%</w:t>
            </w:r>
          </w:p>
        </w:tc>
        <w:tc>
          <w:tcPr>
            <w:tcW w:w="2100" w:type="dxa"/>
            <w:vAlign w:val="bottom"/>
          </w:tcPr>
          <w:p>
            <w:pPr>
              <w:ind w:left="20"/>
              <w:spacing w:after="0"/>
              <w:rPr>
                <w:sz w:val="20"/>
                <w:szCs w:val="20"/>
                <w:color w:val="auto"/>
              </w:rPr>
            </w:pPr>
            <w:r>
              <w:rPr>
                <w:rFonts w:ascii="Arial" w:cs="Arial" w:eastAsia="Arial" w:hAnsi="Arial"/>
                <w:sz w:val="18"/>
                <w:szCs w:val="18"/>
                <w:color w:val="auto"/>
              </w:rPr>
              <w:t>Notes due April 2040</w:t>
            </w:r>
          </w:p>
        </w:tc>
        <w:tc>
          <w:tcPr>
            <w:tcW w:w="2620" w:type="dxa"/>
            <w:vAlign w:val="bottom"/>
          </w:tcPr>
          <w:p>
            <w:pPr>
              <w:ind w:left="420"/>
              <w:spacing w:after="0"/>
              <w:rPr>
                <w:sz w:val="20"/>
                <w:szCs w:val="20"/>
                <w:color w:val="auto"/>
              </w:rPr>
            </w:pPr>
            <w:r>
              <w:rPr>
                <w:rFonts w:ascii="Arial" w:cs="Arial" w:eastAsia="Arial" w:hAnsi="Arial"/>
                <w:sz w:val="18"/>
                <w:szCs w:val="18"/>
                <w:color w:val="auto"/>
              </w:rPr>
              <w:t>NBCUniversal Media, LLC</w:t>
            </w:r>
          </w:p>
        </w:tc>
        <w:tc>
          <w:tcPr>
            <w:tcW w:w="1380" w:type="dxa"/>
            <w:vAlign w:val="bottom"/>
          </w:tcPr>
          <w:p>
            <w:pPr>
              <w:jc w:val="center"/>
              <w:ind w:left="30"/>
              <w:spacing w:after="0" w:line="256" w:lineRule="exact"/>
              <w:rPr>
                <w:sz w:val="20"/>
                <w:szCs w:val="20"/>
                <w:color w:val="auto"/>
              </w:rPr>
            </w:pPr>
            <w:r>
              <w:rPr>
                <w:rFonts w:ascii="Arial" w:cs="Arial" w:eastAsia="Arial" w:hAnsi="Arial"/>
                <w:sz w:val="18"/>
                <w:szCs w:val="18"/>
                <w:color w:val="auto"/>
                <w:w w:val="88"/>
              </w:rPr>
              <w:t>63946B AF7</w:t>
            </w:r>
            <w:r>
              <w:rPr>
                <w:rFonts w:ascii="Arial" w:cs="Arial" w:eastAsia="Arial" w:hAnsi="Arial"/>
                <w:sz w:val="29"/>
                <w:szCs w:val="29"/>
                <w:color w:val="auto"/>
                <w:w w:val="88"/>
                <w:vertAlign w:val="superscript"/>
              </w:rPr>
              <w:t>(2)</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$558,422,000</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$172,526,000</w:t>
            </w:r>
          </w:p>
        </w:tc>
      </w:tr>
      <w:tr>
        <w:trPr>
          <w:trHeight w:val="216"/>
        </w:trPr>
        <w:tc>
          <w:tcPr>
            <w:tcW w:w="620" w:type="dxa"/>
            <w:vAlign w:val="bottom"/>
          </w:tcPr>
          <w:p>
            <w:pPr>
              <w:ind w:left="40"/>
              <w:spacing w:after="0"/>
              <w:rPr>
                <w:sz w:val="20"/>
                <w:szCs w:val="20"/>
                <w:color w:val="auto"/>
              </w:rPr>
            </w:pPr>
            <w:r>
              <w:rPr>
                <w:rFonts w:ascii="Arial" w:cs="Arial" w:eastAsia="Arial" w:hAnsi="Arial"/>
                <w:sz w:val="18"/>
                <w:szCs w:val="18"/>
                <w:color w:val="auto"/>
                <w:w w:val="91"/>
              </w:rPr>
              <w:t>6.550%</w:t>
            </w:r>
          </w:p>
        </w:tc>
        <w:tc>
          <w:tcPr>
            <w:tcW w:w="2100" w:type="dxa"/>
            <w:vAlign w:val="bottom"/>
          </w:tcPr>
          <w:p>
            <w:pPr>
              <w:ind w:left="20"/>
              <w:spacing w:after="0"/>
              <w:rPr>
                <w:sz w:val="20"/>
                <w:szCs w:val="20"/>
                <w:color w:val="auto"/>
              </w:rPr>
            </w:pPr>
            <w:r>
              <w:rPr>
                <w:rFonts w:ascii="Arial" w:cs="Arial" w:eastAsia="Arial" w:hAnsi="Arial"/>
                <w:sz w:val="18"/>
                <w:szCs w:val="18"/>
                <w:color w:val="auto"/>
              </w:rPr>
              <w:t>Notes due 2039</w:t>
            </w:r>
          </w:p>
        </w:tc>
        <w:tc>
          <w:tcPr>
            <w:tcW w:w="2620" w:type="dxa"/>
            <w:vAlign w:val="bottom"/>
          </w:tcPr>
          <w:p>
            <w:pPr>
              <w:ind w:left="420"/>
              <w:spacing w:after="0"/>
              <w:rPr>
                <w:sz w:val="20"/>
                <w:szCs w:val="20"/>
                <w:color w:val="auto"/>
              </w:rPr>
            </w:pPr>
            <w:r>
              <w:rPr>
                <w:rFonts w:ascii="Arial" w:cs="Arial" w:eastAsia="Arial" w:hAnsi="Arial"/>
                <w:sz w:val="18"/>
                <w:szCs w:val="18"/>
                <w:color w:val="auto"/>
              </w:rPr>
              <w:t>Comcast Corporation</w:t>
            </w:r>
          </w:p>
        </w:tc>
        <w:tc>
          <w:tcPr>
            <w:tcW w:w="1380" w:type="dxa"/>
            <w:vAlign w:val="bottom"/>
          </w:tcPr>
          <w:p>
            <w:pPr>
              <w:jc w:val="center"/>
              <w:ind w:left="30"/>
              <w:spacing w:after="0"/>
              <w:rPr>
                <w:sz w:val="20"/>
                <w:szCs w:val="20"/>
                <w:color w:val="auto"/>
              </w:rPr>
            </w:pPr>
            <w:r>
              <w:rPr>
                <w:rFonts w:ascii="Arial" w:cs="Arial" w:eastAsia="Arial" w:hAnsi="Arial"/>
                <w:sz w:val="18"/>
                <w:szCs w:val="18"/>
                <w:color w:val="auto"/>
                <w:w w:val="92"/>
              </w:rPr>
              <w:t>20030N AY7</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$413,668,000</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$91,628,000</w:t>
            </w:r>
          </w:p>
        </w:tc>
      </w:tr>
      <w:tr>
        <w:trPr>
          <w:trHeight w:val="216"/>
        </w:trPr>
        <w:tc>
          <w:tcPr>
            <w:tcW w:w="620" w:type="dxa"/>
            <w:vAlign w:val="bottom"/>
          </w:tcPr>
          <w:p>
            <w:pPr>
              <w:ind w:left="40"/>
              <w:spacing w:after="0"/>
              <w:rPr>
                <w:sz w:val="20"/>
                <w:szCs w:val="20"/>
                <w:color w:val="auto"/>
              </w:rPr>
            </w:pPr>
            <w:r>
              <w:rPr>
                <w:rFonts w:ascii="Arial" w:cs="Arial" w:eastAsia="Arial" w:hAnsi="Arial"/>
                <w:sz w:val="18"/>
                <w:szCs w:val="18"/>
                <w:color w:val="auto"/>
                <w:w w:val="91"/>
              </w:rPr>
              <w:t>4.600%</w:t>
            </w:r>
          </w:p>
        </w:tc>
        <w:tc>
          <w:tcPr>
            <w:tcW w:w="2100" w:type="dxa"/>
            <w:vAlign w:val="bottom"/>
          </w:tcPr>
          <w:p>
            <w:pPr>
              <w:ind w:left="20"/>
              <w:spacing w:after="0"/>
              <w:rPr>
                <w:sz w:val="20"/>
                <w:szCs w:val="20"/>
                <w:color w:val="auto"/>
              </w:rPr>
            </w:pPr>
            <w:r>
              <w:rPr>
                <w:rFonts w:ascii="Arial" w:cs="Arial" w:eastAsia="Arial" w:hAnsi="Arial"/>
                <w:sz w:val="18"/>
                <w:szCs w:val="18"/>
                <w:color w:val="auto"/>
              </w:rPr>
              <w:t>Notes due 2038</w:t>
            </w:r>
          </w:p>
        </w:tc>
        <w:tc>
          <w:tcPr>
            <w:tcW w:w="2620" w:type="dxa"/>
            <w:vAlign w:val="bottom"/>
          </w:tcPr>
          <w:p>
            <w:pPr>
              <w:ind w:left="420"/>
              <w:spacing w:after="0"/>
              <w:rPr>
                <w:sz w:val="20"/>
                <w:szCs w:val="20"/>
                <w:color w:val="auto"/>
              </w:rPr>
            </w:pPr>
            <w:r>
              <w:rPr>
                <w:rFonts w:ascii="Arial" w:cs="Arial" w:eastAsia="Arial" w:hAnsi="Arial"/>
                <w:sz w:val="18"/>
                <w:szCs w:val="18"/>
                <w:color w:val="auto"/>
              </w:rPr>
              <w:t>Comcast Corporation</w:t>
            </w:r>
          </w:p>
        </w:tc>
        <w:tc>
          <w:tcPr>
            <w:tcW w:w="1380" w:type="dxa"/>
            <w:vAlign w:val="bottom"/>
          </w:tcPr>
          <w:p>
            <w:pPr>
              <w:jc w:val="center"/>
              <w:ind w:left="30"/>
              <w:spacing w:after="0"/>
              <w:rPr>
                <w:sz w:val="20"/>
                <w:szCs w:val="20"/>
                <w:color w:val="auto"/>
              </w:rPr>
            </w:pPr>
            <w:r>
              <w:rPr>
                <w:rFonts w:ascii="Arial" w:cs="Arial" w:eastAsia="Arial" w:hAnsi="Arial"/>
                <w:sz w:val="18"/>
                <w:szCs w:val="18"/>
                <w:color w:val="auto"/>
                <w:w w:val="92"/>
              </w:rPr>
              <w:t>20030N CL3</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$3,000,000,000</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$2,031,115,000</w:t>
            </w:r>
          </w:p>
        </w:tc>
      </w:tr>
      <w:tr>
        <w:trPr>
          <w:trHeight w:val="216"/>
        </w:trPr>
        <w:tc>
          <w:tcPr>
            <w:tcW w:w="620" w:type="dxa"/>
            <w:vAlign w:val="bottom"/>
          </w:tcPr>
          <w:p>
            <w:pPr>
              <w:ind w:left="40"/>
              <w:spacing w:after="0"/>
              <w:rPr>
                <w:sz w:val="20"/>
                <w:szCs w:val="20"/>
                <w:color w:val="auto"/>
              </w:rPr>
            </w:pPr>
            <w:r>
              <w:rPr>
                <w:rFonts w:ascii="Arial" w:cs="Arial" w:eastAsia="Arial" w:hAnsi="Arial"/>
                <w:sz w:val="18"/>
                <w:szCs w:val="18"/>
                <w:color w:val="auto"/>
                <w:w w:val="91"/>
              </w:rPr>
              <w:t>6.500%</w:t>
            </w:r>
          </w:p>
        </w:tc>
        <w:tc>
          <w:tcPr>
            <w:tcW w:w="2100" w:type="dxa"/>
            <w:vAlign w:val="bottom"/>
          </w:tcPr>
          <w:p>
            <w:pPr>
              <w:ind w:left="20"/>
              <w:spacing w:after="0"/>
              <w:rPr>
                <w:sz w:val="20"/>
                <w:szCs w:val="20"/>
                <w:color w:val="auto"/>
              </w:rPr>
            </w:pPr>
            <w:r>
              <w:rPr>
                <w:rFonts w:ascii="Arial" w:cs="Arial" w:eastAsia="Arial" w:hAnsi="Arial"/>
                <w:sz w:val="18"/>
                <w:szCs w:val="18"/>
                <w:color w:val="auto"/>
              </w:rPr>
              <w:t>Notes due 2035</w:t>
            </w:r>
          </w:p>
        </w:tc>
        <w:tc>
          <w:tcPr>
            <w:tcW w:w="2620" w:type="dxa"/>
            <w:vAlign w:val="bottom"/>
          </w:tcPr>
          <w:p>
            <w:pPr>
              <w:ind w:left="420"/>
              <w:spacing w:after="0"/>
              <w:rPr>
                <w:sz w:val="20"/>
                <w:szCs w:val="20"/>
                <w:color w:val="auto"/>
              </w:rPr>
            </w:pPr>
            <w:r>
              <w:rPr>
                <w:rFonts w:ascii="Arial" w:cs="Arial" w:eastAsia="Arial" w:hAnsi="Arial"/>
                <w:sz w:val="18"/>
                <w:szCs w:val="18"/>
                <w:color w:val="auto"/>
              </w:rPr>
              <w:t>Comcast Corporation</w:t>
            </w:r>
          </w:p>
        </w:tc>
        <w:tc>
          <w:tcPr>
            <w:tcW w:w="1380" w:type="dxa"/>
            <w:vAlign w:val="bottom"/>
          </w:tcPr>
          <w:p>
            <w:pPr>
              <w:jc w:val="center"/>
              <w:ind w:left="30"/>
              <w:spacing w:after="0"/>
              <w:rPr>
                <w:sz w:val="20"/>
                <w:szCs w:val="20"/>
                <w:color w:val="auto"/>
              </w:rPr>
            </w:pPr>
            <w:r>
              <w:rPr>
                <w:rFonts w:ascii="Arial" w:cs="Arial" w:eastAsia="Arial" w:hAnsi="Arial"/>
                <w:sz w:val="18"/>
                <w:szCs w:val="18"/>
                <w:color w:val="auto"/>
                <w:w w:val="95"/>
              </w:rPr>
              <w:t>20030N AK7</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$1,000,000,000</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$471,031,000</w:t>
            </w:r>
          </w:p>
        </w:tc>
      </w:tr>
      <w:tr>
        <w:trPr>
          <w:trHeight w:val="216"/>
        </w:trPr>
        <w:tc>
          <w:tcPr>
            <w:tcW w:w="620" w:type="dxa"/>
            <w:vAlign w:val="bottom"/>
          </w:tcPr>
          <w:p>
            <w:pPr>
              <w:ind w:left="40"/>
              <w:spacing w:after="0"/>
              <w:rPr>
                <w:sz w:val="20"/>
                <w:szCs w:val="20"/>
                <w:color w:val="auto"/>
              </w:rPr>
            </w:pPr>
            <w:r>
              <w:rPr>
                <w:rFonts w:ascii="Arial" w:cs="Arial" w:eastAsia="Arial" w:hAnsi="Arial"/>
                <w:sz w:val="18"/>
                <w:szCs w:val="18"/>
                <w:color w:val="auto"/>
                <w:w w:val="91"/>
              </w:rPr>
              <w:t>5.650%</w:t>
            </w:r>
          </w:p>
        </w:tc>
        <w:tc>
          <w:tcPr>
            <w:tcW w:w="2100" w:type="dxa"/>
            <w:vAlign w:val="bottom"/>
          </w:tcPr>
          <w:p>
            <w:pPr>
              <w:ind w:left="20"/>
              <w:spacing w:after="0"/>
              <w:rPr>
                <w:sz w:val="20"/>
                <w:szCs w:val="20"/>
                <w:color w:val="auto"/>
              </w:rPr>
            </w:pPr>
            <w:r>
              <w:rPr>
                <w:rFonts w:ascii="Arial" w:cs="Arial" w:eastAsia="Arial" w:hAnsi="Arial"/>
                <w:sz w:val="18"/>
                <w:szCs w:val="18"/>
                <w:color w:val="auto"/>
              </w:rPr>
              <w:t>Notes due 2035</w:t>
            </w:r>
          </w:p>
        </w:tc>
        <w:tc>
          <w:tcPr>
            <w:tcW w:w="2620" w:type="dxa"/>
            <w:vAlign w:val="bottom"/>
          </w:tcPr>
          <w:p>
            <w:pPr>
              <w:ind w:left="420"/>
              <w:spacing w:after="0"/>
              <w:rPr>
                <w:sz w:val="20"/>
                <w:szCs w:val="20"/>
                <w:color w:val="auto"/>
              </w:rPr>
            </w:pPr>
            <w:r>
              <w:rPr>
                <w:rFonts w:ascii="Arial" w:cs="Arial" w:eastAsia="Arial" w:hAnsi="Arial"/>
                <w:sz w:val="18"/>
                <w:szCs w:val="18"/>
                <w:color w:val="auto"/>
              </w:rPr>
              <w:t>Comcast Corporation</w:t>
            </w:r>
          </w:p>
        </w:tc>
        <w:tc>
          <w:tcPr>
            <w:tcW w:w="1380" w:type="dxa"/>
            <w:vAlign w:val="bottom"/>
          </w:tcPr>
          <w:p>
            <w:pPr>
              <w:jc w:val="center"/>
              <w:ind w:left="30"/>
              <w:spacing w:after="0"/>
              <w:rPr>
                <w:sz w:val="20"/>
                <w:szCs w:val="20"/>
                <w:color w:val="auto"/>
              </w:rPr>
            </w:pPr>
            <w:r>
              <w:rPr>
                <w:rFonts w:ascii="Arial" w:cs="Arial" w:eastAsia="Arial" w:hAnsi="Arial"/>
                <w:sz w:val="18"/>
                <w:szCs w:val="18"/>
                <w:color w:val="auto"/>
                <w:w w:val="92"/>
              </w:rPr>
              <w:t>20030N AF8</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$750,000,000</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$307,840,000</w:t>
            </w:r>
          </w:p>
        </w:tc>
      </w:tr>
      <w:tr>
        <w:trPr>
          <w:trHeight w:val="230"/>
        </w:trPr>
        <w:tc>
          <w:tcPr>
            <w:tcW w:w="620" w:type="dxa"/>
            <w:vAlign w:val="bottom"/>
          </w:tcPr>
          <w:p>
            <w:pPr>
              <w:ind w:left="40"/>
              <w:spacing w:after="0"/>
              <w:rPr>
                <w:sz w:val="20"/>
                <w:szCs w:val="20"/>
                <w:color w:val="auto"/>
              </w:rPr>
            </w:pPr>
            <w:r>
              <w:rPr>
                <w:rFonts w:ascii="Arial" w:cs="Arial" w:eastAsia="Arial" w:hAnsi="Arial"/>
                <w:sz w:val="18"/>
                <w:szCs w:val="18"/>
                <w:color w:val="auto"/>
                <w:w w:val="91"/>
              </w:rPr>
              <w:t>7.050%</w:t>
            </w:r>
          </w:p>
        </w:tc>
        <w:tc>
          <w:tcPr>
            <w:tcW w:w="2100" w:type="dxa"/>
            <w:vAlign w:val="bottom"/>
          </w:tcPr>
          <w:p>
            <w:pPr>
              <w:ind w:left="20"/>
              <w:spacing w:after="0"/>
              <w:rPr>
                <w:sz w:val="20"/>
                <w:szCs w:val="20"/>
                <w:color w:val="auto"/>
              </w:rPr>
            </w:pPr>
            <w:r>
              <w:rPr>
                <w:rFonts w:ascii="Arial" w:cs="Arial" w:eastAsia="Arial" w:hAnsi="Arial"/>
                <w:sz w:val="18"/>
                <w:szCs w:val="18"/>
                <w:color w:val="auto"/>
              </w:rPr>
              <w:t>Notes due 2033</w:t>
            </w:r>
          </w:p>
        </w:tc>
        <w:tc>
          <w:tcPr>
            <w:tcW w:w="2620" w:type="dxa"/>
            <w:vAlign w:val="bottom"/>
          </w:tcPr>
          <w:p>
            <w:pPr>
              <w:ind w:left="420"/>
              <w:spacing w:after="0"/>
              <w:rPr>
                <w:sz w:val="20"/>
                <w:szCs w:val="20"/>
                <w:color w:val="auto"/>
              </w:rPr>
            </w:pPr>
            <w:r>
              <w:rPr>
                <w:rFonts w:ascii="Arial" w:cs="Arial" w:eastAsia="Arial" w:hAnsi="Arial"/>
                <w:sz w:val="18"/>
                <w:szCs w:val="18"/>
                <w:color w:val="auto"/>
              </w:rPr>
              <w:t>Comcast Corporation</w:t>
            </w:r>
          </w:p>
        </w:tc>
        <w:tc>
          <w:tcPr>
            <w:tcW w:w="1380" w:type="dxa"/>
            <w:vAlign w:val="bottom"/>
          </w:tcPr>
          <w:p>
            <w:pPr>
              <w:jc w:val="center"/>
              <w:ind w:left="30"/>
              <w:spacing w:after="0"/>
              <w:rPr>
                <w:sz w:val="20"/>
                <w:szCs w:val="20"/>
                <w:color w:val="auto"/>
              </w:rPr>
            </w:pPr>
            <w:r>
              <w:rPr>
                <w:rFonts w:ascii="Arial" w:cs="Arial" w:eastAsia="Arial" w:hAnsi="Arial"/>
                <w:sz w:val="18"/>
                <w:szCs w:val="18"/>
                <w:color w:val="auto"/>
                <w:w w:val="95"/>
              </w:rPr>
              <w:t>20030N AC5</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$750,000,000</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$216,251,000</w:t>
            </w:r>
          </w:p>
        </w:tc>
      </w:tr>
    </w:tbl>
    <w:p>
      <w:pPr>
        <w:spacing w:after="0" w:line="229" w:lineRule="exact"/>
        <w:rPr>
          <w:sz w:val="20"/>
          <w:szCs w:val="20"/>
          <w:color w:val="auto"/>
        </w:rPr>
      </w:pPr>
    </w:p>
    <w:p>
      <w:pPr>
        <w:ind w:left="660" w:right="80" w:hanging="328"/>
        <w:spacing w:after="0" w:line="274"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aggregate principal amount of each series of Pool 1 Notes that have been validly tendered for exchange and not validly withdrawn, as of 5:00 p.m., New York City time, on August 13, 2021, based on information provided by the exchange agent to Comcast.</w:t>
      </w:r>
    </w:p>
    <w:p>
      <w:pPr>
        <w:ind w:left="660" w:right="600" w:hanging="328"/>
        <w:spacing w:after="0" w:line="26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6.400% Notes due April 2040 also includes notes with a restrictive legend (144A CUSIP number: 62875UAD7; Regulation S CUSIP: U63763AB9).</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ind w:right="20"/>
        <w:spacing w:after="0" w:line="257" w:lineRule="auto"/>
        <w:rPr>
          <w:sz w:val="20"/>
          <w:szCs w:val="20"/>
          <w:color w:val="auto"/>
        </w:rPr>
      </w:pPr>
      <w:r>
        <w:rPr>
          <w:rFonts w:ascii="Arial" w:cs="Arial" w:eastAsia="Arial" w:hAnsi="Arial"/>
          <w:sz w:val="18"/>
          <w:szCs w:val="18"/>
          <w:color w:val="auto"/>
        </w:rPr>
        <w:t>Comcast and NBCUniversal have also offered to exchange six series of notes issued by Comcast or NBCUniversal, respectively, (collectively, the “Pool 2 Notes”) for a combination of cash and a new series of Comcast’s senior notes to be due in 2056 (the “New 2056 Notes”) as described in the table below. The aggregate principal amount of Pool 2 Notes that are accepted for exchange will be based on the order of acceptance priority for such series as set forth in the table below, and such that the aggregate principal amount of Pool 2 Notes accepted results in the issuance of New 2056 Notes in an amount not exceeding $6,000,000,000 (as increased, the “2056 Notes Cap”);</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4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4"/>
              </w:rPr>
              <w:t>Principal</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7"/>
              </w:rPr>
              <w:t>Acceptance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r>
      <w:tr>
        <w:trPr>
          <w:trHeight w:val="216"/>
        </w:trPr>
        <w:tc>
          <w:tcPr>
            <w:tcW w:w="24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340" w:type="dxa"/>
            <w:vAlign w:val="bottom"/>
          </w:tcPr>
          <w:p>
            <w:pPr>
              <w:jc w:val="center"/>
              <w:ind w:left="70"/>
              <w:spacing w:after="0"/>
              <w:rPr>
                <w:sz w:val="20"/>
                <w:szCs w:val="20"/>
                <w:color w:val="auto"/>
              </w:rPr>
            </w:pPr>
            <w:r>
              <w:rPr>
                <w:rFonts w:ascii="Arial" w:cs="Arial" w:eastAsia="Arial" w:hAnsi="Arial"/>
                <w:sz w:val="18"/>
                <w:szCs w:val="18"/>
                <w:b w:val="1"/>
                <w:bCs w:val="1"/>
                <w:color w:val="auto"/>
                <w:w w:val="98"/>
              </w:rPr>
              <w:t>CUSIP</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8"/>
              </w:rPr>
              <w:t>Priority</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r>
      <w:tr>
        <w:trPr>
          <w:trHeight w:val="270"/>
        </w:trPr>
        <w:tc>
          <w:tcPr>
            <w:tcW w:w="246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Title of Security</w:t>
            </w:r>
          </w:p>
        </w:tc>
        <w:tc>
          <w:tcPr>
            <w:tcW w:w="2680" w:type="dxa"/>
            <w:vAlign w:val="bottom"/>
            <w:tcBorders>
              <w:bottom w:val="single" w:sz="8" w:color="auto"/>
            </w:tcBorders>
          </w:tcPr>
          <w:p>
            <w:pPr>
              <w:ind w:left="1360"/>
              <w:spacing w:after="0"/>
              <w:rPr>
                <w:sz w:val="20"/>
                <w:szCs w:val="20"/>
                <w:color w:val="auto"/>
              </w:rPr>
            </w:pPr>
            <w:r>
              <w:rPr>
                <w:rFonts w:ascii="Arial" w:cs="Arial" w:eastAsia="Arial" w:hAnsi="Arial"/>
                <w:sz w:val="18"/>
                <w:szCs w:val="18"/>
                <w:b w:val="1"/>
                <w:bCs w:val="1"/>
                <w:color w:val="auto"/>
              </w:rPr>
              <w:t>Issuer</w:t>
            </w:r>
          </w:p>
        </w:tc>
        <w:tc>
          <w:tcPr>
            <w:tcW w:w="13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3"/>
              </w:rPr>
              <w:t>Number(s)</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Level</w:t>
            </w:r>
          </w:p>
        </w:tc>
        <w:tc>
          <w:tcPr>
            <w:tcW w:w="124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5"/>
              </w:rPr>
              <w:t>Tendered</w:t>
            </w:r>
            <w:r>
              <w:rPr>
                <w:rFonts w:ascii="Arial" w:cs="Arial" w:eastAsia="Arial" w:hAnsi="Arial"/>
                <w:sz w:val="29"/>
                <w:szCs w:val="29"/>
                <w:b w:val="1"/>
                <w:bCs w:val="1"/>
                <w:color w:val="auto"/>
                <w:w w:val="85"/>
                <w:vertAlign w:val="superscript"/>
              </w:rPr>
              <w:t>(1)</w:t>
            </w:r>
          </w:p>
        </w:tc>
      </w:tr>
      <w:tr>
        <w:trPr>
          <w:trHeight w:val="223"/>
        </w:trPr>
        <w:tc>
          <w:tcPr>
            <w:tcW w:w="2460" w:type="dxa"/>
            <w:vAlign w:val="bottom"/>
            <w:shd w:val="clear" w:color="auto" w:fill="BFBFBF"/>
          </w:tcPr>
          <w:p>
            <w:pPr>
              <w:ind w:left="40"/>
              <w:spacing w:after="0"/>
              <w:rPr>
                <w:sz w:val="20"/>
                <w:szCs w:val="20"/>
                <w:color w:val="auto"/>
              </w:rPr>
            </w:pPr>
            <w:r>
              <w:rPr>
                <w:rFonts w:ascii="Arial" w:cs="Arial" w:eastAsia="Arial" w:hAnsi="Arial"/>
                <w:sz w:val="18"/>
                <w:szCs w:val="18"/>
                <w:color w:val="auto"/>
              </w:rPr>
              <w:t>Pool 2 Notes</w:t>
            </w:r>
          </w:p>
        </w:tc>
        <w:tc>
          <w:tcPr>
            <w:tcW w:w="2680" w:type="dxa"/>
            <w:vAlign w:val="bottom"/>
            <w:shd w:val="clear" w:color="auto" w:fill="BFBFBF"/>
          </w:tcPr>
          <w:p>
            <w:pPr>
              <w:spacing w:after="0"/>
              <w:rPr>
                <w:sz w:val="19"/>
                <w:szCs w:val="19"/>
                <w:color w:val="auto"/>
              </w:rPr>
            </w:pPr>
          </w:p>
        </w:tc>
        <w:tc>
          <w:tcPr>
            <w:tcW w:w="1340" w:type="dxa"/>
            <w:vAlign w:val="bottom"/>
            <w:shd w:val="clear" w:color="auto" w:fill="BFBFBF"/>
          </w:tcPr>
          <w:p>
            <w:pPr>
              <w:spacing w:after="0"/>
              <w:rPr>
                <w:sz w:val="19"/>
                <w:szCs w:val="19"/>
                <w:color w:val="auto"/>
              </w:rPr>
            </w:pPr>
          </w:p>
        </w:tc>
        <w:tc>
          <w:tcPr>
            <w:tcW w:w="1320" w:type="dxa"/>
            <w:vAlign w:val="bottom"/>
            <w:shd w:val="clear" w:color="auto" w:fill="BFBFBF"/>
          </w:tcPr>
          <w:p>
            <w:pPr>
              <w:spacing w:after="0"/>
              <w:rPr>
                <w:sz w:val="19"/>
                <w:szCs w:val="19"/>
                <w:color w:val="auto"/>
              </w:rPr>
            </w:pPr>
          </w:p>
        </w:tc>
        <w:tc>
          <w:tcPr>
            <w:tcW w:w="1060" w:type="dxa"/>
            <w:vAlign w:val="bottom"/>
            <w:shd w:val="clear" w:color="auto" w:fill="BFBFBF"/>
          </w:tcPr>
          <w:p>
            <w:pPr>
              <w:spacing w:after="0"/>
              <w:rPr>
                <w:sz w:val="19"/>
                <w:szCs w:val="19"/>
                <w:color w:val="auto"/>
              </w:rPr>
            </w:pPr>
          </w:p>
        </w:tc>
        <w:tc>
          <w:tcPr>
            <w:tcW w:w="1240" w:type="dxa"/>
            <w:vAlign w:val="bottom"/>
            <w:shd w:val="clear" w:color="auto" w:fill="BFBFBF"/>
          </w:tcPr>
          <w:p>
            <w:pPr>
              <w:spacing w:after="0"/>
              <w:rPr>
                <w:sz w:val="19"/>
                <w:szCs w:val="19"/>
                <w:color w:val="auto"/>
              </w:rPr>
            </w:pPr>
          </w:p>
        </w:tc>
      </w:tr>
      <w:tr>
        <w:trPr>
          <w:trHeight w:val="202"/>
        </w:trPr>
        <w:tc>
          <w:tcPr>
            <w:tcW w:w="2460" w:type="dxa"/>
            <w:vAlign w:val="bottom"/>
          </w:tcPr>
          <w:p>
            <w:pPr>
              <w:ind w:left="40"/>
              <w:spacing w:after="0" w:line="201" w:lineRule="exact"/>
              <w:rPr>
                <w:sz w:val="20"/>
                <w:szCs w:val="20"/>
                <w:color w:val="auto"/>
              </w:rPr>
            </w:pPr>
            <w:r>
              <w:rPr>
                <w:rFonts w:ascii="Arial" w:cs="Arial" w:eastAsia="Arial" w:hAnsi="Arial"/>
                <w:sz w:val="18"/>
                <w:szCs w:val="18"/>
                <w:color w:val="auto"/>
              </w:rPr>
              <w:t>5.950% Notes due 2041</w:t>
            </w:r>
          </w:p>
        </w:tc>
        <w:tc>
          <w:tcPr>
            <w:tcW w:w="2680" w:type="dxa"/>
            <w:vAlign w:val="bottom"/>
          </w:tcPr>
          <w:p>
            <w:pPr>
              <w:ind w:left="420"/>
              <w:spacing w:after="0" w:line="201" w:lineRule="exact"/>
              <w:rPr>
                <w:sz w:val="20"/>
                <w:szCs w:val="20"/>
                <w:color w:val="auto"/>
              </w:rPr>
            </w:pPr>
            <w:r>
              <w:rPr>
                <w:rFonts w:ascii="Arial" w:cs="Arial" w:eastAsia="Arial" w:hAnsi="Arial"/>
                <w:sz w:val="18"/>
                <w:szCs w:val="18"/>
                <w:color w:val="auto"/>
              </w:rPr>
              <w:t>NBCUniversal Media, LLC</w:t>
            </w:r>
          </w:p>
        </w:tc>
        <w:tc>
          <w:tcPr>
            <w:tcW w:w="1340" w:type="dxa"/>
            <w:vAlign w:val="bottom"/>
          </w:tcPr>
          <w:p>
            <w:pPr>
              <w:jc w:val="center"/>
              <w:ind w:left="50"/>
              <w:spacing w:after="0" w:line="201" w:lineRule="exact"/>
              <w:rPr>
                <w:sz w:val="20"/>
                <w:szCs w:val="20"/>
                <w:color w:val="auto"/>
              </w:rPr>
            </w:pPr>
            <w:r>
              <w:rPr>
                <w:rFonts w:ascii="Arial" w:cs="Arial" w:eastAsia="Arial" w:hAnsi="Arial"/>
                <w:sz w:val="18"/>
                <w:szCs w:val="18"/>
                <w:color w:val="auto"/>
                <w:w w:val="93"/>
              </w:rPr>
              <w:t>63946B AG5</w:t>
            </w:r>
          </w:p>
        </w:tc>
        <w:tc>
          <w:tcPr>
            <w:tcW w:w="1320" w:type="dxa"/>
            <w:vAlign w:val="bottom"/>
          </w:tcPr>
          <w:p>
            <w:pPr>
              <w:jc w:val="center"/>
              <w:spacing w:after="0" w:line="201" w:lineRule="exact"/>
              <w:rPr>
                <w:sz w:val="20"/>
                <w:szCs w:val="20"/>
                <w:color w:val="auto"/>
              </w:rPr>
            </w:pPr>
            <w:r>
              <w:rPr>
                <w:rFonts w:ascii="Arial" w:cs="Arial" w:eastAsia="Arial" w:hAnsi="Arial"/>
                <w:sz w:val="18"/>
                <w:szCs w:val="18"/>
                <w:color w:val="auto"/>
                <w:w w:val="89"/>
              </w:rPr>
              <w:t>$1,200,000,000</w:t>
            </w:r>
          </w:p>
        </w:tc>
        <w:tc>
          <w:tcPr>
            <w:tcW w:w="1060" w:type="dxa"/>
            <w:vAlign w:val="bottom"/>
          </w:tcPr>
          <w:p>
            <w:pPr>
              <w:jc w:val="center"/>
              <w:spacing w:after="0" w:line="201" w:lineRule="exact"/>
              <w:rPr>
                <w:sz w:val="20"/>
                <w:szCs w:val="20"/>
                <w:color w:val="auto"/>
              </w:rPr>
            </w:pPr>
            <w:r>
              <w:rPr>
                <w:rFonts w:ascii="Arial" w:cs="Arial" w:eastAsia="Arial" w:hAnsi="Arial"/>
                <w:sz w:val="18"/>
                <w:szCs w:val="18"/>
                <w:color w:val="auto"/>
                <w:w w:val="99"/>
              </w:rPr>
              <w:t>1</w:t>
            </w:r>
          </w:p>
        </w:tc>
        <w:tc>
          <w:tcPr>
            <w:tcW w:w="1240" w:type="dxa"/>
            <w:vAlign w:val="bottom"/>
          </w:tcPr>
          <w:p>
            <w:pPr>
              <w:jc w:val="center"/>
              <w:spacing w:after="0" w:line="201" w:lineRule="exact"/>
              <w:rPr>
                <w:sz w:val="20"/>
                <w:szCs w:val="20"/>
                <w:color w:val="auto"/>
              </w:rPr>
            </w:pPr>
            <w:r>
              <w:rPr>
                <w:rFonts w:ascii="Arial" w:cs="Arial" w:eastAsia="Arial" w:hAnsi="Arial"/>
                <w:sz w:val="18"/>
                <w:szCs w:val="18"/>
                <w:color w:val="auto"/>
                <w:w w:val="88"/>
              </w:rPr>
              <w:t>$712,470,000</w:t>
            </w:r>
          </w:p>
        </w:tc>
      </w:tr>
      <w:tr>
        <w:trPr>
          <w:trHeight w:val="216"/>
        </w:trPr>
        <w:tc>
          <w:tcPr>
            <w:tcW w:w="2460" w:type="dxa"/>
            <w:vAlign w:val="bottom"/>
          </w:tcPr>
          <w:p>
            <w:pPr>
              <w:ind w:left="40"/>
              <w:spacing w:after="0"/>
              <w:rPr>
                <w:sz w:val="20"/>
                <w:szCs w:val="20"/>
                <w:color w:val="auto"/>
              </w:rPr>
            </w:pPr>
            <w:r>
              <w:rPr>
                <w:rFonts w:ascii="Arial" w:cs="Arial" w:eastAsia="Arial" w:hAnsi="Arial"/>
                <w:sz w:val="18"/>
                <w:szCs w:val="18"/>
                <w:color w:val="auto"/>
              </w:rPr>
              <w:t>4.700% Notes due 2048</w:t>
            </w:r>
          </w:p>
        </w:tc>
        <w:tc>
          <w:tcPr>
            <w:tcW w:w="2680" w:type="dxa"/>
            <w:vAlign w:val="bottom"/>
          </w:tcPr>
          <w:p>
            <w:pPr>
              <w:ind w:left="420"/>
              <w:spacing w:after="0"/>
              <w:rPr>
                <w:sz w:val="20"/>
                <w:szCs w:val="20"/>
                <w:color w:val="auto"/>
              </w:rPr>
            </w:pPr>
            <w:r>
              <w:rPr>
                <w:rFonts w:ascii="Arial" w:cs="Arial" w:eastAsia="Arial" w:hAnsi="Arial"/>
                <w:sz w:val="18"/>
                <w:szCs w:val="18"/>
                <w:color w:val="auto"/>
              </w:rPr>
              <w:t>Comcast Corporation</w:t>
            </w:r>
          </w:p>
        </w:tc>
        <w:tc>
          <w:tcPr>
            <w:tcW w:w="1340" w:type="dxa"/>
            <w:vAlign w:val="bottom"/>
          </w:tcPr>
          <w:p>
            <w:pPr>
              <w:jc w:val="center"/>
              <w:ind w:left="50"/>
              <w:spacing w:after="0"/>
              <w:rPr>
                <w:sz w:val="20"/>
                <w:szCs w:val="20"/>
                <w:color w:val="auto"/>
              </w:rPr>
            </w:pPr>
            <w:r>
              <w:rPr>
                <w:rFonts w:ascii="Arial" w:cs="Arial" w:eastAsia="Arial" w:hAnsi="Arial"/>
                <w:sz w:val="18"/>
                <w:szCs w:val="18"/>
                <w:color w:val="auto"/>
                <w:w w:val="94"/>
              </w:rPr>
              <w:t>20030N CM1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$4,000,000,000</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$2,032,038,000</w:t>
            </w:r>
          </w:p>
        </w:tc>
      </w:tr>
      <w:tr>
        <w:trPr>
          <w:trHeight w:val="216"/>
        </w:trPr>
        <w:tc>
          <w:tcPr>
            <w:tcW w:w="2460" w:type="dxa"/>
            <w:vAlign w:val="bottom"/>
          </w:tcPr>
          <w:p>
            <w:pPr>
              <w:ind w:left="40"/>
              <w:spacing w:after="0"/>
              <w:rPr>
                <w:sz w:val="20"/>
                <w:szCs w:val="20"/>
                <w:color w:val="auto"/>
              </w:rPr>
            </w:pPr>
            <w:r>
              <w:rPr>
                <w:rFonts w:ascii="Arial" w:cs="Arial" w:eastAsia="Arial" w:hAnsi="Arial"/>
                <w:sz w:val="18"/>
                <w:szCs w:val="18"/>
                <w:color w:val="auto"/>
              </w:rPr>
              <w:t>4.750% Notes due 2044</w:t>
            </w:r>
          </w:p>
        </w:tc>
        <w:tc>
          <w:tcPr>
            <w:tcW w:w="2680" w:type="dxa"/>
            <w:vAlign w:val="bottom"/>
          </w:tcPr>
          <w:p>
            <w:pPr>
              <w:ind w:left="420"/>
              <w:spacing w:after="0"/>
              <w:rPr>
                <w:sz w:val="20"/>
                <w:szCs w:val="20"/>
                <w:color w:val="auto"/>
              </w:rPr>
            </w:pPr>
            <w:r>
              <w:rPr>
                <w:rFonts w:ascii="Arial" w:cs="Arial" w:eastAsia="Arial" w:hAnsi="Arial"/>
                <w:sz w:val="18"/>
                <w:szCs w:val="18"/>
                <w:color w:val="auto"/>
              </w:rPr>
              <w:t>Comcast Corporation</w:t>
            </w:r>
          </w:p>
        </w:tc>
        <w:tc>
          <w:tcPr>
            <w:tcW w:w="1340" w:type="dxa"/>
            <w:vAlign w:val="bottom"/>
          </w:tcPr>
          <w:p>
            <w:pPr>
              <w:jc w:val="center"/>
              <w:ind w:left="50"/>
              <w:spacing w:after="0"/>
              <w:rPr>
                <w:sz w:val="20"/>
                <w:szCs w:val="20"/>
                <w:color w:val="auto"/>
              </w:rPr>
            </w:pPr>
            <w:r>
              <w:rPr>
                <w:rFonts w:ascii="Arial" w:cs="Arial" w:eastAsia="Arial" w:hAnsi="Arial"/>
                <w:sz w:val="18"/>
                <w:szCs w:val="18"/>
                <w:color w:val="auto"/>
                <w:w w:val="94"/>
              </w:rPr>
              <w:t>20030N BK6</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$1,000,000,000</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$556,930,000</w:t>
            </w:r>
          </w:p>
        </w:tc>
      </w:tr>
      <w:tr>
        <w:trPr>
          <w:trHeight w:val="216"/>
        </w:trPr>
        <w:tc>
          <w:tcPr>
            <w:tcW w:w="2460" w:type="dxa"/>
            <w:vAlign w:val="bottom"/>
          </w:tcPr>
          <w:p>
            <w:pPr>
              <w:ind w:left="40"/>
              <w:spacing w:after="0"/>
              <w:rPr>
                <w:sz w:val="20"/>
                <w:szCs w:val="20"/>
                <w:color w:val="auto"/>
              </w:rPr>
            </w:pPr>
            <w:r>
              <w:rPr>
                <w:rFonts w:ascii="Arial" w:cs="Arial" w:eastAsia="Arial" w:hAnsi="Arial"/>
                <w:sz w:val="18"/>
                <w:szCs w:val="18"/>
                <w:color w:val="auto"/>
              </w:rPr>
              <w:t>4.650% Notes due 2042</w:t>
            </w:r>
          </w:p>
        </w:tc>
        <w:tc>
          <w:tcPr>
            <w:tcW w:w="2680" w:type="dxa"/>
            <w:vAlign w:val="bottom"/>
          </w:tcPr>
          <w:p>
            <w:pPr>
              <w:ind w:left="420"/>
              <w:spacing w:after="0"/>
              <w:rPr>
                <w:sz w:val="20"/>
                <w:szCs w:val="20"/>
                <w:color w:val="auto"/>
              </w:rPr>
            </w:pPr>
            <w:r>
              <w:rPr>
                <w:rFonts w:ascii="Arial" w:cs="Arial" w:eastAsia="Arial" w:hAnsi="Arial"/>
                <w:sz w:val="18"/>
                <w:szCs w:val="18"/>
                <w:color w:val="auto"/>
              </w:rPr>
              <w:t>Comcast Corporation</w:t>
            </w:r>
          </w:p>
        </w:tc>
        <w:tc>
          <w:tcPr>
            <w:tcW w:w="1340" w:type="dxa"/>
            <w:vAlign w:val="bottom"/>
          </w:tcPr>
          <w:p>
            <w:pPr>
              <w:jc w:val="center"/>
              <w:ind w:left="50"/>
              <w:spacing w:after="0"/>
              <w:rPr>
                <w:sz w:val="20"/>
                <w:szCs w:val="20"/>
                <w:color w:val="auto"/>
              </w:rPr>
            </w:pPr>
            <w:r>
              <w:rPr>
                <w:rFonts w:ascii="Arial" w:cs="Arial" w:eastAsia="Arial" w:hAnsi="Arial"/>
                <w:sz w:val="18"/>
                <w:szCs w:val="18"/>
                <w:color w:val="auto"/>
                <w:w w:val="94"/>
              </w:rPr>
              <w:t>20030N BE0</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$1,250,000,000</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$600,305,000</w:t>
            </w:r>
          </w:p>
        </w:tc>
      </w:tr>
      <w:tr>
        <w:trPr>
          <w:trHeight w:val="216"/>
        </w:trPr>
        <w:tc>
          <w:tcPr>
            <w:tcW w:w="2460" w:type="dxa"/>
            <w:vAlign w:val="bottom"/>
          </w:tcPr>
          <w:p>
            <w:pPr>
              <w:ind w:left="40"/>
              <w:spacing w:after="0"/>
              <w:rPr>
                <w:sz w:val="20"/>
                <w:szCs w:val="20"/>
                <w:color w:val="auto"/>
              </w:rPr>
            </w:pPr>
            <w:r>
              <w:rPr>
                <w:rFonts w:ascii="Arial" w:cs="Arial" w:eastAsia="Arial" w:hAnsi="Arial"/>
                <w:sz w:val="18"/>
                <w:szCs w:val="18"/>
                <w:color w:val="auto"/>
              </w:rPr>
              <w:t>4.500% Notes due 2043</w:t>
            </w:r>
          </w:p>
        </w:tc>
        <w:tc>
          <w:tcPr>
            <w:tcW w:w="2680" w:type="dxa"/>
            <w:vAlign w:val="bottom"/>
          </w:tcPr>
          <w:p>
            <w:pPr>
              <w:ind w:left="420"/>
              <w:spacing w:after="0"/>
              <w:rPr>
                <w:sz w:val="20"/>
                <w:szCs w:val="20"/>
                <w:color w:val="auto"/>
              </w:rPr>
            </w:pPr>
            <w:r>
              <w:rPr>
                <w:rFonts w:ascii="Arial" w:cs="Arial" w:eastAsia="Arial" w:hAnsi="Arial"/>
                <w:sz w:val="18"/>
                <w:szCs w:val="18"/>
                <w:color w:val="auto"/>
              </w:rPr>
              <w:t>Comcast Corporation</w:t>
            </w:r>
          </w:p>
        </w:tc>
        <w:tc>
          <w:tcPr>
            <w:tcW w:w="1340" w:type="dxa"/>
            <w:vAlign w:val="bottom"/>
          </w:tcPr>
          <w:p>
            <w:pPr>
              <w:jc w:val="center"/>
              <w:ind w:left="50"/>
              <w:spacing w:after="0"/>
              <w:rPr>
                <w:sz w:val="20"/>
                <w:szCs w:val="20"/>
                <w:color w:val="auto"/>
              </w:rPr>
            </w:pPr>
            <w:r>
              <w:rPr>
                <w:rFonts w:ascii="Arial" w:cs="Arial" w:eastAsia="Arial" w:hAnsi="Arial"/>
                <w:sz w:val="18"/>
                <w:szCs w:val="18"/>
                <w:color w:val="auto"/>
                <w:w w:val="92"/>
              </w:rPr>
              <w:t>20030N BG5</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$500,000,000</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$325,521,000</w:t>
            </w:r>
          </w:p>
        </w:tc>
      </w:tr>
      <w:tr>
        <w:trPr>
          <w:trHeight w:val="230"/>
        </w:trPr>
        <w:tc>
          <w:tcPr>
            <w:tcW w:w="2460" w:type="dxa"/>
            <w:vAlign w:val="bottom"/>
          </w:tcPr>
          <w:p>
            <w:pPr>
              <w:ind w:left="40"/>
              <w:spacing w:after="0"/>
              <w:rPr>
                <w:sz w:val="20"/>
                <w:szCs w:val="20"/>
                <w:color w:val="auto"/>
              </w:rPr>
            </w:pPr>
            <w:r>
              <w:rPr>
                <w:rFonts w:ascii="Arial" w:cs="Arial" w:eastAsia="Arial" w:hAnsi="Arial"/>
                <w:sz w:val="18"/>
                <w:szCs w:val="18"/>
                <w:color w:val="auto"/>
              </w:rPr>
              <w:t>4.450% Notes due 2043</w:t>
            </w:r>
          </w:p>
        </w:tc>
        <w:tc>
          <w:tcPr>
            <w:tcW w:w="2680" w:type="dxa"/>
            <w:vAlign w:val="bottom"/>
          </w:tcPr>
          <w:p>
            <w:pPr>
              <w:ind w:left="420"/>
              <w:spacing w:after="0"/>
              <w:rPr>
                <w:sz w:val="20"/>
                <w:szCs w:val="20"/>
                <w:color w:val="auto"/>
              </w:rPr>
            </w:pPr>
            <w:r>
              <w:rPr>
                <w:rFonts w:ascii="Arial" w:cs="Arial" w:eastAsia="Arial" w:hAnsi="Arial"/>
                <w:sz w:val="18"/>
                <w:szCs w:val="18"/>
                <w:color w:val="auto"/>
              </w:rPr>
              <w:t>NBCUniversal Media, LLC</w:t>
            </w:r>
          </w:p>
        </w:tc>
        <w:tc>
          <w:tcPr>
            <w:tcW w:w="1340" w:type="dxa"/>
            <w:vAlign w:val="bottom"/>
          </w:tcPr>
          <w:p>
            <w:pPr>
              <w:jc w:val="center"/>
              <w:ind w:left="50"/>
              <w:spacing w:after="0"/>
              <w:rPr>
                <w:sz w:val="20"/>
                <w:szCs w:val="20"/>
                <w:color w:val="auto"/>
              </w:rPr>
            </w:pPr>
            <w:r>
              <w:rPr>
                <w:rFonts w:ascii="Arial" w:cs="Arial" w:eastAsia="Arial" w:hAnsi="Arial"/>
                <w:sz w:val="18"/>
                <w:szCs w:val="18"/>
                <w:color w:val="auto"/>
                <w:w w:val="93"/>
              </w:rPr>
              <w:t>63946B AJ9</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$1,000,000,000</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$647,307,000</w:t>
            </w:r>
          </w:p>
        </w:tc>
      </w:tr>
    </w:tbl>
    <w:p>
      <w:pPr>
        <w:spacing w:after="0" w:line="229" w:lineRule="exact"/>
        <w:rPr>
          <w:sz w:val="20"/>
          <w:szCs w:val="20"/>
          <w:color w:val="auto"/>
        </w:rPr>
      </w:pPr>
    </w:p>
    <w:p>
      <w:pPr>
        <w:ind w:left="66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aggregate principal amount of each series of Pool 2 Notes that have been validly tendered for exchange and not validly withdrawn, as of 5:00 p.m., New York City time, on August 13, 2021, based on information provided by the exchange agent to Comcast.</w:t>
      </w:r>
    </w:p>
    <w:p>
      <w:pPr>
        <w:spacing w:after="0" w:line="14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Comcast has also offered to exchange three series of notes issued by Comcast (collectively, the “Pool 3 Notes” and, together with the Pool 1 Notes and the Pool 2 Notes, the “Old Notes”) for a combination of cash and a new series of Comcast’s senior notes to be due in 2063 (the “New 2063 Notes” and, together with the New 2051 Notes and the New 2056 Notes, the “New Notes”) as described in the table below. The aggregate principal amount of Pool 3 Notes that are accepted for exchange will be based on the order of acceptance priority for such series as set forth in the table below, and such that the aggregate principal amount of Pool 3 Notes accepted results in the issuance of New 2063 Notes in an amount not exceeding $4,000,000,000 (as increased, the “2063 Notes Cap”).</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4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4"/>
              </w:rPr>
              <w:t>Principal</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7"/>
              </w:rPr>
              <w:t>Acceptance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r>
      <w:tr>
        <w:trPr>
          <w:trHeight w:val="216"/>
        </w:trPr>
        <w:tc>
          <w:tcPr>
            <w:tcW w:w="24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60" w:type="dxa"/>
            <w:vAlign w:val="bottom"/>
            <w:gridSpan w:val="2"/>
          </w:tcPr>
          <w:p>
            <w:pPr>
              <w:jc w:val="center"/>
              <w:ind w:left="310"/>
              <w:spacing w:after="0"/>
              <w:rPr>
                <w:sz w:val="20"/>
                <w:szCs w:val="20"/>
                <w:color w:val="auto"/>
              </w:rPr>
            </w:pPr>
            <w:r>
              <w:rPr>
                <w:rFonts w:ascii="Arial" w:cs="Arial" w:eastAsia="Arial" w:hAnsi="Arial"/>
                <w:sz w:val="18"/>
                <w:szCs w:val="18"/>
                <w:b w:val="1"/>
                <w:bCs w:val="1"/>
                <w:color w:val="auto"/>
                <w:w w:val="98"/>
              </w:rPr>
              <w:t>CUSIP</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8"/>
              </w:rPr>
              <w:t>Priority</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r>
      <w:tr>
        <w:trPr>
          <w:trHeight w:val="270"/>
        </w:trPr>
        <w:tc>
          <w:tcPr>
            <w:tcW w:w="246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Title of Security</w:t>
            </w:r>
          </w:p>
        </w:tc>
        <w:tc>
          <w:tcPr>
            <w:tcW w:w="2400" w:type="dxa"/>
            <w:vAlign w:val="bottom"/>
            <w:tcBorders>
              <w:bottom w:val="single" w:sz="8" w:color="auto"/>
            </w:tcBorders>
          </w:tcPr>
          <w:p>
            <w:pPr>
              <w:ind w:left="1360"/>
              <w:spacing w:after="0"/>
              <w:rPr>
                <w:sz w:val="20"/>
                <w:szCs w:val="20"/>
                <w:color w:val="auto"/>
              </w:rPr>
            </w:pPr>
            <w:r>
              <w:rPr>
                <w:rFonts w:ascii="Arial" w:cs="Arial" w:eastAsia="Arial" w:hAnsi="Arial"/>
                <w:sz w:val="18"/>
                <w:szCs w:val="18"/>
                <w:b w:val="1"/>
                <w:bCs w:val="1"/>
                <w:color w:val="auto"/>
              </w:rPr>
              <w:t>Issuer</w:t>
            </w:r>
          </w:p>
        </w:tc>
        <w:tc>
          <w:tcPr>
            <w:tcW w:w="1660" w:type="dxa"/>
            <w:vAlign w:val="bottom"/>
            <w:tcBorders>
              <w:bottom w:val="single" w:sz="8" w:color="auto"/>
            </w:tcBorders>
            <w:gridSpan w:val="2"/>
          </w:tcPr>
          <w:p>
            <w:pPr>
              <w:jc w:val="center"/>
              <w:ind w:left="290"/>
              <w:spacing w:after="0"/>
              <w:rPr>
                <w:sz w:val="20"/>
                <w:szCs w:val="20"/>
                <w:color w:val="auto"/>
              </w:rPr>
            </w:pPr>
            <w:r>
              <w:rPr>
                <w:rFonts w:ascii="Arial" w:cs="Arial" w:eastAsia="Arial" w:hAnsi="Arial"/>
                <w:sz w:val="18"/>
                <w:szCs w:val="18"/>
                <w:b w:val="1"/>
                <w:bCs w:val="1"/>
                <w:color w:val="auto"/>
                <w:w w:val="93"/>
              </w:rPr>
              <w:t>Number(s)</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Level</w:t>
            </w:r>
          </w:p>
        </w:tc>
        <w:tc>
          <w:tcPr>
            <w:tcW w:w="124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5"/>
              </w:rPr>
              <w:t>Tendered</w:t>
            </w:r>
            <w:r>
              <w:rPr>
                <w:rFonts w:ascii="Arial" w:cs="Arial" w:eastAsia="Arial" w:hAnsi="Arial"/>
                <w:sz w:val="29"/>
                <w:szCs w:val="29"/>
                <w:b w:val="1"/>
                <w:bCs w:val="1"/>
                <w:color w:val="auto"/>
                <w:w w:val="85"/>
                <w:vertAlign w:val="superscript"/>
              </w:rPr>
              <w:t>(1)</w:t>
            </w:r>
          </w:p>
        </w:tc>
      </w:tr>
      <w:tr>
        <w:trPr>
          <w:trHeight w:val="223"/>
        </w:trPr>
        <w:tc>
          <w:tcPr>
            <w:tcW w:w="2460" w:type="dxa"/>
            <w:vAlign w:val="bottom"/>
            <w:shd w:val="clear" w:color="auto" w:fill="BFBFBF"/>
          </w:tcPr>
          <w:p>
            <w:pPr>
              <w:ind w:left="40"/>
              <w:spacing w:after="0"/>
              <w:rPr>
                <w:sz w:val="20"/>
                <w:szCs w:val="20"/>
                <w:color w:val="auto"/>
              </w:rPr>
            </w:pPr>
            <w:r>
              <w:rPr>
                <w:rFonts w:ascii="Arial" w:cs="Arial" w:eastAsia="Arial" w:hAnsi="Arial"/>
                <w:sz w:val="18"/>
                <w:szCs w:val="18"/>
                <w:color w:val="auto"/>
              </w:rPr>
              <w:t>Pool 3 Notes</w:t>
            </w:r>
          </w:p>
        </w:tc>
        <w:tc>
          <w:tcPr>
            <w:tcW w:w="2400" w:type="dxa"/>
            <w:vAlign w:val="bottom"/>
            <w:shd w:val="clear" w:color="auto" w:fill="BFBFBF"/>
          </w:tcPr>
          <w:p>
            <w:pPr>
              <w:spacing w:after="0"/>
              <w:rPr>
                <w:sz w:val="19"/>
                <w:szCs w:val="19"/>
                <w:color w:val="auto"/>
              </w:rPr>
            </w:pPr>
          </w:p>
        </w:tc>
        <w:tc>
          <w:tcPr>
            <w:tcW w:w="1060" w:type="dxa"/>
            <w:vAlign w:val="bottom"/>
            <w:shd w:val="clear" w:color="auto" w:fill="BFBFBF"/>
          </w:tcPr>
          <w:p>
            <w:pPr>
              <w:spacing w:after="0"/>
              <w:rPr>
                <w:sz w:val="19"/>
                <w:szCs w:val="19"/>
                <w:color w:val="auto"/>
              </w:rPr>
            </w:pPr>
          </w:p>
        </w:tc>
        <w:tc>
          <w:tcPr>
            <w:tcW w:w="600" w:type="dxa"/>
            <w:vAlign w:val="bottom"/>
            <w:shd w:val="clear" w:color="auto" w:fill="BFBFBF"/>
          </w:tcPr>
          <w:p>
            <w:pPr>
              <w:spacing w:after="0"/>
              <w:rPr>
                <w:sz w:val="19"/>
                <w:szCs w:val="19"/>
                <w:color w:val="auto"/>
              </w:rPr>
            </w:pPr>
          </w:p>
        </w:tc>
        <w:tc>
          <w:tcPr>
            <w:tcW w:w="1280" w:type="dxa"/>
            <w:vAlign w:val="bottom"/>
            <w:shd w:val="clear" w:color="auto" w:fill="BFBFBF"/>
          </w:tcPr>
          <w:p>
            <w:pPr>
              <w:spacing w:after="0"/>
              <w:rPr>
                <w:sz w:val="19"/>
                <w:szCs w:val="19"/>
                <w:color w:val="auto"/>
              </w:rPr>
            </w:pPr>
          </w:p>
        </w:tc>
        <w:tc>
          <w:tcPr>
            <w:tcW w:w="1060" w:type="dxa"/>
            <w:vAlign w:val="bottom"/>
            <w:shd w:val="clear" w:color="auto" w:fill="BFBFBF"/>
          </w:tcPr>
          <w:p>
            <w:pPr>
              <w:spacing w:after="0"/>
              <w:rPr>
                <w:sz w:val="19"/>
                <w:szCs w:val="19"/>
                <w:color w:val="auto"/>
              </w:rPr>
            </w:pPr>
          </w:p>
        </w:tc>
        <w:tc>
          <w:tcPr>
            <w:tcW w:w="1240" w:type="dxa"/>
            <w:vAlign w:val="bottom"/>
            <w:shd w:val="clear" w:color="auto" w:fill="BFBFBF"/>
          </w:tcPr>
          <w:p>
            <w:pPr>
              <w:spacing w:after="0"/>
              <w:rPr>
                <w:sz w:val="19"/>
                <w:szCs w:val="19"/>
                <w:color w:val="auto"/>
              </w:rPr>
            </w:pPr>
          </w:p>
        </w:tc>
      </w:tr>
      <w:tr>
        <w:trPr>
          <w:trHeight w:val="202"/>
        </w:trPr>
        <w:tc>
          <w:tcPr>
            <w:tcW w:w="2460" w:type="dxa"/>
            <w:vAlign w:val="bottom"/>
          </w:tcPr>
          <w:p>
            <w:pPr>
              <w:ind w:left="40"/>
              <w:spacing w:after="0" w:line="201" w:lineRule="exact"/>
              <w:rPr>
                <w:sz w:val="20"/>
                <w:szCs w:val="20"/>
                <w:color w:val="auto"/>
              </w:rPr>
            </w:pPr>
            <w:r>
              <w:rPr>
                <w:rFonts w:ascii="Arial" w:cs="Arial" w:eastAsia="Arial" w:hAnsi="Arial"/>
                <w:sz w:val="18"/>
                <w:szCs w:val="18"/>
                <w:color w:val="auto"/>
              </w:rPr>
              <w:t>4.600% Notes due 2045</w:t>
            </w:r>
          </w:p>
        </w:tc>
        <w:tc>
          <w:tcPr>
            <w:tcW w:w="2400" w:type="dxa"/>
            <w:vAlign w:val="bottom"/>
          </w:tcPr>
          <w:p>
            <w:pPr>
              <w:ind w:left="420"/>
              <w:spacing w:after="0" w:line="201" w:lineRule="exact"/>
              <w:rPr>
                <w:sz w:val="20"/>
                <w:szCs w:val="20"/>
                <w:color w:val="auto"/>
              </w:rPr>
            </w:pPr>
            <w:r>
              <w:rPr>
                <w:rFonts w:ascii="Arial" w:cs="Arial" w:eastAsia="Arial" w:hAnsi="Arial"/>
                <w:sz w:val="18"/>
                <w:szCs w:val="18"/>
                <w:color w:val="auto"/>
              </w:rPr>
              <w:t>Comcast Corporation</w:t>
            </w:r>
          </w:p>
        </w:tc>
        <w:tc>
          <w:tcPr>
            <w:tcW w:w="1060" w:type="dxa"/>
            <w:vAlign w:val="bottom"/>
          </w:tcPr>
          <w:p>
            <w:pPr>
              <w:ind w:left="440"/>
              <w:spacing w:after="0" w:line="201" w:lineRule="exact"/>
              <w:rPr>
                <w:sz w:val="20"/>
                <w:szCs w:val="20"/>
                <w:color w:val="auto"/>
              </w:rPr>
            </w:pPr>
            <w:r>
              <w:rPr>
                <w:rFonts w:ascii="Arial" w:cs="Arial" w:eastAsia="Arial" w:hAnsi="Arial"/>
                <w:sz w:val="18"/>
                <w:szCs w:val="18"/>
                <w:color w:val="auto"/>
                <w:w w:val="95"/>
              </w:rPr>
              <w:t>20030N</w:t>
            </w:r>
          </w:p>
        </w:tc>
        <w:tc>
          <w:tcPr>
            <w:tcW w:w="600" w:type="dxa"/>
            <w:vAlign w:val="bottom"/>
          </w:tcPr>
          <w:p>
            <w:pPr>
              <w:ind w:left="20"/>
              <w:spacing w:after="0" w:line="201" w:lineRule="exact"/>
              <w:rPr>
                <w:sz w:val="20"/>
                <w:szCs w:val="20"/>
                <w:color w:val="auto"/>
              </w:rPr>
            </w:pPr>
            <w:r>
              <w:rPr>
                <w:rFonts w:ascii="Arial" w:cs="Arial" w:eastAsia="Arial" w:hAnsi="Arial"/>
                <w:sz w:val="18"/>
                <w:szCs w:val="18"/>
                <w:color w:val="auto"/>
              </w:rPr>
              <w:t>BQ3</w:t>
            </w:r>
          </w:p>
        </w:tc>
        <w:tc>
          <w:tcPr>
            <w:tcW w:w="1280" w:type="dxa"/>
            <w:vAlign w:val="bottom"/>
          </w:tcPr>
          <w:p>
            <w:pPr>
              <w:jc w:val="center"/>
              <w:spacing w:after="0" w:line="201" w:lineRule="exact"/>
              <w:rPr>
                <w:sz w:val="20"/>
                <w:szCs w:val="20"/>
                <w:color w:val="auto"/>
              </w:rPr>
            </w:pPr>
            <w:r>
              <w:rPr>
                <w:rFonts w:ascii="Arial" w:cs="Arial" w:eastAsia="Arial" w:hAnsi="Arial"/>
                <w:sz w:val="18"/>
                <w:szCs w:val="18"/>
                <w:color w:val="auto"/>
                <w:w w:val="89"/>
              </w:rPr>
              <w:t>$1,700,000,000</w:t>
            </w:r>
          </w:p>
        </w:tc>
        <w:tc>
          <w:tcPr>
            <w:tcW w:w="1060" w:type="dxa"/>
            <w:vAlign w:val="bottom"/>
          </w:tcPr>
          <w:p>
            <w:pPr>
              <w:jc w:val="center"/>
              <w:spacing w:after="0" w:line="201" w:lineRule="exact"/>
              <w:rPr>
                <w:sz w:val="20"/>
                <w:szCs w:val="20"/>
                <w:color w:val="auto"/>
              </w:rPr>
            </w:pPr>
            <w:r>
              <w:rPr>
                <w:rFonts w:ascii="Arial" w:cs="Arial" w:eastAsia="Arial" w:hAnsi="Arial"/>
                <w:sz w:val="18"/>
                <w:szCs w:val="18"/>
                <w:color w:val="auto"/>
                <w:w w:val="99"/>
              </w:rPr>
              <w:t>1</w:t>
            </w:r>
          </w:p>
        </w:tc>
        <w:tc>
          <w:tcPr>
            <w:tcW w:w="1240" w:type="dxa"/>
            <w:vAlign w:val="bottom"/>
          </w:tcPr>
          <w:p>
            <w:pPr>
              <w:jc w:val="center"/>
              <w:spacing w:after="0" w:line="201" w:lineRule="exact"/>
              <w:rPr>
                <w:sz w:val="20"/>
                <w:szCs w:val="20"/>
                <w:color w:val="auto"/>
              </w:rPr>
            </w:pPr>
            <w:r>
              <w:rPr>
                <w:rFonts w:ascii="Arial" w:cs="Arial" w:eastAsia="Arial" w:hAnsi="Arial"/>
                <w:sz w:val="18"/>
                <w:szCs w:val="18"/>
                <w:color w:val="auto"/>
                <w:w w:val="88"/>
              </w:rPr>
              <w:t>$937,766,000</w:t>
            </w:r>
          </w:p>
        </w:tc>
      </w:tr>
      <w:tr>
        <w:trPr>
          <w:trHeight w:val="216"/>
        </w:trPr>
        <w:tc>
          <w:tcPr>
            <w:tcW w:w="2460" w:type="dxa"/>
            <w:vAlign w:val="bottom"/>
          </w:tcPr>
          <w:p>
            <w:pPr>
              <w:ind w:left="40"/>
              <w:spacing w:after="0"/>
              <w:rPr>
                <w:sz w:val="20"/>
                <w:szCs w:val="20"/>
                <w:color w:val="auto"/>
              </w:rPr>
            </w:pPr>
            <w:r>
              <w:rPr>
                <w:rFonts w:ascii="Arial" w:cs="Arial" w:eastAsia="Arial" w:hAnsi="Arial"/>
                <w:sz w:val="18"/>
                <w:szCs w:val="18"/>
                <w:color w:val="auto"/>
              </w:rPr>
              <w:t>4.950% Notes due 2058</w:t>
            </w:r>
          </w:p>
        </w:tc>
        <w:tc>
          <w:tcPr>
            <w:tcW w:w="2400" w:type="dxa"/>
            <w:vAlign w:val="bottom"/>
          </w:tcPr>
          <w:p>
            <w:pPr>
              <w:ind w:left="420"/>
              <w:spacing w:after="0"/>
              <w:rPr>
                <w:sz w:val="20"/>
                <w:szCs w:val="20"/>
                <w:color w:val="auto"/>
              </w:rPr>
            </w:pPr>
            <w:r>
              <w:rPr>
                <w:rFonts w:ascii="Arial" w:cs="Arial" w:eastAsia="Arial" w:hAnsi="Arial"/>
                <w:sz w:val="18"/>
                <w:szCs w:val="18"/>
                <w:color w:val="auto"/>
              </w:rPr>
              <w:t>Comcast Corporation</w:t>
            </w:r>
          </w:p>
        </w:tc>
        <w:tc>
          <w:tcPr>
            <w:tcW w:w="1060" w:type="dxa"/>
            <w:vAlign w:val="bottom"/>
          </w:tcPr>
          <w:p>
            <w:pPr>
              <w:ind w:left="440"/>
              <w:spacing w:after="0"/>
              <w:rPr>
                <w:sz w:val="20"/>
                <w:szCs w:val="20"/>
                <w:color w:val="auto"/>
              </w:rPr>
            </w:pPr>
            <w:r>
              <w:rPr>
                <w:rFonts w:ascii="Arial" w:cs="Arial" w:eastAsia="Arial" w:hAnsi="Arial"/>
                <w:sz w:val="18"/>
                <w:szCs w:val="18"/>
                <w:color w:val="auto"/>
                <w:w w:val="95"/>
              </w:rPr>
              <w:t>20030N</w:t>
            </w:r>
          </w:p>
        </w:tc>
        <w:tc>
          <w:tcPr>
            <w:tcW w:w="600" w:type="dxa"/>
            <w:vAlign w:val="bottom"/>
          </w:tcPr>
          <w:p>
            <w:pPr>
              <w:ind w:left="20"/>
              <w:spacing w:after="0"/>
              <w:rPr>
                <w:sz w:val="20"/>
                <w:szCs w:val="20"/>
                <w:color w:val="auto"/>
              </w:rPr>
            </w:pPr>
            <w:r>
              <w:rPr>
                <w:rFonts w:ascii="Arial" w:cs="Arial" w:eastAsia="Arial" w:hAnsi="Arial"/>
                <w:sz w:val="18"/>
                <w:szCs w:val="18"/>
                <w:color w:val="auto"/>
              </w:rPr>
              <w:t>CN9</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$2,500,000,000</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$1,464,790,000</w:t>
            </w:r>
          </w:p>
        </w:tc>
      </w:tr>
      <w:tr>
        <w:trPr>
          <w:trHeight w:val="394"/>
        </w:trPr>
        <w:tc>
          <w:tcPr>
            <w:tcW w:w="2460" w:type="dxa"/>
            <w:vAlign w:val="bottom"/>
          </w:tcPr>
          <w:p>
            <w:pPr>
              <w:ind w:left="40"/>
              <w:spacing w:after="0"/>
              <w:rPr>
                <w:sz w:val="20"/>
                <w:szCs w:val="20"/>
                <w:color w:val="auto"/>
              </w:rPr>
            </w:pPr>
            <w:r>
              <w:rPr>
                <w:rFonts w:ascii="Arial" w:cs="Arial" w:eastAsia="Arial" w:hAnsi="Arial"/>
                <w:sz w:val="18"/>
                <w:szCs w:val="18"/>
                <w:color w:val="auto"/>
              </w:rPr>
              <w:t>4.049% Notes due 2052</w:t>
            </w:r>
          </w:p>
        </w:tc>
        <w:tc>
          <w:tcPr>
            <w:tcW w:w="2400" w:type="dxa"/>
            <w:vAlign w:val="bottom"/>
          </w:tcPr>
          <w:p>
            <w:pPr>
              <w:ind w:left="420"/>
              <w:spacing w:after="0"/>
              <w:rPr>
                <w:sz w:val="20"/>
                <w:szCs w:val="20"/>
                <w:color w:val="auto"/>
              </w:rPr>
            </w:pPr>
            <w:r>
              <w:rPr>
                <w:rFonts w:ascii="Arial" w:cs="Arial" w:eastAsia="Arial" w:hAnsi="Arial"/>
                <w:sz w:val="18"/>
                <w:szCs w:val="18"/>
                <w:color w:val="auto"/>
              </w:rPr>
              <w:t>Comcast Corporation</w:t>
            </w:r>
          </w:p>
        </w:tc>
        <w:tc>
          <w:tcPr>
            <w:tcW w:w="1060" w:type="dxa"/>
            <w:vAlign w:val="bottom"/>
          </w:tcPr>
          <w:p>
            <w:pPr>
              <w:ind w:left="440"/>
              <w:spacing w:after="0"/>
              <w:rPr>
                <w:sz w:val="20"/>
                <w:szCs w:val="20"/>
                <w:color w:val="auto"/>
              </w:rPr>
            </w:pPr>
            <w:r>
              <w:rPr>
                <w:rFonts w:ascii="Arial" w:cs="Arial" w:eastAsia="Arial" w:hAnsi="Arial"/>
                <w:sz w:val="18"/>
                <w:szCs w:val="18"/>
                <w:color w:val="auto"/>
                <w:w w:val="95"/>
              </w:rPr>
              <w:t>20030N</w:t>
            </w:r>
          </w:p>
        </w:tc>
        <w:tc>
          <w:tcPr>
            <w:tcW w:w="600" w:type="dxa"/>
            <w:vAlign w:val="bottom"/>
          </w:tcPr>
          <w:p>
            <w:pPr>
              <w:ind w:left="20"/>
              <w:spacing w:after="0"/>
              <w:rPr>
                <w:sz w:val="20"/>
                <w:szCs w:val="20"/>
                <w:color w:val="auto"/>
              </w:rPr>
            </w:pPr>
            <w:r>
              <w:rPr>
                <w:rFonts w:ascii="Arial" w:cs="Arial" w:eastAsia="Arial" w:hAnsi="Arial"/>
                <w:sz w:val="18"/>
                <w:szCs w:val="18"/>
                <w:color w:val="auto"/>
                <w:w w:val="92"/>
              </w:rPr>
              <w:t>CG4</w:t>
            </w:r>
            <w:r>
              <w:rPr>
                <w:rFonts w:ascii="Arial" w:cs="Arial" w:eastAsia="Arial" w:hAnsi="Arial"/>
                <w:sz w:val="29"/>
                <w:szCs w:val="29"/>
                <w:color w:val="auto"/>
                <w:w w:val="92"/>
                <w:vertAlign w:val="superscript"/>
              </w:rPr>
              <w:t>(2)</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$1,499,967,000</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$1,028,326,000</w:t>
            </w:r>
          </w:p>
        </w:tc>
      </w:tr>
    </w:tbl>
    <w:p>
      <w:pPr>
        <w:spacing w:after="0" w:line="106" w:lineRule="exact"/>
        <w:rPr>
          <w:sz w:val="20"/>
          <w:szCs w:val="20"/>
          <w:color w:val="auto"/>
        </w:rPr>
      </w:pPr>
    </w:p>
    <w:p>
      <w:pPr>
        <w:ind w:left="660" w:hanging="328"/>
        <w:spacing w:after="0" w:line="274"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aggregate principal amount of each series of Pool 3 Notes that have been validly tendered for exchange and not validly withdrawn, as of 5:00 p.m., New York City time, on August 13, 2021, based on information provided by the exchange agent to Comcast.</w:t>
      </w:r>
    </w:p>
    <w:p>
      <w:pPr>
        <w:ind w:left="660" w:right="320" w:hanging="328"/>
        <w:spacing w:after="0" w:line="2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4.049% Notes due 2052 also includes notes with a restrictive legend (144A CUSIP number: 20030N CF6; Regulation S CUSIP: U20030 AH2).</w:t>
      </w:r>
    </w:p>
    <w:p>
      <w:pPr>
        <w:spacing w:after="0" w:line="18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amount of outstanding Old Notes validly tendered and not validly withdrawn as of August 13, 2021, as reflected in the tables above, satisfied the minimum tender condition in each of the Exchange Offers.</w:t>
      </w:r>
    </w:p>
    <w:p>
      <w:pPr>
        <w:spacing w:after="0" w:line="170"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The Exchange Offers will expire at 11:59 p.m., New York City time, on August 27, 2021, unless extended or earlier terminated by Comcast or NBCUniversal.</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Exchange Offers are only being made, and the New Notes are only being offered and will only be issued, and copies of the offering documents will only be made available, to holders of Old Notes (1) either (a) in the United States, that are “qualified institutional buyers” (or “QIBs”), as that term is defined in Rule 144A under the Securities Act of 1933, as amended (the “Securities Act”), in a private transaction in reliance upon an exemption from the registration requirements of the Securities Act or (b) outside the United States, that are persons other than “U.S. persons,” as that term is defined in Rule 902 under the Securities Act, in offshore transactions in reliance upon Regulation S under the Securities Act, or a dealer or other professional fiduciary organized, incorporated or (if an</w:t>
      </w:r>
    </w:p>
    <w:p>
      <w:pPr>
        <w:spacing w:after="0" w:line="3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584" w:right="419" w:bottom="1440" w:gutter="0" w:footer="0" w:header="0"/>
        </w:sectPr>
      </w:pPr>
    </w:p>
    <w:bookmarkStart w:id="5" w:name="page6"/>
    <w:bookmarkEnd w:id="5"/>
    <w:p>
      <w:pPr>
        <w:ind w:right="20"/>
        <w:spacing w:after="0" w:line="284" w:lineRule="auto"/>
        <w:rPr>
          <w:sz w:val="20"/>
          <w:szCs w:val="20"/>
          <w:color w:val="auto"/>
        </w:rPr>
      </w:pPr>
      <w:r>
        <w:rPr>
          <w:rFonts w:ascii="Arial" w:cs="Arial" w:eastAsia="Arial" w:hAnsi="Arial"/>
          <w:sz w:val="16"/>
          <w:szCs w:val="16"/>
          <w:color w:val="auto"/>
        </w:rPr>
        <w:t xml:space="preserve">individual) residing in the United States holding a discretionary account or similar account (other than an estate or a trust) for the benefit or account of a non-“U.S. person,” and (2) (a) if located or resident in any Member State of the European Economic Area, who are persons other than “retail investors” (for these purposes, a retail investor means a person who is one (or more) of: (i) a retail client as defined in point (11) of Article 4(1) of Directive 2014/65/EU (as amended, “MiFID II”); or (ii) a customer within the meaning of Directive (EU) 2016/97, where that customer would not qualify as a professional client as defined in point (10) of Article 4(1) of MiFID II; or (iii) not a “qualified investor” as defined in Regulation (EU) 2017/1129), and consequently no key information document required by Regulation (EU) No 1286/2014 (as amended, the “PRIIPs Regulation”) for offering or selling the New Notes or otherwise making them available to retail investors in the European Economic Area has been prepared and therefore offering or selling the New Notes or otherwise making them available to any retail investor in the European Economic Area may be unlawful under the PRIIPs Regulation; (b) if located or resident in the United Kingdom, who are persons other than “retail investors” (for these purposes, a retail investor means a person who is one (or more) of: (i) a retail client, as defined in point (8) of Article 2 of Regulation (EU) No 2017/565 as it forms part of domestic law by virtue of the European Union (Withdrawal) Act 2018 (“EUWA”); or (ii) a customer within the meaning of the provisions of the Financial Services and Markets Act 2000 (the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and consequently no key information document required by Regulation (EU) No 1286/2014 as it forms part of domestic law by virtue of the EUWA (the “UK PRIIPs Regulation”) for offering or selling the New Notes or otherwise making them available to retail investors in the United Kingdom has been prepared and therefore offering or selling the New Notes or otherwise making them available to any retail investor in the United Kingdom may be unlawful under the UK PRIIPs Regulation; or (c) if located or resident in a province of Canada and is an “accredited investor” as such term is defined in National Instrument 45-106 –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and, if resident in Ontario, 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in each case, that is not an individual unless that person is also a “permitted client” as defined in National Instrument 31-103 – </w:t>
      </w:r>
      <w:r>
        <w:rPr>
          <w:rFonts w:ascii="Arial" w:cs="Arial" w:eastAsia="Arial" w:hAnsi="Arial"/>
          <w:sz w:val="16"/>
          <w:szCs w:val="16"/>
          <w:i w:val="1"/>
          <w:iCs w:val="1"/>
          <w:color w:val="auto"/>
        </w:rPr>
        <w:t>Registration Requirements, Exemptions and Ongoing Registrant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Obligations </w:t>
      </w:r>
      <w:r>
        <w:rPr>
          <w:rFonts w:ascii="Arial" w:cs="Arial" w:eastAsia="Arial" w:hAnsi="Arial"/>
          <w:sz w:val="16"/>
          <w:szCs w:val="16"/>
          <w:color w:val="auto"/>
        </w:rPr>
        <w:t>(“Eligible Holders”).</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Only Eligible Holders who have completed and returned the eligibility certification are authorized to receive or</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review the offering memorandum or to participate in the Exchange Offers. For Canadian Eligible Holders tendering Old Notes, such participation is also conditioned upon the receipt of beneficial ownership information, including a completed certification form which is required if tendering Old Notes. There is no separate letter of transmittal in connection with the offering memorandum.</w:t>
      </w:r>
    </w:p>
    <w:p>
      <w:pPr>
        <w:spacing w:after="0" w:line="39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New Notes have not been registered under the Securities Act or any state securities laws. Therefore, the New Notes may not be offered or sold in the United States absent registration or an applicable exemption from the registration requirements of the Securities Act and any applicable state securities laws.</w:t>
      </w:r>
    </w:p>
    <w:p>
      <w:pPr>
        <w:spacing w:after="0" w:line="18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b w:val="1"/>
          <w:bCs w:val="1"/>
          <w:color w:val="auto"/>
        </w:rPr>
        <w:t>Holders are advised to check with any bank, securities broker or other intermediary through which they hold Old Notes as to when such intermediary needs to receive instructions from a holder in order for that holder to be able to participate in, or (in the circumstances in which revocation is permitted) revoke their instruction to participate in the Exchange Offers before the deadlines specified herein and in the offering memorandum, eligibility certification and Canadian beneficial holder form. The deadlines set by each clearing system for the submission and withdrawal of exchange instructions will also be earlier than the relevant deadlines specified herein and in the offering memorandum, eligibility certification and Canadian beneficial holder form.</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press release is not an offer to sell or a solicitation of an offer to buy any of the securities described herein. The Exchange Offers are being made solely by the offering memorandum, eligibility certification and Canadian beneficial holder form and only to such persons and in such jurisdictions as is permitted under applicable law.</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D.F. King &amp; Co., Inc. is acting as the exchange agent and information agent for the Exchange Offers. Documents relating to the Exchange Offers will only be distributed to holders of Old Notes who certify that they are Eligible Holders. Questions or requests for assistance related to the Exchange Offers or for additional copies of the offering memorandum, eligibility certification or Canadian beneficial holder form may be directed to D.F. King &amp; Co., Inc. at (800) 848-3410 (toll-free) or (212) 269-5550 (banks and brokers) or by email at comcast@dfking.com. You may also contact your broker, dealer, commercial bank, trust company or other nominee for assistance concerning the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color w:val="auto"/>
        </w:rPr>
        <w:t>Exchange Offers. The offering memorandum, eligibility certification and Canadian beneficial holder form can be accessed at the following link: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www.dfking.com/comcast.</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CAUTIONARY LANGUAGE CONCERNING FORWARD-LOOKING STATEMENTS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white"/>
        </w:rPr>
        <w:t>About Comcast Corporation</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highlight w:val="white"/>
        </w:rPr>
        <w:t>Comcast Corporation (Nasdaq: CMCSA) is a global media and technology company that connects people to moments that matter. We are principally focused on broadband, aggregation, and streaming with 57 million customer relationships across the United States and Europe. We deliver broadband, wireless, and video through our Xfinity, Comcast Business, and Sky brands; create, distribute, and stream leading entertainment, sports, and news through Universal Filmed Entertainment Group, Universal Studio Group, Sky Studios, the NBC and Telemundo broadcast networks, multiple cable networks, Peacock, NBCUniversal News Group, NBC Sports, Sky News, and Sky Sports; and provide memorable experiences at Universal Parks and Resorts in the United States and Asia.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60" w:type="dxa"/>
            <w:vAlign w:val="bottom"/>
          </w:tcPr>
          <w:p>
            <w:pPr>
              <w:spacing w:after="0"/>
              <w:rPr>
                <w:sz w:val="20"/>
                <w:szCs w:val="20"/>
                <w:color w:val="auto"/>
              </w:rPr>
            </w:pPr>
            <w:r>
              <w:rPr>
                <w:rFonts w:ascii="Arial" w:cs="Arial" w:eastAsia="Arial" w:hAnsi="Arial"/>
                <w:sz w:val="18"/>
                <w:szCs w:val="18"/>
                <w:b w:val="1"/>
                <w:bCs w:val="1"/>
                <w:color w:val="auto"/>
              </w:rPr>
              <w:t>Investor Contacts:</w:t>
            </w:r>
          </w:p>
        </w:tc>
        <w:tc>
          <w:tcPr>
            <w:tcW w:w="1440" w:type="dxa"/>
            <w:vAlign w:val="bottom"/>
          </w:tcPr>
          <w:p>
            <w:pPr>
              <w:spacing w:after="0"/>
              <w:rPr>
                <w:sz w:val="19"/>
                <w:szCs w:val="19"/>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Marci Ryvicker</w:t>
            </w:r>
          </w:p>
        </w:tc>
        <w:tc>
          <w:tcPr>
            <w:tcW w:w="1440" w:type="dxa"/>
            <w:vAlign w:val="bottom"/>
          </w:tcPr>
          <w:p>
            <w:pPr>
              <w:jc w:val="right"/>
              <w:spacing w:after="0"/>
              <w:rPr>
                <w:sz w:val="20"/>
                <w:szCs w:val="20"/>
                <w:color w:val="auto"/>
              </w:rPr>
            </w:pPr>
            <w:r>
              <w:rPr>
                <w:rFonts w:ascii="Arial" w:cs="Arial" w:eastAsia="Arial" w:hAnsi="Arial"/>
                <w:sz w:val="18"/>
                <w:szCs w:val="18"/>
                <w:color w:val="auto"/>
              </w:rPr>
              <w:t>(215) 286-4781</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Jane Kearns</w:t>
            </w:r>
          </w:p>
        </w:tc>
        <w:tc>
          <w:tcPr>
            <w:tcW w:w="1440" w:type="dxa"/>
            <w:vAlign w:val="bottom"/>
          </w:tcPr>
          <w:p>
            <w:pPr>
              <w:jc w:val="right"/>
              <w:spacing w:after="0"/>
              <w:rPr>
                <w:sz w:val="20"/>
                <w:szCs w:val="20"/>
                <w:color w:val="auto"/>
              </w:rPr>
            </w:pPr>
            <w:r>
              <w:rPr>
                <w:rFonts w:ascii="Arial" w:cs="Arial" w:eastAsia="Arial" w:hAnsi="Arial"/>
                <w:sz w:val="18"/>
                <w:szCs w:val="18"/>
                <w:color w:val="auto"/>
              </w:rPr>
              <w:t>(215) 286-4794</w:t>
            </w: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Marc Kaplan</w:t>
            </w:r>
          </w:p>
        </w:tc>
        <w:tc>
          <w:tcPr>
            <w:tcW w:w="1440" w:type="dxa"/>
            <w:vAlign w:val="bottom"/>
          </w:tcPr>
          <w:p>
            <w:pPr>
              <w:jc w:val="right"/>
              <w:spacing w:after="0"/>
              <w:rPr>
                <w:sz w:val="20"/>
                <w:szCs w:val="20"/>
                <w:color w:val="auto"/>
              </w:rPr>
            </w:pPr>
            <w:r>
              <w:rPr>
                <w:rFonts w:ascii="Arial" w:cs="Arial" w:eastAsia="Arial" w:hAnsi="Arial"/>
                <w:sz w:val="18"/>
                <w:szCs w:val="18"/>
                <w:color w:val="auto"/>
              </w:rPr>
              <w:t>(215) 286-6527</w:t>
            </w:r>
          </w:p>
        </w:tc>
      </w:tr>
      <w:tr>
        <w:trPr>
          <w:trHeight w:val="634"/>
        </w:trPr>
        <w:tc>
          <w:tcPr>
            <w:tcW w:w="1760" w:type="dxa"/>
            <w:vAlign w:val="bottom"/>
          </w:tcPr>
          <w:p>
            <w:pPr>
              <w:spacing w:after="0"/>
              <w:rPr>
                <w:sz w:val="20"/>
                <w:szCs w:val="20"/>
                <w:color w:val="auto"/>
              </w:rPr>
            </w:pPr>
            <w:r>
              <w:rPr>
                <w:rFonts w:ascii="Arial" w:cs="Arial" w:eastAsia="Arial" w:hAnsi="Arial"/>
                <w:sz w:val="18"/>
                <w:szCs w:val="18"/>
                <w:b w:val="1"/>
                <w:bCs w:val="1"/>
                <w:color w:val="auto"/>
              </w:rPr>
              <w:t>Press Contacts:</w:t>
            </w:r>
          </w:p>
        </w:tc>
        <w:tc>
          <w:tcPr>
            <w:tcW w:w="1440" w:type="dxa"/>
            <w:vAlign w:val="bottom"/>
          </w:tcPr>
          <w:p>
            <w:pPr>
              <w:spacing w:after="0"/>
              <w:rPr>
                <w:sz w:val="24"/>
                <w:szCs w:val="24"/>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Jennifer Khoury</w:t>
            </w:r>
          </w:p>
        </w:tc>
        <w:tc>
          <w:tcPr>
            <w:tcW w:w="1440" w:type="dxa"/>
            <w:vAlign w:val="bottom"/>
          </w:tcPr>
          <w:p>
            <w:pPr>
              <w:jc w:val="right"/>
              <w:spacing w:after="0"/>
              <w:rPr>
                <w:sz w:val="20"/>
                <w:szCs w:val="20"/>
                <w:color w:val="auto"/>
              </w:rPr>
            </w:pPr>
            <w:r>
              <w:rPr>
                <w:rFonts w:ascii="Arial" w:cs="Arial" w:eastAsia="Arial" w:hAnsi="Arial"/>
                <w:sz w:val="18"/>
                <w:szCs w:val="18"/>
                <w:color w:val="auto"/>
              </w:rPr>
              <w:t>(215) 286-7408</w:t>
            </w: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John Demming</w:t>
            </w:r>
          </w:p>
        </w:tc>
        <w:tc>
          <w:tcPr>
            <w:tcW w:w="1440" w:type="dxa"/>
            <w:vAlign w:val="bottom"/>
          </w:tcPr>
          <w:p>
            <w:pPr>
              <w:jc w:val="right"/>
              <w:spacing w:after="0"/>
              <w:rPr>
                <w:sz w:val="20"/>
                <w:szCs w:val="20"/>
                <w:color w:val="auto"/>
              </w:rPr>
            </w:pPr>
            <w:r>
              <w:rPr>
                <w:rFonts w:ascii="Arial" w:cs="Arial" w:eastAsia="Arial" w:hAnsi="Arial"/>
                <w:sz w:val="18"/>
                <w:szCs w:val="18"/>
                <w:color w:val="auto"/>
              </w:rPr>
              <w:t>(215) 286-8011</w:t>
            </w:r>
          </w:p>
        </w:tc>
      </w:tr>
    </w:tbl>
    <w:p>
      <w:pPr>
        <w:spacing w:after="0" w:line="3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584" w:right="47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165735</wp:posOffset>
            </wp:positionV>
            <wp:extent cx="1440180" cy="5054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4018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COMCAST AND NBCUNIVERSAL MEDIA ANNOUNCE PRICING TERMS FOR THEIR EXCHANGE OFFERS</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Philadelphia, Pennsylvania, August 16, 2021 </w:t>
      </w:r>
      <w:r>
        <w:rPr>
          <w:rFonts w:ascii="Arial" w:cs="Arial" w:eastAsia="Arial" w:hAnsi="Arial"/>
          <w:sz w:val="18"/>
          <w:szCs w:val="18"/>
          <w:color w:val="auto"/>
        </w:rPr>
        <w:t>– Comcast Corporation (Nasdaq: CMCSA) (“Comcast”) and NBCUniversal Media, LLC</w:t>
      </w:r>
      <w:r>
        <w:rPr>
          <w:rFonts w:ascii="Arial" w:cs="Arial" w:eastAsia="Arial" w:hAnsi="Arial"/>
          <w:sz w:val="18"/>
          <w:szCs w:val="18"/>
          <w:b w:val="1"/>
          <w:bCs w:val="1"/>
          <w:color w:val="auto"/>
        </w:rPr>
        <w:t xml:space="preserve"> </w:t>
      </w:r>
      <w:r>
        <w:rPr>
          <w:rFonts w:ascii="Arial" w:cs="Arial" w:eastAsia="Arial" w:hAnsi="Arial"/>
          <w:sz w:val="18"/>
          <w:szCs w:val="18"/>
          <w:color w:val="auto"/>
        </w:rPr>
        <w:t>(“NBCUniversal”) announced today the pricing terms with respect to their private offers to exchange ten series of notes issued by Comcast or NBCUniversal, respectively (collectively, the “Pool 1 Notes”), for a combination of cash and a new series of Comcast’s senior notes to be due in 2051 (the “New 2051 Notes”) as described in the table below. For each $1,000 principal amount of Pool 1 Notes validly tendered and not validly withdrawn prior to 5:00 p.m., New York City time, on August 13, 2021 and accepted by Comcast, the following table sets forth the yields, the total consideration, the principal amount of the New 2051 Notes and the amount of cash, as priced below:</w:t>
      </w:r>
    </w:p>
    <w:p>
      <w:pPr>
        <w:spacing w:after="0" w:line="187"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Cash</w:t>
            </w:r>
          </w:p>
        </w:tc>
        <w:tc>
          <w:tcPr>
            <w:tcW w:w="13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4"/>
              </w:rPr>
              <w:t>Principal</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00" w:type="dxa"/>
            <w:vAlign w:val="bottom"/>
          </w:tcPr>
          <w:p>
            <w:pPr>
              <w:jc w:val="center"/>
              <w:ind w:right="570"/>
              <w:spacing w:after="0" w:line="181" w:lineRule="exact"/>
              <w:rPr>
                <w:sz w:val="20"/>
                <w:szCs w:val="20"/>
                <w:color w:val="auto"/>
              </w:rPr>
            </w:pPr>
            <w:r>
              <w:rPr>
                <w:rFonts w:ascii="Arial" w:cs="Arial" w:eastAsia="Arial" w:hAnsi="Arial"/>
                <w:sz w:val="18"/>
                <w:szCs w:val="18"/>
                <w:b w:val="1"/>
                <w:bCs w:val="1"/>
                <w:color w:val="auto"/>
                <w:w w:val="93"/>
              </w:rPr>
              <w:t>Fixed</w:t>
            </w:r>
          </w:p>
        </w:tc>
        <w:tc>
          <w:tcPr>
            <w:tcW w:w="96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8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4"/>
              </w:rPr>
              <w:t>Amount</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Acceptance</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9"/>
              </w:rPr>
              <w:t>Reference</w:t>
            </w:r>
          </w:p>
        </w:tc>
        <w:tc>
          <w:tcPr>
            <w:tcW w:w="880" w:type="dxa"/>
            <w:vAlign w:val="bottom"/>
          </w:tcPr>
          <w:p>
            <w:pPr>
              <w:spacing w:after="0"/>
              <w:rPr>
                <w:sz w:val="18"/>
                <w:szCs w:val="18"/>
                <w:color w:val="auto"/>
              </w:rPr>
            </w:pPr>
          </w:p>
        </w:tc>
        <w:tc>
          <w:tcPr>
            <w:tcW w:w="1300" w:type="dxa"/>
            <w:vAlign w:val="bottom"/>
          </w:tcPr>
          <w:p>
            <w:pPr>
              <w:jc w:val="center"/>
              <w:ind w:right="570"/>
              <w:spacing w:after="0"/>
              <w:rPr>
                <w:sz w:val="20"/>
                <w:szCs w:val="20"/>
                <w:color w:val="auto"/>
              </w:rPr>
            </w:pPr>
            <w:r>
              <w:rPr>
                <w:rFonts w:ascii="Arial" w:cs="Arial" w:eastAsia="Arial" w:hAnsi="Arial"/>
                <w:sz w:val="18"/>
                <w:szCs w:val="18"/>
                <w:b w:val="1"/>
                <w:bCs w:val="1"/>
                <w:color w:val="auto"/>
                <w:w w:val="91"/>
              </w:rPr>
              <w:t>Spread</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0"/>
              </w:rPr>
              <w:t>Payment</w:t>
            </w:r>
          </w:p>
        </w:tc>
        <w:tc>
          <w:tcPr>
            <w:tcW w:w="13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8"/>
              </w:rPr>
              <w:t>of New</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Title of</w:t>
            </w:r>
          </w:p>
        </w:tc>
        <w:tc>
          <w:tcPr>
            <w:tcW w:w="1000" w:type="dxa"/>
            <w:vAlign w:val="bottom"/>
          </w:tcPr>
          <w:p>
            <w:pPr>
              <w:spacing w:after="0"/>
              <w:rPr>
                <w:sz w:val="18"/>
                <w:szCs w:val="18"/>
                <w:color w:val="auto"/>
              </w:rPr>
            </w:pPr>
          </w:p>
        </w:tc>
        <w:tc>
          <w:tcPr>
            <w:tcW w:w="1280" w:type="dxa"/>
            <w:vAlign w:val="bottom"/>
          </w:tcPr>
          <w:p>
            <w:pPr>
              <w:jc w:val="center"/>
              <w:ind w:left="50"/>
              <w:spacing w:after="0"/>
              <w:rPr>
                <w:sz w:val="20"/>
                <w:szCs w:val="20"/>
                <w:color w:val="auto"/>
              </w:rPr>
            </w:pPr>
            <w:r>
              <w:rPr>
                <w:rFonts w:ascii="Arial" w:cs="Arial" w:eastAsia="Arial" w:hAnsi="Arial"/>
                <w:sz w:val="18"/>
                <w:szCs w:val="18"/>
                <w:b w:val="1"/>
                <w:bCs w:val="1"/>
                <w:color w:val="auto"/>
                <w:w w:val="98"/>
              </w:rPr>
              <w:t>CUSIP</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5"/>
              </w:rPr>
              <w:t>Priority</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4"/>
              </w:rPr>
              <w:t>UST</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7"/>
              </w:rPr>
              <w:t>Reference</w:t>
            </w:r>
          </w:p>
        </w:tc>
        <w:tc>
          <w:tcPr>
            <w:tcW w:w="1300" w:type="dxa"/>
            <w:vAlign w:val="bottom"/>
          </w:tcPr>
          <w:p>
            <w:pPr>
              <w:jc w:val="center"/>
              <w:ind w:right="570"/>
              <w:spacing w:after="0"/>
              <w:rPr>
                <w:sz w:val="20"/>
                <w:szCs w:val="20"/>
                <w:color w:val="auto"/>
              </w:rPr>
            </w:pPr>
            <w:r>
              <w:rPr>
                <w:rFonts w:ascii="Arial" w:cs="Arial" w:eastAsia="Arial" w:hAnsi="Arial"/>
                <w:sz w:val="18"/>
                <w:szCs w:val="18"/>
                <w:b w:val="1"/>
                <w:bCs w:val="1"/>
                <w:color w:val="auto"/>
                <w:w w:val="84"/>
              </w:rPr>
              <w:t>(basis</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0"/>
              </w:rPr>
              <w:t>Percent of</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9"/>
              </w:rPr>
              <w:t>2051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8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Security</w:t>
            </w:r>
          </w:p>
        </w:tc>
        <w:tc>
          <w:tcPr>
            <w:tcW w:w="1000" w:type="dxa"/>
            <w:vAlign w:val="bottom"/>
          </w:tcPr>
          <w:p>
            <w:pPr>
              <w:ind w:left="220"/>
              <w:spacing w:after="0"/>
              <w:rPr>
                <w:sz w:val="20"/>
                <w:szCs w:val="20"/>
                <w:color w:val="auto"/>
              </w:rPr>
            </w:pPr>
            <w:r>
              <w:rPr>
                <w:rFonts w:ascii="Arial" w:cs="Arial" w:eastAsia="Arial" w:hAnsi="Arial"/>
                <w:sz w:val="18"/>
                <w:szCs w:val="18"/>
                <w:b w:val="1"/>
                <w:bCs w:val="1"/>
                <w:color w:val="auto"/>
              </w:rPr>
              <w:t>Issuer</w:t>
            </w:r>
          </w:p>
        </w:tc>
        <w:tc>
          <w:tcPr>
            <w:tcW w:w="128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Number(s)</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Level</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0"/>
              </w:rPr>
              <w:t>Security</w:t>
            </w:r>
          </w:p>
        </w:tc>
        <w:tc>
          <w:tcPr>
            <w:tcW w:w="880" w:type="dxa"/>
            <w:vAlign w:val="bottom"/>
          </w:tcPr>
          <w:p>
            <w:pPr>
              <w:jc w:val="center"/>
              <w:spacing w:after="0" w:line="285" w:lineRule="exact"/>
              <w:rPr>
                <w:sz w:val="20"/>
                <w:szCs w:val="20"/>
                <w:color w:val="auto"/>
              </w:rPr>
            </w:pPr>
            <w:r>
              <w:rPr>
                <w:rFonts w:ascii="Arial" w:cs="Arial" w:eastAsia="Arial" w:hAnsi="Arial"/>
                <w:sz w:val="18"/>
                <w:szCs w:val="18"/>
                <w:b w:val="1"/>
                <w:bCs w:val="1"/>
                <w:color w:val="auto"/>
                <w:w w:val="86"/>
              </w:rPr>
              <w:t>Yield</w:t>
            </w:r>
            <w:r>
              <w:rPr>
                <w:rFonts w:ascii="Arial" w:cs="Arial" w:eastAsia="Arial" w:hAnsi="Arial"/>
                <w:sz w:val="29"/>
                <w:szCs w:val="29"/>
                <w:b w:val="1"/>
                <w:bCs w:val="1"/>
                <w:color w:val="auto"/>
                <w:w w:val="86"/>
                <w:vertAlign w:val="superscript"/>
              </w:rPr>
              <w:t>(1)</w:t>
            </w:r>
          </w:p>
        </w:tc>
        <w:tc>
          <w:tcPr>
            <w:tcW w:w="1300" w:type="dxa"/>
            <w:vAlign w:val="bottom"/>
          </w:tcPr>
          <w:p>
            <w:pPr>
              <w:ind w:left="60"/>
              <w:spacing w:after="0" w:line="285" w:lineRule="exact"/>
              <w:rPr>
                <w:sz w:val="20"/>
                <w:szCs w:val="20"/>
                <w:color w:val="auto"/>
              </w:rPr>
            </w:pPr>
            <w:r>
              <w:rPr>
                <w:rFonts w:ascii="Arial" w:cs="Arial" w:eastAsia="Arial" w:hAnsi="Arial"/>
                <w:sz w:val="18"/>
                <w:szCs w:val="18"/>
                <w:b w:val="1"/>
                <w:bCs w:val="1"/>
                <w:color w:val="auto"/>
                <w:w w:val="92"/>
              </w:rPr>
              <w:t>points) Yield</w:t>
            </w:r>
            <w:r>
              <w:rPr>
                <w:rFonts w:ascii="Arial" w:cs="Arial" w:eastAsia="Arial" w:hAnsi="Arial"/>
                <w:sz w:val="29"/>
                <w:szCs w:val="29"/>
                <w:b w:val="1"/>
                <w:bCs w:val="1"/>
                <w:color w:val="auto"/>
                <w:w w:val="92"/>
                <w:vertAlign w:val="superscript"/>
              </w:rPr>
              <w:t>(2)</w:t>
            </w:r>
          </w:p>
        </w:tc>
        <w:tc>
          <w:tcPr>
            <w:tcW w:w="960" w:type="dxa"/>
            <w:vAlign w:val="bottom"/>
          </w:tcPr>
          <w:p>
            <w:pPr>
              <w:jc w:val="center"/>
              <w:spacing w:after="0" w:line="285" w:lineRule="exact"/>
              <w:rPr>
                <w:sz w:val="20"/>
                <w:szCs w:val="20"/>
                <w:color w:val="auto"/>
              </w:rPr>
            </w:pPr>
            <w:r>
              <w:rPr>
                <w:rFonts w:ascii="Arial" w:cs="Arial" w:eastAsia="Arial" w:hAnsi="Arial"/>
                <w:sz w:val="18"/>
                <w:szCs w:val="18"/>
                <w:b w:val="1"/>
                <w:bCs w:val="1"/>
                <w:color w:val="auto"/>
                <w:w w:val="87"/>
              </w:rPr>
              <w:t>Premium</w:t>
            </w:r>
            <w:r>
              <w:rPr>
                <w:rFonts w:ascii="Arial" w:cs="Arial" w:eastAsia="Arial" w:hAnsi="Arial"/>
                <w:sz w:val="29"/>
                <w:szCs w:val="29"/>
                <w:b w:val="1"/>
                <w:bCs w:val="1"/>
                <w:color w:val="auto"/>
                <w:w w:val="87"/>
                <w:vertAlign w:val="superscript"/>
              </w:rPr>
              <w:t>(3)</w:t>
            </w:r>
          </w:p>
        </w:tc>
        <w:tc>
          <w:tcPr>
            <w:tcW w:w="1340" w:type="dxa"/>
            <w:vAlign w:val="bottom"/>
          </w:tcPr>
          <w:p>
            <w:pPr>
              <w:jc w:val="center"/>
              <w:spacing w:after="0" w:line="285" w:lineRule="exact"/>
              <w:rPr>
                <w:sz w:val="20"/>
                <w:szCs w:val="20"/>
                <w:color w:val="auto"/>
              </w:rPr>
            </w:pPr>
            <w:r>
              <w:rPr>
                <w:rFonts w:ascii="Arial" w:cs="Arial" w:eastAsia="Arial" w:hAnsi="Arial"/>
                <w:sz w:val="18"/>
                <w:szCs w:val="18"/>
                <w:b w:val="1"/>
                <w:bCs w:val="1"/>
                <w:color w:val="auto"/>
                <w:w w:val="87"/>
              </w:rPr>
              <w:t>Consideration</w:t>
            </w:r>
            <w:r>
              <w:rPr>
                <w:rFonts w:ascii="Arial" w:cs="Arial" w:eastAsia="Arial" w:hAnsi="Arial"/>
                <w:sz w:val="29"/>
                <w:szCs w:val="29"/>
                <w:b w:val="1"/>
                <w:bCs w:val="1"/>
                <w:color w:val="auto"/>
                <w:w w:val="87"/>
                <w:vertAlign w:val="superscript"/>
              </w:rPr>
              <w:t>(4)</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7"/>
              </w:rPr>
              <w:t>Notes</w:t>
            </w:r>
          </w:p>
        </w:tc>
        <w:tc>
          <w:tcPr>
            <w:tcW w:w="480" w:type="dxa"/>
            <w:vAlign w:val="bottom"/>
          </w:tcPr>
          <w:p>
            <w:pPr>
              <w:ind w:left="100"/>
              <w:spacing w:after="0"/>
              <w:rPr>
                <w:sz w:val="20"/>
                <w:szCs w:val="20"/>
                <w:color w:val="auto"/>
              </w:rPr>
            </w:pPr>
            <w:r>
              <w:rPr>
                <w:rFonts w:ascii="Arial" w:cs="Arial" w:eastAsia="Arial" w:hAnsi="Arial"/>
                <w:sz w:val="18"/>
                <w:szCs w:val="18"/>
                <w:b w:val="1"/>
                <w:bCs w:val="1"/>
                <w:color w:val="auto"/>
                <w:w w:val="81"/>
              </w:rPr>
              <w:t>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2825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p>
      <w:pPr>
        <w:ind w:left="40"/>
        <w:spacing w:after="0"/>
        <w:rPr>
          <w:sz w:val="20"/>
          <w:szCs w:val="20"/>
          <w:color w:val="auto"/>
        </w:rPr>
      </w:pPr>
      <w:r>
        <w:rPr>
          <w:rFonts w:ascii="Arial" w:cs="Arial" w:eastAsia="Arial" w:hAnsi="Arial"/>
          <w:sz w:val="18"/>
          <w:szCs w:val="18"/>
          <w:color w:val="auto"/>
        </w:rPr>
        <w:t>Pool 1</w:t>
      </w:r>
    </w:p>
    <w:p>
      <w:pPr>
        <w:spacing w:after="0" w:line="7" w:lineRule="exact"/>
        <w:rPr>
          <w:sz w:val="20"/>
          <w:szCs w:val="20"/>
          <w:color w:val="auto"/>
        </w:rPr>
      </w:pPr>
    </w:p>
    <w:p>
      <w:pPr>
        <w:ind w:left="40"/>
        <w:spacing w:after="0" w:line="265" w:lineRule="auto"/>
        <w:rPr>
          <w:sz w:val="20"/>
          <w:szCs w:val="20"/>
          <w:color w:val="auto"/>
        </w:rPr>
      </w:pPr>
      <w:r>
        <w:rPr>
          <w:rFonts w:ascii="Arial" w:cs="Arial" w:eastAsia="Arial" w:hAnsi="Arial"/>
          <w:sz w:val="17"/>
          <w:szCs w:val="17"/>
          <w:color w:val="auto"/>
        </w:rPr>
        <w:t>Notes 6.400% Notes due 2038</w:t>
      </w:r>
    </w:p>
    <w:p>
      <w:pPr>
        <w:spacing w:after="0" w:line="1" w:lineRule="exact"/>
        <w:rPr>
          <w:sz w:val="20"/>
          <w:szCs w:val="20"/>
          <w:color w:val="auto"/>
        </w:rPr>
      </w:pPr>
    </w:p>
    <w:p>
      <w:pPr>
        <w:ind w:left="40"/>
        <w:spacing w:after="0" w:line="265" w:lineRule="auto"/>
        <w:rPr>
          <w:sz w:val="20"/>
          <w:szCs w:val="20"/>
          <w:color w:val="auto"/>
        </w:rPr>
      </w:pPr>
      <w:r>
        <w:rPr>
          <w:rFonts w:ascii="Arial" w:cs="Arial" w:eastAsia="Arial" w:hAnsi="Arial"/>
          <w:sz w:val="17"/>
          <w:szCs w:val="17"/>
          <w:color w:val="auto"/>
        </w:rPr>
        <w:t>6.950% Notes due 2037</w:t>
      </w:r>
    </w:p>
    <w:p>
      <w:pPr>
        <w:ind w:left="40"/>
        <w:spacing w:after="0" w:line="265" w:lineRule="auto"/>
        <w:rPr>
          <w:sz w:val="20"/>
          <w:szCs w:val="20"/>
          <w:color w:val="auto"/>
        </w:rPr>
      </w:pPr>
      <w:r>
        <w:rPr>
          <w:rFonts w:ascii="Arial" w:cs="Arial" w:eastAsia="Arial" w:hAnsi="Arial"/>
          <w:sz w:val="17"/>
          <w:szCs w:val="17"/>
          <w:color w:val="auto"/>
        </w:rPr>
        <w:t>6.450% Notes due 2037</w:t>
      </w:r>
    </w:p>
    <w:p>
      <w:pPr>
        <w:ind w:left="40"/>
        <w:spacing w:after="0" w:line="300" w:lineRule="auto"/>
        <w:rPr>
          <w:sz w:val="20"/>
          <w:szCs w:val="20"/>
          <w:color w:val="auto"/>
        </w:rPr>
      </w:pPr>
      <w:r>
        <w:rPr>
          <w:rFonts w:ascii="Arial" w:cs="Arial" w:eastAsia="Arial" w:hAnsi="Arial"/>
          <w:sz w:val="15"/>
          <w:szCs w:val="15"/>
          <w:color w:val="auto"/>
        </w:rPr>
        <w:t>6.400% Notes due March 2040</w:t>
      </w:r>
    </w:p>
    <w:p>
      <w:pPr>
        <w:spacing w:after="0" w:line="2" w:lineRule="exact"/>
        <w:rPr>
          <w:sz w:val="20"/>
          <w:szCs w:val="20"/>
          <w:color w:val="auto"/>
        </w:rPr>
      </w:pPr>
    </w:p>
    <w:p>
      <w:pPr>
        <w:ind w:left="40"/>
        <w:spacing w:after="0" w:line="250" w:lineRule="auto"/>
        <w:rPr>
          <w:sz w:val="20"/>
          <w:szCs w:val="20"/>
          <w:color w:val="auto"/>
        </w:rPr>
      </w:pPr>
      <w:r>
        <w:rPr>
          <w:rFonts w:ascii="Arial" w:cs="Arial" w:eastAsia="Arial" w:hAnsi="Arial"/>
          <w:sz w:val="18"/>
          <w:szCs w:val="18"/>
          <w:color w:val="auto"/>
        </w:rPr>
        <w:t>6.400% Notes due April 2040</w:t>
      </w:r>
    </w:p>
    <w:p>
      <w:pPr>
        <w:spacing w:after="0" w:line="2" w:lineRule="exact"/>
        <w:rPr>
          <w:sz w:val="20"/>
          <w:szCs w:val="20"/>
          <w:color w:val="auto"/>
        </w:rPr>
      </w:pPr>
    </w:p>
    <w:p>
      <w:pPr>
        <w:ind w:left="40"/>
        <w:spacing w:after="0" w:line="265" w:lineRule="auto"/>
        <w:rPr>
          <w:sz w:val="20"/>
          <w:szCs w:val="20"/>
          <w:color w:val="auto"/>
        </w:rPr>
      </w:pPr>
      <w:r>
        <w:rPr>
          <w:rFonts w:ascii="Arial" w:cs="Arial" w:eastAsia="Arial" w:hAnsi="Arial"/>
          <w:sz w:val="17"/>
          <w:szCs w:val="17"/>
          <w:color w:val="auto"/>
        </w:rPr>
        <w:t>6.550% Notes due 2039</w:t>
      </w:r>
    </w:p>
    <w:p>
      <w:pPr>
        <w:ind w:left="40"/>
        <w:spacing w:after="0" w:line="300" w:lineRule="auto"/>
        <w:rPr>
          <w:sz w:val="20"/>
          <w:szCs w:val="20"/>
          <w:color w:val="auto"/>
        </w:rPr>
      </w:pPr>
      <w:r>
        <w:rPr>
          <w:rFonts w:ascii="Arial" w:cs="Arial" w:eastAsia="Arial" w:hAnsi="Arial"/>
          <w:sz w:val="15"/>
          <w:szCs w:val="15"/>
          <w:color w:val="auto"/>
        </w:rPr>
        <w:t>4.600% Notes due 2038*</w:t>
      </w:r>
    </w:p>
    <w:p>
      <w:pPr>
        <w:spacing w:after="0" w:line="1" w:lineRule="exact"/>
        <w:rPr>
          <w:sz w:val="20"/>
          <w:szCs w:val="20"/>
          <w:color w:val="auto"/>
        </w:rPr>
      </w:pPr>
    </w:p>
    <w:p>
      <w:pPr>
        <w:ind w:left="40"/>
        <w:spacing w:after="0" w:line="265" w:lineRule="auto"/>
        <w:rPr>
          <w:sz w:val="20"/>
          <w:szCs w:val="20"/>
          <w:color w:val="auto"/>
        </w:rPr>
      </w:pPr>
      <w:r>
        <w:rPr>
          <w:rFonts w:ascii="Arial" w:cs="Arial" w:eastAsia="Arial" w:hAnsi="Arial"/>
          <w:sz w:val="17"/>
          <w:szCs w:val="17"/>
          <w:color w:val="auto"/>
        </w:rPr>
        <w:t>6.500% Notes due 2035</w:t>
      </w:r>
    </w:p>
    <w:p>
      <w:pPr>
        <w:ind w:left="40"/>
        <w:spacing w:after="0" w:line="265" w:lineRule="auto"/>
        <w:rPr>
          <w:sz w:val="20"/>
          <w:szCs w:val="20"/>
          <w:color w:val="auto"/>
        </w:rPr>
      </w:pPr>
      <w:r>
        <w:rPr>
          <w:rFonts w:ascii="Arial" w:cs="Arial" w:eastAsia="Arial" w:hAnsi="Arial"/>
          <w:sz w:val="17"/>
          <w:szCs w:val="17"/>
          <w:color w:val="auto"/>
        </w:rPr>
        <w:t>5.650% Notes due 2035</w:t>
      </w:r>
    </w:p>
    <w:p>
      <w:pPr>
        <w:ind w:left="40"/>
        <w:spacing w:after="0" w:line="277" w:lineRule="auto"/>
        <w:rPr>
          <w:sz w:val="20"/>
          <w:szCs w:val="20"/>
          <w:color w:val="auto"/>
        </w:rPr>
      </w:pPr>
      <w:r>
        <w:rPr>
          <w:rFonts w:ascii="Arial" w:cs="Arial" w:eastAsia="Arial" w:hAnsi="Arial"/>
          <w:sz w:val="17"/>
          <w:szCs w:val="17"/>
          <w:color w:val="auto"/>
        </w:rPr>
        <w:t>7.050% Notes due 2033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Comcast Corporation</w:t>
      </w:r>
    </w:p>
    <w:p>
      <w:pPr>
        <w:spacing w:after="0" w:line="12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Comcast Corporation</w:t>
      </w:r>
    </w:p>
    <w:p>
      <w:pPr>
        <w:spacing w:after="0" w:line="12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Comcast Corporation</w:t>
      </w:r>
    </w:p>
    <w:p>
      <w:pPr>
        <w:spacing w:after="0" w:line="232"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Comcast Corporation</w:t>
      </w:r>
    </w:p>
    <w:p>
      <w:pPr>
        <w:spacing w:after="0" w:line="34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NBCUniversal Media, LLC</w:t>
      </w:r>
    </w:p>
    <w:p>
      <w:pPr>
        <w:spacing w:after="0" w:line="25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Comcast Corporation</w:t>
      </w:r>
    </w:p>
    <w:p>
      <w:pPr>
        <w:spacing w:after="0" w:line="12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Comcast Corporation</w:t>
      </w:r>
    </w:p>
    <w:p>
      <w:pPr>
        <w:spacing w:after="0" w:line="12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Comcast Corporation</w:t>
      </w:r>
    </w:p>
    <w:p>
      <w:pPr>
        <w:spacing w:after="0" w:line="12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Comcast Corporation</w:t>
      </w:r>
    </w:p>
    <w:p>
      <w:pPr>
        <w:spacing w:after="0" w:line="12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Comcast Corporation</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tcPr>
          <w:p>
            <w:pPr>
              <w:jc w:val="center"/>
              <w:ind w:left="30"/>
              <w:spacing w:after="0"/>
              <w:rPr>
                <w:sz w:val="20"/>
                <w:szCs w:val="20"/>
                <w:color w:val="auto"/>
              </w:rPr>
            </w:pPr>
            <w:r>
              <w:rPr>
                <w:rFonts w:ascii="Arial" w:cs="Arial" w:eastAsia="Arial" w:hAnsi="Arial"/>
                <w:sz w:val="18"/>
                <w:szCs w:val="18"/>
                <w:color w:val="auto"/>
                <w:w w:val="92"/>
              </w:rPr>
              <w:t>2.250% UST</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jc w:val="center"/>
              <w:ind w:right="170"/>
              <w:spacing w:after="0"/>
              <w:rPr>
                <w:sz w:val="20"/>
                <w:szCs w:val="20"/>
                <w:color w:val="auto"/>
              </w:rPr>
            </w:pPr>
            <w:r>
              <w:rPr>
                <w:rFonts w:ascii="Arial" w:cs="Arial" w:eastAsia="Arial" w:hAnsi="Arial"/>
                <w:sz w:val="18"/>
                <w:szCs w:val="18"/>
                <w:color w:val="auto"/>
                <w:w w:val="95"/>
              </w:rPr>
              <w:t>20030N AX9</w:t>
            </w:r>
          </w:p>
        </w:tc>
        <w:tc>
          <w:tcPr>
            <w:tcW w:w="6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260" w:type="dxa"/>
            <w:vAlign w:val="bottom"/>
          </w:tcPr>
          <w:p>
            <w:pPr>
              <w:jc w:val="center"/>
              <w:ind w:left="30"/>
              <w:spacing w:after="0"/>
              <w:rPr>
                <w:sz w:val="20"/>
                <w:szCs w:val="20"/>
                <w:color w:val="auto"/>
              </w:rPr>
            </w:pPr>
            <w:r>
              <w:rPr>
                <w:rFonts w:ascii="Arial" w:cs="Arial" w:eastAsia="Arial" w:hAnsi="Arial"/>
                <w:sz w:val="18"/>
                <w:szCs w:val="18"/>
                <w:color w:val="auto"/>
                <w:w w:val="90"/>
              </w:rPr>
              <w:t>due May 15,</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1.794%</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2.494%</w:t>
            </w:r>
          </w:p>
        </w:tc>
        <w:tc>
          <w:tcPr>
            <w:tcW w:w="840" w:type="dxa"/>
            <w:vAlign w:val="bottom"/>
          </w:tcPr>
          <w:p>
            <w:pPr>
              <w:jc w:val="center"/>
              <w:ind w:right="30"/>
              <w:spacing w:after="0"/>
              <w:rPr>
                <w:sz w:val="20"/>
                <w:szCs w:val="20"/>
                <w:color w:val="auto"/>
              </w:rPr>
            </w:pPr>
            <w:r>
              <w:rPr>
                <w:rFonts w:ascii="Arial" w:cs="Arial" w:eastAsia="Arial" w:hAnsi="Arial"/>
                <w:sz w:val="18"/>
                <w:szCs w:val="18"/>
                <w:color w:val="auto"/>
                <w:w w:val="88"/>
              </w:rPr>
              <w:t>40%</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$1,531.79</w:t>
            </w:r>
          </w:p>
        </w:tc>
        <w:tc>
          <w:tcPr>
            <w:tcW w:w="940" w:type="dxa"/>
            <w:vAlign w:val="bottom"/>
          </w:tcPr>
          <w:p>
            <w:pPr>
              <w:jc w:val="right"/>
              <w:spacing w:after="0"/>
              <w:rPr>
                <w:sz w:val="20"/>
                <w:szCs w:val="20"/>
                <w:color w:val="auto"/>
              </w:rPr>
            </w:pPr>
            <w:r>
              <w:rPr>
                <w:rFonts w:ascii="Arial" w:cs="Arial" w:eastAsia="Arial" w:hAnsi="Arial"/>
                <w:sz w:val="18"/>
                <w:szCs w:val="18"/>
                <w:color w:val="auto"/>
              </w:rPr>
              <w:t>$1,319.07</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$212.72</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tcPr>
          <w:p>
            <w:pPr>
              <w:jc w:val="center"/>
              <w:ind w:left="10"/>
              <w:spacing w:after="0"/>
              <w:rPr>
                <w:sz w:val="20"/>
                <w:szCs w:val="20"/>
                <w:color w:val="auto"/>
              </w:rPr>
            </w:pPr>
            <w:r>
              <w:rPr>
                <w:rFonts w:ascii="Arial" w:cs="Arial" w:eastAsia="Arial" w:hAnsi="Arial"/>
                <w:sz w:val="18"/>
                <w:szCs w:val="18"/>
                <w:color w:val="auto"/>
                <w:w w:val="89"/>
              </w:rPr>
              <w:t>2041</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tcPr>
          <w:p>
            <w:pPr>
              <w:jc w:val="center"/>
              <w:ind w:left="30"/>
              <w:spacing w:after="0"/>
              <w:rPr>
                <w:sz w:val="20"/>
                <w:szCs w:val="20"/>
                <w:color w:val="auto"/>
              </w:rPr>
            </w:pPr>
            <w:r>
              <w:rPr>
                <w:rFonts w:ascii="Arial" w:cs="Arial" w:eastAsia="Arial" w:hAnsi="Arial"/>
                <w:sz w:val="18"/>
                <w:szCs w:val="18"/>
                <w:color w:val="auto"/>
                <w:w w:val="92"/>
              </w:rPr>
              <w:t>2.250% UST</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jc w:val="center"/>
              <w:ind w:right="150"/>
              <w:spacing w:after="0"/>
              <w:rPr>
                <w:sz w:val="20"/>
                <w:szCs w:val="20"/>
                <w:color w:val="auto"/>
              </w:rPr>
            </w:pPr>
            <w:r>
              <w:rPr>
                <w:rFonts w:ascii="Arial" w:cs="Arial" w:eastAsia="Arial" w:hAnsi="Arial"/>
                <w:sz w:val="18"/>
                <w:szCs w:val="18"/>
                <w:color w:val="auto"/>
                <w:w w:val="94"/>
              </w:rPr>
              <w:t>20030N AV3</w:t>
            </w:r>
          </w:p>
        </w:tc>
        <w:tc>
          <w:tcPr>
            <w:tcW w:w="6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60" w:type="dxa"/>
            <w:vAlign w:val="bottom"/>
          </w:tcPr>
          <w:p>
            <w:pPr>
              <w:jc w:val="center"/>
              <w:ind w:left="30"/>
              <w:spacing w:after="0"/>
              <w:rPr>
                <w:sz w:val="20"/>
                <w:szCs w:val="20"/>
                <w:color w:val="auto"/>
              </w:rPr>
            </w:pPr>
            <w:r>
              <w:rPr>
                <w:rFonts w:ascii="Arial" w:cs="Arial" w:eastAsia="Arial" w:hAnsi="Arial"/>
                <w:sz w:val="18"/>
                <w:szCs w:val="18"/>
                <w:color w:val="auto"/>
                <w:w w:val="90"/>
              </w:rPr>
              <w:t>due May 15,</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1.794%</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2.494%</w:t>
            </w:r>
          </w:p>
        </w:tc>
        <w:tc>
          <w:tcPr>
            <w:tcW w:w="840" w:type="dxa"/>
            <w:vAlign w:val="bottom"/>
          </w:tcPr>
          <w:p>
            <w:pPr>
              <w:jc w:val="center"/>
              <w:ind w:right="30"/>
              <w:spacing w:after="0"/>
              <w:rPr>
                <w:sz w:val="20"/>
                <w:szCs w:val="20"/>
                <w:color w:val="auto"/>
              </w:rPr>
            </w:pPr>
            <w:r>
              <w:rPr>
                <w:rFonts w:ascii="Arial" w:cs="Arial" w:eastAsia="Arial" w:hAnsi="Arial"/>
                <w:sz w:val="18"/>
                <w:szCs w:val="18"/>
                <w:color w:val="auto"/>
                <w:w w:val="88"/>
              </w:rPr>
              <w:t>45%</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$1,584.59</w:t>
            </w:r>
          </w:p>
        </w:tc>
        <w:tc>
          <w:tcPr>
            <w:tcW w:w="940" w:type="dxa"/>
            <w:vAlign w:val="bottom"/>
          </w:tcPr>
          <w:p>
            <w:pPr>
              <w:jc w:val="right"/>
              <w:spacing w:after="0"/>
              <w:rPr>
                <w:sz w:val="20"/>
                <w:szCs w:val="20"/>
                <w:color w:val="auto"/>
              </w:rPr>
            </w:pPr>
            <w:r>
              <w:rPr>
                <w:rFonts w:ascii="Arial" w:cs="Arial" w:eastAsia="Arial" w:hAnsi="Arial"/>
                <w:sz w:val="18"/>
                <w:szCs w:val="18"/>
                <w:color w:val="auto"/>
              </w:rPr>
              <w:t>$1,321.52</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$263.07</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tcPr>
          <w:p>
            <w:pPr>
              <w:jc w:val="center"/>
              <w:ind w:left="10"/>
              <w:spacing w:after="0"/>
              <w:rPr>
                <w:sz w:val="20"/>
                <w:szCs w:val="20"/>
                <w:color w:val="auto"/>
              </w:rPr>
            </w:pPr>
            <w:r>
              <w:rPr>
                <w:rFonts w:ascii="Arial" w:cs="Arial" w:eastAsia="Arial" w:hAnsi="Arial"/>
                <w:sz w:val="18"/>
                <w:szCs w:val="18"/>
                <w:color w:val="auto"/>
                <w:w w:val="89"/>
              </w:rPr>
              <w:t>2041</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tcPr>
          <w:p>
            <w:pPr>
              <w:jc w:val="center"/>
              <w:ind w:left="30"/>
              <w:spacing w:after="0"/>
              <w:rPr>
                <w:sz w:val="20"/>
                <w:szCs w:val="20"/>
                <w:color w:val="auto"/>
              </w:rPr>
            </w:pPr>
            <w:r>
              <w:rPr>
                <w:rFonts w:ascii="Arial" w:cs="Arial" w:eastAsia="Arial" w:hAnsi="Arial"/>
                <w:sz w:val="18"/>
                <w:szCs w:val="18"/>
                <w:color w:val="auto"/>
                <w:w w:val="92"/>
              </w:rPr>
              <w:t>2.250% UST</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jc w:val="center"/>
              <w:ind w:right="150"/>
              <w:spacing w:after="0"/>
              <w:rPr>
                <w:sz w:val="20"/>
                <w:szCs w:val="20"/>
                <w:color w:val="auto"/>
              </w:rPr>
            </w:pPr>
            <w:r>
              <w:rPr>
                <w:rFonts w:ascii="Arial" w:cs="Arial" w:eastAsia="Arial" w:hAnsi="Arial"/>
                <w:sz w:val="18"/>
                <w:szCs w:val="18"/>
                <w:color w:val="auto"/>
                <w:w w:val="95"/>
              </w:rPr>
              <w:t>20030N AM3</w:t>
            </w:r>
          </w:p>
        </w:tc>
        <w:tc>
          <w:tcPr>
            <w:tcW w:w="6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60" w:type="dxa"/>
            <w:vAlign w:val="bottom"/>
          </w:tcPr>
          <w:p>
            <w:pPr>
              <w:jc w:val="center"/>
              <w:ind w:left="30"/>
              <w:spacing w:after="0"/>
              <w:rPr>
                <w:sz w:val="20"/>
                <w:szCs w:val="20"/>
                <w:color w:val="auto"/>
              </w:rPr>
            </w:pPr>
            <w:r>
              <w:rPr>
                <w:rFonts w:ascii="Arial" w:cs="Arial" w:eastAsia="Arial" w:hAnsi="Arial"/>
                <w:sz w:val="18"/>
                <w:szCs w:val="18"/>
                <w:color w:val="auto"/>
                <w:w w:val="90"/>
              </w:rPr>
              <w:t>due May 15,</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1.794%</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2.494%</w:t>
            </w:r>
          </w:p>
        </w:tc>
        <w:tc>
          <w:tcPr>
            <w:tcW w:w="840" w:type="dxa"/>
            <w:vAlign w:val="bottom"/>
          </w:tcPr>
          <w:p>
            <w:pPr>
              <w:jc w:val="center"/>
              <w:ind w:right="30"/>
              <w:spacing w:after="0"/>
              <w:rPr>
                <w:sz w:val="20"/>
                <w:szCs w:val="20"/>
                <w:color w:val="auto"/>
              </w:rPr>
            </w:pPr>
            <w:r>
              <w:rPr>
                <w:rFonts w:ascii="Arial" w:cs="Arial" w:eastAsia="Arial" w:hAnsi="Arial"/>
                <w:sz w:val="18"/>
                <w:szCs w:val="18"/>
                <w:color w:val="auto"/>
                <w:w w:val="88"/>
              </w:rPr>
              <w:t>47%</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$1,507.89</w:t>
            </w:r>
          </w:p>
        </w:tc>
        <w:tc>
          <w:tcPr>
            <w:tcW w:w="940" w:type="dxa"/>
            <w:vAlign w:val="bottom"/>
          </w:tcPr>
          <w:p>
            <w:pPr>
              <w:jc w:val="right"/>
              <w:spacing w:after="0"/>
              <w:rPr>
                <w:sz w:val="20"/>
                <w:szCs w:val="20"/>
                <w:color w:val="auto"/>
              </w:rPr>
            </w:pPr>
            <w:r>
              <w:rPr>
                <w:rFonts w:ascii="Arial" w:cs="Arial" w:eastAsia="Arial" w:hAnsi="Arial"/>
                <w:sz w:val="18"/>
                <w:szCs w:val="18"/>
                <w:color w:val="auto"/>
              </w:rPr>
              <w:t>$1,269.18</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$238.71</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60" w:type="dxa"/>
            <w:vAlign w:val="bottom"/>
          </w:tcPr>
          <w:p>
            <w:pPr>
              <w:jc w:val="center"/>
              <w:ind w:left="10"/>
              <w:spacing w:after="0"/>
              <w:rPr>
                <w:sz w:val="20"/>
                <w:szCs w:val="20"/>
                <w:color w:val="auto"/>
              </w:rPr>
            </w:pPr>
            <w:r>
              <w:rPr>
                <w:rFonts w:ascii="Arial" w:cs="Arial" w:eastAsia="Arial" w:hAnsi="Arial"/>
                <w:sz w:val="18"/>
                <w:szCs w:val="18"/>
                <w:color w:val="auto"/>
                <w:w w:val="89"/>
              </w:rPr>
              <w:t>2041</w:t>
            </w: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jc w:val="center"/>
              <w:ind w:left="30"/>
              <w:spacing w:after="0"/>
              <w:rPr>
                <w:sz w:val="20"/>
                <w:szCs w:val="20"/>
                <w:color w:val="auto"/>
              </w:rPr>
            </w:pPr>
            <w:r>
              <w:rPr>
                <w:rFonts w:ascii="Arial" w:cs="Arial" w:eastAsia="Arial" w:hAnsi="Arial"/>
                <w:sz w:val="18"/>
                <w:szCs w:val="18"/>
                <w:color w:val="auto"/>
                <w:w w:val="92"/>
              </w:rPr>
              <w:t>2.250% UST</w:t>
            </w: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60" w:type="dxa"/>
            <w:vAlign w:val="bottom"/>
          </w:tcPr>
          <w:p>
            <w:pPr>
              <w:jc w:val="center"/>
              <w:ind w:right="150"/>
              <w:spacing w:after="0"/>
              <w:rPr>
                <w:sz w:val="20"/>
                <w:szCs w:val="20"/>
                <w:color w:val="auto"/>
              </w:rPr>
            </w:pPr>
            <w:r>
              <w:rPr>
                <w:rFonts w:ascii="Arial" w:cs="Arial" w:eastAsia="Arial" w:hAnsi="Arial"/>
                <w:sz w:val="18"/>
                <w:szCs w:val="18"/>
                <w:color w:val="auto"/>
                <w:w w:val="94"/>
              </w:rPr>
              <w:t>20030N BB6</w:t>
            </w:r>
          </w:p>
        </w:tc>
        <w:tc>
          <w:tcPr>
            <w:tcW w:w="6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260" w:type="dxa"/>
            <w:vAlign w:val="bottom"/>
          </w:tcPr>
          <w:p>
            <w:pPr>
              <w:jc w:val="center"/>
              <w:ind w:left="30"/>
              <w:spacing w:after="0"/>
              <w:rPr>
                <w:sz w:val="20"/>
                <w:szCs w:val="20"/>
                <w:color w:val="auto"/>
              </w:rPr>
            </w:pPr>
            <w:r>
              <w:rPr>
                <w:rFonts w:ascii="Arial" w:cs="Arial" w:eastAsia="Arial" w:hAnsi="Arial"/>
                <w:sz w:val="18"/>
                <w:szCs w:val="18"/>
                <w:color w:val="auto"/>
                <w:w w:val="90"/>
              </w:rPr>
              <w:t>due May 15,</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1.794%</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75</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2.544%</w:t>
            </w:r>
          </w:p>
        </w:tc>
        <w:tc>
          <w:tcPr>
            <w:tcW w:w="840" w:type="dxa"/>
            <w:vAlign w:val="bottom"/>
          </w:tcPr>
          <w:p>
            <w:pPr>
              <w:jc w:val="center"/>
              <w:ind w:right="30"/>
              <w:spacing w:after="0"/>
              <w:rPr>
                <w:sz w:val="20"/>
                <w:szCs w:val="20"/>
                <w:color w:val="auto"/>
              </w:rPr>
            </w:pPr>
            <w:r>
              <w:rPr>
                <w:rFonts w:ascii="Arial" w:cs="Arial" w:eastAsia="Arial" w:hAnsi="Arial"/>
                <w:sz w:val="18"/>
                <w:szCs w:val="18"/>
                <w:color w:val="auto"/>
                <w:w w:val="88"/>
              </w:rPr>
              <w:t>30%</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$1,566.97</w:t>
            </w:r>
          </w:p>
        </w:tc>
        <w:tc>
          <w:tcPr>
            <w:tcW w:w="940" w:type="dxa"/>
            <w:vAlign w:val="bottom"/>
          </w:tcPr>
          <w:p>
            <w:pPr>
              <w:jc w:val="right"/>
              <w:spacing w:after="0"/>
              <w:rPr>
                <w:sz w:val="20"/>
                <w:szCs w:val="20"/>
                <w:color w:val="auto"/>
              </w:rPr>
            </w:pPr>
            <w:r>
              <w:rPr>
                <w:rFonts w:ascii="Arial" w:cs="Arial" w:eastAsia="Arial" w:hAnsi="Arial"/>
                <w:sz w:val="18"/>
                <w:szCs w:val="18"/>
                <w:color w:val="auto"/>
              </w:rPr>
              <w:t>$1,396.88</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$170.09</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60" w:type="dxa"/>
            <w:vAlign w:val="bottom"/>
          </w:tcPr>
          <w:p>
            <w:pPr>
              <w:jc w:val="center"/>
              <w:ind w:left="10"/>
              <w:spacing w:after="0"/>
              <w:rPr>
                <w:sz w:val="20"/>
                <w:szCs w:val="20"/>
                <w:color w:val="auto"/>
              </w:rPr>
            </w:pPr>
            <w:r>
              <w:rPr>
                <w:rFonts w:ascii="Arial" w:cs="Arial" w:eastAsia="Arial" w:hAnsi="Arial"/>
                <w:sz w:val="18"/>
                <w:szCs w:val="18"/>
                <w:color w:val="auto"/>
                <w:w w:val="89"/>
              </w:rPr>
              <w:t>2041</w:t>
            </w: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60" w:type="dxa"/>
            <w:vAlign w:val="bottom"/>
            <w:vMerge w:val="restart"/>
          </w:tcPr>
          <w:p>
            <w:pPr>
              <w:jc w:val="center"/>
              <w:ind w:right="170"/>
              <w:spacing w:after="0"/>
              <w:rPr>
                <w:sz w:val="20"/>
                <w:szCs w:val="20"/>
                <w:color w:val="auto"/>
              </w:rPr>
            </w:pPr>
            <w:r>
              <w:rPr>
                <w:rFonts w:ascii="Arial" w:cs="Arial" w:eastAsia="Arial" w:hAnsi="Arial"/>
                <w:sz w:val="18"/>
                <w:szCs w:val="18"/>
                <w:color w:val="auto"/>
                <w:w w:val="88"/>
              </w:rPr>
              <w:t>63946B AF7</w:t>
            </w:r>
            <w:r>
              <w:rPr>
                <w:rFonts w:ascii="Arial" w:cs="Arial" w:eastAsia="Arial" w:hAnsi="Arial"/>
                <w:sz w:val="29"/>
                <w:szCs w:val="29"/>
                <w:color w:val="auto"/>
                <w:w w:val="88"/>
                <w:vertAlign w:val="superscript"/>
              </w:rPr>
              <w:t>(5)</w:t>
            </w:r>
          </w:p>
        </w:tc>
        <w:tc>
          <w:tcPr>
            <w:tcW w:w="660" w:type="dxa"/>
            <w:vAlign w:val="bottom"/>
          </w:tcPr>
          <w:p>
            <w:pPr>
              <w:spacing w:after="0"/>
              <w:rPr>
                <w:sz w:val="24"/>
                <w:szCs w:val="24"/>
                <w:color w:val="auto"/>
              </w:rPr>
            </w:pPr>
          </w:p>
        </w:tc>
        <w:tc>
          <w:tcPr>
            <w:tcW w:w="1260" w:type="dxa"/>
            <w:vAlign w:val="bottom"/>
          </w:tcPr>
          <w:p>
            <w:pPr>
              <w:jc w:val="center"/>
              <w:ind w:left="30"/>
              <w:spacing w:after="0"/>
              <w:rPr>
                <w:sz w:val="20"/>
                <w:szCs w:val="20"/>
                <w:color w:val="auto"/>
              </w:rPr>
            </w:pPr>
            <w:r>
              <w:rPr>
                <w:rFonts w:ascii="Arial" w:cs="Arial" w:eastAsia="Arial" w:hAnsi="Arial"/>
                <w:sz w:val="18"/>
                <w:szCs w:val="18"/>
                <w:color w:val="auto"/>
                <w:w w:val="92"/>
              </w:rPr>
              <w:t>2.250% UST</w:t>
            </w: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260" w:type="dxa"/>
            <w:vAlign w:val="bottom"/>
          </w:tcPr>
          <w:p>
            <w:pPr>
              <w:jc w:val="center"/>
              <w:ind w:left="30"/>
              <w:spacing w:after="0"/>
              <w:rPr>
                <w:sz w:val="20"/>
                <w:szCs w:val="20"/>
                <w:color w:val="auto"/>
              </w:rPr>
            </w:pPr>
            <w:r>
              <w:rPr>
                <w:rFonts w:ascii="Arial" w:cs="Arial" w:eastAsia="Arial" w:hAnsi="Arial"/>
                <w:sz w:val="18"/>
                <w:szCs w:val="18"/>
                <w:color w:val="auto"/>
                <w:w w:val="90"/>
              </w:rPr>
              <w:t>due May 15,</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1.794%</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75</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2.544%</w:t>
            </w:r>
          </w:p>
        </w:tc>
        <w:tc>
          <w:tcPr>
            <w:tcW w:w="840" w:type="dxa"/>
            <w:vAlign w:val="bottom"/>
          </w:tcPr>
          <w:p>
            <w:pPr>
              <w:jc w:val="center"/>
              <w:ind w:right="30"/>
              <w:spacing w:after="0"/>
              <w:rPr>
                <w:sz w:val="20"/>
                <w:szCs w:val="20"/>
                <w:color w:val="auto"/>
              </w:rPr>
            </w:pPr>
            <w:r>
              <w:rPr>
                <w:rFonts w:ascii="Arial" w:cs="Arial" w:eastAsia="Arial" w:hAnsi="Arial"/>
                <w:sz w:val="18"/>
                <w:szCs w:val="18"/>
                <w:color w:val="auto"/>
                <w:w w:val="88"/>
              </w:rPr>
              <w:t>27%</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$1,570.86</w:t>
            </w:r>
          </w:p>
        </w:tc>
        <w:tc>
          <w:tcPr>
            <w:tcW w:w="940" w:type="dxa"/>
            <w:vAlign w:val="bottom"/>
          </w:tcPr>
          <w:p>
            <w:pPr>
              <w:jc w:val="right"/>
              <w:spacing w:after="0"/>
              <w:rPr>
                <w:sz w:val="20"/>
                <w:szCs w:val="20"/>
                <w:color w:val="auto"/>
              </w:rPr>
            </w:pPr>
            <w:r>
              <w:rPr>
                <w:rFonts w:ascii="Arial" w:cs="Arial" w:eastAsia="Arial" w:hAnsi="Arial"/>
                <w:sz w:val="18"/>
                <w:szCs w:val="18"/>
                <w:color w:val="auto"/>
              </w:rPr>
              <w:t>$1,416.73</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$154.13</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60" w:type="dxa"/>
            <w:vAlign w:val="bottom"/>
          </w:tcPr>
          <w:p>
            <w:pPr>
              <w:jc w:val="center"/>
              <w:ind w:left="10"/>
              <w:spacing w:after="0"/>
              <w:rPr>
                <w:sz w:val="20"/>
                <w:szCs w:val="20"/>
                <w:color w:val="auto"/>
              </w:rPr>
            </w:pPr>
            <w:r>
              <w:rPr>
                <w:rFonts w:ascii="Arial" w:cs="Arial" w:eastAsia="Arial" w:hAnsi="Arial"/>
                <w:sz w:val="18"/>
                <w:szCs w:val="18"/>
                <w:color w:val="auto"/>
                <w:w w:val="89"/>
              </w:rPr>
              <w:t>2041</w:t>
            </w: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jc w:val="center"/>
              <w:ind w:left="30"/>
              <w:spacing w:after="0"/>
              <w:rPr>
                <w:sz w:val="20"/>
                <w:szCs w:val="20"/>
                <w:color w:val="auto"/>
              </w:rPr>
            </w:pPr>
            <w:r>
              <w:rPr>
                <w:rFonts w:ascii="Arial" w:cs="Arial" w:eastAsia="Arial" w:hAnsi="Arial"/>
                <w:sz w:val="18"/>
                <w:szCs w:val="18"/>
                <w:color w:val="auto"/>
                <w:w w:val="92"/>
              </w:rPr>
              <w:t>2.250% UST</w:t>
            </w: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60" w:type="dxa"/>
            <w:vAlign w:val="bottom"/>
          </w:tcPr>
          <w:p>
            <w:pPr>
              <w:jc w:val="center"/>
              <w:ind w:right="150"/>
              <w:spacing w:after="0"/>
              <w:rPr>
                <w:sz w:val="20"/>
                <w:szCs w:val="20"/>
                <w:color w:val="auto"/>
              </w:rPr>
            </w:pPr>
            <w:r>
              <w:rPr>
                <w:rFonts w:ascii="Arial" w:cs="Arial" w:eastAsia="Arial" w:hAnsi="Arial"/>
                <w:sz w:val="18"/>
                <w:szCs w:val="18"/>
                <w:color w:val="auto"/>
                <w:w w:val="94"/>
              </w:rPr>
              <w:t>20030N AY7</w:t>
            </w:r>
          </w:p>
        </w:tc>
        <w:tc>
          <w:tcPr>
            <w:tcW w:w="6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260" w:type="dxa"/>
            <w:vAlign w:val="bottom"/>
          </w:tcPr>
          <w:p>
            <w:pPr>
              <w:jc w:val="center"/>
              <w:ind w:left="30"/>
              <w:spacing w:after="0"/>
              <w:rPr>
                <w:sz w:val="20"/>
                <w:szCs w:val="20"/>
                <w:color w:val="auto"/>
              </w:rPr>
            </w:pPr>
            <w:r>
              <w:rPr>
                <w:rFonts w:ascii="Arial" w:cs="Arial" w:eastAsia="Arial" w:hAnsi="Arial"/>
                <w:sz w:val="18"/>
                <w:szCs w:val="18"/>
                <w:color w:val="auto"/>
                <w:w w:val="90"/>
              </w:rPr>
              <w:t>due May 15,</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1.794%</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75</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2.544%</w:t>
            </w:r>
          </w:p>
        </w:tc>
        <w:tc>
          <w:tcPr>
            <w:tcW w:w="840" w:type="dxa"/>
            <w:vAlign w:val="bottom"/>
          </w:tcPr>
          <w:p>
            <w:pPr>
              <w:jc w:val="center"/>
              <w:ind w:right="30"/>
              <w:spacing w:after="0"/>
              <w:rPr>
                <w:sz w:val="20"/>
                <w:szCs w:val="20"/>
                <w:color w:val="auto"/>
              </w:rPr>
            </w:pPr>
            <w:r>
              <w:rPr>
                <w:rFonts w:ascii="Arial" w:cs="Arial" w:eastAsia="Arial" w:hAnsi="Arial"/>
                <w:sz w:val="18"/>
                <w:szCs w:val="18"/>
                <w:color w:val="auto"/>
                <w:w w:val="88"/>
              </w:rPr>
              <w:t>34%</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$1,572.25</w:t>
            </w:r>
          </w:p>
        </w:tc>
        <w:tc>
          <w:tcPr>
            <w:tcW w:w="940" w:type="dxa"/>
            <w:vAlign w:val="bottom"/>
          </w:tcPr>
          <w:p>
            <w:pPr>
              <w:jc w:val="right"/>
              <w:spacing w:after="0"/>
              <w:rPr>
                <w:sz w:val="20"/>
                <w:szCs w:val="20"/>
                <w:color w:val="auto"/>
              </w:rPr>
            </w:pPr>
            <w:r>
              <w:rPr>
                <w:rFonts w:ascii="Arial" w:cs="Arial" w:eastAsia="Arial" w:hAnsi="Arial"/>
                <w:sz w:val="18"/>
                <w:szCs w:val="18"/>
                <w:color w:val="auto"/>
              </w:rPr>
              <w:t>$1,377.68</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$194.57</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tcPr>
          <w:p>
            <w:pPr>
              <w:jc w:val="center"/>
              <w:ind w:left="10"/>
              <w:spacing w:after="0"/>
              <w:rPr>
                <w:sz w:val="20"/>
                <w:szCs w:val="20"/>
                <w:color w:val="auto"/>
              </w:rPr>
            </w:pPr>
            <w:r>
              <w:rPr>
                <w:rFonts w:ascii="Arial" w:cs="Arial" w:eastAsia="Arial" w:hAnsi="Arial"/>
                <w:sz w:val="18"/>
                <w:szCs w:val="18"/>
                <w:color w:val="auto"/>
                <w:w w:val="89"/>
              </w:rPr>
              <w:t>2041</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tcPr>
          <w:p>
            <w:pPr>
              <w:jc w:val="center"/>
              <w:ind w:left="30"/>
              <w:spacing w:after="0"/>
              <w:rPr>
                <w:sz w:val="20"/>
                <w:szCs w:val="20"/>
                <w:color w:val="auto"/>
              </w:rPr>
            </w:pPr>
            <w:r>
              <w:rPr>
                <w:rFonts w:ascii="Arial" w:cs="Arial" w:eastAsia="Arial" w:hAnsi="Arial"/>
                <w:sz w:val="18"/>
                <w:szCs w:val="18"/>
                <w:color w:val="auto"/>
                <w:w w:val="92"/>
              </w:rPr>
              <w:t>2.250% UST</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jc w:val="center"/>
              <w:ind w:right="170"/>
              <w:spacing w:after="0"/>
              <w:rPr>
                <w:sz w:val="20"/>
                <w:szCs w:val="20"/>
                <w:color w:val="auto"/>
              </w:rPr>
            </w:pPr>
            <w:r>
              <w:rPr>
                <w:rFonts w:ascii="Arial" w:cs="Arial" w:eastAsia="Arial" w:hAnsi="Arial"/>
                <w:sz w:val="18"/>
                <w:szCs w:val="18"/>
                <w:color w:val="auto"/>
                <w:w w:val="92"/>
              </w:rPr>
              <w:t>20030N CL3</w:t>
            </w:r>
          </w:p>
        </w:tc>
        <w:tc>
          <w:tcPr>
            <w:tcW w:w="66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1260" w:type="dxa"/>
            <w:vAlign w:val="bottom"/>
          </w:tcPr>
          <w:p>
            <w:pPr>
              <w:jc w:val="center"/>
              <w:ind w:left="30"/>
              <w:spacing w:after="0"/>
              <w:rPr>
                <w:sz w:val="20"/>
                <w:szCs w:val="20"/>
                <w:color w:val="auto"/>
              </w:rPr>
            </w:pPr>
            <w:r>
              <w:rPr>
                <w:rFonts w:ascii="Arial" w:cs="Arial" w:eastAsia="Arial" w:hAnsi="Arial"/>
                <w:sz w:val="18"/>
                <w:szCs w:val="18"/>
                <w:color w:val="auto"/>
                <w:w w:val="90"/>
              </w:rPr>
              <w:t>due May 15,</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1.794%</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2.494%</w:t>
            </w:r>
          </w:p>
        </w:tc>
        <w:tc>
          <w:tcPr>
            <w:tcW w:w="840" w:type="dxa"/>
            <w:vAlign w:val="bottom"/>
          </w:tcPr>
          <w:p>
            <w:pPr>
              <w:jc w:val="center"/>
              <w:ind w:right="30"/>
              <w:spacing w:after="0"/>
              <w:rPr>
                <w:sz w:val="20"/>
                <w:szCs w:val="20"/>
                <w:color w:val="auto"/>
              </w:rPr>
            </w:pPr>
            <w:r>
              <w:rPr>
                <w:rFonts w:ascii="Arial" w:cs="Arial" w:eastAsia="Arial" w:hAnsi="Arial"/>
                <w:sz w:val="18"/>
                <w:szCs w:val="18"/>
                <w:color w:val="auto"/>
                <w:w w:val="92"/>
              </w:rPr>
              <w:t>0%</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$1,285.57</w:t>
            </w:r>
          </w:p>
        </w:tc>
        <w:tc>
          <w:tcPr>
            <w:tcW w:w="940" w:type="dxa"/>
            <w:vAlign w:val="bottom"/>
          </w:tcPr>
          <w:p>
            <w:pPr>
              <w:jc w:val="right"/>
              <w:spacing w:after="0"/>
              <w:rPr>
                <w:sz w:val="20"/>
                <w:szCs w:val="20"/>
                <w:color w:val="auto"/>
              </w:rPr>
            </w:pPr>
            <w:r>
              <w:rPr>
                <w:rFonts w:ascii="Arial" w:cs="Arial" w:eastAsia="Arial" w:hAnsi="Arial"/>
                <w:sz w:val="18"/>
                <w:szCs w:val="18"/>
                <w:color w:val="auto"/>
              </w:rPr>
              <w:t>$1,285.57</w:t>
            </w:r>
          </w:p>
        </w:tc>
        <w:tc>
          <w:tcPr>
            <w:tcW w:w="620" w:type="dxa"/>
            <w:vAlign w:val="bottom"/>
          </w:tcPr>
          <w:p>
            <w:pPr>
              <w:jc w:val="center"/>
              <w:spacing w:after="0"/>
              <w:rPr>
                <w:sz w:val="20"/>
                <w:szCs w:val="20"/>
                <w:color w:val="auto"/>
              </w:rPr>
            </w:pPr>
            <w:r>
              <w:rPr>
                <w:rFonts w:ascii="Arial" w:cs="Arial" w:eastAsia="Arial" w:hAnsi="Arial"/>
                <w:sz w:val="18"/>
                <w:szCs w:val="18"/>
                <w:color w:val="auto"/>
                <w:w w:val="93"/>
              </w:rPr>
              <w:t>$0.00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tcPr>
          <w:p>
            <w:pPr>
              <w:jc w:val="center"/>
              <w:ind w:left="10"/>
              <w:spacing w:after="0"/>
              <w:rPr>
                <w:sz w:val="20"/>
                <w:szCs w:val="20"/>
                <w:color w:val="auto"/>
              </w:rPr>
            </w:pPr>
            <w:r>
              <w:rPr>
                <w:rFonts w:ascii="Arial" w:cs="Arial" w:eastAsia="Arial" w:hAnsi="Arial"/>
                <w:sz w:val="18"/>
                <w:szCs w:val="18"/>
                <w:color w:val="auto"/>
                <w:w w:val="89"/>
              </w:rPr>
              <w:t>2041</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tcPr>
          <w:p>
            <w:pPr>
              <w:jc w:val="center"/>
              <w:ind w:left="30"/>
              <w:spacing w:after="0"/>
              <w:rPr>
                <w:sz w:val="20"/>
                <w:szCs w:val="20"/>
                <w:color w:val="auto"/>
              </w:rPr>
            </w:pPr>
            <w:r>
              <w:rPr>
                <w:rFonts w:ascii="Arial" w:cs="Arial" w:eastAsia="Arial" w:hAnsi="Arial"/>
                <w:sz w:val="18"/>
                <w:szCs w:val="18"/>
                <w:color w:val="auto"/>
                <w:w w:val="92"/>
              </w:rPr>
              <w:t>1.625% UST</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jc w:val="center"/>
              <w:ind w:right="170"/>
              <w:spacing w:after="0"/>
              <w:rPr>
                <w:sz w:val="20"/>
                <w:szCs w:val="20"/>
                <w:color w:val="auto"/>
              </w:rPr>
            </w:pPr>
            <w:r>
              <w:rPr>
                <w:rFonts w:ascii="Arial" w:cs="Arial" w:eastAsia="Arial" w:hAnsi="Arial"/>
                <w:sz w:val="18"/>
                <w:szCs w:val="18"/>
                <w:color w:val="auto"/>
                <w:w w:val="95"/>
              </w:rPr>
              <w:t>20030N AK7</w:t>
            </w:r>
          </w:p>
        </w:tc>
        <w:tc>
          <w:tcPr>
            <w:tcW w:w="66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260" w:type="dxa"/>
            <w:vAlign w:val="bottom"/>
          </w:tcPr>
          <w:p>
            <w:pPr>
              <w:jc w:val="center"/>
              <w:ind w:left="30"/>
              <w:spacing w:after="0"/>
              <w:rPr>
                <w:sz w:val="20"/>
                <w:szCs w:val="20"/>
                <w:color w:val="auto"/>
              </w:rPr>
            </w:pPr>
            <w:r>
              <w:rPr>
                <w:rFonts w:ascii="Arial" w:cs="Arial" w:eastAsia="Arial" w:hAnsi="Arial"/>
                <w:sz w:val="18"/>
                <w:szCs w:val="18"/>
                <w:color w:val="auto"/>
                <w:w w:val="90"/>
              </w:rPr>
              <w:t>due May 15,</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1.209%</w:t>
            </w:r>
          </w:p>
        </w:tc>
        <w:tc>
          <w:tcPr>
            <w:tcW w:w="560" w:type="dxa"/>
            <w:vAlign w:val="bottom"/>
          </w:tcPr>
          <w:p>
            <w:pPr>
              <w:jc w:val="center"/>
              <w:spacing w:after="0"/>
              <w:rPr>
                <w:sz w:val="20"/>
                <w:szCs w:val="20"/>
                <w:color w:val="auto"/>
              </w:rPr>
            </w:pPr>
            <w:r>
              <w:rPr>
                <w:rFonts w:ascii="Arial" w:cs="Arial" w:eastAsia="Arial" w:hAnsi="Arial"/>
                <w:sz w:val="18"/>
                <w:szCs w:val="18"/>
                <w:color w:val="auto"/>
                <w:w w:val="93"/>
              </w:rPr>
              <w:t>105</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2.259%</w:t>
            </w:r>
          </w:p>
        </w:tc>
        <w:tc>
          <w:tcPr>
            <w:tcW w:w="840" w:type="dxa"/>
            <w:vAlign w:val="bottom"/>
          </w:tcPr>
          <w:p>
            <w:pPr>
              <w:jc w:val="center"/>
              <w:ind w:right="30"/>
              <w:spacing w:after="0"/>
              <w:rPr>
                <w:sz w:val="20"/>
                <w:szCs w:val="20"/>
                <w:color w:val="auto"/>
              </w:rPr>
            </w:pPr>
            <w:r>
              <w:rPr>
                <w:rFonts w:ascii="Arial" w:cs="Arial" w:eastAsia="Arial" w:hAnsi="Arial"/>
                <w:sz w:val="18"/>
                <w:szCs w:val="18"/>
                <w:color w:val="auto"/>
                <w:w w:val="88"/>
              </w:rPr>
              <w:t>49%</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$1,513.88</w:t>
            </w:r>
          </w:p>
        </w:tc>
        <w:tc>
          <w:tcPr>
            <w:tcW w:w="940" w:type="dxa"/>
            <w:vAlign w:val="bottom"/>
          </w:tcPr>
          <w:p>
            <w:pPr>
              <w:jc w:val="right"/>
              <w:spacing w:after="0"/>
              <w:rPr>
                <w:sz w:val="20"/>
                <w:szCs w:val="20"/>
                <w:color w:val="auto"/>
              </w:rPr>
            </w:pPr>
            <w:r>
              <w:rPr>
                <w:rFonts w:ascii="Arial" w:cs="Arial" w:eastAsia="Arial" w:hAnsi="Arial"/>
                <w:sz w:val="18"/>
                <w:szCs w:val="18"/>
                <w:color w:val="auto"/>
              </w:rPr>
              <w:t>$1,262.08</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$251.80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tcPr>
          <w:p>
            <w:pPr>
              <w:jc w:val="center"/>
              <w:ind w:left="10"/>
              <w:spacing w:after="0"/>
              <w:rPr>
                <w:sz w:val="20"/>
                <w:szCs w:val="20"/>
                <w:color w:val="auto"/>
              </w:rPr>
            </w:pPr>
            <w:r>
              <w:rPr>
                <w:rFonts w:ascii="Arial" w:cs="Arial" w:eastAsia="Arial" w:hAnsi="Arial"/>
                <w:sz w:val="18"/>
                <w:szCs w:val="18"/>
                <w:color w:val="auto"/>
                <w:w w:val="89"/>
              </w:rPr>
              <w:t>2031</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tcPr>
          <w:p>
            <w:pPr>
              <w:jc w:val="center"/>
              <w:ind w:left="30"/>
              <w:spacing w:after="0"/>
              <w:rPr>
                <w:sz w:val="20"/>
                <w:szCs w:val="20"/>
                <w:color w:val="auto"/>
              </w:rPr>
            </w:pPr>
            <w:r>
              <w:rPr>
                <w:rFonts w:ascii="Arial" w:cs="Arial" w:eastAsia="Arial" w:hAnsi="Arial"/>
                <w:sz w:val="18"/>
                <w:szCs w:val="18"/>
                <w:color w:val="auto"/>
                <w:w w:val="92"/>
              </w:rPr>
              <w:t>1.625% UST</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jc w:val="center"/>
              <w:ind w:right="170"/>
              <w:spacing w:after="0"/>
              <w:rPr>
                <w:sz w:val="20"/>
                <w:szCs w:val="20"/>
                <w:color w:val="auto"/>
              </w:rPr>
            </w:pPr>
            <w:r>
              <w:rPr>
                <w:rFonts w:ascii="Arial" w:cs="Arial" w:eastAsia="Arial" w:hAnsi="Arial"/>
                <w:sz w:val="18"/>
                <w:szCs w:val="18"/>
                <w:color w:val="auto"/>
                <w:w w:val="92"/>
              </w:rPr>
              <w:t>20030N AF8</w:t>
            </w:r>
          </w:p>
        </w:tc>
        <w:tc>
          <w:tcPr>
            <w:tcW w:w="66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1260" w:type="dxa"/>
            <w:vAlign w:val="bottom"/>
          </w:tcPr>
          <w:p>
            <w:pPr>
              <w:jc w:val="center"/>
              <w:ind w:left="30"/>
              <w:spacing w:after="0"/>
              <w:rPr>
                <w:sz w:val="20"/>
                <w:szCs w:val="20"/>
                <w:color w:val="auto"/>
              </w:rPr>
            </w:pPr>
            <w:r>
              <w:rPr>
                <w:rFonts w:ascii="Arial" w:cs="Arial" w:eastAsia="Arial" w:hAnsi="Arial"/>
                <w:sz w:val="18"/>
                <w:szCs w:val="18"/>
                <w:color w:val="auto"/>
                <w:w w:val="90"/>
              </w:rPr>
              <w:t>due May 15,</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1.209%</w:t>
            </w:r>
          </w:p>
        </w:tc>
        <w:tc>
          <w:tcPr>
            <w:tcW w:w="560" w:type="dxa"/>
            <w:vAlign w:val="bottom"/>
          </w:tcPr>
          <w:p>
            <w:pPr>
              <w:jc w:val="center"/>
              <w:spacing w:after="0"/>
              <w:rPr>
                <w:sz w:val="20"/>
                <w:szCs w:val="20"/>
                <w:color w:val="auto"/>
              </w:rPr>
            </w:pPr>
            <w:r>
              <w:rPr>
                <w:rFonts w:ascii="Arial" w:cs="Arial" w:eastAsia="Arial" w:hAnsi="Arial"/>
                <w:sz w:val="18"/>
                <w:szCs w:val="18"/>
                <w:color w:val="auto"/>
                <w:w w:val="93"/>
              </w:rPr>
              <w:t>105</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2.259%</w:t>
            </w:r>
          </w:p>
        </w:tc>
        <w:tc>
          <w:tcPr>
            <w:tcW w:w="840" w:type="dxa"/>
            <w:vAlign w:val="bottom"/>
          </w:tcPr>
          <w:p>
            <w:pPr>
              <w:jc w:val="center"/>
              <w:ind w:right="30"/>
              <w:spacing w:after="0"/>
              <w:rPr>
                <w:sz w:val="20"/>
                <w:szCs w:val="20"/>
                <w:color w:val="auto"/>
              </w:rPr>
            </w:pPr>
            <w:r>
              <w:rPr>
                <w:rFonts w:ascii="Arial" w:cs="Arial" w:eastAsia="Arial" w:hAnsi="Arial"/>
                <w:sz w:val="18"/>
                <w:szCs w:val="18"/>
                <w:color w:val="auto"/>
                <w:w w:val="88"/>
              </w:rPr>
              <w:t>46%</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$1,400.63</w:t>
            </w:r>
          </w:p>
        </w:tc>
        <w:tc>
          <w:tcPr>
            <w:tcW w:w="940" w:type="dxa"/>
            <w:vAlign w:val="bottom"/>
          </w:tcPr>
          <w:p>
            <w:pPr>
              <w:jc w:val="right"/>
              <w:spacing w:after="0"/>
              <w:rPr>
                <w:sz w:val="20"/>
                <w:szCs w:val="20"/>
                <w:color w:val="auto"/>
              </w:rPr>
            </w:pPr>
            <w:r>
              <w:rPr>
                <w:rFonts w:ascii="Arial" w:cs="Arial" w:eastAsia="Arial" w:hAnsi="Arial"/>
                <w:sz w:val="18"/>
                <w:szCs w:val="18"/>
                <w:color w:val="auto"/>
              </w:rPr>
              <w:t>$1,216.34</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$184.29</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tcPr>
          <w:p>
            <w:pPr>
              <w:jc w:val="center"/>
              <w:ind w:left="10"/>
              <w:spacing w:after="0"/>
              <w:rPr>
                <w:sz w:val="20"/>
                <w:szCs w:val="20"/>
                <w:color w:val="auto"/>
              </w:rPr>
            </w:pPr>
            <w:r>
              <w:rPr>
                <w:rFonts w:ascii="Arial" w:cs="Arial" w:eastAsia="Arial" w:hAnsi="Arial"/>
                <w:sz w:val="18"/>
                <w:szCs w:val="18"/>
                <w:color w:val="auto"/>
                <w:w w:val="89"/>
              </w:rPr>
              <w:t>2031</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tcPr>
          <w:p>
            <w:pPr>
              <w:jc w:val="center"/>
              <w:ind w:left="30"/>
              <w:spacing w:after="0"/>
              <w:rPr>
                <w:sz w:val="20"/>
                <w:szCs w:val="20"/>
                <w:color w:val="auto"/>
              </w:rPr>
            </w:pPr>
            <w:r>
              <w:rPr>
                <w:rFonts w:ascii="Arial" w:cs="Arial" w:eastAsia="Arial" w:hAnsi="Arial"/>
                <w:sz w:val="18"/>
                <w:szCs w:val="18"/>
                <w:color w:val="auto"/>
                <w:w w:val="92"/>
              </w:rPr>
              <w:t>1.625% UST</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jc w:val="center"/>
              <w:ind w:right="150"/>
              <w:spacing w:after="0"/>
              <w:rPr>
                <w:sz w:val="20"/>
                <w:szCs w:val="20"/>
                <w:color w:val="auto"/>
              </w:rPr>
            </w:pPr>
            <w:r>
              <w:rPr>
                <w:rFonts w:ascii="Arial" w:cs="Arial" w:eastAsia="Arial" w:hAnsi="Arial"/>
                <w:sz w:val="18"/>
                <w:szCs w:val="18"/>
                <w:color w:val="auto"/>
                <w:w w:val="93"/>
              </w:rPr>
              <w:t>20030N AC5</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260" w:type="dxa"/>
            <w:vAlign w:val="bottom"/>
          </w:tcPr>
          <w:p>
            <w:pPr>
              <w:jc w:val="center"/>
              <w:ind w:left="30"/>
              <w:spacing w:after="0"/>
              <w:rPr>
                <w:sz w:val="20"/>
                <w:szCs w:val="20"/>
                <w:color w:val="auto"/>
              </w:rPr>
            </w:pPr>
            <w:r>
              <w:rPr>
                <w:rFonts w:ascii="Arial" w:cs="Arial" w:eastAsia="Arial" w:hAnsi="Arial"/>
                <w:sz w:val="18"/>
                <w:szCs w:val="18"/>
                <w:color w:val="auto"/>
                <w:w w:val="90"/>
              </w:rPr>
              <w:t>due May 15,</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1.209%</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95</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2.159%</w:t>
            </w:r>
          </w:p>
        </w:tc>
        <w:tc>
          <w:tcPr>
            <w:tcW w:w="840" w:type="dxa"/>
            <w:vAlign w:val="bottom"/>
          </w:tcPr>
          <w:p>
            <w:pPr>
              <w:jc w:val="center"/>
              <w:ind w:right="30"/>
              <w:spacing w:after="0"/>
              <w:rPr>
                <w:sz w:val="20"/>
                <w:szCs w:val="20"/>
                <w:color w:val="auto"/>
              </w:rPr>
            </w:pPr>
            <w:r>
              <w:rPr>
                <w:rFonts w:ascii="Arial" w:cs="Arial" w:eastAsia="Arial" w:hAnsi="Arial"/>
                <w:sz w:val="18"/>
                <w:szCs w:val="18"/>
                <w:color w:val="auto"/>
                <w:w w:val="88"/>
              </w:rPr>
              <w:t>72%</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$1,498.44</w:t>
            </w:r>
          </w:p>
        </w:tc>
        <w:tc>
          <w:tcPr>
            <w:tcW w:w="940" w:type="dxa"/>
            <w:vAlign w:val="bottom"/>
          </w:tcPr>
          <w:p>
            <w:pPr>
              <w:jc w:val="right"/>
              <w:spacing w:after="0"/>
              <w:rPr>
                <w:sz w:val="20"/>
                <w:szCs w:val="20"/>
                <w:color w:val="auto"/>
              </w:rPr>
            </w:pPr>
            <w:r>
              <w:rPr>
                <w:rFonts w:ascii="Arial" w:cs="Arial" w:eastAsia="Arial" w:hAnsi="Arial"/>
                <w:sz w:val="18"/>
                <w:szCs w:val="18"/>
                <w:color w:val="auto"/>
              </w:rPr>
              <w:t>$1,139.56</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$358.88</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60" w:type="dxa"/>
            <w:vAlign w:val="bottom"/>
          </w:tcPr>
          <w:p>
            <w:pPr>
              <w:jc w:val="center"/>
              <w:ind w:left="10"/>
              <w:spacing w:after="0"/>
              <w:rPr>
                <w:sz w:val="20"/>
                <w:szCs w:val="20"/>
                <w:color w:val="auto"/>
              </w:rPr>
            </w:pPr>
            <w:r>
              <w:rPr>
                <w:rFonts w:ascii="Arial" w:cs="Arial" w:eastAsia="Arial" w:hAnsi="Arial"/>
                <w:sz w:val="18"/>
                <w:szCs w:val="18"/>
                <w:color w:val="auto"/>
                <w:w w:val="89"/>
              </w:rPr>
              <w:t>2031</w:t>
            </w: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ectPr>
          <w:pgSz w:w="11900" w:h="16838" w:orient="portrait"/>
          <w:cols w:equalWidth="0" w:num="3">
            <w:col w:w="760" w:space="120"/>
            <w:col w:w="1080" w:space="160"/>
            <w:col w:w="9120"/>
          </w:cols>
          <w:pgMar w:left="320" w:top="111" w:right="339" w:bottom="1440" w:gutter="0" w:footer="0" w:header="0"/>
          <w:type w:val="continuous"/>
        </w:sectPr>
      </w:pPr>
    </w:p>
    <w:p>
      <w:pPr>
        <w:ind w:left="980" w:hanging="648"/>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bid-side yield on the Reference UST Security.</w:t>
      </w:r>
    </w:p>
    <w:p>
      <w:pPr>
        <w:spacing w:after="0" w:line="23" w:lineRule="exact"/>
        <w:rPr>
          <w:rFonts w:ascii="Arial" w:cs="Arial" w:eastAsia="Arial" w:hAnsi="Arial"/>
          <w:sz w:val="18"/>
          <w:szCs w:val="18"/>
          <w:color w:val="auto"/>
        </w:rPr>
      </w:pPr>
    </w:p>
    <w:p>
      <w:pPr>
        <w:ind w:left="980" w:right="120" w:hanging="648"/>
        <w:spacing w:after="0" w:line="26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Reflects the bid-side yield on the Reference UST Security plus the applicable Fixed Spread, calculated in accordance with the procedures set forth in the Offering Memorandum, dated August 2, 2021 (the “Offering Memorandum”).</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8" w:name="page9"/>
    <w:bookmarkEnd w:id="8"/>
    <w:p>
      <w:pPr>
        <w:ind w:left="980" w:right="40" w:hanging="648"/>
        <w:spacing w:after="0" w:line="258"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cash payment percent of premium is the percentage of the amount by which the total consideration exceeds $1,000 in principal amount of such Pool 1 Notes to be paid in cash.</w:t>
      </w:r>
    </w:p>
    <w:p>
      <w:pPr>
        <w:spacing w:after="0" w:line="1" w:lineRule="exact"/>
        <w:rPr>
          <w:rFonts w:ascii="Arial" w:cs="Arial" w:eastAsia="Arial" w:hAnsi="Arial"/>
          <w:sz w:val="18"/>
          <w:szCs w:val="18"/>
          <w:color w:val="auto"/>
        </w:rPr>
      </w:pPr>
    </w:p>
    <w:p>
      <w:pPr>
        <w:ind w:left="980" w:right="460" w:hanging="648"/>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total consideration for each series of Pool 1 Notes includes the early participation payment of $50 of principal amount of New 2051 Notes per $1,000 principal amount of Pool 1 Notes and assumes a settlement date of August 19, 2021.</w:t>
      </w:r>
    </w:p>
    <w:p>
      <w:pPr>
        <w:ind w:left="980" w:right="280" w:hanging="648"/>
        <w:spacing w:after="0" w:line="26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6.400% Notes due April 2040 also includes notes with a restrictive legend (144A CUSIP number: 62875UAD7; Regulation S CUSIP: U63763AB9).</w:t>
      </w:r>
    </w:p>
    <w:p>
      <w:pPr>
        <w:spacing w:after="0" w:line="185" w:lineRule="exact"/>
        <w:rPr>
          <w:sz w:val="20"/>
          <w:szCs w:val="20"/>
          <w:color w:val="auto"/>
        </w:rPr>
      </w:pPr>
    </w:p>
    <w:p>
      <w:pPr>
        <w:ind w:left="500" w:hanging="168"/>
        <w:spacing w:after="0" w:line="277" w:lineRule="auto"/>
        <w:tabs>
          <w:tab w:leader="none" w:pos="473" w:val="left"/>
        </w:tabs>
        <w:numPr>
          <w:ilvl w:val="0"/>
          <w:numId w:val="7"/>
        </w:numPr>
        <w:rPr>
          <w:rFonts w:ascii="Arial" w:cs="Arial" w:eastAsia="Arial" w:hAnsi="Arial"/>
          <w:sz w:val="18"/>
          <w:szCs w:val="18"/>
          <w:color w:val="auto"/>
        </w:rPr>
      </w:pPr>
      <w:r>
        <w:rPr>
          <w:rFonts w:ascii="Arial" w:cs="Arial" w:eastAsia="Arial" w:hAnsi="Arial"/>
          <w:sz w:val="18"/>
          <w:szCs w:val="18"/>
          <w:color w:val="auto"/>
        </w:rPr>
        <w:t>Denotes a series of Old Notes (as defined below) for which the total consideration and exchange consideration will be determined taking into account the par call date, instead of the maturity date, in accordance with standard market practice.</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Comcast and NBCUniversal also announced today the pricing terms with respect to their private offers to exchange six series of notes issued by Comcast or NBCUniversal, respectively (collectively, the “Pool 2 Notes”), for a combination of cash and a new series of Comcast’s senior notes to be due in 2056 (the “New 2056 Notes”) as described in the table below. For each $1,000 principal amount of Pool 2 Notes validly tendered and not validly withdrawn prior to 5:00 p.m. New York City time on August 13, 2021 and accepted by Comcast, the following table sets forth the yields, the total consideration, the principal amount of the New 2056 Notes and the amount of cash, as priced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Cash</w:t>
            </w:r>
          </w:p>
        </w:tc>
        <w:tc>
          <w:tcPr>
            <w:tcW w:w="13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4"/>
              </w:rPr>
              <w:t>Principal</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3"/>
              </w:rPr>
              <w:t>Fixed</w:t>
            </w:r>
          </w:p>
        </w:tc>
        <w:tc>
          <w:tcPr>
            <w:tcW w:w="6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80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4"/>
              </w:rPr>
              <w:t>Amount</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7"/>
              </w:rPr>
              <w:t>Acceptance</w:t>
            </w: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1"/>
              </w:rPr>
              <w:t>Spread</w:t>
            </w:r>
          </w:p>
        </w:tc>
        <w:tc>
          <w:tcPr>
            <w:tcW w:w="6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0"/>
              </w:rPr>
              <w:t>Payment</w:t>
            </w:r>
          </w:p>
        </w:tc>
        <w:tc>
          <w:tcPr>
            <w:tcW w:w="13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8"/>
              </w:rPr>
              <w:t>of New</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ind w:left="160"/>
              <w:spacing w:after="0"/>
              <w:rPr>
                <w:sz w:val="20"/>
                <w:szCs w:val="20"/>
                <w:color w:val="auto"/>
              </w:rPr>
            </w:pPr>
            <w:r>
              <w:rPr>
                <w:rFonts w:ascii="Arial" w:cs="Arial" w:eastAsia="Arial" w:hAnsi="Arial"/>
                <w:sz w:val="18"/>
                <w:szCs w:val="18"/>
                <w:b w:val="1"/>
                <w:bCs w:val="1"/>
                <w:color w:val="auto"/>
              </w:rPr>
              <w:t>Title of</w:t>
            </w:r>
          </w:p>
        </w:tc>
        <w:tc>
          <w:tcPr>
            <w:tcW w:w="1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8"/>
              </w:rPr>
              <w:t>CUSIP</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5"/>
              </w:rPr>
              <w:t>Priority</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Reference UST</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7"/>
              </w:rPr>
              <w:t>Reference</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84"/>
              </w:rPr>
              <w:t>(basis</w:t>
            </w:r>
          </w:p>
        </w:tc>
        <w:tc>
          <w:tcPr>
            <w:tcW w:w="6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0"/>
              </w:rPr>
              <w:t>Percent of</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9"/>
              </w:rPr>
              <w:t>2056</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8"/>
              </w:rPr>
              <w:t>Security</w:t>
            </w:r>
          </w:p>
        </w:tc>
        <w:tc>
          <w:tcPr>
            <w:tcW w:w="11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Issuer</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Number(s)</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Level</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Security</w:t>
            </w:r>
          </w:p>
        </w:tc>
        <w:tc>
          <w:tcPr>
            <w:tcW w:w="84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6"/>
              </w:rPr>
              <w:t>Yield</w:t>
            </w:r>
            <w:r>
              <w:rPr>
                <w:rFonts w:ascii="Arial" w:cs="Arial" w:eastAsia="Arial" w:hAnsi="Arial"/>
                <w:sz w:val="29"/>
                <w:szCs w:val="29"/>
                <w:b w:val="1"/>
                <w:bCs w:val="1"/>
                <w:color w:val="auto"/>
                <w:w w:val="86"/>
                <w:vertAlign w:val="superscript"/>
              </w:rPr>
              <w:t>(1)</w:t>
            </w:r>
          </w:p>
        </w:tc>
        <w:tc>
          <w:tcPr>
            <w:tcW w:w="1300" w:type="dxa"/>
            <w:vAlign w:val="bottom"/>
            <w:tcBorders>
              <w:bottom w:val="single" w:sz="8" w:color="auto"/>
            </w:tcBorders>
            <w:gridSpan w:val="2"/>
          </w:tcPr>
          <w:p>
            <w:pPr>
              <w:jc w:val="right"/>
              <w:spacing w:after="0" w:line="270" w:lineRule="exact"/>
              <w:rPr>
                <w:sz w:val="20"/>
                <w:szCs w:val="20"/>
                <w:color w:val="auto"/>
              </w:rPr>
            </w:pPr>
            <w:r>
              <w:rPr>
                <w:rFonts w:ascii="Arial" w:cs="Arial" w:eastAsia="Arial" w:hAnsi="Arial"/>
                <w:sz w:val="18"/>
                <w:szCs w:val="18"/>
                <w:b w:val="1"/>
                <w:bCs w:val="1"/>
                <w:color w:val="auto"/>
                <w:w w:val="94"/>
              </w:rPr>
              <w:t>points) Yield</w:t>
            </w:r>
            <w:r>
              <w:rPr>
                <w:rFonts w:ascii="Arial" w:cs="Arial" w:eastAsia="Arial" w:hAnsi="Arial"/>
                <w:sz w:val="29"/>
                <w:szCs w:val="29"/>
                <w:b w:val="1"/>
                <w:bCs w:val="1"/>
                <w:color w:val="auto"/>
                <w:w w:val="94"/>
                <w:vertAlign w:val="superscript"/>
              </w:rPr>
              <w:t>(2)</w:t>
            </w:r>
          </w:p>
        </w:tc>
        <w:tc>
          <w:tcPr>
            <w:tcW w:w="96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7"/>
              </w:rPr>
              <w:t>Premium</w:t>
            </w:r>
            <w:r>
              <w:rPr>
                <w:rFonts w:ascii="Arial" w:cs="Arial" w:eastAsia="Arial" w:hAnsi="Arial"/>
                <w:sz w:val="29"/>
                <w:szCs w:val="29"/>
                <w:b w:val="1"/>
                <w:bCs w:val="1"/>
                <w:color w:val="auto"/>
                <w:w w:val="87"/>
                <w:vertAlign w:val="superscript"/>
              </w:rPr>
              <w:t>(3)</w:t>
            </w:r>
          </w:p>
        </w:tc>
        <w:tc>
          <w:tcPr>
            <w:tcW w:w="134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7"/>
              </w:rPr>
              <w:t>Consideration</w:t>
            </w:r>
            <w:r>
              <w:rPr>
                <w:rFonts w:ascii="Arial" w:cs="Arial" w:eastAsia="Arial" w:hAnsi="Arial"/>
                <w:sz w:val="29"/>
                <w:szCs w:val="29"/>
                <w:b w:val="1"/>
                <w:bCs w:val="1"/>
                <w:color w:val="auto"/>
                <w:w w:val="87"/>
                <w:vertAlign w:val="superscript"/>
              </w:rPr>
              <w:t>(4)</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Notes</w:t>
            </w: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Cash</w:t>
            </w:r>
          </w:p>
        </w:tc>
        <w:tc>
          <w:tcPr>
            <w:tcW w:w="0" w:type="dxa"/>
            <w:vAlign w:val="bottom"/>
          </w:tcPr>
          <w:p>
            <w:pPr>
              <w:spacing w:after="0"/>
              <w:rPr>
                <w:sz w:val="1"/>
                <w:szCs w:val="1"/>
                <w:color w:val="auto"/>
              </w:rPr>
            </w:pPr>
          </w:p>
        </w:tc>
      </w:tr>
      <w:tr>
        <w:trPr>
          <w:trHeight w:val="195"/>
        </w:trPr>
        <w:tc>
          <w:tcPr>
            <w:tcW w:w="840" w:type="dxa"/>
            <w:vAlign w:val="bottom"/>
            <w:shd w:val="clear" w:color="auto" w:fill="BFBFBF"/>
          </w:tcPr>
          <w:p>
            <w:pPr>
              <w:ind w:left="40"/>
              <w:spacing w:after="0" w:line="195" w:lineRule="exact"/>
              <w:rPr>
                <w:sz w:val="20"/>
                <w:szCs w:val="20"/>
                <w:color w:val="auto"/>
              </w:rPr>
            </w:pPr>
            <w:r>
              <w:rPr>
                <w:rFonts w:ascii="Arial" w:cs="Arial" w:eastAsia="Arial" w:hAnsi="Arial"/>
                <w:sz w:val="18"/>
                <w:szCs w:val="18"/>
                <w:color w:val="auto"/>
              </w:rPr>
              <w:t>Pool 2</w:t>
            </w:r>
          </w:p>
        </w:tc>
        <w:tc>
          <w:tcPr>
            <w:tcW w:w="1180" w:type="dxa"/>
            <w:vAlign w:val="bottom"/>
            <w:shd w:val="clear" w:color="auto" w:fill="BFBFBF"/>
          </w:tcPr>
          <w:p>
            <w:pPr>
              <w:spacing w:after="0"/>
              <w:rPr>
                <w:sz w:val="16"/>
                <w:szCs w:val="16"/>
                <w:color w:val="auto"/>
              </w:rPr>
            </w:pPr>
          </w:p>
        </w:tc>
        <w:tc>
          <w:tcPr>
            <w:tcW w:w="1000" w:type="dxa"/>
            <w:vAlign w:val="bottom"/>
            <w:shd w:val="clear" w:color="auto" w:fill="BFBFBF"/>
          </w:tcPr>
          <w:p>
            <w:pPr>
              <w:spacing w:after="0"/>
              <w:rPr>
                <w:sz w:val="16"/>
                <w:szCs w:val="16"/>
                <w:color w:val="auto"/>
              </w:rPr>
            </w:pPr>
          </w:p>
        </w:tc>
        <w:tc>
          <w:tcPr>
            <w:tcW w:w="960" w:type="dxa"/>
            <w:vAlign w:val="bottom"/>
            <w:shd w:val="clear" w:color="auto" w:fill="BFBFBF"/>
          </w:tcPr>
          <w:p>
            <w:pPr>
              <w:spacing w:after="0"/>
              <w:rPr>
                <w:sz w:val="16"/>
                <w:szCs w:val="16"/>
                <w:color w:val="auto"/>
              </w:rPr>
            </w:pPr>
          </w:p>
        </w:tc>
        <w:tc>
          <w:tcPr>
            <w:tcW w:w="1360" w:type="dxa"/>
            <w:vAlign w:val="bottom"/>
            <w:shd w:val="clear" w:color="auto" w:fill="BFBFBF"/>
          </w:tcPr>
          <w:p>
            <w:pPr>
              <w:spacing w:after="0"/>
              <w:rPr>
                <w:sz w:val="16"/>
                <w:szCs w:val="16"/>
                <w:color w:val="auto"/>
              </w:rPr>
            </w:pPr>
          </w:p>
        </w:tc>
        <w:tc>
          <w:tcPr>
            <w:tcW w:w="840" w:type="dxa"/>
            <w:vAlign w:val="bottom"/>
            <w:shd w:val="clear" w:color="auto" w:fill="BFBFBF"/>
          </w:tcPr>
          <w:p>
            <w:pPr>
              <w:spacing w:after="0"/>
              <w:rPr>
                <w:sz w:val="16"/>
                <w:szCs w:val="16"/>
                <w:color w:val="auto"/>
              </w:rPr>
            </w:pPr>
          </w:p>
        </w:tc>
        <w:tc>
          <w:tcPr>
            <w:tcW w:w="640" w:type="dxa"/>
            <w:vAlign w:val="bottom"/>
            <w:shd w:val="clear" w:color="auto" w:fill="BFBFBF"/>
          </w:tcPr>
          <w:p>
            <w:pPr>
              <w:spacing w:after="0"/>
              <w:rPr>
                <w:sz w:val="16"/>
                <w:szCs w:val="16"/>
                <w:color w:val="auto"/>
              </w:rPr>
            </w:pPr>
          </w:p>
        </w:tc>
        <w:tc>
          <w:tcPr>
            <w:tcW w:w="660" w:type="dxa"/>
            <w:vAlign w:val="bottom"/>
            <w:shd w:val="clear" w:color="auto" w:fill="BFBFBF"/>
          </w:tcPr>
          <w:p>
            <w:pPr>
              <w:spacing w:after="0"/>
              <w:rPr>
                <w:sz w:val="16"/>
                <w:szCs w:val="16"/>
                <w:color w:val="auto"/>
              </w:rPr>
            </w:pPr>
          </w:p>
        </w:tc>
        <w:tc>
          <w:tcPr>
            <w:tcW w:w="960" w:type="dxa"/>
            <w:vAlign w:val="bottom"/>
            <w:shd w:val="clear" w:color="auto" w:fill="BFBFBF"/>
          </w:tcPr>
          <w:p>
            <w:pPr>
              <w:spacing w:after="0"/>
              <w:rPr>
                <w:sz w:val="16"/>
                <w:szCs w:val="16"/>
                <w:color w:val="auto"/>
              </w:rPr>
            </w:pPr>
          </w:p>
        </w:tc>
        <w:tc>
          <w:tcPr>
            <w:tcW w:w="1340" w:type="dxa"/>
            <w:vAlign w:val="bottom"/>
            <w:shd w:val="clear" w:color="auto" w:fill="BFBFBF"/>
          </w:tcPr>
          <w:p>
            <w:pPr>
              <w:spacing w:after="0"/>
              <w:rPr>
                <w:sz w:val="16"/>
                <w:szCs w:val="16"/>
                <w:color w:val="auto"/>
              </w:rPr>
            </w:pPr>
          </w:p>
        </w:tc>
        <w:tc>
          <w:tcPr>
            <w:tcW w:w="800" w:type="dxa"/>
            <w:vAlign w:val="bottom"/>
            <w:shd w:val="clear" w:color="auto" w:fill="BFBFBF"/>
          </w:tcPr>
          <w:p>
            <w:pPr>
              <w:spacing w:after="0"/>
              <w:rPr>
                <w:sz w:val="16"/>
                <w:szCs w:val="16"/>
                <w:color w:val="auto"/>
              </w:rPr>
            </w:pPr>
          </w:p>
        </w:tc>
        <w:tc>
          <w:tcPr>
            <w:tcW w:w="660" w:type="dxa"/>
            <w:vAlign w:val="bottom"/>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40" w:type="dxa"/>
            <w:vAlign w:val="bottom"/>
            <w:shd w:val="clear" w:color="auto" w:fill="BFBFBF"/>
          </w:tcPr>
          <w:p>
            <w:pPr>
              <w:ind w:left="40"/>
              <w:spacing w:after="0"/>
              <w:rPr>
                <w:sz w:val="20"/>
                <w:szCs w:val="20"/>
                <w:color w:val="auto"/>
              </w:rPr>
            </w:pPr>
            <w:r>
              <w:rPr>
                <w:rFonts w:ascii="Arial" w:cs="Arial" w:eastAsia="Arial" w:hAnsi="Arial"/>
                <w:sz w:val="18"/>
                <w:szCs w:val="18"/>
                <w:color w:val="auto"/>
              </w:rPr>
              <w:t>Notes</w:t>
            </w:r>
          </w:p>
        </w:tc>
        <w:tc>
          <w:tcPr>
            <w:tcW w:w="1180" w:type="dxa"/>
            <w:vAlign w:val="bottom"/>
            <w:shd w:val="clear" w:color="auto" w:fill="BFBFBF"/>
          </w:tcPr>
          <w:p>
            <w:pPr>
              <w:spacing w:after="0"/>
              <w:rPr>
                <w:sz w:val="20"/>
                <w:szCs w:val="20"/>
                <w:color w:val="auto"/>
              </w:rPr>
            </w:pPr>
          </w:p>
        </w:tc>
        <w:tc>
          <w:tcPr>
            <w:tcW w:w="1000" w:type="dxa"/>
            <w:vAlign w:val="bottom"/>
            <w:shd w:val="clear" w:color="auto" w:fill="BFBFBF"/>
          </w:tcPr>
          <w:p>
            <w:pPr>
              <w:spacing w:after="0"/>
              <w:rPr>
                <w:sz w:val="20"/>
                <w:szCs w:val="20"/>
                <w:color w:val="auto"/>
              </w:rPr>
            </w:pPr>
          </w:p>
        </w:tc>
        <w:tc>
          <w:tcPr>
            <w:tcW w:w="960" w:type="dxa"/>
            <w:vAlign w:val="bottom"/>
            <w:shd w:val="clear" w:color="auto" w:fill="BFBFBF"/>
          </w:tcPr>
          <w:p>
            <w:pPr>
              <w:spacing w:after="0"/>
              <w:rPr>
                <w:sz w:val="20"/>
                <w:szCs w:val="20"/>
                <w:color w:val="auto"/>
              </w:rPr>
            </w:pPr>
          </w:p>
        </w:tc>
        <w:tc>
          <w:tcPr>
            <w:tcW w:w="1360" w:type="dxa"/>
            <w:vAlign w:val="bottom"/>
            <w:shd w:val="clear" w:color="auto" w:fill="BFBFBF"/>
          </w:tcPr>
          <w:p>
            <w:pPr>
              <w:spacing w:after="0"/>
              <w:rPr>
                <w:sz w:val="20"/>
                <w:szCs w:val="20"/>
                <w:color w:val="auto"/>
              </w:rPr>
            </w:pPr>
          </w:p>
        </w:tc>
        <w:tc>
          <w:tcPr>
            <w:tcW w:w="840" w:type="dxa"/>
            <w:vAlign w:val="bottom"/>
            <w:shd w:val="clear" w:color="auto" w:fill="BFBFBF"/>
          </w:tcPr>
          <w:p>
            <w:pPr>
              <w:spacing w:after="0"/>
              <w:rPr>
                <w:sz w:val="20"/>
                <w:szCs w:val="20"/>
                <w:color w:val="auto"/>
              </w:rPr>
            </w:pPr>
          </w:p>
        </w:tc>
        <w:tc>
          <w:tcPr>
            <w:tcW w:w="640" w:type="dxa"/>
            <w:vAlign w:val="bottom"/>
            <w:shd w:val="clear" w:color="auto" w:fill="BFBFBF"/>
          </w:tcPr>
          <w:p>
            <w:pPr>
              <w:spacing w:after="0"/>
              <w:rPr>
                <w:sz w:val="20"/>
                <w:szCs w:val="20"/>
                <w:color w:val="auto"/>
              </w:rPr>
            </w:pPr>
          </w:p>
        </w:tc>
        <w:tc>
          <w:tcPr>
            <w:tcW w:w="660" w:type="dxa"/>
            <w:vAlign w:val="bottom"/>
            <w:shd w:val="clear" w:color="auto" w:fill="BFBFBF"/>
          </w:tcPr>
          <w:p>
            <w:pPr>
              <w:spacing w:after="0"/>
              <w:rPr>
                <w:sz w:val="20"/>
                <w:szCs w:val="20"/>
                <w:color w:val="auto"/>
              </w:rPr>
            </w:pPr>
          </w:p>
        </w:tc>
        <w:tc>
          <w:tcPr>
            <w:tcW w:w="960" w:type="dxa"/>
            <w:vAlign w:val="bottom"/>
            <w:shd w:val="clear" w:color="auto" w:fill="BFBFBF"/>
          </w:tcPr>
          <w:p>
            <w:pPr>
              <w:spacing w:after="0"/>
              <w:rPr>
                <w:sz w:val="20"/>
                <w:szCs w:val="20"/>
                <w:color w:val="auto"/>
              </w:rPr>
            </w:pPr>
          </w:p>
        </w:tc>
        <w:tc>
          <w:tcPr>
            <w:tcW w:w="1340" w:type="dxa"/>
            <w:vAlign w:val="bottom"/>
            <w:shd w:val="clear" w:color="auto" w:fill="BFBFBF"/>
          </w:tcPr>
          <w:p>
            <w:pPr>
              <w:spacing w:after="0"/>
              <w:rPr>
                <w:sz w:val="20"/>
                <w:szCs w:val="20"/>
                <w:color w:val="auto"/>
              </w:rPr>
            </w:pPr>
          </w:p>
        </w:tc>
        <w:tc>
          <w:tcPr>
            <w:tcW w:w="800" w:type="dxa"/>
            <w:vAlign w:val="bottom"/>
            <w:shd w:val="clear" w:color="auto" w:fill="BFBFBF"/>
          </w:tcPr>
          <w:p>
            <w:pPr>
              <w:spacing w:after="0"/>
              <w:rPr>
                <w:sz w:val="20"/>
                <w:szCs w:val="20"/>
                <w:color w:val="auto"/>
              </w:rPr>
            </w:pPr>
          </w:p>
        </w:tc>
        <w:tc>
          <w:tcPr>
            <w:tcW w:w="660" w:type="dxa"/>
            <w:vAlign w:val="bottom"/>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40" w:type="dxa"/>
            <w:vAlign w:val="bottom"/>
          </w:tcPr>
          <w:p>
            <w:pPr>
              <w:ind w:left="40"/>
              <w:spacing w:after="0" w:line="201" w:lineRule="exact"/>
              <w:rPr>
                <w:sz w:val="20"/>
                <w:szCs w:val="20"/>
                <w:color w:val="auto"/>
              </w:rPr>
            </w:pPr>
            <w:r>
              <w:rPr>
                <w:rFonts w:ascii="Arial" w:cs="Arial" w:eastAsia="Arial" w:hAnsi="Arial"/>
                <w:sz w:val="18"/>
                <w:szCs w:val="18"/>
                <w:color w:val="auto"/>
              </w:rPr>
              <w:t>5.950%</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w w:val="97"/>
              </w:rPr>
              <w:t>NBCUniversal</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3"/>
              </w:rPr>
              <w:t>63946B</w:t>
            </w:r>
          </w:p>
        </w:tc>
        <w:tc>
          <w:tcPr>
            <w:tcW w:w="960" w:type="dxa"/>
            <w:vAlign w:val="bottom"/>
          </w:tcPr>
          <w:p>
            <w:pPr>
              <w:spacing w:after="0"/>
              <w:rPr>
                <w:sz w:val="17"/>
                <w:szCs w:val="17"/>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90"/>
              </w:rPr>
              <w:t>2.250% UST due</w:t>
            </w: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840" w:type="dxa"/>
            <w:vAlign w:val="bottom"/>
            <w:vMerge w:val="restart"/>
          </w:tcPr>
          <w:p>
            <w:pPr>
              <w:ind w:left="40"/>
              <w:spacing w:after="0"/>
              <w:rPr>
                <w:sz w:val="20"/>
                <w:szCs w:val="20"/>
                <w:color w:val="auto"/>
              </w:rPr>
            </w:pPr>
            <w:r>
              <w:rPr>
                <w:rFonts w:ascii="Arial" w:cs="Arial" w:eastAsia="Arial" w:hAnsi="Arial"/>
                <w:sz w:val="18"/>
                <w:szCs w:val="18"/>
                <w:color w:val="auto"/>
                <w:w w:val="95"/>
              </w:rPr>
              <w:t>Notes due</w:t>
            </w:r>
          </w:p>
        </w:tc>
        <w:tc>
          <w:tcPr>
            <w:tcW w:w="11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79"/>
              </w:rPr>
              <w:t>1</w:t>
            </w:r>
          </w:p>
        </w:tc>
        <w:tc>
          <w:tcPr>
            <w:tcW w:w="1360" w:type="dxa"/>
            <w:vAlign w:val="bottom"/>
            <w:vMerge w:val="continue"/>
          </w:tcPr>
          <w:p>
            <w:pPr>
              <w:spacing w:after="0"/>
              <w:rPr>
                <w:sz w:val="9"/>
                <w:szCs w:val="9"/>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1"/>
              </w:rPr>
              <w:t>1.794%</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89"/>
              </w:rPr>
              <w:t>80</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w w:val="94"/>
              </w:rPr>
              <w:t>2.594%</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88"/>
              </w:rPr>
              <w:t>32%</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89"/>
              </w:rPr>
              <w:t>$1,513.39</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89"/>
              </w:rPr>
              <w:t>$1,349.11</w:t>
            </w: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w w:val="89"/>
              </w:rPr>
              <w:t>$164.28</w:t>
            </w:r>
          </w:p>
        </w:tc>
        <w:tc>
          <w:tcPr>
            <w:tcW w:w="0" w:type="dxa"/>
            <w:vAlign w:val="bottom"/>
          </w:tcPr>
          <w:p>
            <w:pPr>
              <w:spacing w:after="0"/>
              <w:rPr>
                <w:sz w:val="1"/>
                <w:szCs w:val="1"/>
                <w:color w:val="auto"/>
              </w:rPr>
            </w:pPr>
          </w:p>
        </w:tc>
      </w:tr>
      <w:tr>
        <w:trPr>
          <w:trHeight w:val="176"/>
        </w:trPr>
        <w:tc>
          <w:tcPr>
            <w:tcW w:w="840" w:type="dxa"/>
            <w:vAlign w:val="bottom"/>
            <w:vMerge w:val="continue"/>
          </w:tcPr>
          <w:p>
            <w:pPr>
              <w:spacing w:after="0"/>
              <w:rPr>
                <w:sz w:val="15"/>
                <w:szCs w:val="15"/>
                <w:color w:val="auto"/>
              </w:rPr>
            </w:pPr>
          </w:p>
        </w:tc>
        <w:tc>
          <w:tcPr>
            <w:tcW w:w="1180" w:type="dxa"/>
            <w:vAlign w:val="bottom"/>
          </w:tcPr>
          <w:p>
            <w:pPr>
              <w:ind w:left="60"/>
              <w:spacing w:after="0" w:line="176" w:lineRule="exact"/>
              <w:rPr>
                <w:sz w:val="20"/>
                <w:szCs w:val="20"/>
                <w:color w:val="auto"/>
              </w:rPr>
            </w:pPr>
            <w:r>
              <w:rPr>
                <w:rFonts w:ascii="Arial" w:cs="Arial" w:eastAsia="Arial" w:hAnsi="Arial"/>
                <w:sz w:val="18"/>
                <w:szCs w:val="18"/>
                <w:color w:val="auto"/>
              </w:rPr>
              <w:t>Media, LLC</w:t>
            </w:r>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4"/>
              </w:rPr>
              <w:t>AG5</w:t>
            </w:r>
          </w:p>
        </w:tc>
        <w:tc>
          <w:tcPr>
            <w:tcW w:w="960" w:type="dxa"/>
            <w:vAlign w:val="bottom"/>
            <w:vMerge w:val="continue"/>
          </w:tcPr>
          <w:p>
            <w:pPr>
              <w:spacing w:after="0"/>
              <w:rPr>
                <w:sz w:val="15"/>
                <w:szCs w:val="15"/>
                <w:color w:val="auto"/>
              </w:rPr>
            </w:pPr>
          </w:p>
        </w:tc>
        <w:tc>
          <w:tcPr>
            <w:tcW w:w="1360" w:type="dxa"/>
            <w:vAlign w:val="bottom"/>
          </w:tcPr>
          <w:p>
            <w:pPr>
              <w:jc w:val="center"/>
              <w:spacing w:after="0" w:line="176" w:lineRule="exact"/>
              <w:rPr>
                <w:sz w:val="20"/>
                <w:szCs w:val="20"/>
                <w:color w:val="auto"/>
              </w:rPr>
            </w:pPr>
            <w:r>
              <w:rPr>
                <w:rFonts w:ascii="Arial" w:cs="Arial" w:eastAsia="Arial" w:hAnsi="Arial"/>
                <w:sz w:val="18"/>
                <w:szCs w:val="18"/>
                <w:color w:val="auto"/>
                <w:w w:val="91"/>
              </w:rPr>
              <w:t>May 15, 2041</w:t>
            </w:r>
          </w:p>
        </w:tc>
        <w:tc>
          <w:tcPr>
            <w:tcW w:w="84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840" w:type="dxa"/>
            <w:vAlign w:val="bottom"/>
          </w:tcPr>
          <w:p>
            <w:pPr>
              <w:ind w:left="40"/>
              <w:spacing w:after="0" w:line="148" w:lineRule="exact"/>
              <w:rPr>
                <w:sz w:val="20"/>
                <w:szCs w:val="20"/>
                <w:color w:val="auto"/>
              </w:rPr>
            </w:pPr>
            <w:r>
              <w:rPr>
                <w:rFonts w:ascii="Arial" w:cs="Arial" w:eastAsia="Arial" w:hAnsi="Arial"/>
                <w:sz w:val="17"/>
                <w:szCs w:val="17"/>
                <w:color w:val="auto"/>
              </w:rPr>
              <w:t>2041</w:t>
            </w:r>
          </w:p>
        </w:tc>
        <w:tc>
          <w:tcPr>
            <w:tcW w:w="1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40" w:type="dxa"/>
            <w:vAlign w:val="bottom"/>
          </w:tcPr>
          <w:p>
            <w:pPr>
              <w:ind w:left="40"/>
              <w:spacing w:after="0"/>
              <w:rPr>
                <w:sz w:val="20"/>
                <w:szCs w:val="20"/>
                <w:color w:val="auto"/>
              </w:rPr>
            </w:pPr>
            <w:r>
              <w:rPr>
                <w:rFonts w:ascii="Arial" w:cs="Arial" w:eastAsia="Arial" w:hAnsi="Arial"/>
                <w:sz w:val="18"/>
                <w:szCs w:val="18"/>
                <w:color w:val="auto"/>
              </w:rPr>
              <w:t>4.700%</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Comcast</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1"/>
              </w:rPr>
              <w:t>20030N</w:t>
            </w:r>
          </w:p>
        </w:tc>
        <w:tc>
          <w:tcPr>
            <w:tcW w:w="960" w:type="dxa"/>
            <w:vAlign w:val="bottom"/>
          </w:tcPr>
          <w:p>
            <w:pPr>
              <w:spacing w:after="0"/>
              <w:rPr>
                <w:sz w:val="18"/>
                <w:szCs w:val="18"/>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90"/>
              </w:rPr>
              <w:t>2.375% UST due</w:t>
            </w: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40" w:type="dxa"/>
            <w:vAlign w:val="bottom"/>
            <w:vMerge w:val="restart"/>
          </w:tcPr>
          <w:p>
            <w:pPr>
              <w:ind w:left="40"/>
              <w:spacing w:after="0"/>
              <w:rPr>
                <w:sz w:val="20"/>
                <w:szCs w:val="20"/>
                <w:color w:val="auto"/>
              </w:rPr>
            </w:pPr>
            <w:r>
              <w:rPr>
                <w:rFonts w:ascii="Arial" w:cs="Arial" w:eastAsia="Arial" w:hAnsi="Arial"/>
                <w:sz w:val="18"/>
                <w:szCs w:val="18"/>
                <w:color w:val="auto"/>
                <w:w w:val="95"/>
              </w:rPr>
              <w:t>Notes due</w:t>
            </w:r>
          </w:p>
        </w:tc>
        <w:tc>
          <w:tcPr>
            <w:tcW w:w="11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79"/>
              </w:rPr>
              <w:t>2</w:t>
            </w:r>
          </w:p>
        </w:tc>
        <w:tc>
          <w:tcPr>
            <w:tcW w:w="1360" w:type="dxa"/>
            <w:vAlign w:val="bottom"/>
            <w:vMerge w:val="continue"/>
          </w:tcPr>
          <w:p>
            <w:pPr>
              <w:spacing w:after="0"/>
              <w:rPr>
                <w:sz w:val="9"/>
                <w:szCs w:val="9"/>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1"/>
              </w:rPr>
              <w:t>1.887%</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89"/>
              </w:rPr>
              <w:t>90</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w w:val="94"/>
              </w:rPr>
              <w:t>2.787%</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2"/>
              </w:rPr>
              <w:t>0%</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89"/>
              </w:rPr>
              <w:t>$1,358.14</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89"/>
              </w:rPr>
              <w:t>$1,358.14</w:t>
            </w: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w w:val="93"/>
              </w:rPr>
              <w:t>$0.00</w:t>
            </w:r>
          </w:p>
        </w:tc>
        <w:tc>
          <w:tcPr>
            <w:tcW w:w="0" w:type="dxa"/>
            <w:vAlign w:val="bottom"/>
          </w:tcPr>
          <w:p>
            <w:pPr>
              <w:spacing w:after="0"/>
              <w:rPr>
                <w:sz w:val="1"/>
                <w:szCs w:val="1"/>
                <w:color w:val="auto"/>
              </w:rPr>
            </w:pPr>
          </w:p>
        </w:tc>
      </w:tr>
      <w:tr>
        <w:trPr>
          <w:trHeight w:val="176"/>
        </w:trPr>
        <w:tc>
          <w:tcPr>
            <w:tcW w:w="840" w:type="dxa"/>
            <w:vAlign w:val="bottom"/>
            <w:vMerge w:val="continue"/>
          </w:tcPr>
          <w:p>
            <w:pPr>
              <w:spacing w:after="0"/>
              <w:rPr>
                <w:sz w:val="15"/>
                <w:szCs w:val="15"/>
                <w:color w:val="auto"/>
              </w:rPr>
            </w:pPr>
          </w:p>
        </w:tc>
        <w:tc>
          <w:tcPr>
            <w:tcW w:w="1180" w:type="dxa"/>
            <w:vAlign w:val="bottom"/>
          </w:tcPr>
          <w:p>
            <w:pPr>
              <w:ind w:left="60"/>
              <w:spacing w:after="0" w:line="176" w:lineRule="exact"/>
              <w:rPr>
                <w:sz w:val="20"/>
                <w:szCs w:val="20"/>
                <w:color w:val="auto"/>
              </w:rPr>
            </w:pPr>
            <w:r>
              <w:rPr>
                <w:rFonts w:ascii="Arial" w:cs="Arial" w:eastAsia="Arial" w:hAnsi="Arial"/>
                <w:sz w:val="18"/>
                <w:szCs w:val="18"/>
                <w:color w:val="auto"/>
              </w:rPr>
              <w:t>Corporation</w:t>
            </w:r>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9"/>
              </w:rPr>
              <w:t>CM1</w:t>
            </w:r>
          </w:p>
        </w:tc>
        <w:tc>
          <w:tcPr>
            <w:tcW w:w="960" w:type="dxa"/>
            <w:vAlign w:val="bottom"/>
            <w:vMerge w:val="continue"/>
          </w:tcPr>
          <w:p>
            <w:pPr>
              <w:spacing w:after="0"/>
              <w:rPr>
                <w:sz w:val="15"/>
                <w:szCs w:val="15"/>
                <w:color w:val="auto"/>
              </w:rPr>
            </w:pPr>
          </w:p>
        </w:tc>
        <w:tc>
          <w:tcPr>
            <w:tcW w:w="1360" w:type="dxa"/>
            <w:vAlign w:val="bottom"/>
          </w:tcPr>
          <w:p>
            <w:pPr>
              <w:jc w:val="center"/>
              <w:spacing w:after="0" w:line="176" w:lineRule="exact"/>
              <w:rPr>
                <w:sz w:val="20"/>
                <w:szCs w:val="20"/>
                <w:color w:val="auto"/>
              </w:rPr>
            </w:pPr>
            <w:r>
              <w:rPr>
                <w:rFonts w:ascii="Arial" w:cs="Arial" w:eastAsia="Arial" w:hAnsi="Arial"/>
                <w:sz w:val="18"/>
                <w:szCs w:val="18"/>
                <w:color w:val="auto"/>
                <w:w w:val="91"/>
              </w:rPr>
              <w:t>May 15, 2051</w:t>
            </w:r>
          </w:p>
        </w:tc>
        <w:tc>
          <w:tcPr>
            <w:tcW w:w="84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840" w:type="dxa"/>
            <w:vAlign w:val="bottom"/>
          </w:tcPr>
          <w:p>
            <w:pPr>
              <w:ind w:left="40"/>
              <w:spacing w:after="0" w:line="148" w:lineRule="exact"/>
              <w:rPr>
                <w:sz w:val="20"/>
                <w:szCs w:val="20"/>
                <w:color w:val="auto"/>
              </w:rPr>
            </w:pPr>
            <w:r>
              <w:rPr>
                <w:rFonts w:ascii="Arial" w:cs="Arial" w:eastAsia="Arial" w:hAnsi="Arial"/>
                <w:sz w:val="17"/>
                <w:szCs w:val="17"/>
                <w:color w:val="auto"/>
              </w:rPr>
              <w:t>2048*</w:t>
            </w:r>
          </w:p>
        </w:tc>
        <w:tc>
          <w:tcPr>
            <w:tcW w:w="1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40" w:type="dxa"/>
            <w:vAlign w:val="bottom"/>
          </w:tcPr>
          <w:p>
            <w:pPr>
              <w:ind w:left="40"/>
              <w:spacing w:after="0"/>
              <w:rPr>
                <w:sz w:val="20"/>
                <w:szCs w:val="20"/>
                <w:color w:val="auto"/>
              </w:rPr>
            </w:pPr>
            <w:r>
              <w:rPr>
                <w:rFonts w:ascii="Arial" w:cs="Arial" w:eastAsia="Arial" w:hAnsi="Arial"/>
                <w:sz w:val="18"/>
                <w:szCs w:val="18"/>
                <w:color w:val="auto"/>
              </w:rPr>
              <w:t>4.750%</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Comcast</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1"/>
              </w:rPr>
              <w:t>20030N</w:t>
            </w:r>
          </w:p>
        </w:tc>
        <w:tc>
          <w:tcPr>
            <w:tcW w:w="960" w:type="dxa"/>
            <w:vAlign w:val="bottom"/>
          </w:tcPr>
          <w:p>
            <w:pPr>
              <w:spacing w:after="0"/>
              <w:rPr>
                <w:sz w:val="18"/>
                <w:szCs w:val="18"/>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90"/>
              </w:rPr>
              <w:t>2.250% UST due</w:t>
            </w: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40" w:type="dxa"/>
            <w:vAlign w:val="bottom"/>
            <w:vMerge w:val="restart"/>
          </w:tcPr>
          <w:p>
            <w:pPr>
              <w:ind w:left="40"/>
              <w:spacing w:after="0"/>
              <w:rPr>
                <w:sz w:val="20"/>
                <w:szCs w:val="20"/>
                <w:color w:val="auto"/>
              </w:rPr>
            </w:pPr>
            <w:r>
              <w:rPr>
                <w:rFonts w:ascii="Arial" w:cs="Arial" w:eastAsia="Arial" w:hAnsi="Arial"/>
                <w:sz w:val="18"/>
                <w:szCs w:val="18"/>
                <w:color w:val="auto"/>
                <w:w w:val="95"/>
              </w:rPr>
              <w:t>Notes due</w:t>
            </w:r>
          </w:p>
        </w:tc>
        <w:tc>
          <w:tcPr>
            <w:tcW w:w="11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79"/>
              </w:rPr>
              <w:t>3</w:t>
            </w:r>
          </w:p>
        </w:tc>
        <w:tc>
          <w:tcPr>
            <w:tcW w:w="1360" w:type="dxa"/>
            <w:vAlign w:val="bottom"/>
            <w:vMerge w:val="continue"/>
          </w:tcPr>
          <w:p>
            <w:pPr>
              <w:spacing w:after="0"/>
              <w:rPr>
                <w:sz w:val="9"/>
                <w:szCs w:val="9"/>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1"/>
              </w:rPr>
              <w:t>1.794%</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89"/>
              </w:rPr>
              <w:t>90</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w w:val="94"/>
              </w:rPr>
              <w:t>2.694%</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2"/>
              </w:rPr>
              <w:t>0%</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89"/>
              </w:rPr>
              <w:t>$1,345.58</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89"/>
              </w:rPr>
              <w:t>$1,345.58</w:t>
            </w: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w w:val="93"/>
              </w:rPr>
              <w:t>$0.00</w:t>
            </w:r>
          </w:p>
        </w:tc>
        <w:tc>
          <w:tcPr>
            <w:tcW w:w="0" w:type="dxa"/>
            <w:vAlign w:val="bottom"/>
          </w:tcPr>
          <w:p>
            <w:pPr>
              <w:spacing w:after="0"/>
              <w:rPr>
                <w:sz w:val="1"/>
                <w:szCs w:val="1"/>
                <w:color w:val="auto"/>
              </w:rPr>
            </w:pPr>
          </w:p>
        </w:tc>
      </w:tr>
      <w:tr>
        <w:trPr>
          <w:trHeight w:val="176"/>
        </w:trPr>
        <w:tc>
          <w:tcPr>
            <w:tcW w:w="840" w:type="dxa"/>
            <w:vAlign w:val="bottom"/>
            <w:vMerge w:val="continue"/>
          </w:tcPr>
          <w:p>
            <w:pPr>
              <w:spacing w:after="0"/>
              <w:rPr>
                <w:sz w:val="15"/>
                <w:szCs w:val="15"/>
                <w:color w:val="auto"/>
              </w:rPr>
            </w:pPr>
          </w:p>
        </w:tc>
        <w:tc>
          <w:tcPr>
            <w:tcW w:w="1180" w:type="dxa"/>
            <w:vAlign w:val="bottom"/>
          </w:tcPr>
          <w:p>
            <w:pPr>
              <w:ind w:left="60"/>
              <w:spacing w:after="0" w:line="176" w:lineRule="exact"/>
              <w:rPr>
                <w:sz w:val="20"/>
                <w:szCs w:val="20"/>
                <w:color w:val="auto"/>
              </w:rPr>
            </w:pPr>
            <w:r>
              <w:rPr>
                <w:rFonts w:ascii="Arial" w:cs="Arial" w:eastAsia="Arial" w:hAnsi="Arial"/>
                <w:sz w:val="18"/>
                <w:szCs w:val="18"/>
                <w:color w:val="auto"/>
              </w:rPr>
              <w:t>Corporation</w:t>
            </w:r>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9"/>
              </w:rPr>
              <w:t>BK6</w:t>
            </w:r>
          </w:p>
        </w:tc>
        <w:tc>
          <w:tcPr>
            <w:tcW w:w="960" w:type="dxa"/>
            <w:vAlign w:val="bottom"/>
            <w:vMerge w:val="continue"/>
          </w:tcPr>
          <w:p>
            <w:pPr>
              <w:spacing w:after="0"/>
              <w:rPr>
                <w:sz w:val="15"/>
                <w:szCs w:val="15"/>
                <w:color w:val="auto"/>
              </w:rPr>
            </w:pPr>
          </w:p>
        </w:tc>
        <w:tc>
          <w:tcPr>
            <w:tcW w:w="1360" w:type="dxa"/>
            <w:vAlign w:val="bottom"/>
          </w:tcPr>
          <w:p>
            <w:pPr>
              <w:jc w:val="center"/>
              <w:spacing w:after="0" w:line="176" w:lineRule="exact"/>
              <w:rPr>
                <w:sz w:val="20"/>
                <w:szCs w:val="20"/>
                <w:color w:val="auto"/>
              </w:rPr>
            </w:pPr>
            <w:r>
              <w:rPr>
                <w:rFonts w:ascii="Arial" w:cs="Arial" w:eastAsia="Arial" w:hAnsi="Arial"/>
                <w:sz w:val="18"/>
                <w:szCs w:val="18"/>
                <w:color w:val="auto"/>
                <w:w w:val="91"/>
              </w:rPr>
              <w:t>May 15, 2041</w:t>
            </w:r>
          </w:p>
        </w:tc>
        <w:tc>
          <w:tcPr>
            <w:tcW w:w="84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840" w:type="dxa"/>
            <w:vAlign w:val="bottom"/>
          </w:tcPr>
          <w:p>
            <w:pPr>
              <w:ind w:left="40"/>
              <w:spacing w:after="0" w:line="148" w:lineRule="exact"/>
              <w:rPr>
                <w:sz w:val="20"/>
                <w:szCs w:val="20"/>
                <w:color w:val="auto"/>
              </w:rPr>
            </w:pPr>
            <w:r>
              <w:rPr>
                <w:rFonts w:ascii="Arial" w:cs="Arial" w:eastAsia="Arial" w:hAnsi="Arial"/>
                <w:sz w:val="17"/>
                <w:szCs w:val="17"/>
                <w:color w:val="auto"/>
              </w:rPr>
              <w:t>2044</w:t>
            </w:r>
          </w:p>
        </w:tc>
        <w:tc>
          <w:tcPr>
            <w:tcW w:w="1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40" w:type="dxa"/>
            <w:vAlign w:val="bottom"/>
          </w:tcPr>
          <w:p>
            <w:pPr>
              <w:ind w:left="40"/>
              <w:spacing w:after="0"/>
              <w:rPr>
                <w:sz w:val="20"/>
                <w:szCs w:val="20"/>
                <w:color w:val="auto"/>
              </w:rPr>
            </w:pPr>
            <w:r>
              <w:rPr>
                <w:rFonts w:ascii="Arial" w:cs="Arial" w:eastAsia="Arial" w:hAnsi="Arial"/>
                <w:sz w:val="18"/>
                <w:szCs w:val="18"/>
                <w:color w:val="auto"/>
              </w:rPr>
              <w:t>4.650%</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Comcast</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1"/>
              </w:rPr>
              <w:t>20030N</w:t>
            </w:r>
          </w:p>
        </w:tc>
        <w:tc>
          <w:tcPr>
            <w:tcW w:w="960" w:type="dxa"/>
            <w:vAlign w:val="bottom"/>
          </w:tcPr>
          <w:p>
            <w:pPr>
              <w:spacing w:after="0"/>
              <w:rPr>
                <w:sz w:val="18"/>
                <w:szCs w:val="18"/>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90"/>
              </w:rPr>
              <w:t>2.250% UST due</w:t>
            </w: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40" w:type="dxa"/>
            <w:vAlign w:val="bottom"/>
            <w:vMerge w:val="restart"/>
          </w:tcPr>
          <w:p>
            <w:pPr>
              <w:ind w:left="40"/>
              <w:spacing w:after="0"/>
              <w:rPr>
                <w:sz w:val="20"/>
                <w:szCs w:val="20"/>
                <w:color w:val="auto"/>
              </w:rPr>
            </w:pPr>
            <w:r>
              <w:rPr>
                <w:rFonts w:ascii="Arial" w:cs="Arial" w:eastAsia="Arial" w:hAnsi="Arial"/>
                <w:sz w:val="18"/>
                <w:szCs w:val="18"/>
                <w:color w:val="auto"/>
                <w:w w:val="95"/>
              </w:rPr>
              <w:t>Notes due</w:t>
            </w:r>
          </w:p>
        </w:tc>
        <w:tc>
          <w:tcPr>
            <w:tcW w:w="11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79"/>
              </w:rPr>
              <w:t>4</w:t>
            </w:r>
          </w:p>
        </w:tc>
        <w:tc>
          <w:tcPr>
            <w:tcW w:w="1360" w:type="dxa"/>
            <w:vAlign w:val="bottom"/>
            <w:vMerge w:val="continue"/>
          </w:tcPr>
          <w:p>
            <w:pPr>
              <w:spacing w:after="0"/>
              <w:rPr>
                <w:sz w:val="9"/>
                <w:szCs w:val="9"/>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1"/>
              </w:rPr>
              <w:t>1.794%</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89"/>
              </w:rPr>
              <w:t>90</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w w:val="94"/>
              </w:rPr>
              <w:t>2.694%</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2"/>
              </w:rPr>
              <w:t>0%</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89"/>
              </w:rPr>
              <w:t>$1,311.07</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89"/>
              </w:rPr>
              <w:t>$1,311.07</w:t>
            </w: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w w:val="93"/>
              </w:rPr>
              <w:t>$0.00</w:t>
            </w:r>
          </w:p>
        </w:tc>
        <w:tc>
          <w:tcPr>
            <w:tcW w:w="0" w:type="dxa"/>
            <w:vAlign w:val="bottom"/>
          </w:tcPr>
          <w:p>
            <w:pPr>
              <w:spacing w:after="0"/>
              <w:rPr>
                <w:sz w:val="1"/>
                <w:szCs w:val="1"/>
                <w:color w:val="auto"/>
              </w:rPr>
            </w:pPr>
          </w:p>
        </w:tc>
      </w:tr>
      <w:tr>
        <w:trPr>
          <w:trHeight w:val="176"/>
        </w:trPr>
        <w:tc>
          <w:tcPr>
            <w:tcW w:w="840" w:type="dxa"/>
            <w:vAlign w:val="bottom"/>
            <w:vMerge w:val="continue"/>
          </w:tcPr>
          <w:p>
            <w:pPr>
              <w:spacing w:after="0"/>
              <w:rPr>
                <w:sz w:val="15"/>
                <w:szCs w:val="15"/>
                <w:color w:val="auto"/>
              </w:rPr>
            </w:pPr>
          </w:p>
        </w:tc>
        <w:tc>
          <w:tcPr>
            <w:tcW w:w="1180" w:type="dxa"/>
            <w:vAlign w:val="bottom"/>
          </w:tcPr>
          <w:p>
            <w:pPr>
              <w:ind w:left="60"/>
              <w:spacing w:after="0" w:line="176" w:lineRule="exact"/>
              <w:rPr>
                <w:sz w:val="20"/>
                <w:szCs w:val="20"/>
                <w:color w:val="auto"/>
              </w:rPr>
            </w:pPr>
            <w:r>
              <w:rPr>
                <w:rFonts w:ascii="Arial" w:cs="Arial" w:eastAsia="Arial" w:hAnsi="Arial"/>
                <w:sz w:val="18"/>
                <w:szCs w:val="18"/>
                <w:color w:val="auto"/>
              </w:rPr>
              <w:t>Corporation</w:t>
            </w:r>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3"/>
              </w:rPr>
              <w:t>BE0</w:t>
            </w:r>
          </w:p>
        </w:tc>
        <w:tc>
          <w:tcPr>
            <w:tcW w:w="960" w:type="dxa"/>
            <w:vAlign w:val="bottom"/>
            <w:vMerge w:val="continue"/>
          </w:tcPr>
          <w:p>
            <w:pPr>
              <w:spacing w:after="0"/>
              <w:rPr>
                <w:sz w:val="15"/>
                <w:szCs w:val="15"/>
                <w:color w:val="auto"/>
              </w:rPr>
            </w:pPr>
          </w:p>
        </w:tc>
        <w:tc>
          <w:tcPr>
            <w:tcW w:w="1360" w:type="dxa"/>
            <w:vAlign w:val="bottom"/>
          </w:tcPr>
          <w:p>
            <w:pPr>
              <w:jc w:val="center"/>
              <w:spacing w:after="0" w:line="176" w:lineRule="exact"/>
              <w:rPr>
                <w:sz w:val="20"/>
                <w:szCs w:val="20"/>
                <w:color w:val="auto"/>
              </w:rPr>
            </w:pPr>
            <w:r>
              <w:rPr>
                <w:rFonts w:ascii="Arial" w:cs="Arial" w:eastAsia="Arial" w:hAnsi="Arial"/>
                <w:sz w:val="18"/>
                <w:szCs w:val="18"/>
                <w:color w:val="auto"/>
                <w:w w:val="91"/>
              </w:rPr>
              <w:t>May 15, 2041</w:t>
            </w:r>
          </w:p>
        </w:tc>
        <w:tc>
          <w:tcPr>
            <w:tcW w:w="84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840" w:type="dxa"/>
            <w:vAlign w:val="bottom"/>
          </w:tcPr>
          <w:p>
            <w:pPr>
              <w:ind w:left="40"/>
              <w:spacing w:after="0" w:line="148" w:lineRule="exact"/>
              <w:rPr>
                <w:sz w:val="20"/>
                <w:szCs w:val="20"/>
                <w:color w:val="auto"/>
              </w:rPr>
            </w:pPr>
            <w:r>
              <w:rPr>
                <w:rFonts w:ascii="Arial" w:cs="Arial" w:eastAsia="Arial" w:hAnsi="Arial"/>
                <w:sz w:val="17"/>
                <w:szCs w:val="17"/>
                <w:color w:val="auto"/>
              </w:rPr>
              <w:t>2042</w:t>
            </w:r>
          </w:p>
        </w:tc>
        <w:tc>
          <w:tcPr>
            <w:tcW w:w="1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40" w:type="dxa"/>
            <w:vAlign w:val="bottom"/>
          </w:tcPr>
          <w:p>
            <w:pPr>
              <w:ind w:left="40"/>
              <w:spacing w:after="0"/>
              <w:rPr>
                <w:sz w:val="20"/>
                <w:szCs w:val="20"/>
                <w:color w:val="auto"/>
              </w:rPr>
            </w:pPr>
            <w:r>
              <w:rPr>
                <w:rFonts w:ascii="Arial" w:cs="Arial" w:eastAsia="Arial" w:hAnsi="Arial"/>
                <w:sz w:val="18"/>
                <w:szCs w:val="18"/>
                <w:color w:val="auto"/>
              </w:rPr>
              <w:t>4.500%</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Comcast</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1"/>
              </w:rPr>
              <w:t>20030N</w:t>
            </w:r>
          </w:p>
        </w:tc>
        <w:tc>
          <w:tcPr>
            <w:tcW w:w="960" w:type="dxa"/>
            <w:vAlign w:val="bottom"/>
          </w:tcPr>
          <w:p>
            <w:pPr>
              <w:spacing w:after="0"/>
              <w:rPr>
                <w:sz w:val="18"/>
                <w:szCs w:val="18"/>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90"/>
              </w:rPr>
              <w:t>2.250% UST due</w:t>
            </w: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40" w:type="dxa"/>
            <w:vAlign w:val="bottom"/>
            <w:vMerge w:val="restart"/>
          </w:tcPr>
          <w:p>
            <w:pPr>
              <w:ind w:left="40"/>
              <w:spacing w:after="0"/>
              <w:rPr>
                <w:sz w:val="20"/>
                <w:szCs w:val="20"/>
                <w:color w:val="auto"/>
              </w:rPr>
            </w:pPr>
            <w:r>
              <w:rPr>
                <w:rFonts w:ascii="Arial" w:cs="Arial" w:eastAsia="Arial" w:hAnsi="Arial"/>
                <w:sz w:val="18"/>
                <w:szCs w:val="18"/>
                <w:color w:val="auto"/>
                <w:w w:val="95"/>
              </w:rPr>
              <w:t>Notes due</w:t>
            </w:r>
          </w:p>
        </w:tc>
        <w:tc>
          <w:tcPr>
            <w:tcW w:w="11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79"/>
              </w:rPr>
              <w:t>5</w:t>
            </w:r>
          </w:p>
        </w:tc>
        <w:tc>
          <w:tcPr>
            <w:tcW w:w="1360" w:type="dxa"/>
            <w:vAlign w:val="bottom"/>
            <w:vMerge w:val="continue"/>
          </w:tcPr>
          <w:p>
            <w:pPr>
              <w:spacing w:after="0"/>
              <w:rPr>
                <w:sz w:val="9"/>
                <w:szCs w:val="9"/>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1"/>
              </w:rPr>
              <w:t>1.794%</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89"/>
              </w:rPr>
              <w:t>90</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w w:val="94"/>
              </w:rPr>
              <w:t>2.694%</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2"/>
              </w:rPr>
              <w:t>0%</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89"/>
              </w:rPr>
              <w:t>$1,292.31</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89"/>
              </w:rPr>
              <w:t>$1,292.31</w:t>
            </w: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w w:val="93"/>
              </w:rPr>
              <w:t>$0.00</w:t>
            </w:r>
          </w:p>
        </w:tc>
        <w:tc>
          <w:tcPr>
            <w:tcW w:w="0" w:type="dxa"/>
            <w:vAlign w:val="bottom"/>
          </w:tcPr>
          <w:p>
            <w:pPr>
              <w:spacing w:after="0"/>
              <w:rPr>
                <w:sz w:val="1"/>
                <w:szCs w:val="1"/>
                <w:color w:val="auto"/>
              </w:rPr>
            </w:pPr>
          </w:p>
        </w:tc>
      </w:tr>
      <w:tr>
        <w:trPr>
          <w:trHeight w:val="176"/>
        </w:trPr>
        <w:tc>
          <w:tcPr>
            <w:tcW w:w="840" w:type="dxa"/>
            <w:vAlign w:val="bottom"/>
            <w:vMerge w:val="continue"/>
          </w:tcPr>
          <w:p>
            <w:pPr>
              <w:spacing w:after="0"/>
              <w:rPr>
                <w:sz w:val="15"/>
                <w:szCs w:val="15"/>
                <w:color w:val="auto"/>
              </w:rPr>
            </w:pPr>
          </w:p>
        </w:tc>
        <w:tc>
          <w:tcPr>
            <w:tcW w:w="1180" w:type="dxa"/>
            <w:vAlign w:val="bottom"/>
          </w:tcPr>
          <w:p>
            <w:pPr>
              <w:ind w:left="60"/>
              <w:spacing w:after="0" w:line="176" w:lineRule="exact"/>
              <w:rPr>
                <w:sz w:val="20"/>
                <w:szCs w:val="20"/>
                <w:color w:val="auto"/>
              </w:rPr>
            </w:pPr>
            <w:r>
              <w:rPr>
                <w:rFonts w:ascii="Arial" w:cs="Arial" w:eastAsia="Arial" w:hAnsi="Arial"/>
                <w:sz w:val="18"/>
                <w:szCs w:val="18"/>
                <w:color w:val="auto"/>
              </w:rPr>
              <w:t>Corporation</w:t>
            </w:r>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4"/>
              </w:rPr>
              <w:t>BG5</w:t>
            </w:r>
          </w:p>
        </w:tc>
        <w:tc>
          <w:tcPr>
            <w:tcW w:w="960" w:type="dxa"/>
            <w:vAlign w:val="bottom"/>
            <w:vMerge w:val="continue"/>
          </w:tcPr>
          <w:p>
            <w:pPr>
              <w:spacing w:after="0"/>
              <w:rPr>
                <w:sz w:val="15"/>
                <w:szCs w:val="15"/>
                <w:color w:val="auto"/>
              </w:rPr>
            </w:pPr>
          </w:p>
        </w:tc>
        <w:tc>
          <w:tcPr>
            <w:tcW w:w="1360" w:type="dxa"/>
            <w:vAlign w:val="bottom"/>
          </w:tcPr>
          <w:p>
            <w:pPr>
              <w:jc w:val="center"/>
              <w:spacing w:after="0" w:line="176" w:lineRule="exact"/>
              <w:rPr>
                <w:sz w:val="20"/>
                <w:szCs w:val="20"/>
                <w:color w:val="auto"/>
              </w:rPr>
            </w:pPr>
            <w:r>
              <w:rPr>
                <w:rFonts w:ascii="Arial" w:cs="Arial" w:eastAsia="Arial" w:hAnsi="Arial"/>
                <w:sz w:val="18"/>
                <w:szCs w:val="18"/>
                <w:color w:val="auto"/>
                <w:w w:val="91"/>
              </w:rPr>
              <w:t>May 15, 2041</w:t>
            </w:r>
          </w:p>
        </w:tc>
        <w:tc>
          <w:tcPr>
            <w:tcW w:w="84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840" w:type="dxa"/>
            <w:vAlign w:val="bottom"/>
          </w:tcPr>
          <w:p>
            <w:pPr>
              <w:ind w:left="40"/>
              <w:spacing w:after="0" w:line="148" w:lineRule="exact"/>
              <w:rPr>
                <w:sz w:val="20"/>
                <w:szCs w:val="20"/>
                <w:color w:val="auto"/>
              </w:rPr>
            </w:pPr>
            <w:r>
              <w:rPr>
                <w:rFonts w:ascii="Arial" w:cs="Arial" w:eastAsia="Arial" w:hAnsi="Arial"/>
                <w:sz w:val="17"/>
                <w:szCs w:val="17"/>
                <w:color w:val="auto"/>
              </w:rPr>
              <w:t>2043</w:t>
            </w:r>
          </w:p>
        </w:tc>
        <w:tc>
          <w:tcPr>
            <w:tcW w:w="1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40" w:type="dxa"/>
            <w:vAlign w:val="bottom"/>
          </w:tcPr>
          <w:p>
            <w:pPr>
              <w:ind w:left="40"/>
              <w:spacing w:after="0"/>
              <w:rPr>
                <w:sz w:val="20"/>
                <w:szCs w:val="20"/>
                <w:color w:val="auto"/>
              </w:rPr>
            </w:pPr>
            <w:r>
              <w:rPr>
                <w:rFonts w:ascii="Arial" w:cs="Arial" w:eastAsia="Arial" w:hAnsi="Arial"/>
                <w:sz w:val="18"/>
                <w:szCs w:val="18"/>
                <w:color w:val="auto"/>
              </w:rPr>
              <w:t>4.450%</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w w:val="97"/>
              </w:rPr>
              <w:t>NBCUniversal</w:t>
            </w: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90"/>
              </w:rPr>
              <w:t>2.250% UST due</w:t>
            </w: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40" w:type="dxa"/>
            <w:vAlign w:val="bottom"/>
            <w:vMerge w:val="restart"/>
          </w:tcPr>
          <w:p>
            <w:pPr>
              <w:ind w:left="40"/>
              <w:spacing w:after="0"/>
              <w:rPr>
                <w:sz w:val="20"/>
                <w:szCs w:val="20"/>
                <w:color w:val="auto"/>
              </w:rPr>
            </w:pPr>
            <w:r>
              <w:rPr>
                <w:rFonts w:ascii="Arial" w:cs="Arial" w:eastAsia="Arial" w:hAnsi="Arial"/>
                <w:sz w:val="18"/>
                <w:szCs w:val="18"/>
                <w:color w:val="auto"/>
                <w:w w:val="95"/>
              </w:rPr>
              <w:t>Notes due</w:t>
            </w:r>
          </w:p>
        </w:tc>
        <w:tc>
          <w:tcPr>
            <w:tcW w:w="1180" w:type="dxa"/>
            <w:vAlign w:val="bottom"/>
            <w:vMerge w:val="continue"/>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1"/>
              </w:rPr>
              <w:t>63946B AJ9</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79"/>
              </w:rPr>
              <w:t>6</w:t>
            </w:r>
          </w:p>
        </w:tc>
        <w:tc>
          <w:tcPr>
            <w:tcW w:w="1360" w:type="dxa"/>
            <w:vAlign w:val="bottom"/>
            <w:vMerge w:val="continue"/>
          </w:tcPr>
          <w:p>
            <w:pPr>
              <w:spacing w:after="0"/>
              <w:rPr>
                <w:sz w:val="9"/>
                <w:szCs w:val="9"/>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1"/>
              </w:rPr>
              <w:t>1.794%</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89"/>
              </w:rPr>
              <w:t>90</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w w:val="94"/>
              </w:rPr>
              <w:t>2.694%</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2"/>
              </w:rPr>
              <w:t>0%</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89"/>
              </w:rPr>
              <w:t>$1,284.21</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89"/>
              </w:rPr>
              <w:t>$1,284.21</w:t>
            </w: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w w:val="93"/>
              </w:rPr>
              <w:t>$0.00</w:t>
            </w:r>
          </w:p>
        </w:tc>
        <w:tc>
          <w:tcPr>
            <w:tcW w:w="0" w:type="dxa"/>
            <w:vAlign w:val="bottom"/>
          </w:tcPr>
          <w:p>
            <w:pPr>
              <w:spacing w:after="0"/>
              <w:rPr>
                <w:sz w:val="1"/>
                <w:szCs w:val="1"/>
                <w:color w:val="auto"/>
              </w:rPr>
            </w:pPr>
          </w:p>
        </w:tc>
      </w:tr>
      <w:tr>
        <w:trPr>
          <w:trHeight w:val="176"/>
        </w:trPr>
        <w:tc>
          <w:tcPr>
            <w:tcW w:w="840" w:type="dxa"/>
            <w:vAlign w:val="bottom"/>
            <w:vMerge w:val="continue"/>
          </w:tcPr>
          <w:p>
            <w:pPr>
              <w:spacing w:after="0"/>
              <w:rPr>
                <w:sz w:val="15"/>
                <w:szCs w:val="15"/>
                <w:color w:val="auto"/>
              </w:rPr>
            </w:pPr>
          </w:p>
        </w:tc>
        <w:tc>
          <w:tcPr>
            <w:tcW w:w="1180" w:type="dxa"/>
            <w:vAlign w:val="bottom"/>
          </w:tcPr>
          <w:p>
            <w:pPr>
              <w:ind w:left="60"/>
              <w:spacing w:after="0" w:line="176" w:lineRule="exact"/>
              <w:rPr>
                <w:sz w:val="20"/>
                <w:szCs w:val="20"/>
                <w:color w:val="auto"/>
              </w:rPr>
            </w:pPr>
            <w:r>
              <w:rPr>
                <w:rFonts w:ascii="Arial" w:cs="Arial" w:eastAsia="Arial" w:hAnsi="Arial"/>
                <w:sz w:val="18"/>
                <w:szCs w:val="18"/>
                <w:color w:val="auto"/>
              </w:rPr>
              <w:t>Media, LLC</w:t>
            </w:r>
          </w:p>
        </w:tc>
        <w:tc>
          <w:tcPr>
            <w:tcW w:w="10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360" w:type="dxa"/>
            <w:vAlign w:val="bottom"/>
          </w:tcPr>
          <w:p>
            <w:pPr>
              <w:jc w:val="center"/>
              <w:spacing w:after="0" w:line="176" w:lineRule="exact"/>
              <w:rPr>
                <w:sz w:val="20"/>
                <w:szCs w:val="20"/>
                <w:color w:val="auto"/>
              </w:rPr>
            </w:pPr>
            <w:r>
              <w:rPr>
                <w:rFonts w:ascii="Arial" w:cs="Arial" w:eastAsia="Arial" w:hAnsi="Arial"/>
                <w:sz w:val="18"/>
                <w:szCs w:val="18"/>
                <w:color w:val="auto"/>
                <w:w w:val="91"/>
              </w:rPr>
              <w:t>May 15, 2041</w:t>
            </w:r>
          </w:p>
        </w:tc>
        <w:tc>
          <w:tcPr>
            <w:tcW w:w="84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0" w:type="dxa"/>
            <w:vAlign w:val="bottom"/>
          </w:tcPr>
          <w:p>
            <w:pPr>
              <w:ind w:left="40"/>
              <w:spacing w:after="0"/>
              <w:rPr>
                <w:sz w:val="20"/>
                <w:szCs w:val="20"/>
                <w:color w:val="auto"/>
              </w:rPr>
            </w:pPr>
            <w:r>
              <w:rPr>
                <w:rFonts w:ascii="Arial" w:cs="Arial" w:eastAsia="Arial" w:hAnsi="Arial"/>
                <w:sz w:val="18"/>
                <w:szCs w:val="18"/>
                <w:color w:val="auto"/>
              </w:rPr>
              <w:t>2043</w:t>
            </w:r>
          </w:p>
        </w:tc>
        <w:tc>
          <w:tcPr>
            <w:tcW w:w="1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bid-side yield on the Reference UST Security.</w:t>
      </w:r>
    </w:p>
    <w:p>
      <w:pPr>
        <w:spacing w:after="0" w:line="23" w:lineRule="exact"/>
        <w:rPr>
          <w:rFonts w:ascii="Arial" w:cs="Arial" w:eastAsia="Arial" w:hAnsi="Arial"/>
          <w:sz w:val="18"/>
          <w:szCs w:val="18"/>
          <w:color w:val="auto"/>
        </w:rPr>
      </w:pPr>
    </w:p>
    <w:p>
      <w:pPr>
        <w:ind w:left="980" w:right="120" w:hanging="648"/>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the bid-side yield on the Reference UST Security plus the applicable Fixed Spread, calculated in accordance with the procedures set forth in the Offering Memorandum.</w:t>
      </w:r>
    </w:p>
    <w:p>
      <w:pPr>
        <w:ind w:left="980" w:right="40" w:hanging="648"/>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cash payment percent of premium is the percentage of the amount by which the total consideration exceeds $1,000 in principal amount of such Pool 2 Notes to be paid in cash.</w:t>
      </w:r>
    </w:p>
    <w:p>
      <w:pPr>
        <w:ind w:left="980" w:right="460" w:hanging="648"/>
        <w:spacing w:after="0" w:line="26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total consideration for each series of Pool 2 Notes includes the early participation payment of $50 of principal amount of New 2056 Notes per $1,000 principal amount of Pool 2 Notes and assumes a settlement date of August 19, 2021.</w:t>
      </w:r>
    </w:p>
    <w:p>
      <w:pPr>
        <w:spacing w:after="0" w:line="185" w:lineRule="exact"/>
        <w:rPr>
          <w:sz w:val="20"/>
          <w:szCs w:val="20"/>
          <w:color w:val="auto"/>
        </w:rPr>
      </w:pPr>
    </w:p>
    <w:p>
      <w:pPr>
        <w:ind w:left="500" w:hanging="168"/>
        <w:spacing w:after="0" w:line="277" w:lineRule="auto"/>
        <w:tabs>
          <w:tab w:leader="none" w:pos="473" w:val="left"/>
        </w:tabs>
        <w:numPr>
          <w:ilvl w:val="0"/>
          <w:numId w:val="9"/>
        </w:numPr>
        <w:rPr>
          <w:rFonts w:ascii="Arial" w:cs="Arial" w:eastAsia="Arial" w:hAnsi="Arial"/>
          <w:sz w:val="18"/>
          <w:szCs w:val="18"/>
          <w:color w:val="auto"/>
        </w:rPr>
      </w:pPr>
      <w:r>
        <w:rPr>
          <w:rFonts w:ascii="Arial" w:cs="Arial" w:eastAsia="Arial" w:hAnsi="Arial"/>
          <w:sz w:val="18"/>
          <w:szCs w:val="18"/>
          <w:color w:val="auto"/>
        </w:rPr>
        <w:t>Denotes a series of Old Notes (as defined below) for which the total consideration and exchange consideration will be determined taking into account the par call date, instead of the maturity date, in accordance with standard market practice.</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Comcast also announced today the pricing terms with respect to its private offers to exchange three series of notes issued by Comcast (collectively, the “Pool 3 Notes” and, together with the Pool 1 Notes and the Pool 2 Notes, the “Old Notes”) for a combination of cash and a new series of Comcast’s senior notes to be due in 2063 (the “New 2063 Notes” and, together with the New 2051 Notes and the New 2056 Notes, the “New Notes”) as described in the table below. For each $1,000 principal amount of Pool 3 Notes validly tendered and not validly withdrawn prior to 5:00 p.m. New York City time on August 13, 2021 and accepted by Comcast, the following table sets forth the yields, the total consideration, the principal amount of the New 2063 Notes and the amount of cash, as priced below:</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Cash</w:t>
            </w:r>
          </w:p>
        </w:tc>
        <w:tc>
          <w:tcPr>
            <w:tcW w:w="13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3"/>
              </w:rPr>
              <w:t>Fixed</w:t>
            </w:r>
          </w:p>
        </w:tc>
        <w:tc>
          <w:tcPr>
            <w:tcW w:w="6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82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1"/>
              </w:rPr>
              <w:t>Amount</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jc w:val="center"/>
              <w:ind w:left="30"/>
              <w:spacing w:after="0"/>
              <w:rPr>
                <w:sz w:val="20"/>
                <w:szCs w:val="20"/>
                <w:color w:val="auto"/>
              </w:rPr>
            </w:pPr>
            <w:r>
              <w:rPr>
                <w:rFonts w:ascii="Arial" w:cs="Arial" w:eastAsia="Arial" w:hAnsi="Arial"/>
                <w:sz w:val="18"/>
                <w:szCs w:val="18"/>
                <w:b w:val="1"/>
                <w:bCs w:val="1"/>
                <w:color w:val="auto"/>
                <w:w w:val="87"/>
              </w:rPr>
              <w:t>Acceptance</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7"/>
              </w:rPr>
              <w:t>Reference</w:t>
            </w:r>
          </w:p>
        </w:tc>
        <w:tc>
          <w:tcPr>
            <w:tcW w:w="8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88"/>
              </w:rPr>
              <w:t>Spread</w:t>
            </w:r>
          </w:p>
        </w:tc>
        <w:tc>
          <w:tcPr>
            <w:tcW w:w="6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0"/>
              </w:rPr>
              <w:t>Payment</w:t>
            </w:r>
          </w:p>
        </w:tc>
        <w:tc>
          <w:tcPr>
            <w:tcW w:w="13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1"/>
              </w:rPr>
              <w:t>of New</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ind w:left="180"/>
              <w:spacing w:after="0"/>
              <w:rPr>
                <w:sz w:val="20"/>
                <w:szCs w:val="20"/>
                <w:color w:val="auto"/>
              </w:rPr>
            </w:pPr>
            <w:r>
              <w:rPr>
                <w:rFonts w:ascii="Arial" w:cs="Arial" w:eastAsia="Arial" w:hAnsi="Arial"/>
                <w:sz w:val="18"/>
                <w:szCs w:val="18"/>
                <w:b w:val="1"/>
                <w:bCs w:val="1"/>
                <w:color w:val="auto"/>
              </w:rPr>
              <w:t>Title of</w:t>
            </w:r>
          </w:p>
        </w:tc>
        <w:tc>
          <w:tcPr>
            <w:tcW w:w="1040" w:type="dxa"/>
            <w:vAlign w:val="bottom"/>
          </w:tcPr>
          <w:p>
            <w:pPr>
              <w:spacing w:after="0"/>
              <w:rPr>
                <w:sz w:val="18"/>
                <w:szCs w:val="18"/>
                <w:color w:val="auto"/>
              </w:rPr>
            </w:pPr>
          </w:p>
        </w:tc>
        <w:tc>
          <w:tcPr>
            <w:tcW w:w="1380" w:type="dxa"/>
            <w:vAlign w:val="bottom"/>
          </w:tcPr>
          <w:p>
            <w:pPr>
              <w:jc w:val="center"/>
              <w:ind w:left="110"/>
              <w:spacing w:after="0"/>
              <w:rPr>
                <w:sz w:val="20"/>
                <w:szCs w:val="20"/>
                <w:color w:val="auto"/>
              </w:rPr>
            </w:pPr>
            <w:r>
              <w:rPr>
                <w:rFonts w:ascii="Arial" w:cs="Arial" w:eastAsia="Arial" w:hAnsi="Arial"/>
                <w:sz w:val="18"/>
                <w:szCs w:val="18"/>
                <w:b w:val="1"/>
                <w:bCs w:val="1"/>
                <w:color w:val="auto"/>
                <w:w w:val="98"/>
              </w:rPr>
              <w:t>CUSIP</w:t>
            </w:r>
          </w:p>
        </w:tc>
        <w:tc>
          <w:tcPr>
            <w:tcW w:w="1080" w:type="dxa"/>
            <w:vAlign w:val="bottom"/>
          </w:tcPr>
          <w:p>
            <w:pPr>
              <w:jc w:val="center"/>
              <w:ind w:left="30"/>
              <w:spacing w:after="0"/>
              <w:rPr>
                <w:sz w:val="20"/>
                <w:szCs w:val="20"/>
                <w:color w:val="auto"/>
              </w:rPr>
            </w:pPr>
            <w:r>
              <w:rPr>
                <w:rFonts w:ascii="Arial" w:cs="Arial" w:eastAsia="Arial" w:hAnsi="Arial"/>
                <w:sz w:val="18"/>
                <w:szCs w:val="18"/>
                <w:b w:val="1"/>
                <w:bCs w:val="1"/>
                <w:color w:val="auto"/>
                <w:w w:val="95"/>
              </w:rPr>
              <w:t>Priority</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4"/>
              </w:rPr>
              <w:t>UST</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7"/>
              </w:rPr>
              <w:t>Reference</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84"/>
              </w:rPr>
              <w:t>(basis</w:t>
            </w:r>
          </w:p>
        </w:tc>
        <w:tc>
          <w:tcPr>
            <w:tcW w:w="6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8"/>
              </w:rPr>
              <w:t>Percent of</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9"/>
              </w:rPr>
              <w:t>2063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8"/>
              </w:rPr>
              <w:t>Security</w:t>
            </w:r>
          </w:p>
        </w:tc>
        <w:tc>
          <w:tcPr>
            <w:tcW w:w="10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Issuer</w:t>
            </w:r>
          </w:p>
        </w:tc>
        <w:tc>
          <w:tcPr>
            <w:tcW w:w="138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3"/>
              </w:rPr>
              <w:t>Number(s)</w:t>
            </w:r>
          </w:p>
        </w:tc>
        <w:tc>
          <w:tcPr>
            <w:tcW w:w="10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1"/>
              </w:rPr>
              <w:t>Level</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Security</w:t>
            </w:r>
          </w:p>
        </w:tc>
        <w:tc>
          <w:tcPr>
            <w:tcW w:w="84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3"/>
              </w:rPr>
              <w:t>Yield</w:t>
            </w:r>
            <w:r>
              <w:rPr>
                <w:rFonts w:ascii="Arial" w:cs="Arial" w:eastAsia="Arial" w:hAnsi="Arial"/>
                <w:sz w:val="29"/>
                <w:szCs w:val="29"/>
                <w:b w:val="1"/>
                <w:bCs w:val="1"/>
                <w:color w:val="auto"/>
                <w:w w:val="83"/>
                <w:vertAlign w:val="superscript"/>
              </w:rPr>
              <w:t>(1)</w:t>
            </w:r>
          </w:p>
        </w:tc>
        <w:tc>
          <w:tcPr>
            <w:tcW w:w="1280" w:type="dxa"/>
            <w:vAlign w:val="bottom"/>
            <w:tcBorders>
              <w:bottom w:val="single" w:sz="8" w:color="auto"/>
            </w:tcBorders>
            <w:gridSpan w:val="2"/>
          </w:tcPr>
          <w:p>
            <w:pPr>
              <w:jc w:val="right"/>
              <w:spacing w:after="0" w:line="270" w:lineRule="exact"/>
              <w:rPr>
                <w:sz w:val="20"/>
                <w:szCs w:val="20"/>
                <w:color w:val="auto"/>
              </w:rPr>
            </w:pPr>
            <w:r>
              <w:rPr>
                <w:rFonts w:ascii="Arial" w:cs="Arial" w:eastAsia="Arial" w:hAnsi="Arial"/>
                <w:sz w:val="18"/>
                <w:szCs w:val="18"/>
                <w:b w:val="1"/>
                <w:bCs w:val="1"/>
                <w:color w:val="auto"/>
                <w:w w:val="92"/>
              </w:rPr>
              <w:t>points) Yield</w:t>
            </w:r>
            <w:r>
              <w:rPr>
                <w:rFonts w:ascii="Arial" w:cs="Arial" w:eastAsia="Arial" w:hAnsi="Arial"/>
                <w:sz w:val="29"/>
                <w:szCs w:val="29"/>
                <w:b w:val="1"/>
                <w:bCs w:val="1"/>
                <w:color w:val="auto"/>
                <w:w w:val="92"/>
                <w:vertAlign w:val="superscript"/>
              </w:rPr>
              <w:t>(2)</w:t>
            </w:r>
          </w:p>
        </w:tc>
        <w:tc>
          <w:tcPr>
            <w:tcW w:w="98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9"/>
              </w:rPr>
              <w:t>Premium</w:t>
            </w:r>
            <w:r>
              <w:rPr>
                <w:rFonts w:ascii="Arial" w:cs="Arial" w:eastAsia="Arial" w:hAnsi="Arial"/>
                <w:sz w:val="29"/>
                <w:szCs w:val="29"/>
                <w:b w:val="1"/>
                <w:bCs w:val="1"/>
                <w:color w:val="auto"/>
                <w:w w:val="89"/>
                <w:vertAlign w:val="superscript"/>
              </w:rPr>
              <w:t>(3)</w:t>
            </w:r>
          </w:p>
        </w:tc>
        <w:tc>
          <w:tcPr>
            <w:tcW w:w="134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7"/>
              </w:rPr>
              <w:t>Consideration</w:t>
            </w:r>
            <w:r>
              <w:rPr>
                <w:rFonts w:ascii="Arial" w:cs="Arial" w:eastAsia="Arial" w:hAnsi="Arial"/>
                <w:sz w:val="29"/>
                <w:szCs w:val="29"/>
                <w:b w:val="1"/>
                <w:bCs w:val="1"/>
                <w:color w:val="auto"/>
                <w:w w:val="87"/>
                <w:vertAlign w:val="superscript"/>
              </w:rPr>
              <w:t>(4)</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Notes</w:t>
            </w: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Cash</w:t>
            </w:r>
          </w:p>
        </w:tc>
        <w:tc>
          <w:tcPr>
            <w:tcW w:w="0" w:type="dxa"/>
            <w:vAlign w:val="bottom"/>
          </w:tcPr>
          <w:p>
            <w:pPr>
              <w:spacing w:after="0"/>
              <w:rPr>
                <w:sz w:val="1"/>
                <w:szCs w:val="1"/>
                <w:color w:val="auto"/>
              </w:rPr>
            </w:pPr>
          </w:p>
        </w:tc>
      </w:tr>
      <w:tr>
        <w:trPr>
          <w:trHeight w:val="195"/>
        </w:trPr>
        <w:tc>
          <w:tcPr>
            <w:tcW w:w="860" w:type="dxa"/>
            <w:vAlign w:val="bottom"/>
            <w:shd w:val="clear" w:color="auto" w:fill="BFBFBF"/>
          </w:tcPr>
          <w:p>
            <w:pPr>
              <w:ind w:left="40"/>
              <w:spacing w:after="0" w:line="195" w:lineRule="exact"/>
              <w:rPr>
                <w:sz w:val="20"/>
                <w:szCs w:val="20"/>
                <w:color w:val="auto"/>
              </w:rPr>
            </w:pPr>
            <w:r>
              <w:rPr>
                <w:rFonts w:ascii="Arial" w:cs="Arial" w:eastAsia="Arial" w:hAnsi="Arial"/>
                <w:sz w:val="18"/>
                <w:szCs w:val="18"/>
                <w:color w:val="auto"/>
              </w:rPr>
              <w:t>Pool 3</w:t>
            </w:r>
          </w:p>
        </w:tc>
        <w:tc>
          <w:tcPr>
            <w:tcW w:w="1040" w:type="dxa"/>
            <w:vAlign w:val="bottom"/>
            <w:shd w:val="clear" w:color="auto" w:fill="BFBFBF"/>
          </w:tcPr>
          <w:p>
            <w:pPr>
              <w:spacing w:after="0"/>
              <w:rPr>
                <w:sz w:val="16"/>
                <w:szCs w:val="16"/>
                <w:color w:val="auto"/>
              </w:rPr>
            </w:pPr>
          </w:p>
        </w:tc>
        <w:tc>
          <w:tcPr>
            <w:tcW w:w="1380" w:type="dxa"/>
            <w:vAlign w:val="bottom"/>
            <w:shd w:val="clear" w:color="auto" w:fill="BFBFBF"/>
          </w:tcPr>
          <w:p>
            <w:pPr>
              <w:spacing w:after="0"/>
              <w:rPr>
                <w:sz w:val="16"/>
                <w:szCs w:val="16"/>
                <w:color w:val="auto"/>
              </w:rPr>
            </w:pPr>
          </w:p>
        </w:tc>
        <w:tc>
          <w:tcPr>
            <w:tcW w:w="1080" w:type="dxa"/>
            <w:vAlign w:val="bottom"/>
            <w:shd w:val="clear" w:color="auto" w:fill="BFBFBF"/>
          </w:tcPr>
          <w:p>
            <w:pPr>
              <w:spacing w:after="0"/>
              <w:rPr>
                <w:sz w:val="16"/>
                <w:szCs w:val="16"/>
                <w:color w:val="auto"/>
              </w:rPr>
            </w:pPr>
          </w:p>
        </w:tc>
        <w:tc>
          <w:tcPr>
            <w:tcW w:w="1040" w:type="dxa"/>
            <w:vAlign w:val="bottom"/>
            <w:shd w:val="clear" w:color="auto" w:fill="BFBFBF"/>
          </w:tcPr>
          <w:p>
            <w:pPr>
              <w:spacing w:after="0"/>
              <w:rPr>
                <w:sz w:val="16"/>
                <w:szCs w:val="16"/>
                <w:color w:val="auto"/>
              </w:rPr>
            </w:pPr>
          </w:p>
        </w:tc>
        <w:tc>
          <w:tcPr>
            <w:tcW w:w="840" w:type="dxa"/>
            <w:vAlign w:val="bottom"/>
            <w:shd w:val="clear" w:color="auto" w:fill="BFBFBF"/>
          </w:tcPr>
          <w:p>
            <w:pPr>
              <w:spacing w:after="0"/>
              <w:rPr>
                <w:sz w:val="16"/>
                <w:szCs w:val="16"/>
                <w:color w:val="auto"/>
              </w:rPr>
            </w:pPr>
          </w:p>
        </w:tc>
        <w:tc>
          <w:tcPr>
            <w:tcW w:w="640" w:type="dxa"/>
            <w:vAlign w:val="bottom"/>
            <w:shd w:val="clear" w:color="auto" w:fill="BFBFBF"/>
          </w:tcPr>
          <w:p>
            <w:pPr>
              <w:spacing w:after="0"/>
              <w:rPr>
                <w:sz w:val="16"/>
                <w:szCs w:val="16"/>
                <w:color w:val="auto"/>
              </w:rPr>
            </w:pPr>
          </w:p>
        </w:tc>
        <w:tc>
          <w:tcPr>
            <w:tcW w:w="640" w:type="dxa"/>
            <w:vAlign w:val="bottom"/>
            <w:shd w:val="clear" w:color="auto" w:fill="BFBFBF"/>
          </w:tcPr>
          <w:p>
            <w:pPr>
              <w:spacing w:after="0"/>
              <w:rPr>
                <w:sz w:val="16"/>
                <w:szCs w:val="16"/>
                <w:color w:val="auto"/>
              </w:rPr>
            </w:pPr>
          </w:p>
        </w:tc>
        <w:tc>
          <w:tcPr>
            <w:tcW w:w="980" w:type="dxa"/>
            <w:vAlign w:val="bottom"/>
            <w:shd w:val="clear" w:color="auto" w:fill="BFBFBF"/>
          </w:tcPr>
          <w:p>
            <w:pPr>
              <w:spacing w:after="0"/>
              <w:rPr>
                <w:sz w:val="16"/>
                <w:szCs w:val="16"/>
                <w:color w:val="auto"/>
              </w:rPr>
            </w:pPr>
          </w:p>
        </w:tc>
        <w:tc>
          <w:tcPr>
            <w:tcW w:w="1340" w:type="dxa"/>
            <w:vAlign w:val="bottom"/>
            <w:shd w:val="clear" w:color="auto" w:fill="BFBFBF"/>
          </w:tcPr>
          <w:p>
            <w:pPr>
              <w:spacing w:after="0"/>
              <w:rPr>
                <w:sz w:val="16"/>
                <w:szCs w:val="16"/>
                <w:color w:val="auto"/>
              </w:rPr>
            </w:pPr>
          </w:p>
        </w:tc>
        <w:tc>
          <w:tcPr>
            <w:tcW w:w="820" w:type="dxa"/>
            <w:vAlign w:val="bottom"/>
            <w:shd w:val="clear" w:color="auto" w:fill="BFBFBF"/>
          </w:tcPr>
          <w:p>
            <w:pPr>
              <w:spacing w:after="0"/>
              <w:rPr>
                <w:sz w:val="16"/>
                <w:szCs w:val="16"/>
                <w:color w:val="auto"/>
              </w:rPr>
            </w:pPr>
          </w:p>
        </w:tc>
        <w:tc>
          <w:tcPr>
            <w:tcW w:w="580" w:type="dxa"/>
            <w:vAlign w:val="bottom"/>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0" w:type="dxa"/>
            <w:vAlign w:val="bottom"/>
            <w:shd w:val="clear" w:color="auto" w:fill="BFBFBF"/>
          </w:tcPr>
          <w:p>
            <w:pPr>
              <w:ind w:left="40"/>
              <w:spacing w:after="0"/>
              <w:rPr>
                <w:sz w:val="20"/>
                <w:szCs w:val="20"/>
                <w:color w:val="auto"/>
              </w:rPr>
            </w:pPr>
            <w:r>
              <w:rPr>
                <w:rFonts w:ascii="Arial" w:cs="Arial" w:eastAsia="Arial" w:hAnsi="Arial"/>
                <w:sz w:val="18"/>
                <w:szCs w:val="18"/>
                <w:color w:val="auto"/>
              </w:rPr>
              <w:t>Notes</w:t>
            </w:r>
          </w:p>
        </w:tc>
        <w:tc>
          <w:tcPr>
            <w:tcW w:w="1040" w:type="dxa"/>
            <w:vAlign w:val="bottom"/>
            <w:shd w:val="clear" w:color="auto" w:fill="BFBFBF"/>
          </w:tcPr>
          <w:p>
            <w:pPr>
              <w:spacing w:after="0"/>
              <w:rPr>
                <w:sz w:val="20"/>
                <w:szCs w:val="20"/>
                <w:color w:val="auto"/>
              </w:rPr>
            </w:pPr>
          </w:p>
        </w:tc>
        <w:tc>
          <w:tcPr>
            <w:tcW w:w="1380" w:type="dxa"/>
            <w:vAlign w:val="bottom"/>
            <w:shd w:val="clear" w:color="auto" w:fill="BFBFBF"/>
          </w:tcPr>
          <w:p>
            <w:pPr>
              <w:spacing w:after="0"/>
              <w:rPr>
                <w:sz w:val="20"/>
                <w:szCs w:val="20"/>
                <w:color w:val="auto"/>
              </w:rPr>
            </w:pPr>
          </w:p>
        </w:tc>
        <w:tc>
          <w:tcPr>
            <w:tcW w:w="1080" w:type="dxa"/>
            <w:vAlign w:val="bottom"/>
            <w:shd w:val="clear" w:color="auto" w:fill="BFBFBF"/>
          </w:tcPr>
          <w:p>
            <w:pPr>
              <w:spacing w:after="0"/>
              <w:rPr>
                <w:sz w:val="20"/>
                <w:szCs w:val="20"/>
                <w:color w:val="auto"/>
              </w:rPr>
            </w:pPr>
          </w:p>
        </w:tc>
        <w:tc>
          <w:tcPr>
            <w:tcW w:w="1040" w:type="dxa"/>
            <w:vAlign w:val="bottom"/>
            <w:shd w:val="clear" w:color="auto" w:fill="BFBFBF"/>
          </w:tcPr>
          <w:p>
            <w:pPr>
              <w:spacing w:after="0"/>
              <w:rPr>
                <w:sz w:val="20"/>
                <w:szCs w:val="20"/>
                <w:color w:val="auto"/>
              </w:rPr>
            </w:pPr>
          </w:p>
        </w:tc>
        <w:tc>
          <w:tcPr>
            <w:tcW w:w="840" w:type="dxa"/>
            <w:vAlign w:val="bottom"/>
            <w:shd w:val="clear" w:color="auto" w:fill="BFBFBF"/>
          </w:tcPr>
          <w:p>
            <w:pPr>
              <w:spacing w:after="0"/>
              <w:rPr>
                <w:sz w:val="20"/>
                <w:szCs w:val="20"/>
                <w:color w:val="auto"/>
              </w:rPr>
            </w:pPr>
          </w:p>
        </w:tc>
        <w:tc>
          <w:tcPr>
            <w:tcW w:w="640" w:type="dxa"/>
            <w:vAlign w:val="bottom"/>
            <w:shd w:val="clear" w:color="auto" w:fill="BFBFBF"/>
          </w:tcPr>
          <w:p>
            <w:pPr>
              <w:spacing w:after="0"/>
              <w:rPr>
                <w:sz w:val="20"/>
                <w:szCs w:val="20"/>
                <w:color w:val="auto"/>
              </w:rPr>
            </w:pPr>
          </w:p>
        </w:tc>
        <w:tc>
          <w:tcPr>
            <w:tcW w:w="640" w:type="dxa"/>
            <w:vAlign w:val="bottom"/>
            <w:shd w:val="clear" w:color="auto" w:fill="BFBFBF"/>
          </w:tcPr>
          <w:p>
            <w:pPr>
              <w:spacing w:after="0"/>
              <w:rPr>
                <w:sz w:val="20"/>
                <w:szCs w:val="20"/>
                <w:color w:val="auto"/>
              </w:rPr>
            </w:pPr>
          </w:p>
        </w:tc>
        <w:tc>
          <w:tcPr>
            <w:tcW w:w="980" w:type="dxa"/>
            <w:vAlign w:val="bottom"/>
            <w:shd w:val="clear" w:color="auto" w:fill="BFBFBF"/>
          </w:tcPr>
          <w:p>
            <w:pPr>
              <w:spacing w:after="0"/>
              <w:rPr>
                <w:sz w:val="20"/>
                <w:szCs w:val="20"/>
                <w:color w:val="auto"/>
              </w:rPr>
            </w:pPr>
          </w:p>
        </w:tc>
        <w:tc>
          <w:tcPr>
            <w:tcW w:w="1340" w:type="dxa"/>
            <w:vAlign w:val="bottom"/>
            <w:shd w:val="clear" w:color="auto" w:fill="BFBFBF"/>
          </w:tcPr>
          <w:p>
            <w:pPr>
              <w:spacing w:after="0"/>
              <w:rPr>
                <w:sz w:val="20"/>
                <w:szCs w:val="20"/>
                <w:color w:val="auto"/>
              </w:rPr>
            </w:pPr>
          </w:p>
        </w:tc>
        <w:tc>
          <w:tcPr>
            <w:tcW w:w="820" w:type="dxa"/>
            <w:vAlign w:val="bottom"/>
            <w:shd w:val="clear" w:color="auto" w:fill="BFBFBF"/>
          </w:tcPr>
          <w:p>
            <w:pPr>
              <w:spacing w:after="0"/>
              <w:rPr>
                <w:sz w:val="20"/>
                <w:szCs w:val="20"/>
                <w:color w:val="auto"/>
              </w:rPr>
            </w:pPr>
          </w:p>
        </w:tc>
        <w:tc>
          <w:tcPr>
            <w:tcW w:w="580" w:type="dxa"/>
            <w:vAlign w:val="bottom"/>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0" w:type="dxa"/>
            <w:vAlign w:val="bottom"/>
          </w:tcPr>
          <w:p>
            <w:pPr>
              <w:ind w:left="40"/>
              <w:spacing w:after="0" w:line="201" w:lineRule="exact"/>
              <w:rPr>
                <w:sz w:val="20"/>
                <w:szCs w:val="20"/>
                <w:color w:val="auto"/>
              </w:rPr>
            </w:pPr>
            <w:r>
              <w:rPr>
                <w:rFonts w:ascii="Arial" w:cs="Arial" w:eastAsia="Arial" w:hAnsi="Arial"/>
                <w:sz w:val="18"/>
                <w:szCs w:val="18"/>
                <w:color w:val="auto"/>
              </w:rPr>
              <w:t>4.600%</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Comcast</w:t>
            </w:r>
          </w:p>
        </w:tc>
        <w:tc>
          <w:tcPr>
            <w:tcW w:w="1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40" w:type="dxa"/>
            <w:vAlign w:val="bottom"/>
          </w:tcPr>
          <w:p>
            <w:pPr>
              <w:jc w:val="center"/>
              <w:spacing w:after="0" w:line="201" w:lineRule="exact"/>
              <w:rPr>
                <w:sz w:val="20"/>
                <w:szCs w:val="20"/>
                <w:color w:val="auto"/>
              </w:rPr>
            </w:pPr>
            <w:r>
              <w:rPr>
                <w:rFonts w:ascii="Arial" w:cs="Arial" w:eastAsia="Arial" w:hAnsi="Arial"/>
                <w:sz w:val="18"/>
                <w:szCs w:val="18"/>
                <w:color w:val="auto"/>
                <w:w w:val="92"/>
              </w:rPr>
              <w:t>2.375% UST</w:t>
            </w: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860" w:type="dxa"/>
            <w:vAlign w:val="bottom"/>
            <w:vMerge w:val="restart"/>
          </w:tcPr>
          <w:p>
            <w:pPr>
              <w:ind w:left="40"/>
              <w:spacing w:after="0"/>
              <w:rPr>
                <w:sz w:val="20"/>
                <w:szCs w:val="20"/>
                <w:color w:val="auto"/>
              </w:rPr>
            </w:pPr>
            <w:r>
              <w:rPr>
                <w:rFonts w:ascii="Arial" w:cs="Arial" w:eastAsia="Arial" w:hAnsi="Arial"/>
                <w:sz w:val="18"/>
                <w:szCs w:val="18"/>
                <w:color w:val="auto"/>
                <w:w w:val="97"/>
              </w:rPr>
              <w:t>Notes due</w:t>
            </w:r>
          </w:p>
        </w:tc>
        <w:tc>
          <w:tcPr>
            <w:tcW w:w="1040" w:type="dxa"/>
            <w:vAlign w:val="bottom"/>
            <w:vMerge w:val="continue"/>
          </w:tcPr>
          <w:p>
            <w:pPr>
              <w:spacing w:after="0"/>
              <w:rPr>
                <w:sz w:val="9"/>
                <w:szCs w:val="9"/>
                <w:color w:val="auto"/>
              </w:rPr>
            </w:pPr>
          </w:p>
        </w:tc>
        <w:tc>
          <w:tcPr>
            <w:tcW w:w="1380" w:type="dxa"/>
            <w:vAlign w:val="bottom"/>
            <w:vMerge w:val="restart"/>
          </w:tcPr>
          <w:p>
            <w:pPr>
              <w:ind w:left="100"/>
              <w:spacing w:after="0"/>
              <w:rPr>
                <w:sz w:val="20"/>
                <w:szCs w:val="20"/>
                <w:color w:val="auto"/>
              </w:rPr>
            </w:pPr>
            <w:r>
              <w:rPr>
                <w:rFonts w:ascii="Arial" w:cs="Arial" w:eastAsia="Arial" w:hAnsi="Arial"/>
                <w:sz w:val="18"/>
                <w:szCs w:val="18"/>
                <w:color w:val="auto"/>
              </w:rPr>
              <w:t>20030N BQ3</w:t>
            </w:r>
          </w:p>
        </w:tc>
        <w:tc>
          <w:tcPr>
            <w:tcW w:w="1080" w:type="dxa"/>
            <w:vAlign w:val="bottom"/>
            <w:vMerge w:val="restart"/>
          </w:tcPr>
          <w:p>
            <w:pPr>
              <w:jc w:val="center"/>
              <w:ind w:left="30"/>
              <w:spacing w:after="0"/>
              <w:rPr>
                <w:sz w:val="20"/>
                <w:szCs w:val="20"/>
                <w:color w:val="auto"/>
              </w:rPr>
            </w:pPr>
            <w:r>
              <w:rPr>
                <w:rFonts w:ascii="Arial" w:cs="Arial" w:eastAsia="Arial" w:hAnsi="Arial"/>
                <w:sz w:val="18"/>
                <w:szCs w:val="18"/>
                <w:color w:val="auto"/>
                <w:w w:val="79"/>
              </w:rPr>
              <w:t>1</w:t>
            </w:r>
          </w:p>
        </w:tc>
        <w:tc>
          <w:tcPr>
            <w:tcW w:w="1040" w:type="dxa"/>
            <w:vAlign w:val="bottom"/>
            <w:vMerge w:val="restart"/>
          </w:tcPr>
          <w:p>
            <w:pPr>
              <w:jc w:val="center"/>
              <w:spacing w:after="0"/>
              <w:rPr>
                <w:sz w:val="20"/>
                <w:szCs w:val="20"/>
                <w:color w:val="auto"/>
              </w:rPr>
            </w:pPr>
            <w:r>
              <w:rPr>
                <w:rFonts w:ascii="Arial" w:cs="Arial" w:eastAsia="Arial" w:hAnsi="Arial"/>
                <w:sz w:val="18"/>
                <w:szCs w:val="18"/>
                <w:color w:val="auto"/>
                <w:w w:val="90"/>
              </w:rPr>
              <w:t>due May 15,</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1"/>
              </w:rPr>
              <w:t>1.887%</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89"/>
              </w:rPr>
              <w:t>85</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4"/>
              </w:rPr>
              <w:t>2.737%</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2"/>
              </w:rPr>
              <w:t>0%</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89"/>
              </w:rPr>
              <w:t>$1,321.23</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89"/>
              </w:rPr>
              <w:t>$1,321.23</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176"/>
        </w:trPr>
        <w:tc>
          <w:tcPr>
            <w:tcW w:w="860" w:type="dxa"/>
            <w:vAlign w:val="bottom"/>
            <w:vMerge w:val="continue"/>
          </w:tcPr>
          <w:p>
            <w:pPr>
              <w:spacing w:after="0"/>
              <w:rPr>
                <w:sz w:val="15"/>
                <w:szCs w:val="15"/>
                <w:color w:val="auto"/>
              </w:rPr>
            </w:pPr>
          </w:p>
        </w:tc>
        <w:tc>
          <w:tcPr>
            <w:tcW w:w="1040" w:type="dxa"/>
            <w:vAlign w:val="bottom"/>
          </w:tcPr>
          <w:p>
            <w:pPr>
              <w:ind w:left="80"/>
              <w:spacing w:after="0" w:line="176" w:lineRule="exact"/>
              <w:rPr>
                <w:sz w:val="20"/>
                <w:szCs w:val="20"/>
                <w:color w:val="auto"/>
              </w:rPr>
            </w:pPr>
            <w:r>
              <w:rPr>
                <w:rFonts w:ascii="Arial" w:cs="Arial" w:eastAsia="Arial" w:hAnsi="Arial"/>
                <w:sz w:val="18"/>
                <w:szCs w:val="18"/>
                <w:color w:val="auto"/>
                <w:w w:val="99"/>
              </w:rPr>
              <w:t>Corporation</w:t>
            </w:r>
          </w:p>
        </w:tc>
        <w:tc>
          <w:tcPr>
            <w:tcW w:w="138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860" w:type="dxa"/>
            <w:vAlign w:val="bottom"/>
          </w:tcPr>
          <w:p>
            <w:pPr>
              <w:ind w:left="40"/>
              <w:spacing w:after="0" w:line="148" w:lineRule="exact"/>
              <w:rPr>
                <w:sz w:val="20"/>
                <w:szCs w:val="20"/>
                <w:color w:val="auto"/>
              </w:rPr>
            </w:pPr>
            <w:r>
              <w:rPr>
                <w:rFonts w:ascii="Arial" w:cs="Arial" w:eastAsia="Arial" w:hAnsi="Arial"/>
                <w:sz w:val="17"/>
                <w:szCs w:val="17"/>
                <w:color w:val="auto"/>
              </w:rPr>
              <w:t>2045*</w:t>
            </w:r>
          </w:p>
        </w:tc>
        <w:tc>
          <w:tcPr>
            <w:tcW w:w="10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jc w:val="center"/>
              <w:spacing w:after="0" w:line="148" w:lineRule="exact"/>
              <w:rPr>
                <w:sz w:val="20"/>
                <w:szCs w:val="20"/>
                <w:color w:val="auto"/>
              </w:rPr>
            </w:pPr>
            <w:r>
              <w:rPr>
                <w:rFonts w:ascii="Arial" w:cs="Arial" w:eastAsia="Arial" w:hAnsi="Arial"/>
                <w:sz w:val="17"/>
                <w:szCs w:val="17"/>
                <w:color w:val="auto"/>
                <w:w w:val="95"/>
              </w:rPr>
              <w:t>2051</w:t>
            </w: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0" w:type="dxa"/>
            <w:vAlign w:val="bottom"/>
          </w:tcPr>
          <w:p>
            <w:pPr>
              <w:ind w:left="40"/>
              <w:spacing w:after="0"/>
              <w:rPr>
                <w:sz w:val="20"/>
                <w:szCs w:val="20"/>
                <w:color w:val="auto"/>
              </w:rPr>
            </w:pPr>
            <w:r>
              <w:rPr>
                <w:rFonts w:ascii="Arial" w:cs="Arial" w:eastAsia="Arial" w:hAnsi="Arial"/>
                <w:sz w:val="18"/>
                <w:szCs w:val="18"/>
                <w:color w:val="auto"/>
              </w:rPr>
              <w:t>4.950%</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Comcast</w:t>
            </w: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2.375% UST</w:t>
            </w: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60" w:type="dxa"/>
            <w:vAlign w:val="bottom"/>
          </w:tcPr>
          <w:p>
            <w:pPr>
              <w:ind w:left="40"/>
              <w:spacing w:after="0" w:line="176" w:lineRule="exact"/>
              <w:rPr>
                <w:sz w:val="20"/>
                <w:szCs w:val="20"/>
                <w:color w:val="auto"/>
              </w:rPr>
            </w:pPr>
            <w:r>
              <w:rPr>
                <w:rFonts w:ascii="Arial" w:cs="Arial" w:eastAsia="Arial" w:hAnsi="Arial"/>
                <w:sz w:val="18"/>
                <w:szCs w:val="18"/>
                <w:color w:val="auto"/>
                <w:w w:val="97"/>
              </w:rPr>
              <w:t>Notes due</w:t>
            </w:r>
          </w:p>
        </w:tc>
        <w:tc>
          <w:tcPr>
            <w:tcW w:w="1040" w:type="dxa"/>
            <w:vAlign w:val="bottom"/>
            <w:vMerge w:val="continue"/>
          </w:tcPr>
          <w:p>
            <w:pPr>
              <w:spacing w:after="0"/>
              <w:rPr>
                <w:sz w:val="15"/>
                <w:szCs w:val="15"/>
                <w:color w:val="auto"/>
              </w:rPr>
            </w:pPr>
          </w:p>
        </w:tc>
        <w:tc>
          <w:tcPr>
            <w:tcW w:w="1380" w:type="dxa"/>
            <w:vAlign w:val="bottom"/>
          </w:tcPr>
          <w:p>
            <w:pPr>
              <w:ind w:left="100"/>
              <w:spacing w:after="0" w:line="176" w:lineRule="exact"/>
              <w:rPr>
                <w:sz w:val="20"/>
                <w:szCs w:val="20"/>
                <w:color w:val="auto"/>
              </w:rPr>
            </w:pPr>
            <w:r>
              <w:rPr>
                <w:rFonts w:ascii="Arial" w:cs="Arial" w:eastAsia="Arial" w:hAnsi="Arial"/>
                <w:sz w:val="18"/>
                <w:szCs w:val="18"/>
                <w:color w:val="auto"/>
              </w:rPr>
              <w:t>20030N CN9</w:t>
            </w:r>
          </w:p>
        </w:tc>
        <w:tc>
          <w:tcPr>
            <w:tcW w:w="1080" w:type="dxa"/>
            <w:vAlign w:val="bottom"/>
          </w:tcPr>
          <w:p>
            <w:pPr>
              <w:jc w:val="center"/>
              <w:ind w:left="30"/>
              <w:spacing w:after="0" w:line="176" w:lineRule="exact"/>
              <w:rPr>
                <w:sz w:val="20"/>
                <w:szCs w:val="20"/>
                <w:color w:val="auto"/>
              </w:rPr>
            </w:pPr>
            <w:r>
              <w:rPr>
                <w:rFonts w:ascii="Arial" w:cs="Arial" w:eastAsia="Arial" w:hAnsi="Arial"/>
                <w:sz w:val="18"/>
                <w:szCs w:val="18"/>
                <w:color w:val="auto"/>
                <w:w w:val="79"/>
              </w:rPr>
              <w:t>2</w:t>
            </w:r>
          </w:p>
        </w:tc>
        <w:tc>
          <w:tcPr>
            <w:tcW w:w="1040" w:type="dxa"/>
            <w:vAlign w:val="bottom"/>
          </w:tcPr>
          <w:p>
            <w:pPr>
              <w:jc w:val="center"/>
              <w:spacing w:after="0" w:line="176" w:lineRule="exact"/>
              <w:rPr>
                <w:sz w:val="20"/>
                <w:szCs w:val="20"/>
                <w:color w:val="auto"/>
              </w:rPr>
            </w:pPr>
            <w:r>
              <w:rPr>
                <w:rFonts w:ascii="Arial" w:cs="Arial" w:eastAsia="Arial" w:hAnsi="Arial"/>
                <w:sz w:val="18"/>
                <w:szCs w:val="18"/>
                <w:color w:val="auto"/>
                <w:w w:val="90"/>
              </w:rPr>
              <w:t>due May 15,</w:t>
            </w:r>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91"/>
              </w:rPr>
              <w:t>1.887%</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100</w:t>
            </w: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w w:val="94"/>
              </w:rPr>
              <w:t>2.887%</w:t>
            </w:r>
          </w:p>
        </w:tc>
        <w:tc>
          <w:tcPr>
            <w:tcW w:w="980" w:type="dxa"/>
            <w:vAlign w:val="bottom"/>
          </w:tcPr>
          <w:p>
            <w:pPr>
              <w:jc w:val="center"/>
              <w:spacing w:after="0" w:line="176" w:lineRule="exact"/>
              <w:rPr>
                <w:sz w:val="20"/>
                <w:szCs w:val="20"/>
                <w:color w:val="auto"/>
              </w:rPr>
            </w:pPr>
            <w:r>
              <w:rPr>
                <w:rFonts w:ascii="Arial" w:cs="Arial" w:eastAsia="Arial" w:hAnsi="Arial"/>
                <w:sz w:val="18"/>
                <w:szCs w:val="18"/>
                <w:color w:val="auto"/>
                <w:w w:val="92"/>
              </w:rPr>
              <w:t>0%</w:t>
            </w:r>
          </w:p>
        </w:tc>
        <w:tc>
          <w:tcPr>
            <w:tcW w:w="1340" w:type="dxa"/>
            <w:vAlign w:val="bottom"/>
          </w:tcPr>
          <w:p>
            <w:pPr>
              <w:jc w:val="center"/>
              <w:spacing w:after="0" w:line="176" w:lineRule="exact"/>
              <w:rPr>
                <w:sz w:val="20"/>
                <w:szCs w:val="20"/>
                <w:color w:val="auto"/>
              </w:rPr>
            </w:pPr>
            <w:r>
              <w:rPr>
                <w:rFonts w:ascii="Arial" w:cs="Arial" w:eastAsia="Arial" w:hAnsi="Arial"/>
                <w:sz w:val="18"/>
                <w:szCs w:val="18"/>
                <w:color w:val="auto"/>
                <w:w w:val="89"/>
              </w:rPr>
              <w:t>$1,464.66</w:t>
            </w:r>
          </w:p>
        </w:tc>
        <w:tc>
          <w:tcPr>
            <w:tcW w:w="820" w:type="dxa"/>
            <w:vAlign w:val="bottom"/>
          </w:tcPr>
          <w:p>
            <w:pPr>
              <w:jc w:val="center"/>
              <w:spacing w:after="0" w:line="176" w:lineRule="exact"/>
              <w:rPr>
                <w:sz w:val="20"/>
                <w:szCs w:val="20"/>
                <w:color w:val="auto"/>
              </w:rPr>
            </w:pPr>
            <w:r>
              <w:rPr>
                <w:rFonts w:ascii="Arial" w:cs="Arial" w:eastAsia="Arial" w:hAnsi="Arial"/>
                <w:sz w:val="18"/>
                <w:szCs w:val="18"/>
                <w:color w:val="auto"/>
                <w:w w:val="89"/>
              </w:rPr>
              <w:t>$1,464.66</w:t>
            </w:r>
          </w:p>
        </w:tc>
        <w:tc>
          <w:tcPr>
            <w:tcW w:w="580" w:type="dxa"/>
            <w:vAlign w:val="bottom"/>
          </w:tcPr>
          <w:p>
            <w:pPr>
              <w:ind w:left="80"/>
              <w:spacing w:after="0" w:line="176"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860" w:type="dxa"/>
            <w:vAlign w:val="bottom"/>
            <w:vMerge w:val="restart"/>
          </w:tcPr>
          <w:p>
            <w:pPr>
              <w:ind w:left="40"/>
              <w:spacing w:after="0"/>
              <w:rPr>
                <w:sz w:val="20"/>
                <w:szCs w:val="20"/>
                <w:color w:val="auto"/>
              </w:rPr>
            </w:pPr>
            <w:r>
              <w:rPr>
                <w:rFonts w:ascii="Arial" w:cs="Arial" w:eastAsia="Arial" w:hAnsi="Arial"/>
                <w:sz w:val="18"/>
                <w:szCs w:val="18"/>
                <w:color w:val="auto"/>
              </w:rPr>
              <w:t>2058*</w:t>
            </w:r>
          </w:p>
        </w:tc>
        <w:tc>
          <w:tcPr>
            <w:tcW w:w="1040" w:type="dxa"/>
            <w:vAlign w:val="bottom"/>
          </w:tcPr>
          <w:p>
            <w:pPr>
              <w:ind w:left="80"/>
              <w:spacing w:after="0"/>
              <w:rPr>
                <w:sz w:val="20"/>
                <w:szCs w:val="20"/>
                <w:color w:val="auto"/>
              </w:rPr>
            </w:pPr>
            <w:r>
              <w:rPr>
                <w:rFonts w:ascii="Arial" w:cs="Arial" w:eastAsia="Arial" w:hAnsi="Arial"/>
                <w:sz w:val="18"/>
                <w:szCs w:val="18"/>
                <w:color w:val="auto"/>
                <w:w w:val="99"/>
              </w:rPr>
              <w:t>Corporation</w:t>
            </w: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vMerge w:val="restart"/>
          </w:tcPr>
          <w:p>
            <w:pPr>
              <w:jc w:val="center"/>
              <w:spacing w:after="0"/>
              <w:rPr>
                <w:sz w:val="20"/>
                <w:szCs w:val="20"/>
                <w:color w:val="auto"/>
              </w:rPr>
            </w:pPr>
            <w:r>
              <w:rPr>
                <w:rFonts w:ascii="Arial" w:cs="Arial" w:eastAsia="Arial" w:hAnsi="Arial"/>
                <w:sz w:val="18"/>
                <w:szCs w:val="18"/>
                <w:color w:val="auto"/>
                <w:w w:val="89"/>
              </w:rPr>
              <w:t>2051</w:t>
            </w: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86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8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tcPr>
          <w:p>
            <w:pPr>
              <w:ind w:left="40"/>
              <w:spacing w:after="0"/>
              <w:rPr>
                <w:sz w:val="20"/>
                <w:szCs w:val="20"/>
                <w:color w:val="auto"/>
              </w:rPr>
            </w:pPr>
            <w:r>
              <w:rPr>
                <w:rFonts w:ascii="Arial" w:cs="Arial" w:eastAsia="Arial" w:hAnsi="Arial"/>
                <w:sz w:val="18"/>
                <w:szCs w:val="18"/>
                <w:color w:val="auto"/>
              </w:rPr>
              <w:t>4.049%</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Comcast</w:t>
            </w:r>
          </w:p>
        </w:tc>
        <w:tc>
          <w:tcPr>
            <w:tcW w:w="1380" w:type="dxa"/>
            <w:vAlign w:val="bottom"/>
            <w:vMerge w:val="restart"/>
          </w:tcPr>
          <w:p>
            <w:pPr>
              <w:ind w:left="100"/>
              <w:spacing w:after="0"/>
              <w:rPr>
                <w:sz w:val="20"/>
                <w:szCs w:val="20"/>
                <w:color w:val="auto"/>
              </w:rPr>
            </w:pPr>
            <w:r>
              <w:rPr>
                <w:rFonts w:ascii="Arial" w:cs="Arial" w:eastAsia="Arial" w:hAnsi="Arial"/>
                <w:sz w:val="18"/>
                <w:szCs w:val="18"/>
                <w:color w:val="auto"/>
                <w:w w:val="97"/>
              </w:rPr>
              <w:t>20030N CG4</w:t>
            </w:r>
            <w:r>
              <w:rPr>
                <w:rFonts w:ascii="Arial" w:cs="Arial" w:eastAsia="Arial" w:hAnsi="Arial"/>
                <w:sz w:val="29"/>
                <w:szCs w:val="29"/>
                <w:color w:val="auto"/>
                <w:w w:val="97"/>
                <w:vertAlign w:val="superscript"/>
              </w:rPr>
              <w:t>(5)</w:t>
            </w:r>
          </w:p>
        </w:tc>
        <w:tc>
          <w:tcPr>
            <w:tcW w:w="10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2.375% UST</w:t>
            </w: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860" w:type="dxa"/>
            <w:vAlign w:val="bottom"/>
          </w:tcPr>
          <w:p>
            <w:pPr>
              <w:ind w:left="40"/>
              <w:spacing w:after="0" w:line="190" w:lineRule="exact"/>
              <w:rPr>
                <w:sz w:val="20"/>
                <w:szCs w:val="20"/>
                <w:color w:val="auto"/>
              </w:rPr>
            </w:pPr>
            <w:r>
              <w:rPr>
                <w:rFonts w:ascii="Arial" w:cs="Arial" w:eastAsia="Arial" w:hAnsi="Arial"/>
                <w:sz w:val="18"/>
                <w:szCs w:val="18"/>
                <w:color w:val="auto"/>
                <w:w w:val="97"/>
              </w:rPr>
              <w:t>Notes due</w:t>
            </w:r>
          </w:p>
        </w:tc>
        <w:tc>
          <w:tcPr>
            <w:tcW w:w="104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080" w:type="dxa"/>
            <w:vAlign w:val="bottom"/>
          </w:tcPr>
          <w:p>
            <w:pPr>
              <w:jc w:val="center"/>
              <w:ind w:left="30"/>
              <w:spacing w:after="0" w:line="190" w:lineRule="exact"/>
              <w:rPr>
                <w:sz w:val="20"/>
                <w:szCs w:val="20"/>
                <w:color w:val="auto"/>
              </w:rPr>
            </w:pPr>
            <w:r>
              <w:rPr>
                <w:rFonts w:ascii="Arial" w:cs="Arial" w:eastAsia="Arial" w:hAnsi="Arial"/>
                <w:sz w:val="18"/>
                <w:szCs w:val="18"/>
                <w:color w:val="auto"/>
                <w:w w:val="79"/>
              </w:rPr>
              <w:t>3</w:t>
            </w:r>
          </w:p>
        </w:tc>
        <w:tc>
          <w:tcPr>
            <w:tcW w:w="1040" w:type="dxa"/>
            <w:vAlign w:val="bottom"/>
          </w:tcPr>
          <w:p>
            <w:pPr>
              <w:jc w:val="center"/>
              <w:spacing w:after="0" w:line="190" w:lineRule="exact"/>
              <w:rPr>
                <w:sz w:val="20"/>
                <w:szCs w:val="20"/>
                <w:color w:val="auto"/>
              </w:rPr>
            </w:pPr>
            <w:r>
              <w:rPr>
                <w:rFonts w:ascii="Arial" w:cs="Arial" w:eastAsia="Arial" w:hAnsi="Arial"/>
                <w:sz w:val="18"/>
                <w:szCs w:val="18"/>
                <w:color w:val="auto"/>
                <w:w w:val="90"/>
              </w:rPr>
              <w:t>due May 15,</w:t>
            </w:r>
          </w:p>
        </w:tc>
        <w:tc>
          <w:tcPr>
            <w:tcW w:w="840" w:type="dxa"/>
            <w:vAlign w:val="bottom"/>
          </w:tcPr>
          <w:p>
            <w:pPr>
              <w:jc w:val="center"/>
              <w:spacing w:after="0" w:line="190" w:lineRule="exact"/>
              <w:rPr>
                <w:sz w:val="20"/>
                <w:szCs w:val="20"/>
                <w:color w:val="auto"/>
              </w:rPr>
            </w:pPr>
            <w:r>
              <w:rPr>
                <w:rFonts w:ascii="Arial" w:cs="Arial" w:eastAsia="Arial" w:hAnsi="Arial"/>
                <w:sz w:val="18"/>
                <w:szCs w:val="18"/>
                <w:color w:val="auto"/>
                <w:w w:val="91"/>
              </w:rPr>
              <w:t>1.887%</w:t>
            </w:r>
          </w:p>
        </w:tc>
        <w:tc>
          <w:tcPr>
            <w:tcW w:w="640" w:type="dxa"/>
            <w:vAlign w:val="bottom"/>
          </w:tcPr>
          <w:p>
            <w:pPr>
              <w:jc w:val="center"/>
              <w:spacing w:after="0" w:line="190" w:lineRule="exact"/>
              <w:rPr>
                <w:sz w:val="20"/>
                <w:szCs w:val="20"/>
                <w:color w:val="auto"/>
              </w:rPr>
            </w:pPr>
            <w:r>
              <w:rPr>
                <w:rFonts w:ascii="Arial" w:cs="Arial" w:eastAsia="Arial" w:hAnsi="Arial"/>
                <w:sz w:val="18"/>
                <w:szCs w:val="18"/>
                <w:color w:val="auto"/>
                <w:w w:val="89"/>
              </w:rPr>
              <w:t>95</w:t>
            </w:r>
          </w:p>
        </w:tc>
        <w:tc>
          <w:tcPr>
            <w:tcW w:w="640" w:type="dxa"/>
            <w:vAlign w:val="bottom"/>
          </w:tcPr>
          <w:p>
            <w:pPr>
              <w:jc w:val="right"/>
              <w:spacing w:after="0" w:line="190" w:lineRule="exact"/>
              <w:rPr>
                <w:sz w:val="20"/>
                <w:szCs w:val="20"/>
                <w:color w:val="auto"/>
              </w:rPr>
            </w:pPr>
            <w:r>
              <w:rPr>
                <w:rFonts w:ascii="Arial" w:cs="Arial" w:eastAsia="Arial" w:hAnsi="Arial"/>
                <w:sz w:val="18"/>
                <w:szCs w:val="18"/>
                <w:color w:val="auto"/>
                <w:w w:val="94"/>
              </w:rPr>
              <w:t>2.837%</w:t>
            </w:r>
          </w:p>
        </w:tc>
        <w:tc>
          <w:tcPr>
            <w:tcW w:w="980" w:type="dxa"/>
            <w:vAlign w:val="bottom"/>
          </w:tcPr>
          <w:p>
            <w:pPr>
              <w:jc w:val="center"/>
              <w:spacing w:after="0" w:line="190" w:lineRule="exact"/>
              <w:rPr>
                <w:sz w:val="20"/>
                <w:szCs w:val="20"/>
                <w:color w:val="auto"/>
              </w:rPr>
            </w:pPr>
            <w:r>
              <w:rPr>
                <w:rFonts w:ascii="Arial" w:cs="Arial" w:eastAsia="Arial" w:hAnsi="Arial"/>
                <w:sz w:val="18"/>
                <w:szCs w:val="18"/>
                <w:color w:val="auto"/>
                <w:w w:val="92"/>
              </w:rPr>
              <w:t>0%</w:t>
            </w:r>
          </w:p>
        </w:tc>
        <w:tc>
          <w:tcPr>
            <w:tcW w:w="1340" w:type="dxa"/>
            <w:vAlign w:val="bottom"/>
          </w:tcPr>
          <w:p>
            <w:pPr>
              <w:jc w:val="center"/>
              <w:spacing w:after="0" w:line="190" w:lineRule="exact"/>
              <w:rPr>
                <w:sz w:val="20"/>
                <w:szCs w:val="20"/>
                <w:color w:val="auto"/>
              </w:rPr>
            </w:pPr>
            <w:r>
              <w:rPr>
                <w:rFonts w:ascii="Arial" w:cs="Arial" w:eastAsia="Arial" w:hAnsi="Arial"/>
                <w:sz w:val="18"/>
                <w:szCs w:val="18"/>
                <w:color w:val="auto"/>
                <w:w w:val="89"/>
              </w:rPr>
              <w:t>$1,247.27</w:t>
            </w:r>
          </w:p>
        </w:tc>
        <w:tc>
          <w:tcPr>
            <w:tcW w:w="820" w:type="dxa"/>
            <w:vAlign w:val="bottom"/>
          </w:tcPr>
          <w:p>
            <w:pPr>
              <w:jc w:val="center"/>
              <w:spacing w:after="0" w:line="190" w:lineRule="exact"/>
              <w:rPr>
                <w:sz w:val="20"/>
                <w:szCs w:val="20"/>
                <w:color w:val="auto"/>
              </w:rPr>
            </w:pPr>
            <w:r>
              <w:rPr>
                <w:rFonts w:ascii="Arial" w:cs="Arial" w:eastAsia="Arial" w:hAnsi="Arial"/>
                <w:sz w:val="18"/>
                <w:szCs w:val="18"/>
                <w:color w:val="auto"/>
                <w:w w:val="89"/>
              </w:rPr>
              <w:t>$1,247.27</w:t>
            </w:r>
          </w:p>
        </w:tc>
        <w:tc>
          <w:tcPr>
            <w:tcW w:w="580" w:type="dxa"/>
            <w:vAlign w:val="bottom"/>
          </w:tcPr>
          <w:p>
            <w:pPr>
              <w:ind w:left="80"/>
              <w:spacing w:after="0" w:line="190"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3"/>
        </w:trPr>
        <w:tc>
          <w:tcPr>
            <w:tcW w:w="860" w:type="dxa"/>
            <w:vAlign w:val="bottom"/>
            <w:vMerge w:val="restart"/>
          </w:tcPr>
          <w:p>
            <w:pPr>
              <w:ind w:left="40"/>
              <w:spacing w:after="0"/>
              <w:rPr>
                <w:sz w:val="20"/>
                <w:szCs w:val="20"/>
                <w:color w:val="auto"/>
              </w:rPr>
            </w:pPr>
            <w:r>
              <w:rPr>
                <w:rFonts w:ascii="Arial" w:cs="Arial" w:eastAsia="Arial" w:hAnsi="Arial"/>
                <w:sz w:val="18"/>
                <w:szCs w:val="18"/>
                <w:color w:val="auto"/>
              </w:rPr>
              <w:t>2052*</w:t>
            </w:r>
          </w:p>
        </w:tc>
        <w:tc>
          <w:tcPr>
            <w:tcW w:w="1040" w:type="dxa"/>
            <w:vAlign w:val="bottom"/>
          </w:tcPr>
          <w:p>
            <w:pPr>
              <w:ind w:left="80"/>
              <w:spacing w:after="0" w:line="202" w:lineRule="exact"/>
              <w:rPr>
                <w:sz w:val="20"/>
                <w:szCs w:val="20"/>
                <w:color w:val="auto"/>
              </w:rPr>
            </w:pPr>
            <w:r>
              <w:rPr>
                <w:rFonts w:ascii="Arial" w:cs="Arial" w:eastAsia="Arial" w:hAnsi="Arial"/>
                <w:sz w:val="18"/>
                <w:szCs w:val="18"/>
                <w:color w:val="auto"/>
                <w:w w:val="99"/>
              </w:rPr>
              <w:t>Corporation</w:t>
            </w:r>
          </w:p>
        </w:tc>
        <w:tc>
          <w:tcPr>
            <w:tcW w:w="1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40" w:type="dxa"/>
            <w:vAlign w:val="bottom"/>
            <w:vMerge w:val="restart"/>
          </w:tcPr>
          <w:p>
            <w:pPr>
              <w:jc w:val="center"/>
              <w:spacing w:after="0"/>
              <w:rPr>
                <w:sz w:val="20"/>
                <w:szCs w:val="20"/>
                <w:color w:val="auto"/>
              </w:rPr>
            </w:pPr>
            <w:r>
              <w:rPr>
                <w:rFonts w:ascii="Arial" w:cs="Arial" w:eastAsia="Arial" w:hAnsi="Arial"/>
                <w:sz w:val="18"/>
                <w:szCs w:val="18"/>
                <w:color w:val="auto"/>
                <w:w w:val="89"/>
              </w:rPr>
              <w:t>2051</w:t>
            </w: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6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2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bid-side yield on the Reference UST Security.</w:t>
      </w:r>
    </w:p>
    <w:p>
      <w:pPr>
        <w:spacing w:after="0" w:line="23" w:lineRule="exact"/>
        <w:rPr>
          <w:rFonts w:ascii="Arial" w:cs="Arial" w:eastAsia="Arial" w:hAnsi="Arial"/>
          <w:sz w:val="18"/>
          <w:szCs w:val="18"/>
          <w:color w:val="auto"/>
        </w:rPr>
      </w:pPr>
    </w:p>
    <w:p>
      <w:pPr>
        <w:ind w:left="980" w:right="120" w:hanging="648"/>
        <w:spacing w:after="0" w:line="250"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Reflects the bid-side yield on the Reference UST Security plus the applicable Fixed Spread, calculated in accordance with the procedures set forth in the Offering Memorandum.</w:t>
      </w:r>
    </w:p>
    <w:p>
      <w:pPr>
        <w:ind w:left="980" w:right="40" w:hanging="648"/>
        <w:spacing w:after="0" w:line="250"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cash payment percent of premium is the percentage of the amount by which the total consideration exceeds $1,000 in principal amount of such Pool 3 Notes to be paid in cash.</w:t>
      </w:r>
    </w:p>
    <w:p>
      <w:pPr>
        <w:ind w:left="980" w:right="460" w:hanging="648"/>
        <w:spacing w:after="0" w:line="250"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total consideration for each series of Pool 3 Notes includes the early participation payment of $50 of principal amount of New 2063 Notes per $1,000 principal amount of Pool 3 Notes and assumes a settlement date of August 19, 2021.</w:t>
      </w:r>
    </w:p>
    <w:p>
      <w:pPr>
        <w:ind w:left="980" w:right="80" w:hanging="648"/>
        <w:spacing w:after="0" w:line="260"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4.049% Notes due 2052 also includes notes with a restrictive legend (144A CUSIP number: 20030N CF6; Regulation S CUSIP: U20030 AH2).</w:t>
      </w:r>
    </w:p>
    <w:p>
      <w:pPr>
        <w:spacing w:after="0" w:line="185" w:lineRule="exact"/>
        <w:rPr>
          <w:sz w:val="20"/>
          <w:szCs w:val="20"/>
          <w:color w:val="auto"/>
        </w:rPr>
      </w:pPr>
    </w:p>
    <w:p>
      <w:pPr>
        <w:ind w:left="500" w:right="160" w:hanging="168"/>
        <w:spacing w:after="0" w:line="277" w:lineRule="auto"/>
        <w:tabs>
          <w:tab w:leader="none" w:pos="473"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Denotes a series of Old Notes for which the total consideration and exchange consideration will be determined taking into account the par call date, instead of the maturity date, in accordance with standard market practice.</w:t>
      </w:r>
    </w:p>
    <w:p>
      <w:pPr>
        <w:spacing w:after="0" w:line="17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addition, holders whose Old Notes are accepted for exchange will receive in cash accrued and unpaid interest from the last applicable interest payment date to, but excluding, the date on which the exchange of such Old Notes is settled, less the amount of any pre-issuance interest on the New Notes exchanged therefor, and amounts due in lieu of fractional amounts of New Notes.</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Based on the amount of Old Notes validly tendered and not validly withdrawn prior to 5:00 p.m. New York City time on August 13, 2021 and in accordance with the terms of the Exchange Offers, Comcast and NBCUniversal, as applicable, expect to accept, on the early settlement date (expected to be August 19, 2021), (i) all of the Pool 1 Notes at Acceptance Priority Levels 1 through 7, (ii) all of the Pool 2 Notes at Acceptance Priority Levels 1 through 5 and (iii) all of the Pool 3 Notes at Acceptance Priority Levels 1 through 2. Comcast expects to accept the 6.500% Notes due 2035 (Acceptance Priority Level 8) in Pool 1 Notes subject to a proration factor of approximately 80%. NBCUniversal expects to accept the 4.450% Notes due 2043 (Acceptance Priority Level 6) in Pool 2 Notes subject to a proration factor of approximately 39%. Comcast expects to accept the 4.049% Notes due 2052 (Acceptance Priority Level 3) in Pool 3 Notes subject to a proration factor of approximately 48%. Comcast does not expect to accept any Old Notes tendered for exchange in Acceptance Priority Levels 9 and 10 in Pool 1 Notes.</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exchange offers described in this press release (the “Exchange Offers”) are being conducted upon the terms and subject to the conditions set forth in the Offering Memorandum, as amended by Comcast’s press release, dated as of August 16, 2021.</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Only Eligible Holders (as defined below) of Old Notes who validly tendered their Old Notes at or before 5:00 p.m. New York City time on August 13, 2021 (the “Early Participation Date”), and who did not validly withdraw their tenders and whose Old Notes are accepted for exchange, will receive an early participation payment. As of the Early Participation Date the Exchange Offers were oversubscribed and as such no additional Old Notes tendered after the Early Participation Date will be accepted.</w:t>
      </w:r>
    </w:p>
    <w:p>
      <w:pPr>
        <w:spacing w:after="0" w:line="187"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yield on the New 2051 Notes will be 2.887%, and the New Issue Price of the New 2051 Notes will be $1,000, which has been determined by reference to the bid-side yield on the 2.375% U.S. Treasury Notes due May 15, 2051, as of 10:00 a.m. New York City time on August 16, 2021 (such date and time, the “Pricing Time”), which was 1.887%, plus 1.00%. The yield on the New 2056 Notes will be 2.937%, and the New Issue Price of the New 2056</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0" w:name="page11"/>
    <w:bookmarkEnd w:id="10"/>
    <w:p>
      <w:pPr>
        <w:ind w:right="40"/>
        <w:spacing w:after="0" w:line="259" w:lineRule="auto"/>
        <w:rPr>
          <w:sz w:val="20"/>
          <w:szCs w:val="20"/>
          <w:color w:val="auto"/>
        </w:rPr>
      </w:pPr>
      <w:r>
        <w:rPr>
          <w:rFonts w:ascii="Arial" w:cs="Arial" w:eastAsia="Arial" w:hAnsi="Arial"/>
          <w:sz w:val="18"/>
          <w:szCs w:val="18"/>
          <w:color w:val="auto"/>
        </w:rPr>
        <w:t>Notes will be $1,000, which has been determined by reference to the bid-side yield on the 2.375% U.S. Treasury Notes due May 15, 2051, as of the Pricing Time, which was 1.887%, plus 1.05%. The yield on the New 2063 Notes will be 2.987%, and the New Issue Price of the New 2063 Notes will be $1,000, which has been determined by reference to the bid-side yield on the 2.375% U.S. Treasury Notes due May 15, 2051, as of the Pricing Time, which was 1.887%, plus 1.10%.</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Exchange Offers will expire at 11:59 p.m., New York City time, on August 27, 2021, unless extended or earlier terminated by Comcast (the “Expiration Date”). The withdrawal deadline for the Exchange Offers occurred at 5:00 p.m. New York City time on August 13, 2021. As a result, tendered Old Notes may no longer be withdrawn, except in certain limited circumstances where additional withdrawal rights are required by law (as determined by Comcast).</w:t>
      </w:r>
    </w:p>
    <w:p>
      <w:pPr>
        <w:spacing w:after="0" w:line="18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The Exchange Offers are only being made, and the New Notes are only being offered and will only be issued, and copies of the offering documents will only be made available, to holders of Old Notes (1) either (a) in the United States, that are “qualified institutional buyers” (or “QIBs”), as that term is defined in Rule 144A under the Securities Act of 1933, as amended (the “Securities Act”), in a private transaction in reliance upon an exemption from the registration requirements of the Securities Act or (b) outside the United States, that are persons other than “U.S. persons,” as that term is defined in Rule 902 under the Securities Act, in offshore transactions in reliance upon Regulation S under the Securities Act, or a dealer or other professional fiduciary organized, incorporated or (if an individual) residing in the United States holding a discretionary account or similar account (other than an estate or a trust) for the benefit or account of a non-“U.S. person,” and (2) (a) if located or resident in any Member State of the European Economic Area, who are persons other than “retail investors” (for these purposes, a retail investor means a person who is one (or more) of: (i) a retail client as defined in point (11) of Article 4(1) of Directive 2014/65/EU (as amended, “MiFID II”); or (ii) a customer within the meaning of Directive (EU) 2016/97, where that customer would not qualify as a professional client as defined in point (10) of Article 4(1) of MiFID II; or (iii) not a “qualified investor” as defined in Regulation (EU) 2017/1129), and consequently no key information document required by Regulation (EU) No 1286/2014 (as amended, the “PRIIPs Regulation”) for offering or selling the New Notes or otherwise making them available to retail investors in the European Economic Area has been prepared and therefore offering or selling the New Notes or otherwise making them available to any retail investor in the European Economic Area may be unlawful under the PRIIPs Regulation; (b) if located or resident in the United Kingdom, who are persons other than “retail investors” (for these purposes, a retail investor means a person who is one (or more) of: (i) a retail client, as defined in point (8) of Article 2 of Regulation (EU) No 2017/565 as it forms part of domestic law by virtue of the European Union (Withdrawal) Act 2018 (“EUWA”); or (ii) a customer within the meaning of the provisions of the Financial Services and Markets Act 2000 (the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and consequently no key information document required by Regulation (EU) No 1286/2014 as it forms part of domestic law by virtue of the EUWA (the “UK PRIIPs Regulation”) for offering or selling the New Notes or otherwise making them available to retail investors in the United Kingdom has been prepared and therefore offering or selling the New Notes or otherwise making them available to any retail investor in the United Kingdom may be unlawful under the UK PRIIPs Regulation; or (c) if located or resident in a province of Canada and is an “accredited investor” as such term is defined in National Instrument 45-106 –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and, if resident in Ontario, 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in each case, that is not an individual unless that person is also a “permitted client” as defined in National Instrument 31-103 – </w:t>
      </w:r>
      <w:r>
        <w:rPr>
          <w:rFonts w:ascii="Arial" w:cs="Arial" w:eastAsia="Arial" w:hAnsi="Arial"/>
          <w:sz w:val="16"/>
          <w:szCs w:val="16"/>
          <w:i w:val="1"/>
          <w:iCs w:val="1"/>
          <w:color w:val="auto"/>
        </w:rPr>
        <w:t>Registration Requirements, Exemptions and Ongoing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Registrant Obligations </w:t>
      </w:r>
      <w:r>
        <w:rPr>
          <w:rFonts w:ascii="Arial" w:cs="Arial" w:eastAsia="Arial" w:hAnsi="Arial"/>
          <w:sz w:val="16"/>
          <w:szCs w:val="16"/>
          <w:color w:val="auto"/>
        </w:rPr>
        <w:t>(“Eligible Holders”).</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Only Eligible Holders who have completed and returned the eligibility certification are authorized to</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receive or review the Offering Memorandum or to participate in the Exchange Offers. For Canadian Eligible Holders tendering Old Notes, such participation is also conditioned upon the receipt of beneficial ownership information, including a completed certification form which is required if tendering Old Notes. There is no separate letter of transmittal in connection with the Offering Memorandum.</w:t>
      </w:r>
    </w:p>
    <w:p>
      <w:pPr>
        <w:spacing w:after="0" w:line="18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New Notes have not been registered under the Securities Act or any state securities laws. Therefore, the New Notes may not be offered or sold in the United States absent registration or an applicable exemption from the registration requirements of the Securities Act and any applicable state securities laws.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 w:name="page12"/>
    <w:bookmarkEnd w:id="11"/>
    <w:p>
      <w:pPr>
        <w:ind w:right="160"/>
        <w:spacing w:after="0" w:line="256" w:lineRule="auto"/>
        <w:rPr>
          <w:sz w:val="20"/>
          <w:szCs w:val="20"/>
          <w:color w:val="auto"/>
        </w:rPr>
      </w:pPr>
      <w:r>
        <w:rPr>
          <w:rFonts w:ascii="Arial" w:cs="Arial" w:eastAsia="Arial" w:hAnsi="Arial"/>
          <w:sz w:val="18"/>
          <w:szCs w:val="18"/>
          <w:b w:val="1"/>
          <w:bCs w:val="1"/>
          <w:color w:val="auto"/>
        </w:rPr>
        <w:t>Holders are advised to check with any bank, securities broker or other intermediary through which they hold Old Notes as to when such intermediary needs to receive instructions from a holder in order for that holder to be able to participate in, or (in the circumstances in which revocation is permitted) revoke their instruction to participate in the Exchange Offers before the deadlines specified herein and in the Offering Memorandum, eligibility certification and Canadian beneficial holder form. The deadlines set by each clearing system for the submission and withdrawal of exchange instructions will also be earlier than the relevant deadlines specified herein and in the Offering Memorandum, eligibility certification and Canadian beneficial holder form.</w:t>
      </w:r>
    </w:p>
    <w:p>
      <w:pPr>
        <w:spacing w:after="0" w:line="19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This press release is not an offer to sell or a solicitation of an offer to buy any of the securities described herein. The Exchange Offers are being made solely by the Offering Memorandum, eligibility certification and Canadian beneficial holder form and only to such persons and in such jurisdictions as is permitted under applicable law.</w:t>
      </w:r>
    </w:p>
    <w:p>
      <w:pPr>
        <w:spacing w:after="0" w:line="184" w:lineRule="exact"/>
        <w:rPr>
          <w:sz w:val="20"/>
          <w:szCs w:val="20"/>
          <w:color w:val="auto"/>
        </w:rPr>
      </w:pPr>
    </w:p>
    <w:p>
      <w:pPr>
        <w:jc w:val="both"/>
        <w:ind w:right="100"/>
        <w:spacing w:after="0" w:line="287" w:lineRule="auto"/>
        <w:rPr>
          <w:sz w:val="20"/>
          <w:szCs w:val="20"/>
          <w:color w:val="auto"/>
        </w:rPr>
      </w:pPr>
      <w:r>
        <w:rPr>
          <w:rFonts w:ascii="Arial" w:cs="Arial" w:eastAsia="Arial" w:hAnsi="Arial"/>
          <w:sz w:val="16"/>
          <w:szCs w:val="16"/>
          <w:color w:val="auto"/>
        </w:rPr>
        <w:t>D.F. King &amp; Co., Inc. is acting as the exchange agent and information agent for the Exchange Offers. Documents relating to the Exchange Offers will only be distributed to holders of Old Notes who certify that they are Eligible Holders. Questions or requests for assistance related to the Exchange Offers or for additional copies of the Offering Memorandum, eligibility certification or Canadian beneficial holder form may be directed to D.F. King &amp; Co., Inc. at</w:t>
      </w:r>
    </w:p>
    <w:p>
      <w:pPr>
        <w:spacing w:after="0" w:line="2" w:lineRule="exact"/>
        <w:rPr>
          <w:sz w:val="20"/>
          <w:szCs w:val="20"/>
          <w:color w:val="auto"/>
        </w:rPr>
      </w:pPr>
    </w:p>
    <w:p>
      <w:pPr>
        <w:ind w:right="120" w:firstLine="8"/>
        <w:spacing w:after="0" w:line="255" w:lineRule="auto"/>
        <w:tabs>
          <w:tab w:leader="none" w:pos="4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848-3410 (toll-free) or (212) 269-5550 (banks and brokers) or by email at comcast@dfking.com. You may also contact your broker, dealer, commercial bank, trust company or other nominee for assistance concerning the Exchange Offers. The Offering Memorandum, eligibility certification and Canadian beneficial holder form can be accessed at the following link: www.dfking.com/comcast.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CAUTIONARY LANGUAGE CONCERNING FORWARD-LOOKING STATEMENTS</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white"/>
        </w:rPr>
        <w:t>About Comcast Corporation</w:t>
      </w:r>
    </w:p>
    <w:p>
      <w:pPr>
        <w:spacing w:after="0" w:line="2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highlight w:val="white"/>
        </w:rPr>
        <w:t>Comcast Corporation (Nasdaq: CMCSA) is a global media and technology company that connects people to moments that matter. We are principally focused on broadband, aggregation, and streaming with 57 million customer relationships across the United States and Europe. We deliver broadband, wireless, and video through our Xfinity, Comcast Business, and Sky brands; create, distribute, and stream leading entertainment, sports, and news through Universal Filmed Entertainment Group, Universal Studio Group, Sky Studios, the NBC and Telemundo broadcast networks, multiple cable networks, Peacock, NBCUniversal News Group, NBC Sports, Sky News, and Sky Sports; and provide memorable experiences at Universal Parks and Resorts in the United States and Asia.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60" w:type="dxa"/>
            <w:vAlign w:val="bottom"/>
          </w:tcPr>
          <w:p>
            <w:pPr>
              <w:spacing w:after="0"/>
              <w:rPr>
                <w:sz w:val="20"/>
                <w:szCs w:val="20"/>
                <w:color w:val="auto"/>
              </w:rPr>
            </w:pPr>
            <w:r>
              <w:rPr>
                <w:rFonts w:ascii="Arial" w:cs="Arial" w:eastAsia="Arial" w:hAnsi="Arial"/>
                <w:sz w:val="18"/>
                <w:szCs w:val="18"/>
                <w:b w:val="1"/>
                <w:bCs w:val="1"/>
                <w:color w:val="auto"/>
              </w:rPr>
              <w:t>Investor Contacts:</w:t>
            </w:r>
          </w:p>
        </w:tc>
        <w:tc>
          <w:tcPr>
            <w:tcW w:w="1440" w:type="dxa"/>
            <w:vAlign w:val="bottom"/>
          </w:tcPr>
          <w:p>
            <w:pPr>
              <w:spacing w:after="0"/>
              <w:rPr>
                <w:sz w:val="19"/>
                <w:szCs w:val="19"/>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Marci Ryvicker</w:t>
            </w:r>
          </w:p>
        </w:tc>
        <w:tc>
          <w:tcPr>
            <w:tcW w:w="1440" w:type="dxa"/>
            <w:vAlign w:val="bottom"/>
          </w:tcPr>
          <w:p>
            <w:pPr>
              <w:jc w:val="right"/>
              <w:spacing w:after="0"/>
              <w:rPr>
                <w:sz w:val="20"/>
                <w:szCs w:val="20"/>
                <w:color w:val="auto"/>
              </w:rPr>
            </w:pPr>
            <w:r>
              <w:rPr>
                <w:rFonts w:ascii="Arial" w:cs="Arial" w:eastAsia="Arial" w:hAnsi="Arial"/>
                <w:sz w:val="18"/>
                <w:szCs w:val="18"/>
                <w:color w:val="auto"/>
              </w:rPr>
              <w:t>(215) 286-4781</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Jane Kearns</w:t>
            </w:r>
          </w:p>
        </w:tc>
        <w:tc>
          <w:tcPr>
            <w:tcW w:w="1440" w:type="dxa"/>
            <w:vAlign w:val="bottom"/>
          </w:tcPr>
          <w:p>
            <w:pPr>
              <w:jc w:val="right"/>
              <w:spacing w:after="0"/>
              <w:rPr>
                <w:sz w:val="20"/>
                <w:szCs w:val="20"/>
                <w:color w:val="auto"/>
              </w:rPr>
            </w:pPr>
            <w:r>
              <w:rPr>
                <w:rFonts w:ascii="Arial" w:cs="Arial" w:eastAsia="Arial" w:hAnsi="Arial"/>
                <w:sz w:val="18"/>
                <w:szCs w:val="18"/>
                <w:color w:val="auto"/>
              </w:rPr>
              <w:t>(215) 286-4794</w:t>
            </w: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Marc Kaplan</w:t>
            </w:r>
          </w:p>
        </w:tc>
        <w:tc>
          <w:tcPr>
            <w:tcW w:w="1440" w:type="dxa"/>
            <w:vAlign w:val="bottom"/>
          </w:tcPr>
          <w:p>
            <w:pPr>
              <w:jc w:val="right"/>
              <w:spacing w:after="0"/>
              <w:rPr>
                <w:sz w:val="20"/>
                <w:szCs w:val="20"/>
                <w:color w:val="auto"/>
              </w:rPr>
            </w:pPr>
            <w:r>
              <w:rPr>
                <w:rFonts w:ascii="Arial" w:cs="Arial" w:eastAsia="Arial" w:hAnsi="Arial"/>
                <w:sz w:val="18"/>
                <w:szCs w:val="18"/>
                <w:color w:val="auto"/>
              </w:rPr>
              <w:t>(215) 286-6527</w:t>
            </w:r>
          </w:p>
        </w:tc>
      </w:tr>
      <w:tr>
        <w:trPr>
          <w:trHeight w:val="634"/>
        </w:trPr>
        <w:tc>
          <w:tcPr>
            <w:tcW w:w="1760" w:type="dxa"/>
            <w:vAlign w:val="bottom"/>
          </w:tcPr>
          <w:p>
            <w:pPr>
              <w:spacing w:after="0"/>
              <w:rPr>
                <w:sz w:val="20"/>
                <w:szCs w:val="20"/>
                <w:color w:val="auto"/>
              </w:rPr>
            </w:pPr>
            <w:r>
              <w:rPr>
                <w:rFonts w:ascii="Arial" w:cs="Arial" w:eastAsia="Arial" w:hAnsi="Arial"/>
                <w:sz w:val="18"/>
                <w:szCs w:val="18"/>
                <w:b w:val="1"/>
                <w:bCs w:val="1"/>
                <w:color w:val="auto"/>
              </w:rPr>
              <w:t>Press Contacts:</w:t>
            </w:r>
          </w:p>
        </w:tc>
        <w:tc>
          <w:tcPr>
            <w:tcW w:w="1440" w:type="dxa"/>
            <w:vAlign w:val="bottom"/>
          </w:tcPr>
          <w:p>
            <w:pPr>
              <w:spacing w:after="0"/>
              <w:rPr>
                <w:sz w:val="24"/>
                <w:szCs w:val="24"/>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Jennifer Khoury</w:t>
            </w:r>
          </w:p>
        </w:tc>
        <w:tc>
          <w:tcPr>
            <w:tcW w:w="1440" w:type="dxa"/>
            <w:vAlign w:val="bottom"/>
          </w:tcPr>
          <w:p>
            <w:pPr>
              <w:jc w:val="right"/>
              <w:spacing w:after="0"/>
              <w:rPr>
                <w:sz w:val="20"/>
                <w:szCs w:val="20"/>
                <w:color w:val="auto"/>
              </w:rPr>
            </w:pPr>
            <w:r>
              <w:rPr>
                <w:rFonts w:ascii="Arial" w:cs="Arial" w:eastAsia="Arial" w:hAnsi="Arial"/>
                <w:sz w:val="18"/>
                <w:szCs w:val="18"/>
                <w:color w:val="auto"/>
              </w:rPr>
              <w:t>(215) 286-7408</w:t>
            </w: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John Demming</w:t>
            </w:r>
          </w:p>
        </w:tc>
        <w:tc>
          <w:tcPr>
            <w:tcW w:w="1440" w:type="dxa"/>
            <w:vAlign w:val="bottom"/>
          </w:tcPr>
          <w:p>
            <w:pPr>
              <w:jc w:val="right"/>
              <w:spacing w:after="0"/>
              <w:rPr>
                <w:sz w:val="20"/>
                <w:szCs w:val="20"/>
                <w:color w:val="auto"/>
              </w:rPr>
            </w:pPr>
            <w:r>
              <w:rPr>
                <w:rFonts w:ascii="Arial" w:cs="Arial" w:eastAsia="Arial" w:hAnsi="Arial"/>
                <w:sz w:val="18"/>
                <w:szCs w:val="18"/>
                <w:color w:val="auto"/>
              </w:rPr>
              <w:t>(215) 286-8011</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3"/>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decimal"/>
      <w:start w:val="80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2021-08-17T05:17:01Z</dcterms:created>
  <dcterms:modified xsi:type="dcterms:W3CDTF">2021-08-17T05:17:01Z</dcterms:modified>
</cp:coreProperties>
</file>