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322820" cy="540258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2820" cy="54025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9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900"/>
          </w:cols>
          <w:pgMar w:left="240" w:top="226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2"/>
          <w:szCs w:val="22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SALVA LAWRENCE J</w:t>
        </w:r>
      </w:hyperlink>
    </w:p>
    <w:p>
      <w:pPr>
        <w:spacing w:after="0" w:line="317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4"/>
          <w:szCs w:val="14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61" w:lineRule="exact"/>
        <w:rPr>
          <w:sz w:val="24"/>
          <w:szCs w:val="24"/>
          <w:color w:val="auto"/>
        </w:rPr>
      </w:pPr>
    </w:p>
    <w:p>
      <w:pPr>
        <w:ind w:left="120" w:right="1100"/>
        <w:spacing w:after="0" w:line="3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COMCAST CORPORATION 1500 MARKET STREET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2. Issuer Name </w:t>
      </w: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Ticker or Trading Symbol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2"/>
          <w:szCs w:val="22"/>
          <w:color w:val="0000EE"/>
        </w:rPr>
      </w:pPr>
      <w:hyperlink r:id="rId13">
        <w:r>
          <w:rPr>
            <w:rFonts w:ascii="Arial" w:cs="Arial" w:eastAsia="Arial" w:hAnsi="Arial"/>
            <w:sz w:val="22"/>
            <w:szCs w:val="22"/>
            <w:u w:val="single" w:color="auto"/>
            <w:color w:val="0000EE"/>
          </w:rPr>
          <w:t>COMCAST CORP</w:t>
        </w:r>
        <w:r>
          <w:rPr>
            <w:rFonts w:ascii="Arial" w:cs="Arial" w:eastAsia="Arial" w:hAnsi="Arial"/>
            <w:sz w:val="22"/>
            <w:szCs w:val="22"/>
            <w:color w:val="0000EE"/>
          </w:rPr>
          <w:t xml:space="preserve"> </w:t>
        </w:r>
      </w:hyperlink>
      <w:r>
        <w:rPr>
          <w:rFonts w:ascii="Arial" w:cs="Arial" w:eastAsia="Arial" w:hAnsi="Arial"/>
          <w:sz w:val="22"/>
          <w:szCs w:val="22"/>
          <w:color w:val="000000"/>
        </w:rPr>
        <w:t>[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17"/>
          <w:szCs w:val="17"/>
          <w:color w:val="0000FF"/>
        </w:rPr>
        <w:t>CMCSA</w:t>
      </w:r>
      <w:r>
        <w:rPr>
          <w:rFonts w:ascii="Arial" w:cs="Arial" w:eastAsia="Arial" w:hAnsi="Arial"/>
          <w:sz w:val="22"/>
          <w:szCs w:val="22"/>
          <w:color w:val="0000EE"/>
        </w:rPr>
        <w:t xml:space="preserve"> </w:t>
      </w:r>
      <w:r>
        <w:rPr>
          <w:rFonts w:ascii="Arial" w:cs="Arial" w:eastAsia="Arial" w:hAnsi="Arial"/>
          <w:sz w:val="22"/>
          <w:szCs w:val="22"/>
          <w:color w:val="000000"/>
        </w:rPr>
        <w:t>]</w:t>
      </w:r>
    </w:p>
    <w:p>
      <w:pPr>
        <w:spacing w:after="0" w:line="37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03/14/2006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3" w:right="620" w:hanging="3"/>
        <w:spacing w:after="0" w:line="231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4"/>
          <w:szCs w:val="14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Relationship of Reporting Person(s) to Issuer (Check all applicable)</w:t>
      </w:r>
    </w:p>
    <w:p>
      <w:pPr>
        <w:spacing w:after="0" w:line="28" w:lineRule="exact"/>
        <w:rPr>
          <w:sz w:val="24"/>
          <w:szCs w:val="24"/>
          <w:color w:val="auto"/>
        </w:rPr>
      </w:pPr>
    </w:p>
    <w:tbl>
      <w:tblPr>
        <w:tblLayout w:type="fixed"/>
        <w:tblInd w:w="203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18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6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1003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SVP &amp; Controller</w:t>
      </w:r>
    </w:p>
    <w:p>
      <w:pPr>
        <w:spacing w:after="0" w:line="44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257" w:space="720"/>
            <w:col w:w="3463"/>
          </w:cols>
          <w:pgMar w:left="240" w:top="226" w:right="13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jc w:val="right"/>
              <w:ind w:right="148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4. If Amendment, Date of Original Filed (Month/Day/Year)</w:t>
            </w:r>
          </w:p>
        </w:tc>
        <w:tc>
          <w:tcPr>
            <w:tcW w:w="3800" w:type="dxa"/>
            <w:vAlign w:val="bottom"/>
            <w:gridSpan w:val="11"/>
          </w:tcPr>
          <w:p>
            <w:pPr>
              <w:ind w:left="340"/>
              <w:spacing w:after="0" w:line="10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  <w:gridSpan w:val="4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PHILADELPHIA PA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19102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6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4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1900" w:type="dxa"/>
            <w:vAlign w:val="bottom"/>
            <w:gridSpan w:val="2"/>
            <w:vMerge w:val="restart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800" w:type="dxa"/>
            <w:vAlign w:val="bottom"/>
            <w:gridSpan w:val="5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9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3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00" w:type="dxa"/>
            <w:vAlign w:val="bottom"/>
            <w:gridSpan w:val="2"/>
            <w:vMerge w:val="restart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2,925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5,280.3644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Class A Common Stock</w:t>
            </w:r>
            <w:r>
              <w:rPr>
                <w:rFonts w:ascii="Arial" w:cs="Arial" w:eastAsia="Arial" w:hAnsi="Arial"/>
                <w:sz w:val="22"/>
                <w:szCs w:val="22"/>
                <w:color w:val="008000"/>
                <w:vertAlign w:val="superscript"/>
              </w:rPr>
              <w:t>(2)</w:t>
            </w: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jc w:val="center"/>
              <w:ind w:left="63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03/14/2006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F</w:t>
            </w: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88"/>
              </w:rPr>
              <w:t>2,925</w:t>
            </w: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jc w:val="right"/>
              <w:ind w:right="2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  <w:w w:val="99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0</w:t>
            </w: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2,355.3644</w:t>
            </w: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50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10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9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80" w:type="dxa"/>
            <w:vAlign w:val="bottom"/>
            <w:gridSpan w:val="12"/>
          </w:tcPr>
          <w:p>
            <w:pPr>
              <w:jc w:val="right"/>
              <w:ind w:right="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4.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Transaction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Code (Instr.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20" w:type="dxa"/>
            <w:vAlign w:val="bottom"/>
            <w:gridSpan w:val="3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ind w:left="1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jc w:val="center"/>
              <w:ind w:right="458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3"/>
              </w:rPr>
              <w:t>8)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60" w:type="dxa"/>
            <w:vAlign w:val="bottom"/>
            <w:gridSpan w:val="4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9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(D)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Exercisable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Restricted</w:t>
            </w:r>
          </w:p>
        </w:tc>
        <w:tc>
          <w:tcPr>
            <w:tcW w:w="820" w:type="dxa"/>
            <w:vAlign w:val="bottom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jc w:val="right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0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6"/>
              </w:rPr>
              <w:t>Class A</w:t>
            </w: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2,925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8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03/14/2006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M</w:t>
            </w:r>
          </w:p>
        </w:tc>
        <w:tc>
          <w:tcPr>
            <w:tcW w:w="920" w:type="dxa"/>
            <w:vAlign w:val="bottom"/>
          </w:tcPr>
          <w:p>
            <w:pPr>
              <w:ind w:left="48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2,925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Common</w:t>
            </w: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2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  <w:w w:val="88"/>
              </w:rPr>
              <w:t>16,575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4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Units</w:t>
            </w: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right"/>
              <w:ind w:right="16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Stock</w:t>
            </w: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47" w:lineRule="exact"/>
        <w:rPr>
          <w:sz w:val="24"/>
          <w:szCs w:val="24"/>
          <w:color w:val="auto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acquired on the vesting of restricted stock units.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Shares withheld for payment of tax liability.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Each restricted stock unit represents a contigent right to receive one share of Class A Common Stock.</w:t>
      </w:r>
    </w:p>
    <w:p>
      <w:pPr>
        <w:spacing w:after="0" w:line="41" w:lineRule="exact"/>
        <w:rPr>
          <w:rFonts w:ascii="Arial" w:cs="Arial" w:eastAsia="Arial" w:hAnsi="Arial"/>
          <w:sz w:val="14"/>
          <w:szCs w:val="14"/>
          <w:color w:val="008000"/>
        </w:rPr>
      </w:pPr>
    </w:p>
    <w:p>
      <w:pPr>
        <w:ind w:left="180" w:hanging="131"/>
        <w:spacing w:after="0"/>
        <w:tabs>
          <w:tab w:leader="none" w:pos="180" w:val="left"/>
        </w:tabs>
        <w:numPr>
          <w:ilvl w:val="0"/>
          <w:numId w:val="2"/>
        </w:numPr>
        <w:rPr>
          <w:rFonts w:ascii="Arial" w:cs="Arial" w:eastAsia="Arial" w:hAnsi="Arial"/>
          <w:sz w:val="14"/>
          <w:szCs w:val="14"/>
          <w:color w:val="008000"/>
        </w:rPr>
      </w:pPr>
      <w:r>
        <w:rPr>
          <w:rFonts w:ascii="Arial" w:cs="Arial" w:eastAsia="Arial" w:hAnsi="Arial"/>
          <w:sz w:val="14"/>
          <w:szCs w:val="14"/>
          <w:color w:val="008000"/>
        </w:rPr>
        <w:t>The restricted stock units vest in installments of 15%, 15%, 15%, 15% and 40% on the 1st, 2nd, 3rd, 4th and 5th anniversaries of the date of grant (March 14, 2005), respectively.</w:t>
      </w:r>
    </w:p>
    <w:p>
      <w:pPr>
        <w:spacing w:after="0" w:line="3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b w:val="1"/>
          <w:bCs w:val="1"/>
          <w:color w:val="auto"/>
        </w:rPr>
        <w:t>Remarks:</w:t>
      </w:r>
    </w:p>
    <w:p>
      <w:pPr>
        <w:ind w:left="6860"/>
        <w:spacing w:after="0" w:line="221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 xml:space="preserve">By: Arthur R. Block, Attorney- </w:t>
      </w:r>
      <w:r>
        <w:rPr>
          <w:rFonts w:ascii="Arial" w:cs="Arial" w:eastAsia="Arial" w:hAnsi="Arial"/>
          <w:sz w:val="35"/>
          <w:szCs w:val="35"/>
          <w:color w:val="0000FF"/>
          <w:vertAlign w:val="subscript"/>
        </w:rPr>
        <w:t>03/15/2006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-28575</wp:posOffset>
            </wp:positionV>
            <wp:extent cx="1399540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954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in-fact for Lawrence J. Salva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-22860</wp:posOffset>
            </wp:positionV>
            <wp:extent cx="1290955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5810885</wp:posOffset>
            </wp:positionH>
            <wp:positionV relativeFrom="paragraph">
              <wp:posOffset>-91440</wp:posOffset>
            </wp:positionV>
            <wp:extent cx="508000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80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6860"/>
        <w:spacing w:after="0"/>
        <w:tabs>
          <w:tab w:leader="none" w:pos="91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 w:firstLine="9"/>
        <w:spacing w:after="0" w:line="350" w:lineRule="auto"/>
        <w:tabs>
          <w:tab w:leader="none" w:pos="183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6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203696" TargetMode="External"/><Relationship Id="rId13" Type="http://schemas.openxmlformats.org/officeDocument/2006/relationships/hyperlink" Target="http://www.sec.gov/cgi-bin/browse-edgar?action=getcompany&amp;CIK=000116669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2019-12-18T09:59:00Z</dcterms:created>
  <dcterms:modified xsi:type="dcterms:W3CDTF">2019-12-18T09:59:00Z</dcterms:modified>
</cp:coreProperties>
</file>