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646430</wp:posOffset>
            </wp:positionV>
            <wp:extent cx="7115175"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43180"/>
                    </a:xfrm>
                    <a:prstGeom prst="rect">
                      <a:avLst/>
                    </a:prstGeom>
                    <a:noFill/>
                  </pic:spPr>
                </pic:pic>
              </a:graphicData>
            </a:graphic>
          </wp:anchor>
        </w:drawing>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2585085</wp:posOffset>
            </wp:positionH>
            <wp:positionV relativeFrom="paragraph">
              <wp:posOffset>112395</wp:posOffset>
            </wp:positionV>
            <wp:extent cx="19799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700" w:type="dxa"/>
        <w:tblCellMar>
          <w:top w:w="0" w:type="dxa"/>
          <w:left w:w="0" w:type="dxa"/>
          <w:bottom w:w="0" w:type="dxa"/>
          <w:right w:w="0" w:type="dxa"/>
        </w:tblCellMar>
      </w:tblPr>
      <w:tr>
        <w:trPr>
          <w:trHeight w:val="351"/>
        </w:trPr>
        <w:tc>
          <w:tcPr>
            <w:tcW w:w="2500" w:type="dxa"/>
            <w:vAlign w:val="bottom"/>
          </w:tcPr>
          <w:p>
            <w:pPr>
              <w:spacing w:after="0"/>
              <w:rPr>
                <w:sz w:val="24"/>
                <w:szCs w:val="24"/>
                <w:color w:val="auto"/>
              </w:rPr>
            </w:pPr>
          </w:p>
        </w:tc>
        <w:tc>
          <w:tcPr>
            <w:tcW w:w="7160" w:type="dxa"/>
            <w:vAlign w:val="bottom"/>
          </w:tcPr>
          <w:p>
            <w:pPr>
              <w:jc w:val="center"/>
              <w:ind w:right="2223"/>
              <w:spacing w:after="0"/>
              <w:rPr>
                <w:sz w:val="20"/>
                <w:szCs w:val="20"/>
                <w:color w:val="auto"/>
              </w:rPr>
            </w:pPr>
            <w:r>
              <w:rPr>
                <w:rFonts w:ascii="Arial" w:cs="Arial" w:eastAsia="Arial" w:hAnsi="Arial"/>
                <w:sz w:val="27"/>
                <w:szCs w:val="27"/>
                <w:b w:val="1"/>
                <w:bCs w:val="1"/>
                <w:color w:val="auto"/>
              </w:rPr>
              <w:t>FORM 8-K</w:t>
            </w:r>
          </w:p>
        </w:tc>
      </w:tr>
      <w:tr>
        <w:trPr>
          <w:trHeight w:val="405"/>
        </w:trPr>
        <w:tc>
          <w:tcPr>
            <w:tcW w:w="2500" w:type="dxa"/>
            <w:vAlign w:val="bottom"/>
          </w:tcPr>
          <w:p>
            <w:pPr>
              <w:spacing w:after="0"/>
              <w:rPr>
                <w:sz w:val="24"/>
                <w:szCs w:val="24"/>
                <w:color w:val="auto"/>
              </w:rPr>
            </w:pPr>
          </w:p>
        </w:tc>
        <w:tc>
          <w:tcPr>
            <w:tcW w:w="7160" w:type="dxa"/>
            <w:vAlign w:val="bottom"/>
          </w:tcPr>
          <w:p>
            <w:pPr>
              <w:jc w:val="center"/>
              <w:ind w:right="2223"/>
              <w:spacing w:after="0"/>
              <w:rPr>
                <w:sz w:val="20"/>
                <w:szCs w:val="20"/>
                <w:color w:val="auto"/>
              </w:rPr>
            </w:pPr>
            <w:r>
              <w:rPr>
                <w:rFonts w:ascii="Arial" w:cs="Arial" w:eastAsia="Arial" w:hAnsi="Arial"/>
                <w:sz w:val="27"/>
                <w:szCs w:val="27"/>
                <w:b w:val="1"/>
                <w:bCs w:val="1"/>
                <w:color w:val="auto"/>
                <w:w w:val="99"/>
              </w:rPr>
              <w:t>CURRENT REPORT</w:t>
            </w:r>
          </w:p>
        </w:tc>
      </w:tr>
      <w:tr>
        <w:trPr>
          <w:trHeight w:val="324"/>
        </w:trPr>
        <w:tc>
          <w:tcPr>
            <w:tcW w:w="2500" w:type="dxa"/>
            <w:vAlign w:val="bottom"/>
          </w:tcPr>
          <w:p>
            <w:pPr>
              <w:spacing w:after="0"/>
              <w:rPr>
                <w:sz w:val="24"/>
                <w:szCs w:val="24"/>
                <w:color w:val="auto"/>
              </w:rPr>
            </w:pPr>
          </w:p>
        </w:tc>
        <w:tc>
          <w:tcPr>
            <w:tcW w:w="7160" w:type="dxa"/>
            <w:vAlign w:val="bottom"/>
          </w:tcPr>
          <w:p>
            <w:pPr>
              <w:jc w:val="center"/>
              <w:ind w:right="2223"/>
              <w:spacing w:after="0"/>
              <w:rPr>
                <w:sz w:val="20"/>
                <w:szCs w:val="20"/>
                <w:color w:val="auto"/>
              </w:rPr>
            </w:pPr>
            <w:r>
              <w:rPr>
                <w:rFonts w:ascii="Arial" w:cs="Arial" w:eastAsia="Arial" w:hAnsi="Arial"/>
                <w:sz w:val="27"/>
                <w:szCs w:val="27"/>
                <w:b w:val="1"/>
                <w:bCs w:val="1"/>
                <w:color w:val="auto"/>
                <w:w w:val="89"/>
              </w:rPr>
              <w:t>Pursuant to Section 13 or 15(d) of the</w:t>
            </w:r>
          </w:p>
        </w:tc>
      </w:tr>
      <w:tr>
        <w:trPr>
          <w:trHeight w:val="351"/>
        </w:trPr>
        <w:tc>
          <w:tcPr>
            <w:tcW w:w="2500" w:type="dxa"/>
            <w:vAlign w:val="bottom"/>
          </w:tcPr>
          <w:p>
            <w:pPr>
              <w:spacing w:after="0"/>
              <w:rPr>
                <w:sz w:val="24"/>
                <w:szCs w:val="24"/>
                <w:color w:val="auto"/>
              </w:rPr>
            </w:pPr>
          </w:p>
        </w:tc>
        <w:tc>
          <w:tcPr>
            <w:tcW w:w="7160" w:type="dxa"/>
            <w:vAlign w:val="bottom"/>
          </w:tcPr>
          <w:p>
            <w:pPr>
              <w:jc w:val="center"/>
              <w:ind w:right="2223"/>
              <w:spacing w:after="0"/>
              <w:rPr>
                <w:sz w:val="20"/>
                <w:szCs w:val="20"/>
                <w:color w:val="auto"/>
              </w:rPr>
            </w:pPr>
            <w:r>
              <w:rPr>
                <w:rFonts w:ascii="Arial" w:cs="Arial" w:eastAsia="Arial" w:hAnsi="Arial"/>
                <w:sz w:val="27"/>
                <w:szCs w:val="27"/>
                <w:b w:val="1"/>
                <w:bCs w:val="1"/>
                <w:color w:val="auto"/>
                <w:w w:val="88"/>
              </w:rPr>
              <w:t>Securities Exchange Act of 1934</w:t>
            </w:r>
          </w:p>
        </w:tc>
      </w:tr>
      <w:tr>
        <w:trPr>
          <w:trHeight w:val="447"/>
        </w:trPr>
        <w:tc>
          <w:tcPr>
            <w:tcW w:w="2500" w:type="dxa"/>
            <w:vAlign w:val="bottom"/>
          </w:tcPr>
          <w:p>
            <w:pPr>
              <w:spacing w:after="0"/>
              <w:rPr>
                <w:sz w:val="24"/>
                <w:szCs w:val="24"/>
                <w:color w:val="auto"/>
              </w:rPr>
            </w:pPr>
          </w:p>
        </w:tc>
        <w:tc>
          <w:tcPr>
            <w:tcW w:w="7160" w:type="dxa"/>
            <w:vAlign w:val="bottom"/>
          </w:tcPr>
          <w:p>
            <w:pPr>
              <w:jc w:val="center"/>
              <w:ind w:right="2203"/>
              <w:spacing w:after="0"/>
              <w:rPr>
                <w:sz w:val="20"/>
                <w:szCs w:val="20"/>
                <w:color w:val="auto"/>
              </w:rPr>
            </w:pPr>
            <w:r>
              <w:rPr>
                <w:rFonts w:ascii="Arial" w:cs="Arial" w:eastAsia="Arial" w:hAnsi="Arial"/>
                <w:sz w:val="18"/>
                <w:szCs w:val="18"/>
                <w:color w:val="auto"/>
                <w:w w:val="91"/>
              </w:rPr>
              <w:t>Date of report (Date of earliest event reported): April 29, 2021</w:t>
            </w:r>
          </w:p>
        </w:tc>
      </w:tr>
      <w:tr>
        <w:trPr>
          <w:trHeight w:val="440"/>
        </w:trPr>
        <w:tc>
          <w:tcPr>
            <w:tcW w:w="2500" w:type="dxa"/>
            <w:vAlign w:val="bottom"/>
          </w:tcPr>
          <w:p>
            <w:pPr>
              <w:spacing w:after="0"/>
              <w:rPr>
                <w:sz w:val="24"/>
                <w:szCs w:val="24"/>
                <w:color w:val="auto"/>
              </w:rPr>
            </w:pPr>
          </w:p>
        </w:tc>
        <w:tc>
          <w:tcPr>
            <w:tcW w:w="7160" w:type="dxa"/>
            <w:vAlign w:val="bottom"/>
          </w:tcPr>
          <w:p>
            <w:pPr>
              <w:jc w:val="center"/>
              <w:ind w:right="2223"/>
              <w:spacing w:after="0"/>
              <w:rPr>
                <w:sz w:val="20"/>
                <w:szCs w:val="20"/>
                <w:color w:val="auto"/>
              </w:rPr>
            </w:pPr>
            <w:r>
              <w:rPr>
                <w:rFonts w:ascii="Arial" w:cs="Arial" w:eastAsia="Arial" w:hAnsi="Arial"/>
                <w:sz w:val="29"/>
                <w:szCs w:val="29"/>
                <w:b w:val="1"/>
                <w:bCs w:val="1"/>
                <w:color w:val="auto"/>
                <w:w w:val="90"/>
              </w:rPr>
              <w:t>Comcast Corporation</w:t>
            </w:r>
          </w:p>
        </w:tc>
      </w:tr>
      <w:tr>
        <w:trPr>
          <w:trHeight w:val="140"/>
        </w:trPr>
        <w:tc>
          <w:tcPr>
            <w:tcW w:w="2500" w:type="dxa"/>
            <w:vAlign w:val="bottom"/>
          </w:tcPr>
          <w:p>
            <w:pPr>
              <w:spacing w:after="0"/>
              <w:rPr>
                <w:sz w:val="12"/>
                <w:szCs w:val="12"/>
                <w:color w:val="auto"/>
              </w:rPr>
            </w:pPr>
          </w:p>
        </w:tc>
        <w:tc>
          <w:tcPr>
            <w:tcW w:w="7160" w:type="dxa"/>
            <w:vAlign w:val="bottom"/>
          </w:tcPr>
          <w:p>
            <w:pPr>
              <w:jc w:val="center"/>
              <w:ind w:right="2243"/>
              <w:spacing w:after="0" w:line="141" w:lineRule="exact"/>
              <w:rPr>
                <w:sz w:val="20"/>
                <w:szCs w:val="20"/>
                <w:color w:val="auto"/>
              </w:rPr>
            </w:pPr>
            <w:r>
              <w:rPr>
                <w:rFonts w:ascii="Arial" w:cs="Arial" w:eastAsia="Arial" w:hAnsi="Arial"/>
                <w:sz w:val="14"/>
                <w:szCs w:val="14"/>
                <w:color w:val="auto"/>
                <w:w w:val="93"/>
              </w:rPr>
              <w:t>(Exact Name of Registrant</w:t>
            </w:r>
          </w:p>
        </w:tc>
      </w:tr>
      <w:tr>
        <w:trPr>
          <w:trHeight w:val="182"/>
        </w:trPr>
        <w:tc>
          <w:tcPr>
            <w:tcW w:w="2500" w:type="dxa"/>
            <w:vAlign w:val="bottom"/>
          </w:tcPr>
          <w:p>
            <w:pPr>
              <w:spacing w:after="0"/>
              <w:rPr>
                <w:sz w:val="15"/>
                <w:szCs w:val="15"/>
                <w:color w:val="auto"/>
              </w:rPr>
            </w:pPr>
          </w:p>
        </w:tc>
        <w:tc>
          <w:tcPr>
            <w:tcW w:w="7160" w:type="dxa"/>
            <w:vAlign w:val="bottom"/>
          </w:tcPr>
          <w:p>
            <w:pPr>
              <w:jc w:val="center"/>
              <w:ind w:right="2243"/>
              <w:spacing w:after="0"/>
              <w:rPr>
                <w:sz w:val="20"/>
                <w:szCs w:val="20"/>
                <w:color w:val="auto"/>
              </w:rPr>
            </w:pPr>
            <w:r>
              <w:rPr>
                <w:rFonts w:ascii="Arial" w:cs="Arial" w:eastAsia="Arial" w:hAnsi="Arial"/>
                <w:sz w:val="14"/>
                <w:szCs w:val="14"/>
                <w:color w:val="auto"/>
                <w:w w:val="93"/>
              </w:rPr>
              <w:t>as Specified in its Charter)</w:t>
            </w:r>
          </w:p>
        </w:tc>
      </w:tr>
      <w:tr>
        <w:trPr>
          <w:trHeight w:val="380"/>
        </w:trPr>
        <w:tc>
          <w:tcPr>
            <w:tcW w:w="2500" w:type="dxa"/>
            <w:vAlign w:val="bottom"/>
          </w:tcPr>
          <w:p>
            <w:pPr>
              <w:spacing w:after="0"/>
              <w:rPr>
                <w:sz w:val="24"/>
                <w:szCs w:val="24"/>
                <w:color w:val="auto"/>
              </w:rPr>
            </w:pPr>
          </w:p>
        </w:tc>
        <w:tc>
          <w:tcPr>
            <w:tcW w:w="7160" w:type="dxa"/>
            <w:vAlign w:val="bottom"/>
          </w:tcPr>
          <w:p>
            <w:pPr>
              <w:jc w:val="center"/>
              <w:ind w:right="2243"/>
              <w:spacing w:after="0"/>
              <w:rPr>
                <w:sz w:val="20"/>
                <w:szCs w:val="20"/>
                <w:color w:val="auto"/>
              </w:rPr>
            </w:pPr>
            <w:r>
              <w:rPr>
                <w:rFonts w:ascii="Arial" w:cs="Arial" w:eastAsia="Arial" w:hAnsi="Arial"/>
                <w:sz w:val="18"/>
                <w:szCs w:val="18"/>
                <w:b w:val="1"/>
                <w:bCs w:val="1"/>
                <w:color w:val="auto"/>
                <w:w w:val="88"/>
              </w:rPr>
              <w:t>Pennsylvania</w:t>
            </w:r>
          </w:p>
        </w:tc>
      </w:tr>
      <w:tr>
        <w:trPr>
          <w:trHeight w:val="182"/>
        </w:trPr>
        <w:tc>
          <w:tcPr>
            <w:tcW w:w="2500" w:type="dxa"/>
            <w:vAlign w:val="bottom"/>
          </w:tcPr>
          <w:p>
            <w:pPr>
              <w:spacing w:after="0"/>
              <w:rPr>
                <w:sz w:val="15"/>
                <w:szCs w:val="15"/>
                <w:color w:val="auto"/>
              </w:rPr>
            </w:pPr>
          </w:p>
        </w:tc>
        <w:tc>
          <w:tcPr>
            <w:tcW w:w="7160" w:type="dxa"/>
            <w:vAlign w:val="bottom"/>
          </w:tcPr>
          <w:p>
            <w:pPr>
              <w:jc w:val="center"/>
              <w:ind w:right="2243"/>
              <w:spacing w:after="0"/>
              <w:rPr>
                <w:sz w:val="20"/>
                <w:szCs w:val="20"/>
                <w:color w:val="auto"/>
              </w:rPr>
            </w:pPr>
            <w:r>
              <w:rPr>
                <w:rFonts w:ascii="Arial" w:cs="Arial" w:eastAsia="Arial" w:hAnsi="Arial"/>
                <w:sz w:val="14"/>
                <w:szCs w:val="14"/>
                <w:color w:val="auto"/>
                <w:w w:val="94"/>
              </w:rPr>
              <w:t>(State or Other Jurisdiction of Incorporation)</w:t>
            </w:r>
          </w:p>
        </w:tc>
      </w:tr>
      <w:tr>
        <w:trPr>
          <w:trHeight w:val="385"/>
        </w:trPr>
        <w:tc>
          <w:tcPr>
            <w:tcW w:w="2500" w:type="dxa"/>
            <w:vAlign w:val="bottom"/>
          </w:tcPr>
          <w:p>
            <w:pPr>
              <w:jc w:val="center"/>
              <w:ind w:right="77"/>
              <w:spacing w:after="0"/>
              <w:rPr>
                <w:sz w:val="20"/>
                <w:szCs w:val="20"/>
                <w:color w:val="auto"/>
              </w:rPr>
            </w:pPr>
            <w:r>
              <w:rPr>
                <w:rFonts w:ascii="Arial" w:cs="Arial" w:eastAsia="Arial" w:hAnsi="Arial"/>
                <w:sz w:val="18"/>
                <w:szCs w:val="18"/>
                <w:b w:val="1"/>
                <w:bCs w:val="1"/>
                <w:color w:val="auto"/>
                <w:w w:val="90"/>
              </w:rPr>
              <w:t>001-32871</w:t>
            </w:r>
          </w:p>
        </w:tc>
        <w:tc>
          <w:tcPr>
            <w:tcW w:w="7160" w:type="dxa"/>
            <w:vAlign w:val="bottom"/>
          </w:tcPr>
          <w:p>
            <w:pPr>
              <w:jc w:val="center"/>
              <w:ind w:left="5063"/>
              <w:spacing w:after="0"/>
              <w:rPr>
                <w:sz w:val="20"/>
                <w:szCs w:val="20"/>
                <w:color w:val="auto"/>
              </w:rPr>
            </w:pPr>
            <w:r>
              <w:rPr>
                <w:rFonts w:ascii="Arial" w:cs="Arial" w:eastAsia="Arial" w:hAnsi="Arial"/>
                <w:sz w:val="18"/>
                <w:szCs w:val="18"/>
                <w:b w:val="1"/>
                <w:bCs w:val="1"/>
                <w:color w:val="auto"/>
                <w:w w:val="91"/>
              </w:rPr>
              <w:t>27-0000798</w:t>
            </w:r>
          </w:p>
        </w:tc>
      </w:tr>
      <w:tr>
        <w:trPr>
          <w:trHeight w:val="182"/>
        </w:trPr>
        <w:tc>
          <w:tcPr>
            <w:tcW w:w="2500" w:type="dxa"/>
            <w:vAlign w:val="bottom"/>
          </w:tcPr>
          <w:p>
            <w:pPr>
              <w:jc w:val="center"/>
              <w:ind w:right="77"/>
              <w:spacing w:after="0"/>
              <w:rPr>
                <w:sz w:val="20"/>
                <w:szCs w:val="20"/>
                <w:color w:val="auto"/>
              </w:rPr>
            </w:pPr>
            <w:r>
              <w:rPr>
                <w:rFonts w:ascii="Arial" w:cs="Arial" w:eastAsia="Arial" w:hAnsi="Arial"/>
                <w:sz w:val="14"/>
                <w:szCs w:val="14"/>
                <w:color w:val="auto"/>
                <w:w w:val="94"/>
              </w:rPr>
              <w:t>(Commission File Number)</w:t>
            </w:r>
          </w:p>
        </w:tc>
        <w:tc>
          <w:tcPr>
            <w:tcW w:w="7160" w:type="dxa"/>
            <w:vAlign w:val="bottom"/>
          </w:tcPr>
          <w:p>
            <w:pPr>
              <w:jc w:val="center"/>
              <w:ind w:left="5083"/>
              <w:spacing w:after="0"/>
              <w:rPr>
                <w:sz w:val="20"/>
                <w:szCs w:val="20"/>
                <w:color w:val="auto"/>
              </w:rPr>
            </w:pPr>
            <w:r>
              <w:rPr>
                <w:rFonts w:ascii="Arial" w:cs="Arial" w:eastAsia="Arial" w:hAnsi="Arial"/>
                <w:sz w:val="14"/>
                <w:szCs w:val="14"/>
                <w:color w:val="auto"/>
                <w:w w:val="97"/>
              </w:rPr>
              <w:t>(IRS Employer Identification No.)</w:t>
            </w:r>
          </w:p>
        </w:tc>
      </w:tr>
      <w:tr>
        <w:trPr>
          <w:trHeight w:val="385"/>
        </w:trPr>
        <w:tc>
          <w:tcPr>
            <w:tcW w:w="2500" w:type="dxa"/>
            <w:vAlign w:val="bottom"/>
          </w:tcPr>
          <w:p>
            <w:pPr>
              <w:jc w:val="center"/>
              <w:ind w:right="77"/>
              <w:spacing w:after="0"/>
              <w:rPr>
                <w:sz w:val="20"/>
                <w:szCs w:val="20"/>
                <w:color w:val="auto"/>
              </w:rPr>
            </w:pPr>
            <w:r>
              <w:rPr>
                <w:rFonts w:ascii="Arial" w:cs="Arial" w:eastAsia="Arial" w:hAnsi="Arial"/>
                <w:sz w:val="18"/>
                <w:szCs w:val="18"/>
                <w:b w:val="1"/>
                <w:bCs w:val="1"/>
                <w:color w:val="auto"/>
                <w:w w:val="90"/>
              </w:rPr>
              <w:t>One Comcast Center</w:t>
            </w:r>
          </w:p>
        </w:tc>
        <w:tc>
          <w:tcPr>
            <w:tcW w:w="7160" w:type="dxa"/>
            <w:vAlign w:val="bottom"/>
          </w:tcPr>
          <w:p>
            <w:pPr>
              <w:spacing w:after="0"/>
              <w:rPr>
                <w:sz w:val="24"/>
                <w:szCs w:val="24"/>
                <w:color w:val="auto"/>
              </w:rPr>
            </w:pPr>
          </w:p>
        </w:tc>
      </w:tr>
      <w:tr>
        <w:trPr>
          <w:trHeight w:val="229"/>
        </w:trPr>
        <w:tc>
          <w:tcPr>
            <w:tcW w:w="2500" w:type="dxa"/>
            <w:vAlign w:val="bottom"/>
          </w:tcPr>
          <w:p>
            <w:pPr>
              <w:ind w:left="440"/>
              <w:spacing w:after="0"/>
              <w:rPr>
                <w:sz w:val="20"/>
                <w:szCs w:val="20"/>
                <w:color w:val="auto"/>
              </w:rPr>
            </w:pPr>
            <w:r>
              <w:rPr>
                <w:rFonts w:ascii="Arial" w:cs="Arial" w:eastAsia="Arial" w:hAnsi="Arial"/>
                <w:sz w:val="18"/>
                <w:szCs w:val="18"/>
                <w:b w:val="1"/>
                <w:bCs w:val="1"/>
                <w:color w:val="auto"/>
              </w:rPr>
              <w:t>Philadelphia, PA</w:t>
            </w:r>
          </w:p>
        </w:tc>
        <w:tc>
          <w:tcPr>
            <w:tcW w:w="7160" w:type="dxa"/>
            <w:vAlign w:val="bottom"/>
          </w:tcPr>
          <w:p>
            <w:pPr>
              <w:jc w:val="center"/>
              <w:ind w:left="5063"/>
              <w:spacing w:after="0"/>
              <w:rPr>
                <w:sz w:val="20"/>
                <w:szCs w:val="20"/>
                <w:color w:val="auto"/>
              </w:rPr>
            </w:pPr>
            <w:r>
              <w:rPr>
                <w:rFonts w:ascii="Arial" w:cs="Arial" w:eastAsia="Arial" w:hAnsi="Arial"/>
                <w:sz w:val="18"/>
                <w:szCs w:val="18"/>
                <w:b w:val="1"/>
                <w:bCs w:val="1"/>
                <w:color w:val="auto"/>
                <w:w w:val="91"/>
              </w:rPr>
              <w:t>19103-2838</w:t>
            </w:r>
          </w:p>
        </w:tc>
      </w:tr>
      <w:tr>
        <w:trPr>
          <w:trHeight w:val="182"/>
        </w:trPr>
        <w:tc>
          <w:tcPr>
            <w:tcW w:w="2500" w:type="dxa"/>
            <w:vAlign w:val="bottom"/>
          </w:tcPr>
          <w:p>
            <w:pPr>
              <w:jc w:val="center"/>
              <w:ind w:right="77"/>
              <w:spacing w:after="0"/>
              <w:rPr>
                <w:sz w:val="20"/>
                <w:szCs w:val="20"/>
                <w:color w:val="auto"/>
              </w:rPr>
            </w:pPr>
            <w:r>
              <w:rPr>
                <w:rFonts w:ascii="Arial" w:cs="Arial" w:eastAsia="Arial" w:hAnsi="Arial"/>
                <w:sz w:val="14"/>
                <w:szCs w:val="14"/>
                <w:color w:val="auto"/>
                <w:w w:val="95"/>
              </w:rPr>
              <w:t>(Address of Principal Executive Offices)</w:t>
            </w:r>
          </w:p>
        </w:tc>
        <w:tc>
          <w:tcPr>
            <w:tcW w:w="7160" w:type="dxa"/>
            <w:vAlign w:val="bottom"/>
          </w:tcPr>
          <w:p>
            <w:pPr>
              <w:jc w:val="center"/>
              <w:ind w:left="5063"/>
              <w:spacing w:after="0"/>
              <w:rPr>
                <w:sz w:val="20"/>
                <w:szCs w:val="20"/>
                <w:color w:val="auto"/>
              </w:rPr>
            </w:pPr>
            <w:r>
              <w:rPr>
                <w:rFonts w:ascii="Arial" w:cs="Arial" w:eastAsia="Arial" w:hAnsi="Arial"/>
                <w:sz w:val="14"/>
                <w:szCs w:val="14"/>
                <w:color w:val="auto"/>
                <w:w w:val="96"/>
              </w:rPr>
              <w:t>(Zip Code)</w:t>
            </w:r>
          </w:p>
        </w:tc>
      </w:tr>
      <w:tr>
        <w:trPr>
          <w:trHeight w:val="323"/>
        </w:trPr>
        <w:tc>
          <w:tcPr>
            <w:tcW w:w="2500" w:type="dxa"/>
            <w:vAlign w:val="bottom"/>
          </w:tcPr>
          <w:p>
            <w:pPr>
              <w:spacing w:after="0"/>
              <w:rPr>
                <w:sz w:val="24"/>
                <w:szCs w:val="24"/>
                <w:color w:val="auto"/>
              </w:rPr>
            </w:pPr>
          </w:p>
        </w:tc>
        <w:tc>
          <w:tcPr>
            <w:tcW w:w="7160" w:type="dxa"/>
            <w:vAlign w:val="bottom"/>
          </w:tcPr>
          <w:p>
            <w:pPr>
              <w:jc w:val="center"/>
              <w:ind w:right="2223"/>
              <w:spacing w:after="0"/>
              <w:rPr>
                <w:sz w:val="20"/>
                <w:szCs w:val="20"/>
                <w:color w:val="auto"/>
              </w:rPr>
            </w:pPr>
            <w:r>
              <w:rPr>
                <w:rFonts w:ascii="Arial" w:cs="Arial" w:eastAsia="Arial" w:hAnsi="Arial"/>
                <w:sz w:val="14"/>
                <w:szCs w:val="14"/>
                <w:color w:val="auto"/>
                <w:w w:val="93"/>
              </w:rPr>
              <w:t xml:space="preserve">Registrant’s telephone number, including area code: </w:t>
            </w:r>
            <w:r>
              <w:rPr>
                <w:rFonts w:ascii="Arial" w:cs="Arial" w:eastAsia="Arial" w:hAnsi="Arial"/>
                <w:sz w:val="17"/>
                <w:szCs w:val="17"/>
                <w:b w:val="1"/>
                <w:bCs w:val="1"/>
                <w:color w:val="auto"/>
                <w:w w:val="93"/>
              </w:rPr>
              <w:t>(215) 286-1700</w:t>
            </w:r>
          </w:p>
        </w:tc>
      </w:tr>
      <w:tr>
        <w:trPr>
          <w:trHeight w:val="406"/>
        </w:trPr>
        <w:tc>
          <w:tcPr>
            <w:tcW w:w="2500" w:type="dxa"/>
            <w:vAlign w:val="bottom"/>
          </w:tcPr>
          <w:p>
            <w:pPr>
              <w:spacing w:after="0"/>
              <w:rPr>
                <w:sz w:val="24"/>
                <w:szCs w:val="24"/>
                <w:color w:val="auto"/>
              </w:rPr>
            </w:pPr>
          </w:p>
        </w:tc>
        <w:tc>
          <w:tcPr>
            <w:tcW w:w="7160" w:type="dxa"/>
            <w:vAlign w:val="bottom"/>
          </w:tcPr>
          <w:p>
            <w:pPr>
              <w:jc w:val="center"/>
              <w:ind w:right="2223"/>
              <w:spacing w:after="0"/>
              <w:rPr>
                <w:sz w:val="20"/>
                <w:szCs w:val="20"/>
                <w:color w:val="auto"/>
              </w:rPr>
            </w:pPr>
            <w:r>
              <w:rPr>
                <w:rFonts w:ascii="Arial" w:cs="Arial" w:eastAsia="Arial" w:hAnsi="Arial"/>
                <w:sz w:val="14"/>
                <w:szCs w:val="14"/>
                <w:color w:val="auto"/>
                <w:w w:val="93"/>
              </w:rPr>
              <w:t>(Former Name or Former Address, if Changed Since Last Report)</w:t>
            </w:r>
          </w:p>
        </w:tc>
      </w:tr>
    </w:tbl>
    <w:p>
      <w:pPr>
        <w:spacing w:after="0" w:line="223" w:lineRule="exact"/>
        <w:rPr>
          <w:sz w:val="24"/>
          <w:szCs w:val="24"/>
          <w:color w:val="auto"/>
        </w:rPr>
      </w:pPr>
    </w:p>
    <w:p>
      <w:pPr>
        <w:ind w:left="340"/>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63" w:lineRule="exact"/>
        <w:rPr>
          <w:sz w:val="24"/>
          <w:szCs w:val="24"/>
          <w:color w:val="auto"/>
        </w:rPr>
      </w:pPr>
    </w:p>
    <w:p>
      <w:pPr>
        <w:ind w:left="500" w:hanging="168"/>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76" w:lineRule="exact"/>
        <w:rPr>
          <w:rFonts w:ascii="MS PGothic" w:cs="MS PGothic" w:eastAsia="MS PGothic" w:hAnsi="MS PGothic"/>
          <w:sz w:val="14"/>
          <w:szCs w:val="14"/>
          <w:color w:val="auto"/>
        </w:rPr>
      </w:pPr>
    </w:p>
    <w:p>
      <w:pPr>
        <w:ind w:left="500" w:hanging="168"/>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63" w:lineRule="exact"/>
        <w:rPr>
          <w:rFonts w:ascii="MS PGothic" w:cs="MS PGothic" w:eastAsia="MS PGothic" w:hAnsi="MS PGothic"/>
          <w:sz w:val="14"/>
          <w:szCs w:val="14"/>
          <w:color w:val="auto"/>
        </w:rPr>
      </w:pPr>
    </w:p>
    <w:p>
      <w:pPr>
        <w:ind w:left="500" w:hanging="168"/>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63" w:lineRule="exact"/>
        <w:rPr>
          <w:rFonts w:ascii="MS PGothic" w:cs="MS PGothic" w:eastAsia="MS PGothic" w:hAnsi="MS PGothic"/>
          <w:sz w:val="14"/>
          <w:szCs w:val="14"/>
          <w:color w:val="auto"/>
        </w:rPr>
      </w:pPr>
    </w:p>
    <w:p>
      <w:pPr>
        <w:ind w:left="500" w:hanging="168"/>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244" w:lineRule="exact"/>
        <w:rPr>
          <w:sz w:val="24"/>
          <w:szCs w:val="24"/>
          <w:color w:val="auto"/>
        </w:rPr>
      </w:pPr>
    </w:p>
    <w:tbl>
      <w:tblPr>
        <w:tblLayout w:type="fixed"/>
        <w:tblInd w:w="800" w:type="dxa"/>
        <w:tblCellMar>
          <w:top w:w="0" w:type="dxa"/>
          <w:left w:w="0" w:type="dxa"/>
          <w:bottom w:w="0" w:type="dxa"/>
          <w:right w:w="0" w:type="dxa"/>
        </w:tblCellMar>
      </w:tblPr>
      <w:tr>
        <w:trPr>
          <w:trHeight w:val="182"/>
        </w:trPr>
        <w:tc>
          <w:tcPr>
            <w:tcW w:w="4720" w:type="dxa"/>
            <w:vAlign w:val="bottom"/>
            <w:gridSpan w:val="2"/>
          </w:tcPr>
          <w:p>
            <w:pPr>
              <w:ind w:left="20"/>
              <w:spacing w:after="0"/>
              <w:rPr>
                <w:sz w:val="20"/>
                <w:szCs w:val="20"/>
                <w:color w:val="auto"/>
              </w:rPr>
            </w:pPr>
            <w:r>
              <w:rPr>
                <w:rFonts w:ascii="Arial" w:cs="Arial" w:eastAsia="Arial" w:hAnsi="Arial"/>
                <w:sz w:val="14"/>
                <w:szCs w:val="14"/>
                <w:color w:val="auto"/>
              </w:rPr>
              <w:t>Securities registered pursuant to Section 12(b) of the Act:</w:t>
            </w: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60" w:type="dxa"/>
            <w:vAlign w:val="bottom"/>
          </w:tcPr>
          <w:p>
            <w:pPr>
              <w:spacing w:after="0"/>
              <w:rPr>
                <w:sz w:val="15"/>
                <w:szCs w:val="15"/>
                <w:color w:val="auto"/>
              </w:rPr>
            </w:pPr>
          </w:p>
        </w:tc>
      </w:tr>
      <w:tr>
        <w:trPr>
          <w:trHeight w:val="208"/>
        </w:trPr>
        <w:tc>
          <w:tcPr>
            <w:tcW w:w="4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Title of Each Class</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Trading symbol(s)</w:t>
            </w: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182"/>
        </w:trPr>
        <w:tc>
          <w:tcPr>
            <w:tcW w:w="46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Class A Common Stock, $0.01 par value</w:t>
            </w:r>
          </w:p>
        </w:tc>
        <w:tc>
          <w:tcPr>
            <w:tcW w:w="120" w:type="dxa"/>
            <w:vAlign w:val="bottom"/>
          </w:tcPr>
          <w:p>
            <w:pPr>
              <w:spacing w:after="0"/>
              <w:rPr>
                <w:sz w:val="15"/>
                <w:szCs w:val="15"/>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8"/>
              </w:rPr>
              <w:t>CMCSA</w:t>
            </w:r>
          </w:p>
        </w:tc>
        <w:tc>
          <w:tcPr>
            <w:tcW w:w="100" w:type="dxa"/>
            <w:vAlign w:val="bottom"/>
          </w:tcPr>
          <w:p>
            <w:pPr>
              <w:spacing w:after="0"/>
              <w:rPr>
                <w:sz w:val="15"/>
                <w:szCs w:val="15"/>
                <w:color w:val="auto"/>
              </w:rPr>
            </w:pPr>
          </w:p>
        </w:tc>
        <w:tc>
          <w:tcPr>
            <w:tcW w:w="35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6"/>
              </w:rPr>
              <w:t>NASDAQ Global Select Market</w:t>
            </w:r>
          </w:p>
        </w:tc>
      </w:tr>
      <w:tr>
        <w:trPr>
          <w:trHeight w:val="184"/>
        </w:trPr>
        <w:tc>
          <w:tcPr>
            <w:tcW w:w="472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0.250% Notes due 2027</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CMCS27</w:t>
            </w:r>
          </w:p>
        </w:tc>
        <w:tc>
          <w:tcPr>
            <w:tcW w:w="3560" w:type="dxa"/>
            <w:vAlign w:val="bottom"/>
          </w:tcPr>
          <w:p>
            <w:pPr>
              <w:jc w:val="center"/>
              <w:spacing w:after="0"/>
              <w:rPr>
                <w:sz w:val="20"/>
                <w:szCs w:val="20"/>
                <w:color w:val="auto"/>
              </w:rPr>
            </w:pPr>
            <w:r>
              <w:rPr>
                <w:rFonts w:ascii="Arial" w:cs="Arial" w:eastAsia="Arial" w:hAnsi="Arial"/>
                <w:sz w:val="14"/>
                <w:szCs w:val="14"/>
                <w:color w:val="auto"/>
                <w:w w:val="98"/>
              </w:rPr>
              <w:t>NASDAQ Global Market</w:t>
            </w:r>
          </w:p>
        </w:tc>
      </w:tr>
      <w:tr>
        <w:trPr>
          <w:trHeight w:val="189"/>
        </w:trPr>
        <w:tc>
          <w:tcPr>
            <w:tcW w:w="472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1.500% Notes due 2029</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CMCS29</w:t>
            </w:r>
          </w:p>
        </w:tc>
        <w:tc>
          <w:tcPr>
            <w:tcW w:w="3560" w:type="dxa"/>
            <w:vAlign w:val="bottom"/>
          </w:tcPr>
          <w:p>
            <w:pPr>
              <w:jc w:val="center"/>
              <w:spacing w:after="0"/>
              <w:rPr>
                <w:sz w:val="20"/>
                <w:szCs w:val="20"/>
                <w:color w:val="auto"/>
              </w:rPr>
            </w:pPr>
            <w:r>
              <w:rPr>
                <w:rFonts w:ascii="Arial" w:cs="Arial" w:eastAsia="Arial" w:hAnsi="Arial"/>
                <w:sz w:val="14"/>
                <w:szCs w:val="14"/>
                <w:color w:val="auto"/>
                <w:w w:val="98"/>
              </w:rPr>
              <w:t>NASDAQ Global Market</w:t>
            </w:r>
          </w:p>
        </w:tc>
      </w:tr>
      <w:tr>
        <w:trPr>
          <w:trHeight w:val="189"/>
        </w:trPr>
        <w:tc>
          <w:tcPr>
            <w:tcW w:w="472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0.750% Notes due 2032</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CMCS32</w:t>
            </w:r>
          </w:p>
        </w:tc>
        <w:tc>
          <w:tcPr>
            <w:tcW w:w="3560" w:type="dxa"/>
            <w:vAlign w:val="bottom"/>
          </w:tcPr>
          <w:p>
            <w:pPr>
              <w:jc w:val="center"/>
              <w:spacing w:after="0"/>
              <w:rPr>
                <w:sz w:val="20"/>
                <w:szCs w:val="20"/>
                <w:color w:val="auto"/>
              </w:rPr>
            </w:pPr>
            <w:r>
              <w:rPr>
                <w:rFonts w:ascii="Arial" w:cs="Arial" w:eastAsia="Arial" w:hAnsi="Arial"/>
                <w:sz w:val="14"/>
                <w:szCs w:val="14"/>
                <w:color w:val="auto"/>
                <w:w w:val="98"/>
              </w:rPr>
              <w:t>NASDAQ Global Market</w:t>
            </w:r>
          </w:p>
        </w:tc>
      </w:tr>
      <w:tr>
        <w:trPr>
          <w:trHeight w:val="189"/>
        </w:trPr>
        <w:tc>
          <w:tcPr>
            <w:tcW w:w="472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1.875% Notes due 2036</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CMCS36</w:t>
            </w:r>
          </w:p>
        </w:tc>
        <w:tc>
          <w:tcPr>
            <w:tcW w:w="3560" w:type="dxa"/>
            <w:vAlign w:val="bottom"/>
          </w:tcPr>
          <w:p>
            <w:pPr>
              <w:jc w:val="center"/>
              <w:spacing w:after="0"/>
              <w:rPr>
                <w:sz w:val="20"/>
                <w:szCs w:val="20"/>
                <w:color w:val="auto"/>
              </w:rPr>
            </w:pPr>
            <w:r>
              <w:rPr>
                <w:rFonts w:ascii="Arial" w:cs="Arial" w:eastAsia="Arial" w:hAnsi="Arial"/>
                <w:sz w:val="14"/>
                <w:szCs w:val="14"/>
                <w:color w:val="auto"/>
                <w:w w:val="98"/>
              </w:rPr>
              <w:t>NASDAQ Global Market</w:t>
            </w:r>
          </w:p>
        </w:tc>
      </w:tr>
      <w:tr>
        <w:trPr>
          <w:trHeight w:val="189"/>
        </w:trPr>
        <w:tc>
          <w:tcPr>
            <w:tcW w:w="472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1.250% Notes due 2040</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CMCS40</w:t>
            </w:r>
          </w:p>
        </w:tc>
        <w:tc>
          <w:tcPr>
            <w:tcW w:w="3560" w:type="dxa"/>
            <w:vAlign w:val="bottom"/>
          </w:tcPr>
          <w:p>
            <w:pPr>
              <w:jc w:val="center"/>
              <w:spacing w:after="0"/>
              <w:rPr>
                <w:sz w:val="20"/>
                <w:szCs w:val="20"/>
                <w:color w:val="auto"/>
              </w:rPr>
            </w:pPr>
            <w:r>
              <w:rPr>
                <w:rFonts w:ascii="Arial" w:cs="Arial" w:eastAsia="Arial" w:hAnsi="Arial"/>
                <w:sz w:val="14"/>
                <w:szCs w:val="14"/>
                <w:color w:val="auto"/>
                <w:w w:val="98"/>
              </w:rPr>
              <w:t>NASDAQ Global Market</w:t>
            </w:r>
          </w:p>
        </w:tc>
      </w:tr>
      <w:tr>
        <w:trPr>
          <w:trHeight w:val="189"/>
        </w:trPr>
        <w:tc>
          <w:tcPr>
            <w:tcW w:w="47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9.455% Guaranteed Notes due 2022</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CMCSA/22</w:t>
            </w:r>
          </w:p>
        </w:tc>
        <w:tc>
          <w:tcPr>
            <w:tcW w:w="3560" w:type="dxa"/>
            <w:vAlign w:val="bottom"/>
          </w:tcPr>
          <w:p>
            <w:pPr>
              <w:jc w:val="center"/>
              <w:spacing w:after="0"/>
              <w:rPr>
                <w:sz w:val="20"/>
                <w:szCs w:val="20"/>
                <w:color w:val="auto"/>
              </w:rPr>
            </w:pPr>
            <w:r>
              <w:rPr>
                <w:rFonts w:ascii="Arial" w:cs="Arial" w:eastAsia="Arial" w:hAnsi="Arial"/>
                <w:sz w:val="14"/>
                <w:szCs w:val="14"/>
                <w:color w:val="auto"/>
                <w:w w:val="94"/>
              </w:rPr>
              <w:t>New York Stock Exchange</w:t>
            </w:r>
          </w:p>
        </w:tc>
      </w:tr>
      <w:tr>
        <w:trPr>
          <w:trHeight w:val="189"/>
        </w:trPr>
        <w:tc>
          <w:tcPr>
            <w:tcW w:w="472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5.50% Notes due 2029</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CCGBP29</w:t>
            </w:r>
          </w:p>
        </w:tc>
        <w:tc>
          <w:tcPr>
            <w:tcW w:w="3560" w:type="dxa"/>
            <w:vAlign w:val="bottom"/>
          </w:tcPr>
          <w:p>
            <w:pPr>
              <w:jc w:val="center"/>
              <w:spacing w:after="0"/>
              <w:rPr>
                <w:sz w:val="20"/>
                <w:szCs w:val="20"/>
                <w:color w:val="auto"/>
              </w:rPr>
            </w:pPr>
            <w:r>
              <w:rPr>
                <w:rFonts w:ascii="Arial" w:cs="Arial" w:eastAsia="Arial" w:hAnsi="Arial"/>
                <w:sz w:val="14"/>
                <w:szCs w:val="14"/>
                <w:color w:val="auto"/>
                <w:w w:val="94"/>
              </w:rPr>
              <w:t>New York Stock Exchange</w:t>
            </w:r>
          </w:p>
        </w:tc>
      </w:tr>
      <w:tr>
        <w:trPr>
          <w:trHeight w:val="189"/>
        </w:trPr>
        <w:tc>
          <w:tcPr>
            <w:tcW w:w="47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2.0% Exchangeable Subordinated Debentures due 2029</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CCZ</w:t>
            </w:r>
          </w:p>
        </w:tc>
        <w:tc>
          <w:tcPr>
            <w:tcW w:w="3560" w:type="dxa"/>
            <w:vAlign w:val="bottom"/>
          </w:tcPr>
          <w:p>
            <w:pPr>
              <w:jc w:val="center"/>
              <w:spacing w:after="0"/>
              <w:rPr>
                <w:sz w:val="20"/>
                <w:szCs w:val="20"/>
                <w:color w:val="auto"/>
              </w:rPr>
            </w:pPr>
            <w:r>
              <w:rPr>
                <w:rFonts w:ascii="Arial" w:cs="Arial" w:eastAsia="Arial" w:hAnsi="Arial"/>
                <w:sz w:val="14"/>
                <w:szCs w:val="14"/>
                <w:color w:val="auto"/>
                <w:w w:val="94"/>
              </w:rPr>
              <w:t>New York Stock Exchange</w:t>
            </w:r>
          </w:p>
        </w:tc>
      </w:tr>
    </w:tbl>
    <w:p>
      <w:pPr>
        <w:spacing w:after="0" w:line="263" w:lineRule="exact"/>
        <w:rPr>
          <w:sz w:val="24"/>
          <w:szCs w:val="24"/>
          <w:color w:val="auto"/>
        </w:rPr>
      </w:pPr>
    </w:p>
    <w:p>
      <w:pPr>
        <w:ind w:right="340"/>
        <w:spacing w:after="0" w:line="253"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9" w:lineRule="exact"/>
        <w:rPr>
          <w:sz w:val="24"/>
          <w:szCs w:val="24"/>
          <w:color w:val="auto"/>
        </w:rPr>
      </w:pPr>
    </w:p>
    <w:p>
      <w:pPr>
        <w:jc w:val="right"/>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58" w:lineRule="exact"/>
        <w:rPr>
          <w:sz w:val="24"/>
          <w:szCs w:val="24"/>
          <w:color w:val="auto"/>
        </w:rPr>
      </w:pPr>
    </w:p>
    <w:p>
      <w:pPr>
        <w:ind w:right="560"/>
        <w:spacing w:after="0" w:line="17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636905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100965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49530</wp:posOffset>
            </wp:positionV>
            <wp:extent cx="7115175"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43180"/>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April 29, 2021, Comcast Corporation (“Comcast”) issued a press release reporting the results of its operations for the three months ended March 31, 2021. The press release is attached hereto as Exhibit 99.1. Exhibit 99.2 sets forth the reasons Comcast believes that presentation of the non-GAAP financial measures contained in the press release provides useful information to investors regarding Comcast's results of operations and financial condition.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gridSpan w:val="5"/>
          </w:tcPr>
          <w:p>
            <w:pPr>
              <w:spacing w:after="0"/>
              <w:rPr>
                <w:sz w:val="20"/>
                <w:szCs w:val="20"/>
                <w:color w:val="auto"/>
              </w:rPr>
            </w:pPr>
            <w:r>
              <w:rPr>
                <w:rFonts w:ascii="Arial" w:cs="Arial" w:eastAsia="Arial" w:hAnsi="Arial"/>
                <w:sz w:val="18"/>
                <w:szCs w:val="18"/>
                <w:b w:val="1"/>
                <w:bCs w:val="1"/>
                <w:color w:val="auto"/>
                <w:w w:val="92"/>
              </w:rPr>
              <w:t>Item 9.01. Exhibits</w:t>
            </w:r>
          </w:p>
        </w:tc>
        <w:tc>
          <w:tcPr>
            <w:tcW w:w="9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1260" w:type="dxa"/>
            <w:vAlign w:val="bottom"/>
            <w:gridSpan w:val="4"/>
          </w:tcPr>
          <w:p>
            <w:pPr>
              <w:jc w:val="center"/>
              <w:ind w:right="600"/>
              <w:spacing w:after="0"/>
              <w:rPr>
                <w:sz w:val="20"/>
                <w:szCs w:val="20"/>
                <w:color w:val="auto"/>
              </w:rPr>
            </w:pPr>
            <w:r>
              <w:rPr>
                <w:rFonts w:ascii="Arial" w:cs="Arial" w:eastAsia="Arial" w:hAnsi="Arial"/>
                <w:sz w:val="18"/>
                <w:szCs w:val="18"/>
                <w:b w:val="1"/>
                <w:bCs w:val="1"/>
                <w:color w:val="auto"/>
                <w:w w:val="96"/>
              </w:rPr>
              <w:t>Exhibit</w:t>
            </w:r>
          </w:p>
        </w:tc>
        <w:tc>
          <w:tcPr>
            <w:tcW w:w="97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1260" w:type="dxa"/>
            <w:vAlign w:val="bottom"/>
            <w:gridSpan w:val="4"/>
          </w:tcPr>
          <w:p>
            <w:pPr>
              <w:jc w:val="center"/>
              <w:ind w:right="620"/>
              <w:spacing w:after="0" w:line="189" w:lineRule="exact"/>
              <w:rPr>
                <w:sz w:val="20"/>
                <w:szCs w:val="20"/>
                <w:color w:val="auto"/>
              </w:rPr>
            </w:pPr>
            <w:r>
              <w:rPr>
                <w:rFonts w:ascii="Arial" w:cs="Arial" w:eastAsia="Arial" w:hAnsi="Arial"/>
                <w:sz w:val="18"/>
                <w:szCs w:val="18"/>
                <w:b w:val="1"/>
                <w:bCs w:val="1"/>
                <w:color w:val="auto"/>
                <w:w w:val="94"/>
              </w:rPr>
              <w:t>Number</w:t>
            </w:r>
          </w:p>
        </w:tc>
        <w:tc>
          <w:tcPr>
            <w:tcW w:w="976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20" w:type="dxa"/>
            <w:vAlign w:val="bottom"/>
          </w:tcPr>
          <w:p>
            <w:pPr>
              <w:spacing w:after="0"/>
              <w:rPr>
                <w:sz w:val="22"/>
                <w:szCs w:val="22"/>
                <w:color w:val="auto"/>
              </w:rPr>
            </w:pPr>
          </w:p>
        </w:tc>
        <w:tc>
          <w:tcPr>
            <w:tcW w:w="480" w:type="dxa"/>
            <w:vAlign w:val="bottom"/>
            <w:gridSpan w:val="2"/>
          </w:tcPr>
          <w:p>
            <w:pPr>
              <w:jc w:val="center"/>
              <w:ind w:left="90"/>
              <w:spacing w:after="0"/>
              <w:rPr>
                <w:rFonts w:ascii="Arial" w:cs="Arial" w:eastAsia="Arial" w:hAnsi="Arial"/>
                <w:sz w:val="18"/>
                <w:szCs w:val="18"/>
                <w:color w:val="0000FF"/>
                <w:w w:val="85"/>
              </w:rPr>
            </w:pPr>
            <w:hyperlink w:anchor="page4">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760" w:type="dxa"/>
            <w:vAlign w:val="bottom"/>
            <w:gridSpan w:val="4"/>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 xml:space="preserve">Comcast Corporation press release dated April </w:t>
              </w:r>
            </w:hyperlink>
            <w:r>
              <w:rPr>
                <w:rFonts w:ascii="Arial" w:cs="Arial" w:eastAsia="Arial" w:hAnsi="Arial"/>
                <w:sz w:val="18"/>
                <w:szCs w:val="18"/>
                <w:color w:val="0000FF"/>
              </w:rPr>
              <w:t xml:space="preserve">29, </w:t>
            </w:r>
            <w:hyperlink w:anchor="page4">
              <w:r>
                <w:rPr>
                  <w:rFonts w:ascii="Arial" w:cs="Arial" w:eastAsia="Arial" w:hAnsi="Arial"/>
                  <w:sz w:val="18"/>
                  <w:szCs w:val="18"/>
                  <w:color w:val="0000FF"/>
                </w:rPr>
                <w:t>2021.</w:t>
              </w:r>
            </w:hyperlink>
          </w:p>
        </w:tc>
        <w:tc>
          <w:tcPr>
            <w:tcW w:w="0" w:type="dxa"/>
            <w:vAlign w:val="bottom"/>
          </w:tcPr>
          <w:p>
            <w:pPr>
              <w:spacing w:after="0"/>
              <w:rPr>
                <w:sz w:val="1"/>
                <w:szCs w:val="1"/>
                <w:color w:val="auto"/>
              </w:rPr>
            </w:pPr>
          </w:p>
        </w:tc>
      </w:tr>
      <w:tr>
        <w:trPr>
          <w:trHeight w:val="20"/>
        </w:trPr>
        <w:tc>
          <w:tcPr>
            <w:tcW w:w="40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0" w:type="dxa"/>
            <w:vAlign w:val="bottom"/>
            <w:gridSpan w:val="3"/>
          </w:tcPr>
          <w:p>
            <w:pPr>
              <w:jc w:val="center"/>
              <w:ind w:left="310"/>
              <w:spacing w:after="0"/>
              <w:rPr>
                <w:rFonts w:ascii="Arial" w:cs="Arial" w:eastAsia="Arial" w:hAnsi="Arial"/>
                <w:sz w:val="18"/>
                <w:szCs w:val="18"/>
                <w:color w:val="0000FF"/>
                <w:w w:val="85"/>
              </w:rPr>
            </w:pPr>
            <w:hyperlink w:anchor="page17">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2</w:t>
              </w:r>
            </w:hyperlink>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760" w:type="dxa"/>
            <w:vAlign w:val="bottom"/>
            <w:gridSpan w:val="4"/>
          </w:tcPr>
          <w:p>
            <w:pPr>
              <w:spacing w:after="0"/>
              <w:rPr>
                <w:rFonts w:ascii="Arial" w:cs="Arial" w:eastAsia="Arial" w:hAnsi="Arial"/>
                <w:sz w:val="18"/>
                <w:szCs w:val="18"/>
                <w:color w:val="0000FF"/>
              </w:rPr>
            </w:pPr>
            <w:hyperlink w:anchor="page17">
              <w:r>
                <w:rPr>
                  <w:rFonts w:ascii="Arial" w:cs="Arial" w:eastAsia="Arial" w:hAnsi="Arial"/>
                  <w:sz w:val="18"/>
                  <w:szCs w:val="18"/>
                  <w:color w:val="0000FF"/>
                </w:rPr>
                <w:t>Explanation of Non-GAAP and Other Financial Measures.</w:t>
              </w:r>
            </w:hyperlink>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20" w:type="dxa"/>
            <w:vAlign w:val="bottom"/>
            <w:gridSpan w:val="3"/>
            <w:shd w:val="clear" w:color="auto" w:fill="0000FF"/>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gridSpan w:val="3"/>
          </w:tcPr>
          <w:p>
            <w:pPr>
              <w:jc w:val="center"/>
              <w:ind w:left="310"/>
              <w:spacing w:after="0"/>
              <w:rPr>
                <w:sz w:val="20"/>
                <w:szCs w:val="20"/>
                <w:color w:val="auto"/>
              </w:rPr>
            </w:pPr>
            <w:r>
              <w:rPr>
                <w:rFonts w:ascii="Arial" w:cs="Arial" w:eastAsia="Arial" w:hAnsi="Arial"/>
                <w:sz w:val="18"/>
                <w:szCs w:val="18"/>
                <w:color w:val="auto"/>
                <w:w w:val="86"/>
              </w:rPr>
              <w:t>104</w:t>
            </w: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76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087"/>
        </w:trPr>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7160" w:type="dxa"/>
            <w:vAlign w:val="bottom"/>
            <w:gridSpan w:val="2"/>
          </w:tcPr>
          <w:p>
            <w:pPr>
              <w:ind w:left="1920"/>
              <w:spacing w:after="0"/>
              <w:rPr>
                <w:sz w:val="20"/>
                <w:szCs w:val="20"/>
                <w:color w:val="auto"/>
              </w:rPr>
            </w:pPr>
            <w:r>
              <w:rPr>
                <w:rFonts w:ascii="Arial" w:cs="Arial" w:eastAsia="Arial" w:hAnsi="Arial"/>
                <w:sz w:val="18"/>
                <w:szCs w:val="18"/>
                <w:b w:val="1"/>
                <w:bCs w:val="1"/>
                <w:color w:val="auto"/>
              </w:rPr>
              <w:t>COMCAST CORPORATION</w:t>
            </w:r>
          </w:p>
        </w:tc>
      </w:tr>
      <w:tr>
        <w:trPr>
          <w:trHeight w:val="540"/>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3320" w:type="dxa"/>
            <w:vAlign w:val="bottom"/>
          </w:tcPr>
          <w:p>
            <w:pPr>
              <w:ind w:left="340"/>
              <w:spacing w:after="0"/>
              <w:rPr>
                <w:sz w:val="20"/>
                <w:szCs w:val="20"/>
                <w:color w:val="auto"/>
              </w:rPr>
            </w:pPr>
            <w:r>
              <w:rPr>
                <w:rFonts w:ascii="Arial" w:cs="Arial" w:eastAsia="Arial" w:hAnsi="Arial"/>
                <w:sz w:val="18"/>
                <w:szCs w:val="18"/>
                <w:color w:val="auto"/>
              </w:rPr>
              <w:t>April 29, 2021</w:t>
            </w:r>
          </w:p>
        </w:tc>
        <w:tc>
          <w:tcPr>
            <w:tcW w:w="7160" w:type="dxa"/>
            <w:vAlign w:val="bottom"/>
            <w:gridSpan w:val="2"/>
          </w:tcPr>
          <w:p>
            <w:pPr>
              <w:ind w:left="1920"/>
              <w:spacing w:after="0"/>
              <w:rPr>
                <w:sz w:val="20"/>
                <w:szCs w:val="20"/>
                <w:color w:val="auto"/>
              </w:rPr>
            </w:pPr>
            <w:r>
              <w:rPr>
                <w:rFonts w:ascii="Arial" w:cs="Arial" w:eastAsia="Arial" w:hAnsi="Arial"/>
                <w:sz w:val="18"/>
                <w:szCs w:val="18"/>
                <w:color w:val="auto"/>
              </w:rPr>
              <w:t>By:  /s/ Daniel C. Murdock</w:t>
            </w:r>
          </w:p>
        </w:tc>
      </w:tr>
      <w:tr>
        <w:trPr>
          <w:trHeight w:val="222"/>
        </w:trPr>
        <w:tc>
          <w:tcPr>
            <w:tcW w:w="7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8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Daniel C. Murdock</w:t>
            </w:r>
          </w:p>
        </w:tc>
      </w:tr>
      <w:tr>
        <w:trPr>
          <w:trHeight w:val="176"/>
        </w:trPr>
        <w:tc>
          <w:tcPr>
            <w:tcW w:w="74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Arial" w:cs="Arial" w:eastAsia="Arial" w:hAnsi="Arial"/>
                <w:sz w:val="18"/>
                <w:szCs w:val="18"/>
                <w:color w:val="auto"/>
              </w:rPr>
              <w:t>Executive Vice President, Chief Accounting Officer and</w:t>
            </w:r>
          </w:p>
        </w:tc>
      </w:tr>
      <w:tr>
        <w:trPr>
          <w:trHeight w:val="229"/>
        </w:trPr>
        <w:tc>
          <w:tcPr>
            <w:tcW w:w="7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Controller</w:t>
            </w:r>
          </w:p>
        </w:tc>
      </w:tr>
      <w:tr>
        <w:trPr>
          <w:trHeight w:val="230"/>
        </w:trPr>
        <w:tc>
          <w:tcPr>
            <w:tcW w:w="7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ectPr>
          <w:pgSz w:w="11900" w:h="16838" w:orient="portrait"/>
          <w:cols w:equalWidth="0" w:num="1">
            <w:col w:w="11240"/>
          </w:cols>
          <w:pgMar w:left="320" w:top="945" w:right="339" w:bottom="1440" w:gutter="0" w:footer="0" w:header="0"/>
        </w:sectPr>
      </w:pPr>
    </w:p>
    <w:bookmarkStart w:id="3" w:name="page4"/>
    <w:bookmarkEnd w:id="3"/>
    <w:p>
      <w:pPr>
        <w:ind w:left="85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465455</wp:posOffset>
            </wp:positionH>
            <wp:positionV relativeFrom="page">
              <wp:posOffset>260350</wp:posOffset>
            </wp:positionV>
            <wp:extent cx="1371600" cy="531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371600" cy="531495"/>
                    </a:xfrm>
                    <a:prstGeom prst="rect">
                      <a:avLst/>
                    </a:prstGeom>
                    <a:noFill/>
                  </pic:spPr>
                </pic:pic>
              </a:graphicData>
            </a:graphic>
          </wp:anchor>
        </w:drawing>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257175</wp:posOffset>
            </wp:positionV>
            <wp:extent cx="70980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REPORTS 1st QUARTER 2021 RESULTS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PHILADELPHIA - April 29, 2021… Comcast Corporation (NASDAQ: CMCSA) today reported results for the quarter ended March 31, 2021.</w:t>
      </w:r>
    </w:p>
    <w:p>
      <w:pPr>
        <w:spacing w:after="0" w:line="7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 xml:space="preserve">“We are off to a great start in 2021. Our entire company performed well across the board, highlighted by another strong performance from cable, which posted its third consecutive quarter of double-digit Adjusted EBITDA growth, while adding the most quarterly customer relationships in our company’s history. Outside of cable, I was also very pleased by the persistent recovery and increasing momentum at NBCUniversal and Sky. Our theme parks once again reached breakeven, excluding Universal Beijing Resort pre-opening costs; and – to the delight of our guests – we successfully re-opened Universal Studios Hollywood on April 16th. At Sky, customer relationship additions increased by 221,000, marking the best first quarter result in six years despite the lockdowns imposed throughout Europe. Across all parts of the company, our teams are executing at a high level and collaborating to drive growth and innovation, and I couldn’t be more excited about our future," </w:t>
      </w:r>
      <w:r>
        <w:rPr>
          <w:rFonts w:ascii="Arial" w:cs="Arial" w:eastAsia="Arial" w:hAnsi="Arial"/>
          <w:sz w:val="18"/>
          <w:szCs w:val="18"/>
          <w:color w:val="auto"/>
        </w:rPr>
        <w:t>commented Brian L. Roberts, Chairman and Chief Executive Officer of Comcast Corporation.</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20" w:type="dxa"/>
            <w:vAlign w:val="bottom"/>
            <w:shd w:val="clear" w:color="auto" w:fill="D9D9D6"/>
          </w:tcPr>
          <w:p>
            <w:pPr>
              <w:spacing w:after="0"/>
              <w:rPr>
                <w:sz w:val="16"/>
                <w:szCs w:val="16"/>
                <w:color w:val="auto"/>
              </w:rPr>
            </w:pPr>
          </w:p>
        </w:tc>
        <w:tc>
          <w:tcPr>
            <w:tcW w:w="800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 except per share data)</w:t>
            </w:r>
          </w:p>
        </w:tc>
        <w:tc>
          <w:tcPr>
            <w:tcW w:w="620" w:type="dxa"/>
            <w:vAlign w:val="bottom"/>
            <w:shd w:val="clear" w:color="auto" w:fill="D9D9D6"/>
          </w:tcPr>
          <w:p>
            <w:pPr>
              <w:spacing w:after="0"/>
              <w:rPr>
                <w:sz w:val="16"/>
                <w:szCs w:val="16"/>
                <w:color w:val="auto"/>
              </w:rPr>
            </w:pPr>
          </w:p>
        </w:tc>
        <w:tc>
          <w:tcPr>
            <w:tcW w:w="340" w:type="dxa"/>
            <w:vAlign w:val="bottom"/>
            <w:tcBorders>
              <w:right w:val="single" w:sz="8" w:color="D9D9D6"/>
            </w:tcBorders>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440" w:type="dxa"/>
            <w:vAlign w:val="bottom"/>
            <w:shd w:val="clear" w:color="auto" w:fill="D9D9D6"/>
          </w:tcPr>
          <w:p>
            <w:pPr>
              <w:spacing w:after="0"/>
              <w:rPr>
                <w:sz w:val="16"/>
                <w:szCs w:val="16"/>
                <w:color w:val="auto"/>
              </w:rPr>
            </w:pPr>
          </w:p>
        </w:tc>
        <w:tc>
          <w:tcPr>
            <w:tcW w:w="340" w:type="dxa"/>
            <w:vAlign w:val="bottom"/>
            <w:tcBorders>
              <w:right w:val="single" w:sz="8" w:color="D9D9D6"/>
            </w:tcBorders>
            <w:shd w:val="clear" w:color="auto" w:fill="D9D9D6"/>
          </w:tcPr>
          <w:p>
            <w:pPr>
              <w:spacing w:after="0"/>
              <w:rPr>
                <w:sz w:val="16"/>
                <w:szCs w:val="16"/>
                <w:color w:val="auto"/>
              </w:rPr>
            </w:pPr>
          </w:p>
        </w:tc>
        <w:tc>
          <w:tcPr>
            <w:tcW w:w="560" w:type="dxa"/>
            <w:vAlign w:val="bottom"/>
            <w:shd w:val="clear" w:color="auto" w:fill="D9D9D6"/>
          </w:tcPr>
          <w:p>
            <w:pPr>
              <w:spacing w:after="0"/>
              <w:rPr>
                <w:sz w:val="16"/>
                <w:szCs w:val="16"/>
                <w:color w:val="auto"/>
              </w:rPr>
            </w:pPr>
          </w:p>
        </w:tc>
        <w:tc>
          <w:tcPr>
            <w:tcW w:w="360" w:type="dxa"/>
            <w:vAlign w:val="bottom"/>
            <w:shd w:val="clear" w:color="auto" w:fill="D9D9D6"/>
          </w:tcPr>
          <w:p>
            <w:pPr>
              <w:spacing w:after="0"/>
              <w:rPr>
                <w:sz w:val="16"/>
                <w:szCs w:val="16"/>
                <w:color w:val="auto"/>
              </w:rPr>
            </w:pPr>
          </w:p>
        </w:tc>
        <w:tc>
          <w:tcPr>
            <w:tcW w:w="140" w:type="dxa"/>
            <w:vAlign w:val="bottom"/>
            <w:shd w:val="clear" w:color="auto" w:fill="D9D9D6"/>
          </w:tcPr>
          <w:p>
            <w:pPr>
              <w:spacing w:after="0"/>
              <w:rPr>
                <w:sz w:val="16"/>
                <w:szCs w:val="16"/>
                <w:color w:val="auto"/>
              </w:rPr>
            </w:pPr>
          </w:p>
        </w:tc>
        <w:tc>
          <w:tcPr>
            <w:tcW w:w="14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20" w:type="dxa"/>
            <w:vAlign w:val="bottom"/>
            <w:tcBorders>
              <w:bottom w:val="single" w:sz="8" w:color="D9D9D6"/>
            </w:tcBorders>
            <w:shd w:val="clear" w:color="auto" w:fill="D9D9D6"/>
          </w:tcPr>
          <w:p>
            <w:pPr>
              <w:spacing w:after="0"/>
              <w:rPr>
                <w:sz w:val="16"/>
                <w:szCs w:val="16"/>
                <w:color w:val="auto"/>
              </w:rPr>
            </w:pPr>
          </w:p>
        </w:tc>
        <w:tc>
          <w:tcPr>
            <w:tcW w:w="8000" w:type="dxa"/>
            <w:vAlign w:val="bottom"/>
            <w:tcBorders>
              <w:bottom w:val="single" w:sz="8" w:color="D9D9D6"/>
            </w:tcBorders>
            <w:vMerge w:val="restart"/>
            <w:shd w:val="clear" w:color="auto" w:fill="D9D9D6"/>
          </w:tcPr>
          <w:p>
            <w:pPr>
              <w:ind w:left="20"/>
              <w:spacing w:after="0"/>
              <w:rPr>
                <w:sz w:val="20"/>
                <w:szCs w:val="20"/>
                <w:color w:val="auto"/>
              </w:rPr>
            </w:pPr>
            <w:r>
              <w:rPr>
                <w:rFonts w:ascii="Arial" w:cs="Arial" w:eastAsia="Arial" w:hAnsi="Arial"/>
                <w:sz w:val="14"/>
                <w:szCs w:val="14"/>
                <w:b w:val="1"/>
                <w:bCs w:val="1"/>
                <w:color w:val="auto"/>
              </w:rPr>
              <w:t>Consolidated Results</w:t>
            </w:r>
          </w:p>
        </w:tc>
        <w:tc>
          <w:tcPr>
            <w:tcW w:w="620" w:type="dxa"/>
            <w:vAlign w:val="bottom"/>
            <w:tcBorders>
              <w:bottom w:val="single" w:sz="8" w:color="D9D9D6"/>
            </w:tcBorders>
            <w:shd w:val="clear" w:color="auto" w:fill="D9D9D6"/>
          </w:tcPr>
          <w:p>
            <w:pPr>
              <w:spacing w:after="0"/>
              <w:rPr>
                <w:sz w:val="16"/>
                <w:szCs w:val="16"/>
                <w:color w:val="auto"/>
              </w:rPr>
            </w:pPr>
          </w:p>
        </w:tc>
        <w:tc>
          <w:tcPr>
            <w:tcW w:w="340" w:type="dxa"/>
            <w:vAlign w:val="bottom"/>
            <w:tcBorders>
              <w:bottom w:val="single" w:sz="8" w:color="D9D9D6"/>
              <w:right w:val="single" w:sz="8" w:color="D9D9D6"/>
            </w:tcBorders>
            <w:shd w:val="clear" w:color="auto" w:fill="D9D9D6"/>
          </w:tcPr>
          <w:p>
            <w:pPr>
              <w:spacing w:after="0"/>
              <w:rPr>
                <w:sz w:val="16"/>
                <w:szCs w:val="16"/>
                <w:color w:val="auto"/>
              </w:rPr>
            </w:pPr>
          </w:p>
        </w:tc>
        <w:tc>
          <w:tcPr>
            <w:tcW w:w="180" w:type="dxa"/>
            <w:vAlign w:val="bottom"/>
            <w:tcBorders>
              <w:bottom w:val="single" w:sz="8" w:color="D9D9D6"/>
            </w:tcBorders>
            <w:shd w:val="clear" w:color="auto" w:fill="D9D9D6"/>
          </w:tcPr>
          <w:p>
            <w:pPr>
              <w:spacing w:after="0"/>
              <w:rPr>
                <w:sz w:val="16"/>
                <w:szCs w:val="16"/>
                <w:color w:val="auto"/>
              </w:rPr>
            </w:pPr>
          </w:p>
        </w:tc>
        <w:tc>
          <w:tcPr>
            <w:tcW w:w="780" w:type="dxa"/>
            <w:vAlign w:val="bottom"/>
            <w:tcBorders>
              <w:bottom w:val="single" w:sz="8" w:color="auto"/>
              <w:right w:val="single" w:sz="8" w:color="D9D9D6"/>
            </w:tcBorders>
            <w:gridSpan w:val="2"/>
            <w:shd w:val="clear" w:color="auto" w:fill="D9D9D6"/>
          </w:tcPr>
          <w:p>
            <w:pPr>
              <w:jc w:val="right"/>
              <w:ind w:right="60"/>
              <w:spacing w:after="0"/>
              <w:rPr>
                <w:sz w:val="20"/>
                <w:szCs w:val="20"/>
                <w:color w:val="auto"/>
              </w:rPr>
            </w:pPr>
            <w:r>
              <w:rPr>
                <w:rFonts w:ascii="Arial" w:cs="Arial" w:eastAsia="Arial" w:hAnsi="Arial"/>
                <w:sz w:val="14"/>
                <w:szCs w:val="14"/>
                <w:color w:val="auto"/>
                <w:w w:val="99"/>
              </w:rPr>
              <w:t>1st Quarter</w:t>
            </w:r>
          </w:p>
        </w:tc>
        <w:tc>
          <w:tcPr>
            <w:tcW w:w="560" w:type="dxa"/>
            <w:vAlign w:val="bottom"/>
            <w:tcBorders>
              <w:bottom w:val="single" w:sz="8" w:color="D9D9D6"/>
            </w:tcBorders>
            <w:shd w:val="clear" w:color="auto" w:fill="D9D9D6"/>
          </w:tcPr>
          <w:p>
            <w:pPr>
              <w:spacing w:after="0"/>
              <w:rPr>
                <w:sz w:val="16"/>
                <w:szCs w:val="16"/>
                <w:color w:val="auto"/>
              </w:rPr>
            </w:pPr>
          </w:p>
        </w:tc>
        <w:tc>
          <w:tcPr>
            <w:tcW w:w="360" w:type="dxa"/>
            <w:vAlign w:val="bottom"/>
            <w:tcBorders>
              <w:bottom w:val="single" w:sz="8" w:color="D9D9D6"/>
            </w:tcBorders>
            <w:shd w:val="clear" w:color="auto" w:fill="D9D9D6"/>
          </w:tcPr>
          <w:p>
            <w:pPr>
              <w:spacing w:after="0"/>
              <w:rPr>
                <w:sz w:val="16"/>
                <w:szCs w:val="16"/>
                <w:color w:val="auto"/>
              </w:rPr>
            </w:pPr>
          </w:p>
        </w:tc>
        <w:tc>
          <w:tcPr>
            <w:tcW w:w="140" w:type="dxa"/>
            <w:vAlign w:val="bottom"/>
            <w:tcBorders>
              <w:bottom w:val="single" w:sz="8" w:color="D9D9D6"/>
            </w:tcBorders>
            <w:shd w:val="clear" w:color="auto" w:fill="D9D9D6"/>
          </w:tcPr>
          <w:p>
            <w:pPr>
              <w:spacing w:after="0"/>
              <w:rPr>
                <w:sz w:val="16"/>
                <w:szCs w:val="16"/>
                <w:color w:val="auto"/>
              </w:rPr>
            </w:pPr>
          </w:p>
        </w:tc>
        <w:tc>
          <w:tcPr>
            <w:tcW w:w="140" w:type="dxa"/>
            <w:vAlign w:val="bottom"/>
            <w:tcBorders>
              <w:bottom w:val="single" w:sz="8" w:color="D9D9D6"/>
            </w:tcBorders>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0" w:type="dxa"/>
            <w:vAlign w:val="bottom"/>
            <w:shd w:val="clear" w:color="auto" w:fill="D9D9D6"/>
          </w:tcPr>
          <w:p>
            <w:pPr>
              <w:spacing w:after="0"/>
              <w:rPr>
                <w:sz w:val="14"/>
                <w:szCs w:val="14"/>
                <w:color w:val="auto"/>
              </w:rPr>
            </w:pPr>
          </w:p>
        </w:tc>
        <w:tc>
          <w:tcPr>
            <w:tcW w:w="8000" w:type="dxa"/>
            <w:vAlign w:val="bottom"/>
            <w:vMerge w:val="continue"/>
            <w:shd w:val="clear" w:color="auto" w:fill="D9D9D6"/>
          </w:tcPr>
          <w:p>
            <w:pPr>
              <w:spacing w:after="0"/>
              <w:rPr>
                <w:sz w:val="14"/>
                <w:szCs w:val="14"/>
                <w:color w:val="auto"/>
              </w:rPr>
            </w:pPr>
          </w:p>
        </w:tc>
        <w:tc>
          <w:tcPr>
            <w:tcW w:w="620" w:type="dxa"/>
            <w:vAlign w:val="bottom"/>
            <w:shd w:val="clear" w:color="auto" w:fill="D9D9D6"/>
          </w:tcPr>
          <w:p>
            <w:pPr>
              <w:spacing w:after="0"/>
              <w:rPr>
                <w:sz w:val="14"/>
                <w:szCs w:val="14"/>
                <w:color w:val="auto"/>
              </w:rPr>
            </w:pPr>
          </w:p>
        </w:tc>
        <w:tc>
          <w:tcPr>
            <w:tcW w:w="340" w:type="dxa"/>
            <w:vAlign w:val="bottom"/>
            <w:tcBorders>
              <w:right w:val="single" w:sz="8" w:color="D9D9D6"/>
            </w:tcBorders>
            <w:shd w:val="clear" w:color="auto" w:fill="D9D9D6"/>
          </w:tcPr>
          <w:p>
            <w:pPr>
              <w:jc w:val="right"/>
              <w:spacing w:after="0"/>
              <w:rPr>
                <w:sz w:val="20"/>
                <w:szCs w:val="20"/>
                <w:color w:val="auto"/>
              </w:rPr>
            </w:pPr>
            <w:r>
              <w:rPr>
                <w:rFonts w:ascii="Arial" w:cs="Arial" w:eastAsia="Arial" w:hAnsi="Arial"/>
                <w:sz w:val="14"/>
                <w:szCs w:val="14"/>
                <w:color w:val="auto"/>
                <w:w w:val="96"/>
              </w:rPr>
              <w:t>2021</w:t>
            </w:r>
          </w:p>
        </w:tc>
        <w:tc>
          <w:tcPr>
            <w:tcW w:w="960" w:type="dxa"/>
            <w:vAlign w:val="bottom"/>
            <w:tcBorders>
              <w:right w:val="single" w:sz="8" w:color="D9D9D6"/>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2020</w:t>
            </w:r>
          </w:p>
        </w:tc>
        <w:tc>
          <w:tcPr>
            <w:tcW w:w="1200" w:type="dxa"/>
            <w:vAlign w:val="bottom"/>
            <w:gridSpan w:val="4"/>
            <w:shd w:val="clear" w:color="auto" w:fill="D9D9D6"/>
          </w:tcPr>
          <w:p>
            <w:pPr>
              <w:ind w:left="5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0"/>
        </w:trPr>
        <w:tc>
          <w:tcPr>
            <w:tcW w:w="120" w:type="dxa"/>
            <w:vAlign w:val="bottom"/>
            <w:shd w:val="clear" w:color="auto" w:fill="D9D9D6"/>
          </w:tcPr>
          <w:p>
            <w:pPr>
              <w:spacing w:after="0" w:line="20" w:lineRule="exact"/>
              <w:rPr>
                <w:sz w:val="1"/>
                <w:szCs w:val="1"/>
                <w:color w:val="auto"/>
              </w:rPr>
            </w:pPr>
          </w:p>
        </w:tc>
        <w:tc>
          <w:tcPr>
            <w:tcW w:w="8000" w:type="dxa"/>
            <w:vAlign w:val="bottom"/>
            <w:shd w:val="clear" w:color="auto" w:fill="D9D9D6"/>
          </w:tcPr>
          <w:p>
            <w:pPr>
              <w:spacing w:after="0" w:line="20" w:lineRule="exact"/>
              <w:rPr>
                <w:sz w:val="1"/>
                <w:szCs w:val="1"/>
                <w:color w:val="auto"/>
              </w:rPr>
            </w:pPr>
          </w:p>
        </w:tc>
        <w:tc>
          <w:tcPr>
            <w:tcW w:w="620" w:type="dxa"/>
            <w:vAlign w:val="bottom"/>
            <w:shd w:val="clear" w:color="auto" w:fill="D9D9D6"/>
          </w:tcPr>
          <w:p>
            <w:pPr>
              <w:spacing w:after="0" w:line="20" w:lineRule="exact"/>
              <w:rPr>
                <w:sz w:val="1"/>
                <w:szCs w:val="1"/>
                <w:color w:val="auto"/>
              </w:rPr>
            </w:pPr>
          </w:p>
        </w:tc>
        <w:tc>
          <w:tcPr>
            <w:tcW w:w="340" w:type="dxa"/>
            <w:vAlign w:val="bottom"/>
            <w:tcBorders>
              <w:right w:val="single" w:sz="8" w:color="D9D9D6"/>
            </w:tcBorders>
            <w:shd w:val="clear" w:color="auto" w:fill="000000"/>
          </w:tcPr>
          <w:p>
            <w:pPr>
              <w:spacing w:after="0" w:line="20" w:lineRule="exact"/>
              <w:rPr>
                <w:sz w:val="1"/>
                <w:szCs w:val="1"/>
                <w:color w:val="auto"/>
              </w:rPr>
            </w:pPr>
          </w:p>
        </w:tc>
        <w:tc>
          <w:tcPr>
            <w:tcW w:w="180" w:type="dxa"/>
            <w:vAlign w:val="bottom"/>
            <w:shd w:val="clear" w:color="auto" w:fill="D9D9D6"/>
          </w:tcPr>
          <w:p>
            <w:pPr>
              <w:spacing w:after="0" w:line="20" w:lineRule="exact"/>
              <w:rPr>
                <w:sz w:val="1"/>
                <w:szCs w:val="1"/>
                <w:color w:val="auto"/>
              </w:rPr>
            </w:pPr>
          </w:p>
        </w:tc>
        <w:tc>
          <w:tcPr>
            <w:tcW w:w="440" w:type="dxa"/>
            <w:vAlign w:val="bottom"/>
            <w:shd w:val="clear" w:color="auto" w:fill="D9D9D6"/>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D9D9D6"/>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0" w:type="dxa"/>
            <w:vAlign w:val="bottom"/>
            <w:shd w:val="clear" w:color="auto" w:fill="D9D9D6"/>
          </w:tcPr>
          <w:p>
            <w:pPr>
              <w:spacing w:after="0"/>
              <w:rPr>
                <w:sz w:val="24"/>
                <w:szCs w:val="24"/>
                <w:color w:val="auto"/>
              </w:rPr>
            </w:pPr>
          </w:p>
        </w:tc>
        <w:tc>
          <w:tcPr>
            <w:tcW w:w="8000" w:type="dxa"/>
            <w:vAlign w:val="bottom"/>
            <w:shd w:val="clear" w:color="auto" w:fill="D9D9D6"/>
          </w:tcPr>
          <w:p>
            <w:pPr>
              <w:ind w:left="20"/>
              <w:spacing w:after="0"/>
              <w:rPr>
                <w:sz w:val="20"/>
                <w:szCs w:val="20"/>
                <w:color w:val="auto"/>
              </w:rPr>
            </w:pPr>
            <w:r>
              <w:rPr>
                <w:rFonts w:ascii="Arial" w:cs="Arial" w:eastAsia="Arial" w:hAnsi="Arial"/>
                <w:sz w:val="14"/>
                <w:szCs w:val="14"/>
                <w:color w:val="auto"/>
              </w:rPr>
              <w:t>Revenue</w:t>
            </w:r>
          </w:p>
        </w:tc>
        <w:tc>
          <w:tcPr>
            <w:tcW w:w="96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$27,205</w:t>
            </w:r>
          </w:p>
        </w:tc>
        <w:tc>
          <w:tcPr>
            <w:tcW w:w="96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$26,609</w:t>
            </w:r>
          </w:p>
        </w:tc>
        <w:tc>
          <w:tcPr>
            <w:tcW w:w="10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2.2 %</w:t>
            </w:r>
          </w:p>
        </w:tc>
        <w:tc>
          <w:tcPr>
            <w:tcW w:w="14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8000" w:type="dxa"/>
            <w:vAlign w:val="bottom"/>
            <w:shd w:val="clear" w:color="auto" w:fill="D9D9D6"/>
          </w:tcPr>
          <w:p>
            <w:pPr>
              <w:ind w:left="20"/>
              <w:spacing w:after="0"/>
              <w:rPr>
                <w:sz w:val="20"/>
                <w:szCs w:val="20"/>
                <w:color w:val="auto"/>
              </w:rPr>
            </w:pPr>
            <w:r>
              <w:rPr>
                <w:rFonts w:ascii="Arial" w:cs="Arial" w:eastAsia="Arial" w:hAnsi="Arial"/>
                <w:sz w:val="14"/>
                <w:szCs w:val="14"/>
                <w:color w:val="auto"/>
              </w:rPr>
              <w:t>Net Income Attributable to Comcast</w:t>
            </w:r>
          </w:p>
        </w:tc>
        <w:tc>
          <w:tcPr>
            <w:tcW w:w="96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$3,329</w:t>
            </w:r>
          </w:p>
        </w:tc>
        <w:tc>
          <w:tcPr>
            <w:tcW w:w="96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$2,147</w:t>
            </w:r>
          </w:p>
        </w:tc>
        <w:tc>
          <w:tcPr>
            <w:tcW w:w="10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55.1 %</w:t>
            </w:r>
          </w:p>
        </w:tc>
        <w:tc>
          <w:tcPr>
            <w:tcW w:w="14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8000" w:type="dxa"/>
            <w:vAlign w:val="bottom"/>
            <w:shd w:val="clear" w:color="auto" w:fill="D9D9D6"/>
          </w:tcPr>
          <w:p>
            <w:pPr>
              <w:ind w:left="20"/>
              <w:spacing w:after="0" w:line="189" w:lineRule="exact"/>
              <w:rPr>
                <w:sz w:val="20"/>
                <w:szCs w:val="20"/>
                <w:color w:val="auto"/>
              </w:rPr>
            </w:pPr>
            <w:r>
              <w:rPr>
                <w:rFonts w:ascii="Arial" w:cs="Arial" w:eastAsia="Arial" w:hAnsi="Arial"/>
                <w:sz w:val="14"/>
                <w:szCs w:val="14"/>
                <w:color w:val="auto"/>
              </w:rPr>
              <w:t>Adjusted Net Income</w:t>
            </w:r>
            <w:r>
              <w:rPr>
                <w:rFonts w:ascii="Arial" w:cs="Arial" w:eastAsia="Arial" w:hAnsi="Arial"/>
                <w:sz w:val="18"/>
                <w:szCs w:val="18"/>
                <w:color w:val="auto"/>
                <w:vertAlign w:val="superscript"/>
              </w:rPr>
              <w:t>1</w:t>
            </w:r>
          </w:p>
        </w:tc>
        <w:tc>
          <w:tcPr>
            <w:tcW w:w="96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$3,529</w:t>
            </w:r>
          </w:p>
        </w:tc>
        <w:tc>
          <w:tcPr>
            <w:tcW w:w="96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$3,266</w:t>
            </w:r>
          </w:p>
        </w:tc>
        <w:tc>
          <w:tcPr>
            <w:tcW w:w="10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8.1 %</w:t>
            </w:r>
          </w:p>
        </w:tc>
        <w:tc>
          <w:tcPr>
            <w:tcW w:w="14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8000" w:type="dxa"/>
            <w:vAlign w:val="bottom"/>
            <w:shd w:val="clear" w:color="auto" w:fill="D9D9D6"/>
          </w:tcPr>
          <w:p>
            <w:pPr>
              <w:ind w:left="20"/>
              <w:spacing w:after="0" w:line="189" w:lineRule="exact"/>
              <w:rPr>
                <w:sz w:val="20"/>
                <w:szCs w:val="20"/>
                <w:color w:val="auto"/>
              </w:rPr>
            </w:pPr>
            <w:r>
              <w:rPr>
                <w:rFonts w:ascii="Arial" w:cs="Arial" w:eastAsia="Arial" w:hAnsi="Arial"/>
                <w:sz w:val="14"/>
                <w:szCs w:val="14"/>
                <w:color w:val="auto"/>
              </w:rPr>
              <w:t>Adjusted EBITDA</w:t>
            </w:r>
            <w:r>
              <w:rPr>
                <w:rFonts w:ascii="Arial" w:cs="Arial" w:eastAsia="Arial" w:hAnsi="Arial"/>
                <w:sz w:val="18"/>
                <w:szCs w:val="18"/>
                <w:color w:val="auto"/>
                <w:vertAlign w:val="superscript"/>
              </w:rPr>
              <w:t>2</w:t>
            </w:r>
          </w:p>
        </w:tc>
        <w:tc>
          <w:tcPr>
            <w:tcW w:w="96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$8,413</w:t>
            </w:r>
          </w:p>
        </w:tc>
        <w:tc>
          <w:tcPr>
            <w:tcW w:w="96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$8,130</w:t>
            </w:r>
          </w:p>
        </w:tc>
        <w:tc>
          <w:tcPr>
            <w:tcW w:w="10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3.5 %</w:t>
            </w:r>
          </w:p>
        </w:tc>
        <w:tc>
          <w:tcPr>
            <w:tcW w:w="14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8000" w:type="dxa"/>
            <w:vAlign w:val="bottom"/>
            <w:shd w:val="clear" w:color="auto" w:fill="D9D9D6"/>
          </w:tcPr>
          <w:p>
            <w:pPr>
              <w:ind w:left="20"/>
              <w:spacing w:after="0" w:line="189" w:lineRule="exact"/>
              <w:rPr>
                <w:sz w:val="20"/>
                <w:szCs w:val="20"/>
                <w:color w:val="auto"/>
              </w:rPr>
            </w:pPr>
            <w:r>
              <w:rPr>
                <w:rFonts w:ascii="Arial" w:cs="Arial" w:eastAsia="Arial" w:hAnsi="Arial"/>
                <w:sz w:val="14"/>
                <w:szCs w:val="14"/>
                <w:color w:val="auto"/>
              </w:rPr>
              <w:t>Earnings per Share</w:t>
            </w:r>
            <w:r>
              <w:rPr>
                <w:rFonts w:ascii="Arial" w:cs="Arial" w:eastAsia="Arial" w:hAnsi="Arial"/>
                <w:sz w:val="18"/>
                <w:szCs w:val="18"/>
                <w:color w:val="auto"/>
                <w:vertAlign w:val="superscript"/>
              </w:rPr>
              <w:t>3</w:t>
            </w:r>
          </w:p>
        </w:tc>
        <w:tc>
          <w:tcPr>
            <w:tcW w:w="96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$0.71</w:t>
            </w:r>
          </w:p>
        </w:tc>
        <w:tc>
          <w:tcPr>
            <w:tcW w:w="96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$0.46</w:t>
            </w:r>
          </w:p>
        </w:tc>
        <w:tc>
          <w:tcPr>
            <w:tcW w:w="92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54.3</w:t>
            </w:r>
          </w:p>
        </w:tc>
        <w:tc>
          <w:tcPr>
            <w:tcW w:w="140" w:type="dxa"/>
            <w:vAlign w:val="bottom"/>
            <w:shd w:val="clear" w:color="auto" w:fill="D9D9D6"/>
          </w:tcPr>
          <w:p>
            <w:pPr>
              <w:jc w:val="right"/>
              <w:spacing w:after="0"/>
              <w:rPr>
                <w:sz w:val="20"/>
                <w:szCs w:val="20"/>
                <w:color w:val="auto"/>
              </w:rPr>
            </w:pPr>
            <w:r>
              <w:rPr>
                <w:rFonts w:ascii="Arial" w:cs="Arial" w:eastAsia="Arial" w:hAnsi="Arial"/>
                <w:sz w:val="14"/>
                <w:szCs w:val="14"/>
                <w:color w:val="auto"/>
                <w:w w:val="96"/>
              </w:rPr>
              <w:t>%</w:t>
            </w:r>
          </w:p>
        </w:tc>
        <w:tc>
          <w:tcPr>
            <w:tcW w:w="14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8000" w:type="dxa"/>
            <w:vAlign w:val="bottom"/>
            <w:shd w:val="clear" w:color="auto" w:fill="D9D9D6"/>
          </w:tcPr>
          <w:p>
            <w:pPr>
              <w:ind w:left="20"/>
              <w:spacing w:after="0" w:line="189" w:lineRule="exact"/>
              <w:rPr>
                <w:sz w:val="20"/>
                <w:szCs w:val="20"/>
                <w:color w:val="auto"/>
              </w:rPr>
            </w:pPr>
            <w:r>
              <w:rPr>
                <w:rFonts w:ascii="Arial" w:cs="Arial" w:eastAsia="Arial" w:hAnsi="Arial"/>
                <w:sz w:val="14"/>
                <w:szCs w:val="14"/>
                <w:color w:val="auto"/>
              </w:rPr>
              <w:t>Adjusted Earnings per Share</w:t>
            </w:r>
            <w:r>
              <w:rPr>
                <w:rFonts w:ascii="Arial" w:cs="Arial" w:eastAsia="Arial" w:hAnsi="Arial"/>
                <w:sz w:val="18"/>
                <w:szCs w:val="18"/>
                <w:color w:val="auto"/>
                <w:vertAlign w:val="superscript"/>
              </w:rPr>
              <w:t>1</w:t>
            </w:r>
          </w:p>
        </w:tc>
        <w:tc>
          <w:tcPr>
            <w:tcW w:w="96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$0.76</w:t>
            </w:r>
          </w:p>
        </w:tc>
        <w:tc>
          <w:tcPr>
            <w:tcW w:w="96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$0.71</w:t>
            </w:r>
          </w:p>
        </w:tc>
        <w:tc>
          <w:tcPr>
            <w:tcW w:w="92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7.0</w:t>
            </w:r>
          </w:p>
        </w:tc>
        <w:tc>
          <w:tcPr>
            <w:tcW w:w="140" w:type="dxa"/>
            <w:vAlign w:val="bottom"/>
            <w:shd w:val="clear" w:color="auto" w:fill="D9D9D6"/>
          </w:tcPr>
          <w:p>
            <w:pPr>
              <w:jc w:val="right"/>
              <w:spacing w:after="0"/>
              <w:rPr>
                <w:sz w:val="20"/>
                <w:szCs w:val="20"/>
                <w:color w:val="auto"/>
              </w:rPr>
            </w:pPr>
            <w:r>
              <w:rPr>
                <w:rFonts w:ascii="Arial" w:cs="Arial" w:eastAsia="Arial" w:hAnsi="Arial"/>
                <w:sz w:val="14"/>
                <w:szCs w:val="14"/>
                <w:color w:val="auto"/>
                <w:w w:val="96"/>
              </w:rPr>
              <w:t>%</w:t>
            </w:r>
          </w:p>
        </w:tc>
        <w:tc>
          <w:tcPr>
            <w:tcW w:w="14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20" w:type="dxa"/>
            <w:vAlign w:val="bottom"/>
            <w:shd w:val="clear" w:color="auto" w:fill="D9D9D6"/>
          </w:tcPr>
          <w:p>
            <w:pPr>
              <w:spacing w:after="0"/>
              <w:rPr>
                <w:sz w:val="16"/>
                <w:szCs w:val="16"/>
                <w:color w:val="auto"/>
              </w:rPr>
            </w:pPr>
          </w:p>
        </w:tc>
        <w:tc>
          <w:tcPr>
            <w:tcW w:w="8000" w:type="dxa"/>
            <w:vAlign w:val="bottom"/>
            <w:shd w:val="clear" w:color="auto" w:fill="D9D9D6"/>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96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$7,751</w:t>
            </w:r>
          </w:p>
        </w:tc>
        <w:tc>
          <w:tcPr>
            <w:tcW w:w="96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$5,824</w:t>
            </w:r>
          </w:p>
        </w:tc>
        <w:tc>
          <w:tcPr>
            <w:tcW w:w="92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33.1</w:t>
            </w:r>
          </w:p>
        </w:tc>
        <w:tc>
          <w:tcPr>
            <w:tcW w:w="140" w:type="dxa"/>
            <w:vAlign w:val="bottom"/>
            <w:shd w:val="clear" w:color="auto" w:fill="D9D9D6"/>
          </w:tcPr>
          <w:p>
            <w:pPr>
              <w:jc w:val="right"/>
              <w:spacing w:after="0"/>
              <w:rPr>
                <w:sz w:val="20"/>
                <w:szCs w:val="20"/>
                <w:color w:val="auto"/>
              </w:rPr>
            </w:pPr>
            <w:r>
              <w:rPr>
                <w:rFonts w:ascii="Arial" w:cs="Arial" w:eastAsia="Arial" w:hAnsi="Arial"/>
                <w:sz w:val="14"/>
                <w:szCs w:val="14"/>
                <w:color w:val="auto"/>
                <w:w w:val="96"/>
              </w:rPr>
              <w:t>%</w:t>
            </w:r>
          </w:p>
        </w:tc>
        <w:tc>
          <w:tcPr>
            <w:tcW w:w="14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20" w:type="dxa"/>
            <w:vAlign w:val="bottom"/>
            <w:shd w:val="clear" w:color="auto" w:fill="D9D9D6"/>
          </w:tcPr>
          <w:p>
            <w:pPr>
              <w:spacing w:after="0"/>
              <w:rPr>
                <w:sz w:val="16"/>
                <w:szCs w:val="16"/>
                <w:color w:val="auto"/>
              </w:rPr>
            </w:pPr>
          </w:p>
        </w:tc>
        <w:tc>
          <w:tcPr>
            <w:tcW w:w="8000" w:type="dxa"/>
            <w:vAlign w:val="bottom"/>
            <w:shd w:val="clear" w:color="auto" w:fill="D9D9D6"/>
          </w:tcPr>
          <w:p>
            <w:pPr>
              <w:ind w:left="20"/>
              <w:spacing w:after="0" w:line="188" w:lineRule="exact"/>
              <w:rPr>
                <w:sz w:val="20"/>
                <w:szCs w:val="20"/>
                <w:color w:val="auto"/>
              </w:rPr>
            </w:pPr>
            <w:r>
              <w:rPr>
                <w:rFonts w:ascii="Arial" w:cs="Arial" w:eastAsia="Arial" w:hAnsi="Arial"/>
                <w:sz w:val="14"/>
                <w:szCs w:val="14"/>
                <w:color w:val="auto"/>
              </w:rPr>
              <w:t>Free Cash Flow</w:t>
            </w:r>
            <w:r>
              <w:rPr>
                <w:rFonts w:ascii="Arial" w:cs="Arial" w:eastAsia="Arial" w:hAnsi="Arial"/>
                <w:sz w:val="18"/>
                <w:szCs w:val="18"/>
                <w:color w:val="auto"/>
                <w:vertAlign w:val="superscript"/>
              </w:rPr>
              <w:t>4</w:t>
            </w:r>
          </w:p>
        </w:tc>
        <w:tc>
          <w:tcPr>
            <w:tcW w:w="960" w:type="dxa"/>
            <w:vAlign w:val="bottom"/>
            <w:tcBorders>
              <w:right w:val="single" w:sz="8" w:color="D9D9D6"/>
            </w:tcBorders>
            <w:gridSpan w:val="2"/>
            <w:shd w:val="clear" w:color="auto" w:fill="D9D9D6"/>
          </w:tcPr>
          <w:p>
            <w:pPr>
              <w:jc w:val="right"/>
              <w:spacing w:after="0"/>
              <w:rPr>
                <w:sz w:val="20"/>
                <w:szCs w:val="20"/>
                <w:color w:val="auto"/>
              </w:rPr>
            </w:pPr>
            <w:r>
              <w:rPr>
                <w:rFonts w:ascii="Arial" w:cs="Arial" w:eastAsia="Arial" w:hAnsi="Arial"/>
                <w:sz w:val="14"/>
                <w:szCs w:val="14"/>
                <w:color w:val="auto"/>
              </w:rPr>
              <w:t>$5,280</w:t>
            </w:r>
          </w:p>
        </w:tc>
        <w:tc>
          <w:tcPr>
            <w:tcW w:w="960" w:type="dxa"/>
            <w:vAlign w:val="bottom"/>
            <w:tcBorders>
              <w:right w:val="single" w:sz="8" w:color="D9D9D6"/>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$3,325</w:t>
            </w:r>
          </w:p>
        </w:tc>
        <w:tc>
          <w:tcPr>
            <w:tcW w:w="920" w:type="dxa"/>
            <w:vAlign w:val="bottom"/>
            <w:gridSpan w:val="2"/>
            <w:shd w:val="clear" w:color="auto" w:fill="D9D9D6"/>
          </w:tcPr>
          <w:p>
            <w:pPr>
              <w:jc w:val="right"/>
              <w:ind w:right="20"/>
              <w:spacing w:after="0"/>
              <w:rPr>
                <w:sz w:val="20"/>
                <w:szCs w:val="20"/>
                <w:color w:val="auto"/>
              </w:rPr>
            </w:pPr>
            <w:r>
              <w:rPr>
                <w:rFonts w:ascii="Arial" w:cs="Arial" w:eastAsia="Arial" w:hAnsi="Arial"/>
                <w:sz w:val="14"/>
                <w:szCs w:val="14"/>
                <w:color w:val="auto"/>
              </w:rPr>
              <w:t>58.8</w:t>
            </w:r>
          </w:p>
        </w:tc>
        <w:tc>
          <w:tcPr>
            <w:tcW w:w="140" w:type="dxa"/>
            <w:vAlign w:val="bottom"/>
            <w:shd w:val="clear" w:color="auto" w:fill="D9D9D6"/>
          </w:tcPr>
          <w:p>
            <w:pPr>
              <w:jc w:val="right"/>
              <w:spacing w:after="0"/>
              <w:rPr>
                <w:sz w:val="20"/>
                <w:szCs w:val="20"/>
                <w:color w:val="auto"/>
              </w:rPr>
            </w:pPr>
            <w:r>
              <w:rPr>
                <w:rFonts w:ascii="Arial" w:cs="Arial" w:eastAsia="Arial" w:hAnsi="Arial"/>
                <w:sz w:val="14"/>
                <w:szCs w:val="14"/>
                <w:color w:val="auto"/>
                <w:w w:val="96"/>
              </w:rPr>
              <w:t>%</w:t>
            </w:r>
          </w:p>
        </w:tc>
        <w:tc>
          <w:tcPr>
            <w:tcW w:w="14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20" w:type="dxa"/>
            <w:vAlign w:val="bottom"/>
            <w:shd w:val="clear" w:color="auto" w:fill="D9D9D6"/>
          </w:tcPr>
          <w:p>
            <w:pPr>
              <w:spacing w:after="0"/>
              <w:rPr>
                <w:sz w:val="4"/>
                <w:szCs w:val="4"/>
                <w:color w:val="auto"/>
              </w:rPr>
            </w:pPr>
          </w:p>
        </w:tc>
        <w:tc>
          <w:tcPr>
            <w:tcW w:w="8000" w:type="dxa"/>
            <w:vAlign w:val="bottom"/>
            <w:shd w:val="clear" w:color="auto" w:fill="D9D9D6"/>
          </w:tcPr>
          <w:p>
            <w:pPr>
              <w:spacing w:after="0"/>
              <w:rPr>
                <w:sz w:val="4"/>
                <w:szCs w:val="4"/>
                <w:color w:val="auto"/>
              </w:rPr>
            </w:pPr>
          </w:p>
        </w:tc>
        <w:tc>
          <w:tcPr>
            <w:tcW w:w="620" w:type="dxa"/>
            <w:vAlign w:val="bottom"/>
            <w:shd w:val="clear" w:color="auto" w:fill="D9D9D6"/>
          </w:tcPr>
          <w:p>
            <w:pPr>
              <w:spacing w:after="0"/>
              <w:rPr>
                <w:sz w:val="4"/>
                <w:szCs w:val="4"/>
                <w:color w:val="auto"/>
              </w:rPr>
            </w:pPr>
          </w:p>
        </w:tc>
        <w:tc>
          <w:tcPr>
            <w:tcW w:w="340" w:type="dxa"/>
            <w:vAlign w:val="bottom"/>
            <w:tcBorders>
              <w:right w:val="single" w:sz="8" w:color="D9D9D6"/>
            </w:tcBorders>
            <w:shd w:val="clear" w:color="auto" w:fill="D9D9D6"/>
          </w:tcPr>
          <w:p>
            <w:pPr>
              <w:spacing w:after="0"/>
              <w:rPr>
                <w:sz w:val="4"/>
                <w:szCs w:val="4"/>
                <w:color w:val="auto"/>
              </w:rPr>
            </w:pPr>
          </w:p>
        </w:tc>
        <w:tc>
          <w:tcPr>
            <w:tcW w:w="180" w:type="dxa"/>
            <w:vAlign w:val="bottom"/>
            <w:shd w:val="clear" w:color="auto" w:fill="D9D9D6"/>
          </w:tcPr>
          <w:p>
            <w:pPr>
              <w:spacing w:after="0"/>
              <w:rPr>
                <w:sz w:val="4"/>
                <w:szCs w:val="4"/>
                <w:color w:val="auto"/>
              </w:rPr>
            </w:pPr>
          </w:p>
        </w:tc>
        <w:tc>
          <w:tcPr>
            <w:tcW w:w="440" w:type="dxa"/>
            <w:vAlign w:val="bottom"/>
            <w:shd w:val="clear" w:color="auto" w:fill="D9D9D6"/>
          </w:tcPr>
          <w:p>
            <w:pPr>
              <w:spacing w:after="0"/>
              <w:rPr>
                <w:sz w:val="4"/>
                <w:szCs w:val="4"/>
                <w:color w:val="auto"/>
              </w:rPr>
            </w:pPr>
          </w:p>
        </w:tc>
        <w:tc>
          <w:tcPr>
            <w:tcW w:w="340" w:type="dxa"/>
            <w:vAlign w:val="bottom"/>
            <w:tcBorders>
              <w:right w:val="single" w:sz="8" w:color="D9D9D6"/>
            </w:tcBorders>
            <w:shd w:val="clear" w:color="auto" w:fill="D9D9D6"/>
          </w:tcPr>
          <w:p>
            <w:pPr>
              <w:spacing w:after="0"/>
              <w:rPr>
                <w:sz w:val="4"/>
                <w:szCs w:val="4"/>
                <w:color w:val="auto"/>
              </w:rPr>
            </w:pPr>
          </w:p>
        </w:tc>
        <w:tc>
          <w:tcPr>
            <w:tcW w:w="560" w:type="dxa"/>
            <w:vAlign w:val="bottom"/>
            <w:shd w:val="clear" w:color="auto" w:fill="D9D9D6"/>
          </w:tcPr>
          <w:p>
            <w:pPr>
              <w:spacing w:after="0"/>
              <w:rPr>
                <w:sz w:val="4"/>
                <w:szCs w:val="4"/>
                <w:color w:val="auto"/>
              </w:rPr>
            </w:pPr>
          </w:p>
        </w:tc>
        <w:tc>
          <w:tcPr>
            <w:tcW w:w="360" w:type="dxa"/>
            <w:vAlign w:val="bottom"/>
            <w:shd w:val="clear" w:color="auto" w:fill="D9D9D6"/>
          </w:tcPr>
          <w:p>
            <w:pPr>
              <w:spacing w:after="0"/>
              <w:rPr>
                <w:sz w:val="4"/>
                <w:szCs w:val="4"/>
                <w:color w:val="auto"/>
              </w:rPr>
            </w:pPr>
          </w:p>
        </w:tc>
        <w:tc>
          <w:tcPr>
            <w:tcW w:w="140" w:type="dxa"/>
            <w:vAlign w:val="bottom"/>
            <w:shd w:val="clear" w:color="auto" w:fill="D9D9D6"/>
          </w:tcPr>
          <w:p>
            <w:pPr>
              <w:spacing w:after="0"/>
              <w:rPr>
                <w:sz w:val="4"/>
                <w:szCs w:val="4"/>
                <w:color w:val="auto"/>
              </w:rPr>
            </w:pPr>
          </w:p>
        </w:tc>
        <w:tc>
          <w:tcPr>
            <w:tcW w:w="140" w:type="dxa"/>
            <w:vAlign w:val="bottom"/>
            <w:shd w:val="clear" w:color="auto" w:fill="D9D9D6"/>
          </w:tcPr>
          <w:p>
            <w:pPr>
              <w:spacing w:after="0"/>
              <w:rPr>
                <w:sz w:val="4"/>
                <w:szCs w:val="4"/>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For additional detail on segment revenue and expenses, customer metrics, capital expenditures, and free cash flow, please refer to the trending schedules on Comcast’s Investor Relations website at www.cmcsa.com.</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1st Quarter 2021 Highlights:</w:t>
      </w:r>
    </w:p>
    <w:p>
      <w:pPr>
        <w:spacing w:after="0" w:line="45" w:lineRule="exact"/>
        <w:rPr>
          <w:sz w:val="20"/>
          <w:szCs w:val="20"/>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Consolidated Adjusted EBITDA Increased 3.5%; Adjusted EPS Increased 7.0% to $0.76; Generated Free Cash Flow of $5.3 Billion</w:t>
      </w:r>
    </w:p>
    <w:p>
      <w:pPr>
        <w:spacing w:after="0" w:line="22" w:lineRule="exact"/>
        <w:rPr>
          <w:rFonts w:ascii="Arial" w:cs="Arial" w:eastAsia="Arial" w:hAnsi="Arial"/>
          <w:sz w:val="18"/>
          <w:szCs w:val="18"/>
          <w:color w:val="auto"/>
        </w:rPr>
      </w:pPr>
    </w:p>
    <w:p>
      <w:pPr>
        <w:ind w:left="340" w:hanging="332"/>
        <w:spacing w:after="0" w:line="261"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Customer Relationships Across Cable Communications and Sky Increased 3.3% Year-Over-Year to 56.9 Million, Including Net Additions of 602,000 in the Quarter</w:t>
      </w:r>
    </w:p>
    <w:p>
      <w:pPr>
        <w:spacing w:after="0" w:line="8" w:lineRule="exact"/>
        <w:rPr>
          <w:rFonts w:ascii="Arial" w:cs="Arial" w:eastAsia="Arial" w:hAnsi="Arial"/>
          <w:sz w:val="18"/>
          <w:szCs w:val="18"/>
          <w:color w:val="auto"/>
        </w:rPr>
      </w:pPr>
    </w:p>
    <w:p>
      <w:pPr>
        <w:ind w:left="340" w:right="20" w:hanging="332"/>
        <w:spacing w:after="0" w:line="258"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Cable Communications Total Customer Relationship Net Additions Were 380,000, the Best First Quarter Result on Record; Total Broadband Customer Net Additions Were 461,000</w:t>
      </w: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Cable Communications Adjusted EBITDA Increased 12.4% and Adjusted EBITDA per Customer Relationship Increased 7.0%</w:t>
      </w:r>
    </w:p>
    <w:p>
      <w:pPr>
        <w:spacing w:after="0" w:line="22" w:lineRule="exact"/>
        <w:rPr>
          <w:rFonts w:ascii="Arial" w:cs="Arial" w:eastAsia="Arial" w:hAnsi="Arial"/>
          <w:sz w:val="18"/>
          <w:szCs w:val="18"/>
          <w:color w:val="auto"/>
        </w:rPr>
      </w:pPr>
    </w:p>
    <w:p>
      <w:pPr>
        <w:ind w:left="340" w:hanging="332"/>
        <w:spacing w:after="0" w:line="261"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Cable Communications’ Wireless Business Reached Breakeven for the First Time Since Launch in 2017; Total Customer Line Net Additions Were 278,000, the Best Quarterly Result on Record</w:t>
      </w:r>
    </w:p>
    <w:p>
      <w:pPr>
        <w:spacing w:after="0" w:line="8" w:lineRule="exact"/>
        <w:rPr>
          <w:rFonts w:ascii="Arial" w:cs="Arial" w:eastAsia="Arial" w:hAnsi="Arial"/>
          <w:sz w:val="18"/>
          <w:szCs w:val="18"/>
          <w:color w:val="auto"/>
        </w:rPr>
      </w:pPr>
    </w:p>
    <w:p>
      <w:pPr>
        <w:ind w:left="340" w:hanging="332"/>
        <w:spacing w:after="0" w:line="258"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Marked the 10 Year Anniversary of Cable Communications’ Internet Essentials Program and Continued to Invest in Lift Zones, Comcast Rise, and Other Important Programs That Help Close the Digital Divide and Increase Equity in the Communities in Which We Serve</w:t>
      </w: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Theme Parks Reached Breakeven for the Second Consecutive Quarter Excluding Universal Beijing Resort Pre-Opening Costs</w:t>
      </w:r>
    </w:p>
    <w:p>
      <w:pPr>
        <w:spacing w:after="0" w:line="22" w:lineRule="exact"/>
        <w:rPr>
          <w:rFonts w:ascii="Arial" w:cs="Arial" w:eastAsia="Arial" w:hAnsi="Arial"/>
          <w:sz w:val="18"/>
          <w:szCs w:val="18"/>
          <w:color w:val="auto"/>
        </w:rPr>
      </w:pPr>
    </w:p>
    <w:p>
      <w:pPr>
        <w:ind w:left="340" w:hanging="332"/>
        <w:spacing w:after="0" w:line="261"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Peacock Has 42 Million Sign-Ups to Date Across the U.S., Benefiting from the Recent Addition of Exclusive Domestic Streaming Rights to WWE Network and </w:t>
      </w:r>
      <w:r>
        <w:rPr>
          <w:rFonts w:ascii="Arial" w:cs="Arial" w:eastAsia="Arial" w:hAnsi="Arial"/>
          <w:sz w:val="18"/>
          <w:szCs w:val="18"/>
          <w:i w:val="1"/>
          <w:iCs w:val="1"/>
          <w:color w:val="auto"/>
        </w:rPr>
        <w:t>The Office</w:t>
      </w:r>
    </w:p>
    <w:p>
      <w:pPr>
        <w:spacing w:after="0" w:line="8" w:lineRule="exact"/>
        <w:rPr>
          <w:rFonts w:ascii="Arial" w:cs="Arial" w:eastAsia="Arial" w:hAnsi="Arial"/>
          <w:sz w:val="18"/>
          <w:szCs w:val="18"/>
          <w:color w:val="auto"/>
        </w:rPr>
      </w:pPr>
    </w:p>
    <w:p>
      <w:pPr>
        <w:ind w:left="340" w:hanging="332"/>
        <w:spacing w:after="0" w:line="258"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Sky Launched ‘Sky Connect’ to Provide Small Businesses in the U.K. with a Better Broadband Experience; Utilized Cable Communications’ Award-Winning Portfolio of Solutions and Services in the U.S.</w:t>
      </w:r>
    </w:p>
    <w:p>
      <w:pPr>
        <w:jc w:val="both"/>
        <w:ind w:left="340" w:hanging="332"/>
        <w:spacing w:after="0" w:line="256"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Amid Renewed Lock-Downs in Europe During the Quarter, Sky Total Customer Relationships Increased by 221,000 to 23.4 Million, the Best First Quarter Result in Six Years; Revenue Increased 10.6%, or 2.0% On a Constant Currency Basis, Led by Growth in Our U.K. Market</w:t>
      </w:r>
    </w:p>
    <w:p>
      <w:pPr>
        <w:sectPr>
          <w:pgSz w:w="11900" w:h="16838" w:orient="portrait"/>
          <w:cols w:equalWidth="0" w:num="1">
            <w:col w:w="11240"/>
          </w:cols>
          <w:pgMar w:left="320" w:top="733"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Consolidated Financial Results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the first quarter of 2021 increased 2.2% to $27.2 billion.</w:t>
      </w:r>
      <w:r>
        <w:rPr>
          <w:rFonts w:ascii="Arial" w:cs="Arial" w:eastAsia="Arial" w:hAnsi="Arial"/>
          <w:sz w:val="18"/>
          <w:szCs w:val="18"/>
          <w:b w:val="1"/>
          <w:bCs w:val="1"/>
          <w:i w:val="1"/>
          <w:iCs w:val="1"/>
          <w:color w:val="auto"/>
        </w:rPr>
        <w:t xml:space="preserve"> Net Income Attributable to Comcast </w:t>
      </w:r>
      <w:r>
        <w:rPr>
          <w:rFonts w:ascii="Arial" w:cs="Arial" w:eastAsia="Arial" w:hAnsi="Arial"/>
          <w:sz w:val="18"/>
          <w:szCs w:val="18"/>
          <w:color w:val="auto"/>
        </w:rPr>
        <w:t>increased 55.1% to $3.3 billion.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Adjusted Net Income </w:t>
      </w:r>
      <w:r>
        <w:rPr>
          <w:rFonts w:ascii="Arial" w:cs="Arial" w:eastAsia="Arial" w:hAnsi="Arial"/>
          <w:sz w:val="18"/>
          <w:szCs w:val="18"/>
          <w:color w:val="auto"/>
        </w:rPr>
        <w:t>increased 8.1% to $3.5 billion.</w:t>
      </w:r>
      <w:r>
        <w:rPr>
          <w:rFonts w:ascii="Arial" w:cs="Arial" w:eastAsia="Arial" w:hAnsi="Arial"/>
          <w:sz w:val="18"/>
          <w:szCs w:val="18"/>
          <w:b w:val="1"/>
          <w:bCs w:val="1"/>
          <w:i w:val="1"/>
          <w:iCs w:val="1"/>
          <w:color w:val="auto"/>
        </w:rPr>
        <w:t xml:space="preserve"> Adjusted EBITDA </w:t>
      </w:r>
      <w:r>
        <w:rPr>
          <w:rFonts w:ascii="Arial" w:cs="Arial" w:eastAsia="Arial" w:hAnsi="Arial"/>
          <w:sz w:val="18"/>
          <w:szCs w:val="18"/>
          <w:color w:val="auto"/>
        </w:rPr>
        <w:t>increased 3.5% to $8.4 billion.</w:t>
      </w:r>
    </w:p>
    <w:p>
      <w:pPr>
        <w:spacing w:after="0" w:line="23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 xml:space="preserve">Earnings per Share (EPS) </w:t>
      </w:r>
      <w:r>
        <w:rPr>
          <w:rFonts w:ascii="Arial" w:cs="Arial" w:eastAsia="Arial" w:hAnsi="Arial"/>
          <w:sz w:val="18"/>
          <w:szCs w:val="18"/>
          <w:color w:val="auto"/>
        </w:rPr>
        <w:t>for the first quarter of 2021 was $0.71, an increase of 54.3% compared to the first quarter of 2020.</w:t>
      </w:r>
      <w:r>
        <w:rPr>
          <w:rFonts w:ascii="Arial" w:cs="Arial" w:eastAsia="Arial" w:hAnsi="Arial"/>
          <w:sz w:val="18"/>
          <w:szCs w:val="18"/>
          <w:b w:val="1"/>
          <w:bCs w:val="1"/>
          <w:i w:val="1"/>
          <w:iCs w:val="1"/>
          <w:color w:val="auto"/>
        </w:rPr>
        <w:t xml:space="preserve"> Adjusted EPS </w:t>
      </w:r>
      <w:r>
        <w:rPr>
          <w:rFonts w:ascii="Arial" w:cs="Arial" w:eastAsia="Arial" w:hAnsi="Arial"/>
          <w:sz w:val="18"/>
          <w:szCs w:val="18"/>
          <w:color w:val="auto"/>
        </w:rPr>
        <w:t>increased 7.0% to $0.76.</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decreased 1.2% to $1.9 billion in the first quarter of 2021. Cable Communications’ capital expenditures 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8.0% to $1.4 billion. NBCUniversal’s capital expenditures decreased 54.4% to $172 million. Sky's capital expenditures increased 37.6% to $271 million.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Net Cash Provided by Operating Activities </w:t>
      </w:r>
      <w:r>
        <w:rPr>
          <w:rFonts w:ascii="Arial" w:cs="Arial" w:eastAsia="Arial" w:hAnsi="Arial"/>
          <w:sz w:val="18"/>
          <w:szCs w:val="18"/>
          <w:color w:val="auto"/>
        </w:rPr>
        <w:t>was $7.8 billion in the first quarter of 2021.</w:t>
      </w:r>
      <w:r>
        <w:rPr>
          <w:rFonts w:ascii="Arial" w:cs="Arial" w:eastAsia="Arial" w:hAnsi="Arial"/>
          <w:sz w:val="18"/>
          <w:szCs w:val="18"/>
          <w:b w:val="1"/>
          <w:bCs w:val="1"/>
          <w:i w:val="1"/>
          <w:iCs w:val="1"/>
          <w:color w:val="auto"/>
        </w:rPr>
        <w:t xml:space="preserve"> Free Cash Flow </w:t>
      </w:r>
      <w:r>
        <w:rPr>
          <w:rFonts w:ascii="Arial" w:cs="Arial" w:eastAsia="Arial" w:hAnsi="Arial"/>
          <w:sz w:val="18"/>
          <w:szCs w:val="18"/>
          <w:color w:val="auto"/>
        </w:rPr>
        <w:t>was $5.3 billion.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paid during the first quarter of 2021 totaled $1.1 billion.</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151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20" w:type="dxa"/>
            <w:vAlign w:val="bottom"/>
            <w:shd w:val="clear" w:color="auto" w:fill="D9D9D6"/>
          </w:tcPr>
          <w:p>
            <w:pPr>
              <w:spacing w:after="0"/>
              <w:rPr>
                <w:sz w:val="16"/>
                <w:szCs w:val="16"/>
                <w:color w:val="auto"/>
              </w:rPr>
            </w:pPr>
          </w:p>
        </w:tc>
        <w:tc>
          <w:tcPr>
            <w:tcW w:w="756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84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640" w:type="dxa"/>
            <w:vAlign w:val="bottom"/>
            <w:shd w:val="clear" w:color="auto" w:fill="D9D9D6"/>
          </w:tcPr>
          <w:p>
            <w:pPr>
              <w:spacing w:after="0"/>
              <w:rPr>
                <w:sz w:val="16"/>
                <w:szCs w:val="16"/>
                <w:color w:val="auto"/>
              </w:rPr>
            </w:pPr>
          </w:p>
        </w:tc>
        <w:tc>
          <w:tcPr>
            <w:tcW w:w="80" w:type="dxa"/>
            <w:vAlign w:val="bottom"/>
            <w:shd w:val="clear" w:color="auto" w:fill="D9D9D6"/>
          </w:tcPr>
          <w:p>
            <w:pPr>
              <w:spacing w:after="0"/>
              <w:rPr>
                <w:sz w:val="16"/>
                <w:szCs w:val="16"/>
                <w:color w:val="auto"/>
              </w:rPr>
            </w:pPr>
          </w:p>
        </w:tc>
        <w:tc>
          <w:tcPr>
            <w:tcW w:w="24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58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20" w:type="dxa"/>
            <w:vAlign w:val="bottom"/>
            <w:tcBorders>
              <w:bottom w:val="single" w:sz="8" w:color="D9D9D6"/>
            </w:tcBorders>
            <w:shd w:val="clear" w:color="auto" w:fill="D9D9D6"/>
          </w:tcPr>
          <w:p>
            <w:pPr>
              <w:spacing w:after="0"/>
              <w:rPr>
                <w:sz w:val="16"/>
                <w:szCs w:val="16"/>
                <w:color w:val="auto"/>
              </w:rPr>
            </w:pPr>
          </w:p>
        </w:tc>
        <w:tc>
          <w:tcPr>
            <w:tcW w:w="7560" w:type="dxa"/>
            <w:vAlign w:val="bottom"/>
            <w:tcBorders>
              <w:bottom w:val="single" w:sz="8" w:color="D9D9D6"/>
            </w:tcBorders>
            <w:shd w:val="clear" w:color="auto" w:fill="D9D9D6"/>
          </w:tcPr>
          <w:p>
            <w:pPr>
              <w:spacing w:after="0"/>
              <w:rPr>
                <w:sz w:val="16"/>
                <w:szCs w:val="16"/>
                <w:color w:val="auto"/>
              </w:rPr>
            </w:pPr>
          </w:p>
        </w:tc>
        <w:tc>
          <w:tcPr>
            <w:tcW w:w="840" w:type="dxa"/>
            <w:vAlign w:val="bottom"/>
            <w:tcBorders>
              <w:bottom w:val="single" w:sz="8" w:color="D9D9D6"/>
            </w:tcBorders>
            <w:shd w:val="clear" w:color="auto" w:fill="D9D9D6"/>
          </w:tcPr>
          <w:p>
            <w:pPr>
              <w:spacing w:after="0"/>
              <w:rPr>
                <w:sz w:val="16"/>
                <w:szCs w:val="16"/>
                <w:color w:val="auto"/>
              </w:rPr>
            </w:pPr>
          </w:p>
        </w:tc>
        <w:tc>
          <w:tcPr>
            <w:tcW w:w="320" w:type="dxa"/>
            <w:vAlign w:val="bottom"/>
            <w:tcBorders>
              <w:bottom w:val="single" w:sz="8" w:color="D9D9D6"/>
            </w:tcBorders>
            <w:shd w:val="clear" w:color="auto" w:fill="D9D9D6"/>
          </w:tcPr>
          <w:p>
            <w:pPr>
              <w:spacing w:after="0"/>
              <w:rPr>
                <w:sz w:val="16"/>
                <w:szCs w:val="16"/>
                <w:color w:val="auto"/>
              </w:rPr>
            </w:pPr>
          </w:p>
        </w:tc>
        <w:tc>
          <w:tcPr>
            <w:tcW w:w="20" w:type="dxa"/>
            <w:vAlign w:val="bottom"/>
            <w:tcBorders>
              <w:bottom w:val="single" w:sz="8" w:color="D9D9D6"/>
            </w:tcBorders>
            <w:shd w:val="clear" w:color="auto" w:fill="D9D9D6"/>
          </w:tcPr>
          <w:p>
            <w:pPr>
              <w:spacing w:after="0"/>
              <w:rPr>
                <w:sz w:val="16"/>
                <w:szCs w:val="16"/>
                <w:color w:val="auto"/>
              </w:rPr>
            </w:pPr>
          </w:p>
        </w:tc>
        <w:tc>
          <w:tcPr>
            <w:tcW w:w="180" w:type="dxa"/>
            <w:vAlign w:val="bottom"/>
            <w:tcBorders>
              <w:bottom w:val="single" w:sz="8" w:color="D9D9D6"/>
            </w:tcBorders>
            <w:shd w:val="clear" w:color="auto" w:fill="D9D9D6"/>
          </w:tcPr>
          <w:p>
            <w:pPr>
              <w:spacing w:after="0"/>
              <w:rPr>
                <w:sz w:val="16"/>
                <w:szCs w:val="16"/>
                <w:color w:val="auto"/>
              </w:rPr>
            </w:pPr>
          </w:p>
        </w:tc>
        <w:tc>
          <w:tcPr>
            <w:tcW w:w="720" w:type="dxa"/>
            <w:vAlign w:val="bottom"/>
            <w:tcBorders>
              <w:bottom w:val="single" w:sz="8" w:color="auto"/>
            </w:tcBorders>
            <w:gridSpan w:val="2"/>
            <w:shd w:val="clear" w:color="auto" w:fill="D9D9D6"/>
          </w:tcPr>
          <w:p>
            <w:pPr>
              <w:spacing w:after="0"/>
              <w:rPr>
                <w:sz w:val="20"/>
                <w:szCs w:val="20"/>
                <w:color w:val="auto"/>
              </w:rPr>
            </w:pPr>
            <w:r>
              <w:rPr>
                <w:rFonts w:ascii="Arial" w:cs="Arial" w:eastAsia="Arial" w:hAnsi="Arial"/>
                <w:sz w:val="14"/>
                <w:szCs w:val="14"/>
                <w:color w:val="auto"/>
                <w:w w:val="99"/>
              </w:rPr>
              <w:t>1st Quarter</w:t>
            </w:r>
          </w:p>
        </w:tc>
        <w:tc>
          <w:tcPr>
            <w:tcW w:w="260" w:type="dxa"/>
            <w:vAlign w:val="bottom"/>
            <w:tcBorders>
              <w:bottom w:val="single" w:sz="8" w:color="D9D9D6"/>
            </w:tcBorders>
            <w:gridSpan w:val="2"/>
            <w:shd w:val="clear" w:color="auto" w:fill="D9D9D6"/>
          </w:tcPr>
          <w:p>
            <w:pPr>
              <w:spacing w:after="0"/>
              <w:rPr>
                <w:sz w:val="16"/>
                <w:szCs w:val="16"/>
                <w:color w:val="auto"/>
              </w:rPr>
            </w:pPr>
          </w:p>
        </w:tc>
        <w:tc>
          <w:tcPr>
            <w:tcW w:w="580" w:type="dxa"/>
            <w:vAlign w:val="bottom"/>
            <w:tcBorders>
              <w:bottom w:val="single" w:sz="8" w:color="D9D9D6"/>
            </w:tcBorders>
            <w:shd w:val="clear" w:color="auto" w:fill="D9D9D6"/>
          </w:tcPr>
          <w:p>
            <w:pPr>
              <w:spacing w:after="0"/>
              <w:rPr>
                <w:sz w:val="16"/>
                <w:szCs w:val="16"/>
                <w:color w:val="auto"/>
              </w:rPr>
            </w:pPr>
          </w:p>
        </w:tc>
        <w:tc>
          <w:tcPr>
            <w:tcW w:w="320" w:type="dxa"/>
            <w:vAlign w:val="bottom"/>
            <w:tcBorders>
              <w:bottom w:val="single" w:sz="8" w:color="D9D9D6"/>
            </w:tcBorders>
            <w:shd w:val="clear" w:color="auto" w:fill="D9D9D6"/>
          </w:tcPr>
          <w:p>
            <w:pPr>
              <w:spacing w:after="0"/>
              <w:rPr>
                <w:sz w:val="16"/>
                <w:szCs w:val="16"/>
                <w:color w:val="auto"/>
              </w:rPr>
            </w:pPr>
          </w:p>
        </w:tc>
        <w:tc>
          <w:tcPr>
            <w:tcW w:w="180" w:type="dxa"/>
            <w:vAlign w:val="bottom"/>
            <w:tcBorders>
              <w:bottom w:val="single" w:sz="8" w:color="D9D9D6"/>
            </w:tcBorders>
            <w:shd w:val="clear" w:color="auto" w:fill="D9D9D6"/>
          </w:tcPr>
          <w:p>
            <w:pPr>
              <w:spacing w:after="0"/>
              <w:rPr>
                <w:sz w:val="16"/>
                <w:szCs w:val="16"/>
                <w:color w:val="auto"/>
              </w:rPr>
            </w:pPr>
          </w:p>
        </w:tc>
        <w:tc>
          <w:tcPr>
            <w:tcW w:w="20" w:type="dxa"/>
            <w:vAlign w:val="bottom"/>
            <w:tcBorders>
              <w:bottom w:val="single" w:sz="8" w:color="D9D9D6"/>
            </w:tcBorders>
            <w:shd w:val="clear" w:color="auto" w:fill="D9D9D6"/>
          </w:tcPr>
          <w:p>
            <w:pPr>
              <w:spacing w:after="0"/>
              <w:rPr>
                <w:sz w:val="16"/>
                <w:szCs w:val="16"/>
                <w:color w:val="auto"/>
              </w:rPr>
            </w:pPr>
          </w:p>
        </w:tc>
        <w:tc>
          <w:tcPr>
            <w:tcW w:w="120" w:type="dxa"/>
            <w:vAlign w:val="bottom"/>
            <w:tcBorders>
              <w:bottom w:val="single" w:sz="8" w:color="D9D9D6"/>
            </w:tcBorders>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0" w:type="dxa"/>
            <w:vAlign w:val="bottom"/>
            <w:shd w:val="clear" w:color="auto" w:fill="D9D9D6"/>
          </w:tcPr>
          <w:p>
            <w:pPr>
              <w:spacing w:after="0"/>
              <w:rPr>
                <w:sz w:val="14"/>
                <w:szCs w:val="14"/>
                <w:color w:val="auto"/>
              </w:rPr>
            </w:pPr>
          </w:p>
        </w:tc>
        <w:tc>
          <w:tcPr>
            <w:tcW w:w="7560" w:type="dxa"/>
            <w:vAlign w:val="bottom"/>
            <w:vMerge w:val="restart"/>
            <w:shd w:val="clear" w:color="auto" w:fill="D9D9D6"/>
          </w:tcPr>
          <w:p>
            <w:pPr>
              <w:ind w:left="20"/>
              <w:spacing w:after="0"/>
              <w:rPr>
                <w:sz w:val="20"/>
                <w:szCs w:val="20"/>
                <w:color w:val="auto"/>
              </w:rPr>
            </w:pPr>
            <w:r>
              <w:rPr>
                <w:rFonts w:ascii="Arial" w:cs="Arial" w:eastAsia="Arial" w:hAnsi="Arial"/>
                <w:sz w:val="14"/>
                <w:szCs w:val="14"/>
                <w:b w:val="1"/>
                <w:bCs w:val="1"/>
                <w:color w:val="auto"/>
              </w:rPr>
              <w:t>Cable Communications Revenue</w:t>
            </w:r>
          </w:p>
        </w:tc>
        <w:tc>
          <w:tcPr>
            <w:tcW w:w="11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2021</w:t>
            </w:r>
          </w:p>
        </w:tc>
        <w:tc>
          <w:tcPr>
            <w:tcW w:w="116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2020</w:t>
            </w:r>
          </w:p>
        </w:tc>
        <w:tc>
          <w:tcPr>
            <w:tcW w:w="1220" w:type="dxa"/>
            <w:vAlign w:val="bottom"/>
            <w:gridSpan w:val="5"/>
            <w:shd w:val="clear" w:color="auto" w:fill="D9D9D6"/>
          </w:tcPr>
          <w:p>
            <w:pPr>
              <w:ind w:left="58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96"/>
        </w:trPr>
        <w:tc>
          <w:tcPr>
            <w:tcW w:w="120" w:type="dxa"/>
            <w:vAlign w:val="bottom"/>
            <w:tcBorders>
              <w:top w:val="single" w:sz="8" w:color="D9D9D6"/>
            </w:tcBorders>
            <w:shd w:val="clear" w:color="auto" w:fill="D9D9D6"/>
          </w:tcPr>
          <w:p>
            <w:pPr>
              <w:spacing w:after="0"/>
              <w:rPr>
                <w:sz w:val="17"/>
                <w:szCs w:val="17"/>
                <w:color w:val="auto"/>
              </w:rPr>
            </w:pPr>
          </w:p>
        </w:tc>
        <w:tc>
          <w:tcPr>
            <w:tcW w:w="7560" w:type="dxa"/>
            <w:vAlign w:val="bottom"/>
            <w:tcBorders>
              <w:top w:val="single" w:sz="8" w:color="D9D9D6"/>
            </w:tcBorders>
            <w:vMerge w:val="continue"/>
            <w:shd w:val="clear" w:color="auto" w:fill="D9D9D6"/>
          </w:tcPr>
          <w:p>
            <w:pPr>
              <w:spacing w:after="0"/>
              <w:rPr>
                <w:sz w:val="17"/>
                <w:szCs w:val="17"/>
                <w:color w:val="auto"/>
              </w:rPr>
            </w:pPr>
          </w:p>
        </w:tc>
        <w:tc>
          <w:tcPr>
            <w:tcW w:w="84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180" w:type="dxa"/>
            <w:vAlign w:val="bottom"/>
            <w:tcBorders>
              <w:top w:val="single" w:sz="8" w:color="D9D9D6"/>
            </w:tcBorders>
            <w:shd w:val="clear" w:color="auto" w:fill="D9D9D6"/>
          </w:tcPr>
          <w:p>
            <w:pPr>
              <w:spacing w:after="0"/>
              <w:rPr>
                <w:sz w:val="17"/>
                <w:szCs w:val="17"/>
                <w:color w:val="auto"/>
              </w:rPr>
            </w:pPr>
          </w:p>
        </w:tc>
        <w:tc>
          <w:tcPr>
            <w:tcW w:w="640" w:type="dxa"/>
            <w:vAlign w:val="bottom"/>
            <w:tcBorders>
              <w:top w:val="single" w:sz="8" w:color="D9D9D6"/>
            </w:tcBorders>
            <w:shd w:val="clear" w:color="auto" w:fill="D9D9D6"/>
          </w:tcPr>
          <w:p>
            <w:pPr>
              <w:spacing w:after="0"/>
              <w:rPr>
                <w:sz w:val="17"/>
                <w:szCs w:val="17"/>
                <w:color w:val="auto"/>
              </w:rPr>
            </w:pPr>
          </w:p>
        </w:tc>
        <w:tc>
          <w:tcPr>
            <w:tcW w:w="80" w:type="dxa"/>
            <w:vAlign w:val="bottom"/>
            <w:tcBorders>
              <w:top w:val="single" w:sz="8" w:color="auto"/>
            </w:tcBorders>
            <w:shd w:val="clear" w:color="auto" w:fill="D9D9D6"/>
          </w:tcPr>
          <w:p>
            <w:pPr>
              <w:spacing w:after="0"/>
              <w:rPr>
                <w:sz w:val="17"/>
                <w:szCs w:val="17"/>
                <w:color w:val="auto"/>
              </w:rPr>
            </w:pPr>
          </w:p>
        </w:tc>
        <w:tc>
          <w:tcPr>
            <w:tcW w:w="24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58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18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120" w:type="dxa"/>
            <w:vAlign w:val="bottom"/>
            <w:tcBorders>
              <w:top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7560" w:type="dxa"/>
            <w:vAlign w:val="bottom"/>
            <w:shd w:val="clear" w:color="auto" w:fill="D9D9D6"/>
          </w:tcPr>
          <w:p>
            <w:pPr>
              <w:ind w:left="140"/>
              <w:spacing w:after="0"/>
              <w:rPr>
                <w:sz w:val="20"/>
                <w:szCs w:val="20"/>
                <w:color w:val="auto"/>
              </w:rPr>
            </w:pPr>
            <w:r>
              <w:rPr>
                <w:rFonts w:ascii="Arial" w:cs="Arial" w:eastAsia="Arial" w:hAnsi="Arial"/>
                <w:sz w:val="14"/>
                <w:szCs w:val="14"/>
                <w:color w:val="auto"/>
              </w:rPr>
              <w:t>Broadband</w:t>
            </w:r>
          </w:p>
        </w:tc>
        <w:tc>
          <w:tcPr>
            <w:tcW w:w="11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$5,600</w:t>
            </w:r>
          </w:p>
        </w:tc>
        <w:tc>
          <w:tcPr>
            <w:tcW w:w="116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$5,001</w:t>
            </w:r>
          </w:p>
        </w:tc>
        <w:tc>
          <w:tcPr>
            <w:tcW w:w="90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12.0</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7560" w:type="dxa"/>
            <w:vAlign w:val="bottom"/>
            <w:shd w:val="clear" w:color="auto" w:fill="D9D9D6"/>
          </w:tcPr>
          <w:p>
            <w:pPr>
              <w:ind w:left="140"/>
              <w:spacing w:after="0"/>
              <w:rPr>
                <w:sz w:val="20"/>
                <w:szCs w:val="20"/>
                <w:color w:val="auto"/>
              </w:rPr>
            </w:pPr>
            <w:r>
              <w:rPr>
                <w:rFonts w:ascii="Arial" w:cs="Arial" w:eastAsia="Arial" w:hAnsi="Arial"/>
                <w:sz w:val="14"/>
                <w:szCs w:val="14"/>
                <w:color w:val="auto"/>
              </w:rPr>
              <w:t>Video</w:t>
            </w:r>
          </w:p>
        </w:tc>
        <w:tc>
          <w:tcPr>
            <w:tcW w:w="11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5,623</w:t>
            </w:r>
          </w:p>
        </w:tc>
        <w:tc>
          <w:tcPr>
            <w:tcW w:w="116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5,632</w:t>
            </w:r>
          </w:p>
        </w:tc>
        <w:tc>
          <w:tcPr>
            <w:tcW w:w="90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(0.2</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0" w:type="dxa"/>
            <w:vAlign w:val="bottom"/>
            <w:shd w:val="clear" w:color="auto" w:fill="D9D9D6"/>
          </w:tcPr>
          <w:p>
            <w:pPr>
              <w:spacing w:after="0"/>
              <w:rPr>
                <w:sz w:val="16"/>
                <w:szCs w:val="16"/>
                <w:color w:val="auto"/>
              </w:rPr>
            </w:pPr>
          </w:p>
        </w:tc>
        <w:tc>
          <w:tcPr>
            <w:tcW w:w="7560" w:type="dxa"/>
            <w:vAlign w:val="bottom"/>
            <w:shd w:val="clear" w:color="auto" w:fill="D9D9D6"/>
          </w:tcPr>
          <w:p>
            <w:pPr>
              <w:ind w:left="140"/>
              <w:spacing w:after="0"/>
              <w:rPr>
                <w:sz w:val="20"/>
                <w:szCs w:val="20"/>
                <w:color w:val="auto"/>
              </w:rPr>
            </w:pPr>
            <w:r>
              <w:rPr>
                <w:rFonts w:ascii="Arial" w:cs="Arial" w:eastAsia="Arial" w:hAnsi="Arial"/>
                <w:sz w:val="14"/>
                <w:szCs w:val="14"/>
                <w:color w:val="auto"/>
              </w:rPr>
              <w:t>Voice</w:t>
            </w:r>
          </w:p>
        </w:tc>
        <w:tc>
          <w:tcPr>
            <w:tcW w:w="11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871</w:t>
            </w:r>
          </w:p>
        </w:tc>
        <w:tc>
          <w:tcPr>
            <w:tcW w:w="116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899</w:t>
            </w:r>
          </w:p>
        </w:tc>
        <w:tc>
          <w:tcPr>
            <w:tcW w:w="90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(3.1</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7560" w:type="dxa"/>
            <w:vAlign w:val="bottom"/>
            <w:shd w:val="clear" w:color="auto" w:fill="D9D9D6"/>
          </w:tcPr>
          <w:p>
            <w:pPr>
              <w:ind w:left="140"/>
              <w:spacing w:after="0"/>
              <w:rPr>
                <w:sz w:val="20"/>
                <w:szCs w:val="20"/>
                <w:color w:val="auto"/>
              </w:rPr>
            </w:pPr>
            <w:r>
              <w:rPr>
                <w:rFonts w:ascii="Arial" w:cs="Arial" w:eastAsia="Arial" w:hAnsi="Arial"/>
                <w:sz w:val="14"/>
                <w:szCs w:val="14"/>
                <w:color w:val="auto"/>
              </w:rPr>
              <w:t>Wireless</w:t>
            </w:r>
          </w:p>
        </w:tc>
        <w:tc>
          <w:tcPr>
            <w:tcW w:w="11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513</w:t>
            </w:r>
          </w:p>
        </w:tc>
        <w:tc>
          <w:tcPr>
            <w:tcW w:w="116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343</w:t>
            </w:r>
          </w:p>
        </w:tc>
        <w:tc>
          <w:tcPr>
            <w:tcW w:w="90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49.7</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7560" w:type="dxa"/>
            <w:vAlign w:val="bottom"/>
            <w:shd w:val="clear" w:color="auto" w:fill="D9D9D6"/>
          </w:tcPr>
          <w:p>
            <w:pPr>
              <w:ind w:left="140"/>
              <w:spacing w:after="0"/>
              <w:rPr>
                <w:sz w:val="20"/>
                <w:szCs w:val="20"/>
                <w:color w:val="auto"/>
              </w:rPr>
            </w:pPr>
            <w:r>
              <w:rPr>
                <w:rFonts w:ascii="Arial" w:cs="Arial" w:eastAsia="Arial" w:hAnsi="Arial"/>
                <w:sz w:val="14"/>
                <w:szCs w:val="14"/>
                <w:color w:val="auto"/>
              </w:rPr>
              <w:t>Business Services</w:t>
            </w:r>
          </w:p>
        </w:tc>
        <w:tc>
          <w:tcPr>
            <w:tcW w:w="11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2,167</w:t>
            </w:r>
          </w:p>
        </w:tc>
        <w:tc>
          <w:tcPr>
            <w:tcW w:w="116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2,043</w:t>
            </w:r>
          </w:p>
        </w:tc>
        <w:tc>
          <w:tcPr>
            <w:tcW w:w="90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6.1</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7560" w:type="dxa"/>
            <w:vAlign w:val="bottom"/>
            <w:shd w:val="clear" w:color="auto" w:fill="D9D9D6"/>
          </w:tcPr>
          <w:p>
            <w:pPr>
              <w:ind w:left="140"/>
              <w:spacing w:after="0"/>
              <w:rPr>
                <w:sz w:val="20"/>
                <w:szCs w:val="20"/>
                <w:color w:val="auto"/>
              </w:rPr>
            </w:pPr>
            <w:r>
              <w:rPr>
                <w:rFonts w:ascii="Arial" w:cs="Arial" w:eastAsia="Arial" w:hAnsi="Arial"/>
                <w:sz w:val="14"/>
                <w:szCs w:val="14"/>
                <w:color w:val="auto"/>
              </w:rPr>
              <w:t>Advertising</w:t>
            </w:r>
          </w:p>
        </w:tc>
        <w:tc>
          <w:tcPr>
            <w:tcW w:w="11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618</w:t>
            </w:r>
          </w:p>
        </w:tc>
        <w:tc>
          <w:tcPr>
            <w:tcW w:w="116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557</w:t>
            </w:r>
          </w:p>
        </w:tc>
        <w:tc>
          <w:tcPr>
            <w:tcW w:w="90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10.8</w:t>
            </w:r>
          </w:p>
        </w:tc>
        <w:tc>
          <w:tcPr>
            <w:tcW w:w="180" w:type="dxa"/>
            <w:vAlign w:val="bottom"/>
            <w:shd w:val="clear" w:color="auto" w:fill="D9D9D6"/>
          </w:tcPr>
          <w:p>
            <w:pPr>
              <w:spacing w:after="0"/>
              <w:rPr>
                <w:sz w:val="20"/>
                <w:szCs w:val="20"/>
                <w:color w:val="auto"/>
              </w:rPr>
            </w:pPr>
            <w:r>
              <w:rPr>
                <w:rFonts w:ascii="Arial" w:cs="Arial" w:eastAsia="Arial" w:hAnsi="Arial"/>
                <w:sz w:val="14"/>
                <w:szCs w:val="14"/>
                <w:color w:val="auto"/>
              </w:rPr>
              <w:t>%</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20" w:type="dxa"/>
            <w:vAlign w:val="bottom"/>
            <w:tcBorders>
              <w:bottom w:val="single" w:sz="8" w:color="D9D9D6"/>
            </w:tcBorders>
            <w:shd w:val="clear" w:color="auto" w:fill="D9D9D6"/>
          </w:tcPr>
          <w:p>
            <w:pPr>
              <w:spacing w:after="0"/>
              <w:rPr>
                <w:sz w:val="16"/>
                <w:szCs w:val="16"/>
                <w:color w:val="auto"/>
              </w:rPr>
            </w:pPr>
          </w:p>
        </w:tc>
        <w:tc>
          <w:tcPr>
            <w:tcW w:w="756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Other</w:t>
            </w:r>
          </w:p>
        </w:tc>
        <w:tc>
          <w:tcPr>
            <w:tcW w:w="118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413</w:t>
            </w:r>
          </w:p>
        </w:tc>
        <w:tc>
          <w:tcPr>
            <w:tcW w:w="1160" w:type="dxa"/>
            <w:vAlign w:val="bottom"/>
            <w:tcBorders>
              <w:bottom w:val="single" w:sz="8" w:color="auto"/>
            </w:tcBorders>
            <w:gridSpan w:val="5"/>
            <w:shd w:val="clear" w:color="auto" w:fill="D9D9D6"/>
          </w:tcPr>
          <w:p>
            <w:pPr>
              <w:jc w:val="right"/>
              <w:ind w:right="20"/>
              <w:spacing w:after="0"/>
              <w:rPr>
                <w:sz w:val="20"/>
                <w:szCs w:val="20"/>
                <w:color w:val="auto"/>
              </w:rPr>
            </w:pPr>
            <w:r>
              <w:rPr>
                <w:rFonts w:ascii="Arial" w:cs="Arial" w:eastAsia="Arial" w:hAnsi="Arial"/>
                <w:sz w:val="14"/>
                <w:szCs w:val="14"/>
                <w:color w:val="auto"/>
              </w:rPr>
              <w:t>443</w:t>
            </w:r>
          </w:p>
        </w:tc>
        <w:tc>
          <w:tcPr>
            <w:tcW w:w="90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(6.7</w:t>
            </w:r>
          </w:p>
        </w:tc>
        <w:tc>
          <w:tcPr>
            <w:tcW w:w="180" w:type="dxa"/>
            <w:vAlign w:val="bottom"/>
            <w:tcBorders>
              <w:bottom w:val="single" w:sz="8" w:color="auto"/>
            </w:tcBorders>
            <w:shd w:val="clear" w:color="auto" w:fill="D9D9D6"/>
          </w:tcPr>
          <w:p>
            <w:pPr>
              <w:spacing w:after="0"/>
              <w:rPr>
                <w:sz w:val="20"/>
                <w:szCs w:val="20"/>
                <w:color w:val="auto"/>
              </w:rPr>
            </w:pPr>
            <w:r>
              <w:rPr>
                <w:rFonts w:ascii="Arial" w:cs="Arial" w:eastAsia="Arial" w:hAnsi="Arial"/>
                <w:sz w:val="14"/>
                <w:szCs w:val="14"/>
                <w:color w:val="auto"/>
                <w:w w:val="93"/>
              </w:rPr>
              <w:t>%)</w:t>
            </w:r>
          </w:p>
        </w:tc>
        <w:tc>
          <w:tcPr>
            <w:tcW w:w="20" w:type="dxa"/>
            <w:vAlign w:val="bottom"/>
            <w:tcBorders>
              <w:bottom w:val="single" w:sz="8" w:color="auto"/>
            </w:tcBorders>
            <w:shd w:val="clear" w:color="auto" w:fill="D9D9D6"/>
          </w:tcPr>
          <w:p>
            <w:pPr>
              <w:spacing w:after="0"/>
              <w:rPr>
                <w:sz w:val="16"/>
                <w:szCs w:val="16"/>
                <w:color w:val="auto"/>
              </w:rPr>
            </w:pPr>
          </w:p>
        </w:tc>
        <w:tc>
          <w:tcPr>
            <w:tcW w:w="120" w:type="dxa"/>
            <w:vAlign w:val="bottom"/>
            <w:tcBorders>
              <w:bottom w:val="single" w:sz="8" w:color="D9D9D6"/>
            </w:tcBorders>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0" w:type="dxa"/>
            <w:vAlign w:val="bottom"/>
            <w:shd w:val="clear" w:color="auto" w:fill="D9D9D6"/>
          </w:tcPr>
          <w:p>
            <w:pPr>
              <w:spacing w:after="0"/>
              <w:rPr>
                <w:sz w:val="15"/>
                <w:szCs w:val="15"/>
                <w:color w:val="auto"/>
              </w:rPr>
            </w:pPr>
          </w:p>
        </w:tc>
        <w:tc>
          <w:tcPr>
            <w:tcW w:w="756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Cable Communications Revenue</w:t>
            </w:r>
          </w:p>
        </w:tc>
        <w:tc>
          <w:tcPr>
            <w:tcW w:w="11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$15,805</w:t>
            </w:r>
          </w:p>
        </w:tc>
        <w:tc>
          <w:tcPr>
            <w:tcW w:w="116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$14,918</w:t>
            </w:r>
          </w:p>
        </w:tc>
        <w:tc>
          <w:tcPr>
            <w:tcW w:w="90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5.9</w:t>
            </w:r>
          </w:p>
        </w:tc>
        <w:tc>
          <w:tcPr>
            <w:tcW w:w="180" w:type="dxa"/>
            <w:vAlign w:val="bottom"/>
            <w:shd w:val="clear" w:color="auto" w:fill="D9D9D6"/>
          </w:tcPr>
          <w:p>
            <w:pPr>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120" w:type="dxa"/>
            <w:vAlign w:val="bottom"/>
            <w:shd w:val="clear" w:color="auto" w:fill="D9D9D6"/>
          </w:tcPr>
          <w:p>
            <w:pPr>
              <w:spacing w:after="0"/>
              <w:rPr>
                <w:sz w:val="24"/>
                <w:szCs w:val="24"/>
                <w:color w:val="auto"/>
              </w:rPr>
            </w:pPr>
          </w:p>
        </w:tc>
        <w:tc>
          <w:tcPr>
            <w:tcW w:w="756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Cable Communications Adjusted EBITDA</w:t>
            </w:r>
          </w:p>
        </w:tc>
        <w:tc>
          <w:tcPr>
            <w:tcW w:w="11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$6,830</w:t>
            </w:r>
          </w:p>
        </w:tc>
        <w:tc>
          <w:tcPr>
            <w:tcW w:w="116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$6,076</w:t>
            </w:r>
          </w:p>
        </w:tc>
        <w:tc>
          <w:tcPr>
            <w:tcW w:w="108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12.4 %</w:t>
            </w: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7560" w:type="dxa"/>
            <w:vAlign w:val="bottom"/>
            <w:shd w:val="clear" w:color="auto" w:fill="D9D9D6"/>
          </w:tcPr>
          <w:p>
            <w:pPr>
              <w:ind w:left="140"/>
              <w:spacing w:after="0"/>
              <w:rPr>
                <w:sz w:val="20"/>
                <w:szCs w:val="20"/>
                <w:color w:val="auto"/>
              </w:rPr>
            </w:pPr>
            <w:r>
              <w:rPr>
                <w:rFonts w:ascii="Arial" w:cs="Arial" w:eastAsia="Arial" w:hAnsi="Arial"/>
                <w:sz w:val="14"/>
                <w:szCs w:val="14"/>
                <w:i w:val="1"/>
                <w:iCs w:val="1"/>
                <w:color w:val="auto"/>
              </w:rPr>
              <w:t>Adjusted EBITDA Margin</w:t>
            </w:r>
          </w:p>
        </w:tc>
        <w:tc>
          <w:tcPr>
            <w:tcW w:w="1160" w:type="dxa"/>
            <w:vAlign w:val="bottom"/>
            <w:gridSpan w:val="2"/>
            <w:shd w:val="clear" w:color="auto" w:fill="D9D9D6"/>
          </w:tcPr>
          <w:p>
            <w:pPr>
              <w:jc w:val="right"/>
              <w:spacing w:after="0"/>
              <w:rPr>
                <w:sz w:val="20"/>
                <w:szCs w:val="20"/>
                <w:color w:val="auto"/>
              </w:rPr>
            </w:pPr>
            <w:r>
              <w:rPr>
                <w:rFonts w:ascii="Arial" w:cs="Arial" w:eastAsia="Arial" w:hAnsi="Arial"/>
                <w:sz w:val="14"/>
                <w:szCs w:val="14"/>
                <w:i w:val="1"/>
                <w:iCs w:val="1"/>
                <w:color w:val="auto"/>
              </w:rPr>
              <w:t>43.2 %</w:t>
            </w:r>
          </w:p>
        </w:tc>
        <w:tc>
          <w:tcPr>
            <w:tcW w:w="20" w:type="dxa"/>
            <w:vAlign w:val="bottom"/>
            <w:shd w:val="clear" w:color="auto" w:fill="D9D9D6"/>
          </w:tcPr>
          <w:p>
            <w:pPr>
              <w:spacing w:after="0"/>
              <w:rPr>
                <w:sz w:val="16"/>
                <w:szCs w:val="16"/>
                <w:color w:val="auto"/>
              </w:rPr>
            </w:pPr>
          </w:p>
        </w:tc>
        <w:tc>
          <w:tcPr>
            <w:tcW w:w="1140" w:type="dxa"/>
            <w:vAlign w:val="bottom"/>
            <w:gridSpan w:val="4"/>
            <w:shd w:val="clear" w:color="auto" w:fill="D9D9D6"/>
          </w:tcPr>
          <w:p>
            <w:pPr>
              <w:jc w:val="right"/>
              <w:spacing w:after="0"/>
              <w:rPr>
                <w:sz w:val="20"/>
                <w:szCs w:val="20"/>
                <w:color w:val="auto"/>
              </w:rPr>
            </w:pPr>
            <w:r>
              <w:rPr>
                <w:rFonts w:ascii="Arial" w:cs="Arial" w:eastAsia="Arial" w:hAnsi="Arial"/>
                <w:sz w:val="14"/>
                <w:szCs w:val="14"/>
                <w:i w:val="1"/>
                <w:iCs w:val="1"/>
                <w:color w:val="auto"/>
              </w:rPr>
              <w:t>40.7 %</w:t>
            </w:r>
          </w:p>
        </w:tc>
        <w:tc>
          <w:tcPr>
            <w:tcW w:w="20" w:type="dxa"/>
            <w:vAlign w:val="bottom"/>
            <w:shd w:val="clear" w:color="auto" w:fill="D9D9D6"/>
          </w:tcPr>
          <w:p>
            <w:pPr>
              <w:spacing w:after="0"/>
              <w:rPr>
                <w:sz w:val="16"/>
                <w:szCs w:val="16"/>
                <w:color w:val="auto"/>
              </w:rPr>
            </w:pPr>
          </w:p>
        </w:tc>
        <w:tc>
          <w:tcPr>
            <w:tcW w:w="58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120" w:type="dxa"/>
            <w:vAlign w:val="bottom"/>
            <w:shd w:val="clear" w:color="auto" w:fill="D9D9D6"/>
          </w:tcPr>
          <w:p>
            <w:pPr>
              <w:spacing w:after="0"/>
              <w:rPr>
                <w:sz w:val="24"/>
                <w:szCs w:val="24"/>
                <w:color w:val="auto"/>
              </w:rPr>
            </w:pPr>
          </w:p>
        </w:tc>
        <w:tc>
          <w:tcPr>
            <w:tcW w:w="756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Cable Communications Capital Expenditures</w:t>
            </w:r>
          </w:p>
        </w:tc>
        <w:tc>
          <w:tcPr>
            <w:tcW w:w="11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$1,370</w:t>
            </w:r>
          </w:p>
        </w:tc>
        <w:tc>
          <w:tcPr>
            <w:tcW w:w="1160" w:type="dxa"/>
            <w:vAlign w:val="bottom"/>
            <w:gridSpan w:val="5"/>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$1,269</w:t>
            </w:r>
          </w:p>
        </w:tc>
        <w:tc>
          <w:tcPr>
            <w:tcW w:w="108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8.0 %</w:t>
            </w: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7560" w:type="dxa"/>
            <w:vAlign w:val="bottom"/>
            <w:shd w:val="clear" w:color="auto" w:fill="D9D9D6"/>
          </w:tcPr>
          <w:p>
            <w:pPr>
              <w:ind w:left="140"/>
              <w:spacing w:after="0"/>
              <w:rPr>
                <w:sz w:val="20"/>
                <w:szCs w:val="20"/>
                <w:color w:val="auto"/>
              </w:rPr>
            </w:pPr>
            <w:r>
              <w:rPr>
                <w:rFonts w:ascii="Arial" w:cs="Arial" w:eastAsia="Arial" w:hAnsi="Arial"/>
                <w:sz w:val="14"/>
                <w:szCs w:val="14"/>
                <w:i w:val="1"/>
                <w:iCs w:val="1"/>
                <w:color w:val="auto"/>
              </w:rPr>
              <w:t>Percent of Cable Communications Revenue</w:t>
            </w:r>
          </w:p>
        </w:tc>
        <w:tc>
          <w:tcPr>
            <w:tcW w:w="1160" w:type="dxa"/>
            <w:vAlign w:val="bottom"/>
            <w:gridSpan w:val="2"/>
            <w:shd w:val="clear" w:color="auto" w:fill="D9D9D6"/>
          </w:tcPr>
          <w:p>
            <w:pPr>
              <w:jc w:val="right"/>
              <w:spacing w:after="0"/>
              <w:rPr>
                <w:sz w:val="20"/>
                <w:szCs w:val="20"/>
                <w:color w:val="auto"/>
              </w:rPr>
            </w:pPr>
            <w:r>
              <w:rPr>
                <w:rFonts w:ascii="Arial" w:cs="Arial" w:eastAsia="Arial" w:hAnsi="Arial"/>
                <w:sz w:val="14"/>
                <w:szCs w:val="14"/>
                <w:i w:val="1"/>
                <w:iCs w:val="1"/>
                <w:color w:val="auto"/>
              </w:rPr>
              <w:t>8.7 %</w:t>
            </w:r>
          </w:p>
        </w:tc>
        <w:tc>
          <w:tcPr>
            <w:tcW w:w="20" w:type="dxa"/>
            <w:vAlign w:val="bottom"/>
            <w:shd w:val="clear" w:color="auto" w:fill="D9D9D6"/>
          </w:tcPr>
          <w:p>
            <w:pPr>
              <w:spacing w:after="0"/>
              <w:rPr>
                <w:sz w:val="16"/>
                <w:szCs w:val="16"/>
                <w:color w:val="auto"/>
              </w:rPr>
            </w:pPr>
          </w:p>
        </w:tc>
        <w:tc>
          <w:tcPr>
            <w:tcW w:w="1140" w:type="dxa"/>
            <w:vAlign w:val="bottom"/>
            <w:gridSpan w:val="4"/>
            <w:shd w:val="clear" w:color="auto" w:fill="D9D9D6"/>
          </w:tcPr>
          <w:p>
            <w:pPr>
              <w:jc w:val="right"/>
              <w:spacing w:after="0"/>
              <w:rPr>
                <w:sz w:val="20"/>
                <w:szCs w:val="20"/>
                <w:color w:val="auto"/>
              </w:rPr>
            </w:pPr>
            <w:r>
              <w:rPr>
                <w:rFonts w:ascii="Arial" w:cs="Arial" w:eastAsia="Arial" w:hAnsi="Arial"/>
                <w:sz w:val="14"/>
                <w:szCs w:val="14"/>
                <w:i w:val="1"/>
                <w:iCs w:val="1"/>
                <w:color w:val="auto"/>
              </w:rPr>
              <w:t>8.5 %</w:t>
            </w:r>
          </w:p>
        </w:tc>
        <w:tc>
          <w:tcPr>
            <w:tcW w:w="20" w:type="dxa"/>
            <w:vAlign w:val="bottom"/>
            <w:shd w:val="clear" w:color="auto" w:fill="D9D9D6"/>
          </w:tcPr>
          <w:p>
            <w:pPr>
              <w:spacing w:after="0"/>
              <w:rPr>
                <w:sz w:val="16"/>
                <w:szCs w:val="16"/>
                <w:color w:val="auto"/>
              </w:rPr>
            </w:pPr>
          </w:p>
        </w:tc>
        <w:tc>
          <w:tcPr>
            <w:tcW w:w="58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20" w:type="dxa"/>
            <w:vAlign w:val="bottom"/>
            <w:shd w:val="clear" w:color="auto" w:fill="D9D9D6"/>
          </w:tcPr>
          <w:p>
            <w:pPr>
              <w:spacing w:after="0"/>
              <w:rPr>
                <w:sz w:val="8"/>
                <w:szCs w:val="8"/>
                <w:color w:val="auto"/>
              </w:rPr>
            </w:pPr>
          </w:p>
        </w:tc>
        <w:tc>
          <w:tcPr>
            <w:tcW w:w="7560" w:type="dxa"/>
            <w:vAlign w:val="bottom"/>
            <w:shd w:val="clear" w:color="auto" w:fill="D9D9D6"/>
          </w:tcPr>
          <w:p>
            <w:pPr>
              <w:spacing w:after="0"/>
              <w:rPr>
                <w:sz w:val="8"/>
                <w:szCs w:val="8"/>
                <w:color w:val="auto"/>
              </w:rPr>
            </w:pPr>
          </w:p>
        </w:tc>
        <w:tc>
          <w:tcPr>
            <w:tcW w:w="840" w:type="dxa"/>
            <w:vAlign w:val="bottom"/>
            <w:shd w:val="clear" w:color="auto" w:fill="D9D9D6"/>
          </w:tcPr>
          <w:p>
            <w:pPr>
              <w:spacing w:after="0"/>
              <w:rPr>
                <w:sz w:val="8"/>
                <w:szCs w:val="8"/>
                <w:color w:val="auto"/>
              </w:rPr>
            </w:pPr>
          </w:p>
        </w:tc>
        <w:tc>
          <w:tcPr>
            <w:tcW w:w="32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180" w:type="dxa"/>
            <w:vAlign w:val="bottom"/>
            <w:shd w:val="clear" w:color="auto" w:fill="D9D9D6"/>
          </w:tcPr>
          <w:p>
            <w:pPr>
              <w:spacing w:after="0"/>
              <w:rPr>
                <w:sz w:val="8"/>
                <w:szCs w:val="8"/>
                <w:color w:val="auto"/>
              </w:rPr>
            </w:pPr>
          </w:p>
        </w:tc>
        <w:tc>
          <w:tcPr>
            <w:tcW w:w="640" w:type="dxa"/>
            <w:vAlign w:val="bottom"/>
            <w:shd w:val="clear" w:color="auto" w:fill="D9D9D6"/>
          </w:tcPr>
          <w:p>
            <w:pPr>
              <w:spacing w:after="0"/>
              <w:rPr>
                <w:sz w:val="8"/>
                <w:szCs w:val="8"/>
                <w:color w:val="auto"/>
              </w:rPr>
            </w:pPr>
          </w:p>
        </w:tc>
        <w:tc>
          <w:tcPr>
            <w:tcW w:w="80" w:type="dxa"/>
            <w:vAlign w:val="bottom"/>
            <w:shd w:val="clear" w:color="auto" w:fill="D9D9D6"/>
          </w:tcPr>
          <w:p>
            <w:pPr>
              <w:spacing w:after="0"/>
              <w:rPr>
                <w:sz w:val="8"/>
                <w:szCs w:val="8"/>
                <w:color w:val="auto"/>
              </w:rPr>
            </w:pPr>
          </w:p>
        </w:tc>
        <w:tc>
          <w:tcPr>
            <w:tcW w:w="24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580" w:type="dxa"/>
            <w:vAlign w:val="bottom"/>
            <w:shd w:val="clear" w:color="auto" w:fill="D9D9D6"/>
          </w:tcPr>
          <w:p>
            <w:pPr>
              <w:spacing w:after="0"/>
              <w:rPr>
                <w:sz w:val="8"/>
                <w:szCs w:val="8"/>
                <w:color w:val="auto"/>
              </w:rPr>
            </w:pPr>
          </w:p>
        </w:tc>
        <w:tc>
          <w:tcPr>
            <w:tcW w:w="320" w:type="dxa"/>
            <w:vAlign w:val="bottom"/>
            <w:shd w:val="clear" w:color="auto" w:fill="D9D9D6"/>
          </w:tcPr>
          <w:p>
            <w:pPr>
              <w:spacing w:after="0"/>
              <w:rPr>
                <w:sz w:val="8"/>
                <w:szCs w:val="8"/>
                <w:color w:val="auto"/>
              </w:rPr>
            </w:pPr>
          </w:p>
        </w:tc>
        <w:tc>
          <w:tcPr>
            <w:tcW w:w="180" w:type="dxa"/>
            <w:vAlign w:val="bottom"/>
            <w:shd w:val="clear" w:color="auto" w:fill="D9D9D6"/>
          </w:tcPr>
          <w:p>
            <w:pPr>
              <w:spacing w:after="0"/>
              <w:rPr>
                <w:sz w:val="8"/>
                <w:szCs w:val="8"/>
                <w:color w:val="auto"/>
              </w:rPr>
            </w:pPr>
          </w:p>
        </w:tc>
        <w:tc>
          <w:tcPr>
            <w:tcW w:w="20" w:type="dxa"/>
            <w:vAlign w:val="bottom"/>
            <w:shd w:val="clear" w:color="auto" w:fill="D9D9D6"/>
          </w:tcPr>
          <w:p>
            <w:pPr>
              <w:spacing w:after="0"/>
              <w:rPr>
                <w:sz w:val="8"/>
                <w:szCs w:val="8"/>
                <w:color w:val="auto"/>
              </w:rPr>
            </w:pPr>
          </w:p>
        </w:tc>
        <w:tc>
          <w:tcPr>
            <w:tcW w:w="120" w:type="dxa"/>
            <w:vAlign w:val="bottom"/>
            <w:shd w:val="clear" w:color="auto" w:fill="D9D9D6"/>
          </w:tcPr>
          <w:p>
            <w:pPr>
              <w:spacing w:after="0"/>
              <w:rPr>
                <w:sz w:val="8"/>
                <w:szCs w:val="8"/>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Cable Communications increased 5.9% to $15.8 billion in the first quarter of 2021, driven by increases in broadband, wireless,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services and advertising revenue, partially offset by decreases in other and voice revenue. Broadband revenue increased 12.0% due to an increase in the number of residential broadband customers and an increase in average rates. Wireless revenue increased 49.7% due to an increase in the number of customer lines and an increase in device sales. Business services revenue increased 6.1%, reflecting an increase in average rates and an increase in the number of customers receiving our services. Advertising revenue increased 10.8%, primarily reflecting higher revenue from our advanced advertising businesses and from recent acquisitions. Excluding political advertising revenue, advertising revenue increased 13.3%. Voice revenue decreased 3.1%, primarily reflecting a decrease in the number of residential voice customers. Other revenue decreased 6.7%, primarily reflecting lower revenue from our security and automation services and a decrease in certain billing and collection fees. Video revenue was consistent with the prior year period, reflecting a decrease in the number of residential video customers offset by an increase in average rates.</w:t>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Total Customer Relationships </w:t>
      </w:r>
      <w:r>
        <w:rPr>
          <w:rFonts w:ascii="Arial" w:cs="Arial" w:eastAsia="Arial" w:hAnsi="Arial"/>
          <w:sz w:val="18"/>
          <w:szCs w:val="18"/>
          <w:color w:val="auto"/>
        </w:rPr>
        <w:t>increased by 380,000 to 33.5 million in the first quarter of 2021. Residential customer relationships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by nearly 370,000 and business customer relationships increased by nearly 11,000. Total broadband customer net additions were 461,000, total video customer net losses were 491,000 and total voice customer net losses were 106,000. In addition, Cable Communications added 278,000 wireless lines in the quarter.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67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4"/>
        </w:trPr>
        <w:tc>
          <w:tcPr>
            <w:tcW w:w="120" w:type="dxa"/>
            <w:vAlign w:val="bottom"/>
            <w:shd w:val="clear" w:color="auto" w:fill="D9D9D6"/>
          </w:tcPr>
          <w:p>
            <w:pPr>
              <w:spacing w:after="0"/>
              <w:rPr>
                <w:sz w:val="16"/>
                <w:szCs w:val="16"/>
                <w:color w:val="auto"/>
              </w:rPr>
            </w:pPr>
          </w:p>
        </w:tc>
        <w:tc>
          <w:tcPr>
            <w:tcW w:w="692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(in thousands)</w:t>
            </w:r>
          </w:p>
        </w:tc>
        <w:tc>
          <w:tcPr>
            <w:tcW w:w="520" w:type="dxa"/>
            <w:vAlign w:val="bottom"/>
            <w:shd w:val="clear" w:color="auto" w:fill="D9D9D6"/>
          </w:tcPr>
          <w:p>
            <w:pPr>
              <w:spacing w:after="0"/>
              <w:rPr>
                <w:sz w:val="16"/>
                <w:szCs w:val="16"/>
                <w:color w:val="auto"/>
              </w:rPr>
            </w:pPr>
          </w:p>
        </w:tc>
        <w:tc>
          <w:tcPr>
            <w:tcW w:w="36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460" w:type="dxa"/>
            <w:vAlign w:val="bottom"/>
            <w:shd w:val="clear" w:color="auto" w:fill="D9D9D6"/>
          </w:tcPr>
          <w:p>
            <w:pPr>
              <w:spacing w:after="0"/>
              <w:rPr>
                <w:sz w:val="16"/>
                <w:szCs w:val="16"/>
                <w:color w:val="auto"/>
              </w:rPr>
            </w:pPr>
          </w:p>
        </w:tc>
        <w:tc>
          <w:tcPr>
            <w:tcW w:w="360" w:type="dxa"/>
            <w:vAlign w:val="bottom"/>
            <w:shd w:val="clear" w:color="auto" w:fill="D9D9D6"/>
          </w:tcPr>
          <w:p>
            <w:pPr>
              <w:spacing w:after="0"/>
              <w:rPr>
                <w:sz w:val="16"/>
                <w:szCs w:val="16"/>
                <w:color w:val="auto"/>
              </w:rPr>
            </w:pPr>
          </w:p>
        </w:tc>
        <w:tc>
          <w:tcPr>
            <w:tcW w:w="60" w:type="dxa"/>
            <w:vAlign w:val="bottom"/>
            <w:shd w:val="clear" w:color="auto" w:fill="D9D9D6"/>
          </w:tcPr>
          <w:p>
            <w:pPr>
              <w:spacing w:after="0"/>
              <w:rPr>
                <w:sz w:val="16"/>
                <w:szCs w:val="16"/>
                <w:color w:val="auto"/>
              </w:rPr>
            </w:pPr>
          </w:p>
        </w:tc>
        <w:tc>
          <w:tcPr>
            <w:tcW w:w="520" w:type="dxa"/>
            <w:vAlign w:val="bottom"/>
            <w:shd w:val="clear" w:color="auto" w:fill="D9D9D6"/>
          </w:tcPr>
          <w:p>
            <w:pPr>
              <w:spacing w:after="0"/>
              <w:rPr>
                <w:sz w:val="16"/>
                <w:szCs w:val="16"/>
                <w:color w:val="auto"/>
              </w:rPr>
            </w:pPr>
          </w:p>
        </w:tc>
        <w:tc>
          <w:tcPr>
            <w:tcW w:w="460" w:type="dxa"/>
            <w:vAlign w:val="bottom"/>
            <w:shd w:val="clear" w:color="auto" w:fill="D9D9D6"/>
          </w:tcPr>
          <w:p>
            <w:pPr>
              <w:spacing w:after="0"/>
              <w:rPr>
                <w:sz w:val="16"/>
                <w:szCs w:val="16"/>
                <w:color w:val="auto"/>
              </w:rPr>
            </w:pPr>
          </w:p>
        </w:tc>
        <w:tc>
          <w:tcPr>
            <w:tcW w:w="60" w:type="dxa"/>
            <w:vAlign w:val="bottom"/>
            <w:shd w:val="clear" w:color="auto" w:fill="D9D9D6"/>
          </w:tcPr>
          <w:p>
            <w:pPr>
              <w:spacing w:after="0"/>
              <w:rPr>
                <w:sz w:val="16"/>
                <w:szCs w:val="16"/>
                <w:color w:val="auto"/>
              </w:rPr>
            </w:pPr>
          </w:p>
        </w:tc>
        <w:tc>
          <w:tcPr>
            <w:tcW w:w="340" w:type="dxa"/>
            <w:vAlign w:val="bottom"/>
            <w:shd w:val="clear" w:color="auto" w:fill="D9D9D6"/>
          </w:tcPr>
          <w:p>
            <w:pPr>
              <w:spacing w:after="0"/>
              <w:rPr>
                <w:sz w:val="16"/>
                <w:szCs w:val="16"/>
                <w:color w:val="auto"/>
              </w:rPr>
            </w:pPr>
          </w:p>
        </w:tc>
        <w:tc>
          <w:tcPr>
            <w:tcW w:w="460" w:type="dxa"/>
            <w:vAlign w:val="bottom"/>
            <w:shd w:val="clear" w:color="auto" w:fill="D9D9D6"/>
          </w:tcPr>
          <w:p>
            <w:pPr>
              <w:spacing w:after="0"/>
              <w:rPr>
                <w:sz w:val="16"/>
                <w:szCs w:val="16"/>
                <w:color w:val="auto"/>
              </w:rPr>
            </w:pPr>
          </w:p>
        </w:tc>
        <w:tc>
          <w:tcPr>
            <w:tcW w:w="80" w:type="dxa"/>
            <w:vAlign w:val="bottom"/>
            <w:shd w:val="clear" w:color="auto" w:fill="D9D9D6"/>
          </w:tcPr>
          <w:p>
            <w:pPr>
              <w:spacing w:after="0"/>
              <w:rPr>
                <w:sz w:val="16"/>
                <w:szCs w:val="16"/>
                <w:color w:val="auto"/>
              </w:rPr>
            </w:pPr>
          </w:p>
        </w:tc>
        <w:tc>
          <w:tcPr>
            <w:tcW w:w="36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20" w:type="dxa"/>
            <w:vAlign w:val="bottom"/>
            <w:tcBorders>
              <w:bottom w:val="single" w:sz="8" w:color="D9D9D6"/>
            </w:tcBorders>
            <w:shd w:val="clear" w:color="auto" w:fill="D9D9D6"/>
          </w:tcPr>
          <w:p>
            <w:pPr>
              <w:spacing w:after="0"/>
              <w:rPr>
                <w:sz w:val="16"/>
                <w:szCs w:val="16"/>
                <w:color w:val="auto"/>
              </w:rPr>
            </w:pPr>
          </w:p>
        </w:tc>
        <w:tc>
          <w:tcPr>
            <w:tcW w:w="6920" w:type="dxa"/>
            <w:vAlign w:val="bottom"/>
            <w:tcBorders>
              <w:bottom w:val="single" w:sz="8" w:color="D9D9D6"/>
            </w:tcBorders>
            <w:shd w:val="clear" w:color="auto" w:fill="D9D9D6"/>
          </w:tcPr>
          <w:p>
            <w:pPr>
              <w:spacing w:after="0"/>
              <w:rPr>
                <w:sz w:val="16"/>
                <w:szCs w:val="16"/>
                <w:color w:val="auto"/>
              </w:rPr>
            </w:pPr>
          </w:p>
        </w:tc>
        <w:tc>
          <w:tcPr>
            <w:tcW w:w="520" w:type="dxa"/>
            <w:vAlign w:val="bottom"/>
            <w:tcBorders>
              <w:bottom w:val="single" w:sz="8" w:color="D9D9D6"/>
            </w:tcBorders>
            <w:shd w:val="clear" w:color="auto" w:fill="D9D9D6"/>
          </w:tcPr>
          <w:p>
            <w:pPr>
              <w:spacing w:after="0"/>
              <w:rPr>
                <w:sz w:val="16"/>
                <w:szCs w:val="16"/>
                <w:color w:val="auto"/>
              </w:rPr>
            </w:pPr>
          </w:p>
        </w:tc>
        <w:tc>
          <w:tcPr>
            <w:tcW w:w="360" w:type="dxa"/>
            <w:vAlign w:val="bottom"/>
            <w:tcBorders>
              <w:bottom w:val="single" w:sz="8" w:color="D9D9D6"/>
            </w:tcBorders>
            <w:shd w:val="clear" w:color="auto" w:fill="D9D9D6"/>
          </w:tcPr>
          <w:p>
            <w:pPr>
              <w:spacing w:after="0"/>
              <w:rPr>
                <w:sz w:val="16"/>
                <w:szCs w:val="16"/>
                <w:color w:val="auto"/>
              </w:rPr>
            </w:pPr>
          </w:p>
        </w:tc>
        <w:tc>
          <w:tcPr>
            <w:tcW w:w="20" w:type="dxa"/>
            <w:vAlign w:val="bottom"/>
            <w:tcBorders>
              <w:bottom w:val="single" w:sz="8" w:color="D9D9D6"/>
            </w:tcBorders>
            <w:shd w:val="clear" w:color="auto" w:fill="D9D9D6"/>
          </w:tcPr>
          <w:p>
            <w:pPr>
              <w:spacing w:after="0"/>
              <w:rPr>
                <w:sz w:val="16"/>
                <w:szCs w:val="16"/>
                <w:color w:val="auto"/>
              </w:rPr>
            </w:pPr>
          </w:p>
        </w:tc>
        <w:tc>
          <w:tcPr>
            <w:tcW w:w="460" w:type="dxa"/>
            <w:vAlign w:val="bottom"/>
            <w:tcBorders>
              <w:bottom w:val="single" w:sz="8" w:color="D9D9D6"/>
            </w:tcBorders>
            <w:shd w:val="clear" w:color="auto" w:fill="D9D9D6"/>
          </w:tcPr>
          <w:p>
            <w:pPr>
              <w:spacing w:after="0"/>
              <w:rPr>
                <w:sz w:val="16"/>
                <w:szCs w:val="16"/>
                <w:color w:val="auto"/>
              </w:rPr>
            </w:pPr>
          </w:p>
        </w:tc>
        <w:tc>
          <w:tcPr>
            <w:tcW w:w="360" w:type="dxa"/>
            <w:vAlign w:val="bottom"/>
            <w:tcBorders>
              <w:bottom w:val="single" w:sz="8" w:color="D9D9D6"/>
            </w:tcBorders>
            <w:shd w:val="clear" w:color="auto" w:fill="D9D9D6"/>
          </w:tcPr>
          <w:p>
            <w:pPr>
              <w:spacing w:after="0"/>
              <w:rPr>
                <w:sz w:val="16"/>
                <w:szCs w:val="16"/>
                <w:color w:val="auto"/>
              </w:rPr>
            </w:pPr>
          </w:p>
        </w:tc>
        <w:tc>
          <w:tcPr>
            <w:tcW w:w="60" w:type="dxa"/>
            <w:vAlign w:val="bottom"/>
            <w:tcBorders>
              <w:bottom w:val="single" w:sz="8" w:color="D9D9D6"/>
            </w:tcBorders>
            <w:shd w:val="clear" w:color="auto" w:fill="D9D9D6"/>
          </w:tcPr>
          <w:p>
            <w:pPr>
              <w:spacing w:after="0"/>
              <w:rPr>
                <w:sz w:val="16"/>
                <w:szCs w:val="16"/>
                <w:color w:val="auto"/>
              </w:rPr>
            </w:pPr>
          </w:p>
        </w:tc>
        <w:tc>
          <w:tcPr>
            <w:tcW w:w="520" w:type="dxa"/>
            <w:vAlign w:val="bottom"/>
            <w:tcBorders>
              <w:bottom w:val="single" w:sz="8" w:color="D9D9D6"/>
            </w:tcBorders>
            <w:shd w:val="clear" w:color="auto" w:fill="D9D9D6"/>
          </w:tcPr>
          <w:p>
            <w:pPr>
              <w:spacing w:after="0"/>
              <w:rPr>
                <w:sz w:val="16"/>
                <w:szCs w:val="16"/>
                <w:color w:val="auto"/>
              </w:rPr>
            </w:pPr>
          </w:p>
        </w:tc>
        <w:tc>
          <w:tcPr>
            <w:tcW w:w="460" w:type="dxa"/>
            <w:vAlign w:val="bottom"/>
            <w:tcBorders>
              <w:bottom w:val="single" w:sz="8" w:color="D9D9D6"/>
            </w:tcBorders>
            <w:shd w:val="clear" w:color="auto" w:fill="D9D9D6"/>
          </w:tcPr>
          <w:p>
            <w:pPr>
              <w:spacing w:after="0"/>
              <w:rPr>
                <w:sz w:val="16"/>
                <w:szCs w:val="16"/>
                <w:color w:val="auto"/>
              </w:rPr>
            </w:pPr>
          </w:p>
        </w:tc>
        <w:tc>
          <w:tcPr>
            <w:tcW w:w="860" w:type="dxa"/>
            <w:vAlign w:val="bottom"/>
            <w:tcBorders>
              <w:bottom w:val="single" w:sz="8" w:color="auto"/>
            </w:tcBorders>
            <w:gridSpan w:val="3"/>
            <w:shd w:val="clear" w:color="auto" w:fill="D9D9D6"/>
          </w:tcPr>
          <w:p>
            <w:pPr>
              <w:spacing w:after="0"/>
              <w:rPr>
                <w:sz w:val="20"/>
                <w:szCs w:val="20"/>
                <w:color w:val="auto"/>
              </w:rPr>
            </w:pPr>
            <w:r>
              <w:rPr>
                <w:rFonts w:ascii="Arial" w:cs="Arial" w:eastAsia="Arial" w:hAnsi="Arial"/>
                <w:sz w:val="14"/>
                <w:szCs w:val="14"/>
                <w:color w:val="auto"/>
              </w:rPr>
              <w:t>Net Additions</w:t>
            </w:r>
          </w:p>
        </w:tc>
        <w:tc>
          <w:tcPr>
            <w:tcW w:w="80" w:type="dxa"/>
            <w:vAlign w:val="bottom"/>
            <w:tcBorders>
              <w:bottom w:val="single" w:sz="8" w:color="D9D9D6"/>
            </w:tcBorders>
            <w:shd w:val="clear" w:color="auto" w:fill="D9D9D6"/>
          </w:tcPr>
          <w:p>
            <w:pPr>
              <w:spacing w:after="0"/>
              <w:rPr>
                <w:sz w:val="16"/>
                <w:szCs w:val="16"/>
                <w:color w:val="auto"/>
              </w:rPr>
            </w:pPr>
          </w:p>
        </w:tc>
        <w:tc>
          <w:tcPr>
            <w:tcW w:w="360" w:type="dxa"/>
            <w:vAlign w:val="bottom"/>
            <w:tcBorders>
              <w:bottom w:val="single" w:sz="8" w:color="D9D9D6"/>
            </w:tcBorders>
            <w:shd w:val="clear" w:color="auto" w:fill="D9D9D6"/>
          </w:tcPr>
          <w:p>
            <w:pPr>
              <w:spacing w:after="0"/>
              <w:rPr>
                <w:sz w:val="16"/>
                <w:szCs w:val="16"/>
                <w:color w:val="auto"/>
              </w:rPr>
            </w:pPr>
          </w:p>
        </w:tc>
        <w:tc>
          <w:tcPr>
            <w:tcW w:w="20" w:type="dxa"/>
            <w:vAlign w:val="bottom"/>
            <w:tcBorders>
              <w:bottom w:val="single" w:sz="8" w:color="D9D9D6"/>
            </w:tcBorders>
            <w:shd w:val="clear" w:color="auto" w:fill="D9D9D6"/>
          </w:tcPr>
          <w:p>
            <w:pPr>
              <w:spacing w:after="0"/>
              <w:rPr>
                <w:sz w:val="16"/>
                <w:szCs w:val="16"/>
                <w:color w:val="auto"/>
              </w:rPr>
            </w:pPr>
          </w:p>
        </w:tc>
        <w:tc>
          <w:tcPr>
            <w:tcW w:w="120" w:type="dxa"/>
            <w:vAlign w:val="bottom"/>
            <w:tcBorders>
              <w:bottom w:val="single" w:sz="8" w:color="D9D9D6"/>
            </w:tcBorders>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0" w:type="dxa"/>
            <w:vAlign w:val="bottom"/>
            <w:shd w:val="clear" w:color="auto" w:fill="D9D9D6"/>
          </w:tcPr>
          <w:p>
            <w:pPr>
              <w:spacing w:after="0"/>
              <w:rPr>
                <w:sz w:val="14"/>
                <w:szCs w:val="14"/>
                <w:color w:val="auto"/>
              </w:rPr>
            </w:pPr>
          </w:p>
        </w:tc>
        <w:tc>
          <w:tcPr>
            <w:tcW w:w="6920" w:type="dxa"/>
            <w:vAlign w:val="bottom"/>
            <w:vMerge w:val="restart"/>
            <w:shd w:val="clear" w:color="auto" w:fill="D9D9D6"/>
          </w:tcPr>
          <w:p>
            <w:pPr>
              <w:ind w:left="20"/>
              <w:spacing w:after="0"/>
              <w:rPr>
                <w:sz w:val="20"/>
                <w:szCs w:val="20"/>
                <w:color w:val="auto"/>
              </w:rPr>
            </w:pPr>
            <w:r>
              <w:rPr>
                <w:rFonts w:ascii="Arial" w:cs="Arial" w:eastAsia="Arial" w:hAnsi="Arial"/>
                <w:sz w:val="14"/>
                <w:szCs w:val="14"/>
                <w:b w:val="1"/>
                <w:bCs w:val="1"/>
                <w:color w:val="auto"/>
              </w:rPr>
              <w:t>Customer Relationships</w:t>
            </w:r>
          </w:p>
        </w:tc>
        <w:tc>
          <w:tcPr>
            <w:tcW w:w="520" w:type="dxa"/>
            <w:vAlign w:val="bottom"/>
            <w:shd w:val="clear" w:color="auto" w:fill="D9D9D6"/>
          </w:tcPr>
          <w:p>
            <w:pPr>
              <w:spacing w:after="0"/>
              <w:rPr>
                <w:sz w:val="14"/>
                <w:szCs w:val="14"/>
                <w:color w:val="auto"/>
              </w:rPr>
            </w:pPr>
          </w:p>
        </w:tc>
        <w:tc>
          <w:tcPr>
            <w:tcW w:w="380" w:type="dxa"/>
            <w:vAlign w:val="bottom"/>
            <w:gridSpan w:val="2"/>
            <w:shd w:val="clear" w:color="auto" w:fill="D9D9D6"/>
          </w:tcPr>
          <w:p>
            <w:pPr>
              <w:spacing w:after="0"/>
              <w:rPr>
                <w:sz w:val="20"/>
                <w:szCs w:val="20"/>
                <w:color w:val="auto"/>
              </w:rPr>
            </w:pPr>
            <w:r>
              <w:rPr>
                <w:rFonts w:ascii="Arial" w:cs="Arial" w:eastAsia="Arial" w:hAnsi="Arial"/>
                <w:sz w:val="14"/>
                <w:szCs w:val="14"/>
                <w:color w:val="auto"/>
              </w:rPr>
              <w:t>1Q21</w:t>
            </w:r>
          </w:p>
        </w:tc>
        <w:tc>
          <w:tcPr>
            <w:tcW w:w="880" w:type="dxa"/>
            <w:vAlign w:val="bottom"/>
            <w:gridSpan w:val="3"/>
            <w:shd w:val="clear" w:color="auto" w:fill="D9D9D6"/>
          </w:tcPr>
          <w:p>
            <w:pPr>
              <w:ind w:left="460"/>
              <w:spacing w:after="0" w:line="169" w:lineRule="exact"/>
              <w:rPr>
                <w:sz w:val="20"/>
                <w:szCs w:val="20"/>
                <w:color w:val="auto"/>
              </w:rPr>
            </w:pPr>
            <w:r>
              <w:rPr>
                <w:rFonts w:ascii="Arial" w:cs="Arial" w:eastAsia="Arial" w:hAnsi="Arial"/>
                <w:sz w:val="14"/>
                <w:szCs w:val="14"/>
                <w:color w:val="auto"/>
                <w:w w:val="97"/>
              </w:rPr>
              <w:t>1Q20</w:t>
            </w:r>
            <w:r>
              <w:rPr>
                <w:rFonts w:ascii="Arial" w:cs="Arial" w:eastAsia="Arial" w:hAnsi="Arial"/>
                <w:sz w:val="18"/>
                <w:szCs w:val="18"/>
                <w:color w:val="auto"/>
                <w:w w:val="97"/>
                <w:vertAlign w:val="superscript"/>
              </w:rPr>
              <w:t>5</w:t>
            </w:r>
          </w:p>
        </w:tc>
        <w:tc>
          <w:tcPr>
            <w:tcW w:w="520" w:type="dxa"/>
            <w:vAlign w:val="bottom"/>
            <w:shd w:val="clear" w:color="auto" w:fill="D9D9D6"/>
          </w:tcPr>
          <w:p>
            <w:pPr>
              <w:spacing w:after="0"/>
              <w:rPr>
                <w:sz w:val="14"/>
                <w:szCs w:val="14"/>
                <w:color w:val="auto"/>
              </w:rPr>
            </w:pPr>
          </w:p>
        </w:tc>
        <w:tc>
          <w:tcPr>
            <w:tcW w:w="460" w:type="dxa"/>
            <w:vAlign w:val="bottom"/>
            <w:shd w:val="clear" w:color="auto" w:fill="D9D9D6"/>
          </w:tcPr>
          <w:p>
            <w:pPr>
              <w:spacing w:after="0"/>
              <w:rPr>
                <w:sz w:val="14"/>
                <w:szCs w:val="14"/>
                <w:color w:val="auto"/>
              </w:rPr>
            </w:pPr>
          </w:p>
        </w:tc>
        <w:tc>
          <w:tcPr>
            <w:tcW w:w="60" w:type="dxa"/>
            <w:vAlign w:val="bottom"/>
            <w:shd w:val="clear" w:color="auto" w:fill="D9D9D6"/>
          </w:tcPr>
          <w:p>
            <w:pPr>
              <w:spacing w:after="0"/>
              <w:rPr>
                <w:sz w:val="14"/>
                <w:szCs w:val="14"/>
                <w:color w:val="auto"/>
              </w:rPr>
            </w:pPr>
          </w:p>
        </w:tc>
        <w:tc>
          <w:tcPr>
            <w:tcW w:w="880" w:type="dxa"/>
            <w:vAlign w:val="bottom"/>
            <w:gridSpan w:val="3"/>
            <w:shd w:val="clear" w:color="auto" w:fill="D9D9D6"/>
          </w:tcPr>
          <w:p>
            <w:pPr>
              <w:spacing w:after="0"/>
              <w:rPr>
                <w:sz w:val="20"/>
                <w:szCs w:val="20"/>
                <w:color w:val="auto"/>
              </w:rPr>
            </w:pPr>
            <w:r>
              <w:rPr>
                <w:rFonts w:ascii="Arial" w:cs="Arial" w:eastAsia="Arial" w:hAnsi="Arial"/>
                <w:sz w:val="14"/>
                <w:szCs w:val="14"/>
                <w:color w:val="auto"/>
              </w:rPr>
              <w:t>1Q21</w:t>
            </w:r>
          </w:p>
        </w:tc>
        <w:tc>
          <w:tcPr>
            <w:tcW w:w="500" w:type="dxa"/>
            <w:vAlign w:val="bottom"/>
            <w:gridSpan w:val="3"/>
            <w:shd w:val="clear" w:color="auto" w:fill="D9D9D6"/>
          </w:tcPr>
          <w:p>
            <w:pPr>
              <w:spacing w:after="0"/>
              <w:rPr>
                <w:sz w:val="20"/>
                <w:szCs w:val="20"/>
                <w:color w:val="auto"/>
              </w:rPr>
            </w:pPr>
            <w:r>
              <w:rPr>
                <w:rFonts w:ascii="Arial" w:cs="Arial" w:eastAsia="Arial" w:hAnsi="Arial"/>
                <w:sz w:val="14"/>
                <w:szCs w:val="14"/>
                <w:color w:val="auto"/>
              </w:rPr>
              <w:t>1Q20</w:t>
            </w:r>
          </w:p>
        </w:tc>
        <w:tc>
          <w:tcPr>
            <w:tcW w:w="0" w:type="dxa"/>
            <w:vAlign w:val="bottom"/>
          </w:tcPr>
          <w:p>
            <w:pPr>
              <w:spacing w:after="0"/>
              <w:rPr>
                <w:sz w:val="1"/>
                <w:szCs w:val="1"/>
                <w:color w:val="auto"/>
              </w:rPr>
            </w:pPr>
          </w:p>
        </w:tc>
      </w:tr>
      <w:tr>
        <w:trPr>
          <w:trHeight w:val="196"/>
        </w:trPr>
        <w:tc>
          <w:tcPr>
            <w:tcW w:w="120" w:type="dxa"/>
            <w:vAlign w:val="bottom"/>
            <w:tcBorders>
              <w:top w:val="single" w:sz="8" w:color="D9D9D6"/>
            </w:tcBorders>
            <w:shd w:val="clear" w:color="auto" w:fill="D9D9D6"/>
          </w:tcPr>
          <w:p>
            <w:pPr>
              <w:spacing w:after="0"/>
              <w:rPr>
                <w:sz w:val="17"/>
                <w:szCs w:val="17"/>
                <w:color w:val="auto"/>
              </w:rPr>
            </w:pPr>
          </w:p>
        </w:tc>
        <w:tc>
          <w:tcPr>
            <w:tcW w:w="6920" w:type="dxa"/>
            <w:vAlign w:val="bottom"/>
            <w:tcBorders>
              <w:top w:val="single" w:sz="8" w:color="D9D9D6"/>
            </w:tcBorders>
            <w:vMerge w:val="continue"/>
            <w:shd w:val="clear" w:color="auto" w:fill="D9D9D6"/>
          </w:tcPr>
          <w:p>
            <w:pPr>
              <w:spacing w:after="0"/>
              <w:rPr>
                <w:sz w:val="17"/>
                <w:szCs w:val="17"/>
                <w:color w:val="auto"/>
              </w:rPr>
            </w:pPr>
          </w:p>
        </w:tc>
        <w:tc>
          <w:tcPr>
            <w:tcW w:w="520" w:type="dxa"/>
            <w:vAlign w:val="bottom"/>
            <w:tcBorders>
              <w:top w:val="single" w:sz="8" w:color="D9D9D6"/>
            </w:tcBorders>
            <w:shd w:val="clear" w:color="auto" w:fill="D9D9D6"/>
          </w:tcPr>
          <w:p>
            <w:pPr>
              <w:spacing w:after="0"/>
              <w:rPr>
                <w:sz w:val="17"/>
                <w:szCs w:val="17"/>
                <w:color w:val="auto"/>
              </w:rPr>
            </w:pPr>
          </w:p>
        </w:tc>
        <w:tc>
          <w:tcPr>
            <w:tcW w:w="36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460" w:type="dxa"/>
            <w:vAlign w:val="bottom"/>
            <w:tcBorders>
              <w:top w:val="single" w:sz="8" w:color="D9D9D6"/>
            </w:tcBorders>
            <w:shd w:val="clear" w:color="auto" w:fill="D9D9D6"/>
          </w:tcPr>
          <w:p>
            <w:pPr>
              <w:spacing w:after="0"/>
              <w:rPr>
                <w:sz w:val="17"/>
                <w:szCs w:val="17"/>
                <w:color w:val="auto"/>
              </w:rPr>
            </w:pPr>
          </w:p>
        </w:tc>
        <w:tc>
          <w:tcPr>
            <w:tcW w:w="360" w:type="dxa"/>
            <w:vAlign w:val="bottom"/>
            <w:tcBorders>
              <w:top w:val="single" w:sz="8" w:color="auto"/>
            </w:tcBorders>
            <w:shd w:val="clear" w:color="auto" w:fill="D9D9D6"/>
          </w:tcPr>
          <w:p>
            <w:pPr>
              <w:spacing w:after="0"/>
              <w:rPr>
                <w:sz w:val="17"/>
                <w:szCs w:val="17"/>
                <w:color w:val="auto"/>
              </w:rPr>
            </w:pPr>
          </w:p>
        </w:tc>
        <w:tc>
          <w:tcPr>
            <w:tcW w:w="60" w:type="dxa"/>
            <w:vAlign w:val="bottom"/>
            <w:tcBorders>
              <w:top w:val="single" w:sz="8" w:color="D9D9D6"/>
            </w:tcBorders>
            <w:shd w:val="clear" w:color="auto" w:fill="D9D9D6"/>
          </w:tcPr>
          <w:p>
            <w:pPr>
              <w:spacing w:after="0"/>
              <w:rPr>
                <w:sz w:val="17"/>
                <w:szCs w:val="17"/>
                <w:color w:val="auto"/>
              </w:rPr>
            </w:pPr>
          </w:p>
        </w:tc>
        <w:tc>
          <w:tcPr>
            <w:tcW w:w="520" w:type="dxa"/>
            <w:vAlign w:val="bottom"/>
            <w:tcBorders>
              <w:top w:val="single" w:sz="8" w:color="D9D9D6"/>
            </w:tcBorders>
            <w:shd w:val="clear" w:color="auto" w:fill="D9D9D6"/>
          </w:tcPr>
          <w:p>
            <w:pPr>
              <w:spacing w:after="0"/>
              <w:rPr>
                <w:sz w:val="17"/>
                <w:szCs w:val="17"/>
                <w:color w:val="auto"/>
              </w:rPr>
            </w:pPr>
          </w:p>
        </w:tc>
        <w:tc>
          <w:tcPr>
            <w:tcW w:w="460" w:type="dxa"/>
            <w:vAlign w:val="bottom"/>
            <w:tcBorders>
              <w:top w:val="single" w:sz="8" w:color="D9D9D6"/>
            </w:tcBorders>
            <w:shd w:val="clear" w:color="auto" w:fill="D9D9D6"/>
          </w:tcPr>
          <w:p>
            <w:pPr>
              <w:spacing w:after="0"/>
              <w:rPr>
                <w:sz w:val="17"/>
                <w:szCs w:val="17"/>
                <w:color w:val="auto"/>
              </w:rPr>
            </w:pPr>
          </w:p>
        </w:tc>
        <w:tc>
          <w:tcPr>
            <w:tcW w:w="60" w:type="dxa"/>
            <w:vAlign w:val="bottom"/>
            <w:tcBorders>
              <w:top w:val="single" w:sz="8" w:color="D9D9D6"/>
            </w:tcBorders>
            <w:shd w:val="clear" w:color="auto" w:fill="D9D9D6"/>
          </w:tcPr>
          <w:p>
            <w:pPr>
              <w:spacing w:after="0"/>
              <w:rPr>
                <w:sz w:val="17"/>
                <w:szCs w:val="17"/>
                <w:color w:val="auto"/>
              </w:rPr>
            </w:pPr>
          </w:p>
        </w:tc>
        <w:tc>
          <w:tcPr>
            <w:tcW w:w="340" w:type="dxa"/>
            <w:vAlign w:val="bottom"/>
            <w:tcBorders>
              <w:top w:val="single" w:sz="8" w:color="auto"/>
            </w:tcBorders>
            <w:shd w:val="clear" w:color="auto" w:fill="D9D9D6"/>
          </w:tcPr>
          <w:p>
            <w:pPr>
              <w:spacing w:after="0"/>
              <w:rPr>
                <w:sz w:val="17"/>
                <w:szCs w:val="17"/>
                <w:color w:val="auto"/>
              </w:rPr>
            </w:pPr>
          </w:p>
        </w:tc>
        <w:tc>
          <w:tcPr>
            <w:tcW w:w="460" w:type="dxa"/>
            <w:vAlign w:val="bottom"/>
            <w:tcBorders>
              <w:top w:val="single" w:sz="8" w:color="D9D9D6"/>
            </w:tcBorders>
            <w:shd w:val="clear" w:color="auto" w:fill="D9D9D6"/>
          </w:tcPr>
          <w:p>
            <w:pPr>
              <w:spacing w:after="0"/>
              <w:rPr>
                <w:sz w:val="17"/>
                <w:szCs w:val="17"/>
                <w:color w:val="auto"/>
              </w:rPr>
            </w:pPr>
          </w:p>
        </w:tc>
        <w:tc>
          <w:tcPr>
            <w:tcW w:w="80" w:type="dxa"/>
            <w:vAlign w:val="bottom"/>
            <w:tcBorders>
              <w:top w:val="single" w:sz="8" w:color="D9D9D6"/>
            </w:tcBorders>
            <w:shd w:val="clear" w:color="auto" w:fill="D9D9D6"/>
          </w:tcPr>
          <w:p>
            <w:pPr>
              <w:spacing w:after="0"/>
              <w:rPr>
                <w:sz w:val="17"/>
                <w:szCs w:val="17"/>
                <w:color w:val="auto"/>
              </w:rPr>
            </w:pPr>
          </w:p>
        </w:tc>
        <w:tc>
          <w:tcPr>
            <w:tcW w:w="36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120" w:type="dxa"/>
            <w:vAlign w:val="bottom"/>
            <w:tcBorders>
              <w:top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6920" w:type="dxa"/>
            <w:vAlign w:val="bottom"/>
            <w:shd w:val="clear" w:color="auto" w:fill="D9D9D6"/>
          </w:tcPr>
          <w:p>
            <w:pPr>
              <w:ind w:left="140"/>
              <w:spacing w:after="0"/>
              <w:rPr>
                <w:sz w:val="20"/>
                <w:szCs w:val="20"/>
                <w:color w:val="auto"/>
              </w:rPr>
            </w:pPr>
            <w:r>
              <w:rPr>
                <w:rFonts w:ascii="Arial" w:cs="Arial" w:eastAsia="Arial" w:hAnsi="Arial"/>
                <w:sz w:val="14"/>
                <w:szCs w:val="14"/>
                <w:color w:val="auto"/>
              </w:rPr>
              <w:t>Residential Customer Relationships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31,062</w:t>
            </w:r>
          </w:p>
        </w:tc>
        <w:tc>
          <w:tcPr>
            <w:tcW w:w="20" w:type="dxa"/>
            <w:vAlign w:val="bottom"/>
            <w:shd w:val="clear" w:color="auto" w:fill="D9D9D6"/>
          </w:tcPr>
          <w:p>
            <w:pPr>
              <w:spacing w:after="0"/>
              <w:rPr>
                <w:sz w:val="16"/>
                <w:szCs w:val="16"/>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29,483</w:t>
            </w:r>
          </w:p>
        </w:tc>
        <w:tc>
          <w:tcPr>
            <w:tcW w:w="1380" w:type="dxa"/>
            <w:vAlign w:val="bottom"/>
            <w:gridSpan w:val="4"/>
            <w:shd w:val="clear" w:color="auto" w:fill="D9D9D6"/>
          </w:tcPr>
          <w:p>
            <w:pPr>
              <w:jc w:val="right"/>
              <w:spacing w:after="0"/>
              <w:rPr>
                <w:sz w:val="20"/>
                <w:szCs w:val="20"/>
                <w:color w:val="auto"/>
              </w:rPr>
            </w:pPr>
            <w:r>
              <w:rPr>
                <w:rFonts w:ascii="Arial" w:cs="Arial" w:eastAsia="Arial" w:hAnsi="Arial"/>
                <w:sz w:val="14"/>
                <w:szCs w:val="14"/>
                <w:color w:val="auto"/>
              </w:rPr>
              <w:t>370</w:t>
            </w:r>
          </w:p>
        </w:tc>
        <w:tc>
          <w:tcPr>
            <w:tcW w:w="460" w:type="dxa"/>
            <w:vAlign w:val="bottom"/>
            <w:shd w:val="clear" w:color="auto" w:fill="D9D9D6"/>
          </w:tcPr>
          <w:p>
            <w:pPr>
              <w:spacing w:after="0"/>
              <w:rPr>
                <w:sz w:val="16"/>
                <w:szCs w:val="16"/>
                <w:color w:val="auto"/>
              </w:rPr>
            </w:pPr>
          </w:p>
        </w:tc>
        <w:tc>
          <w:tcPr>
            <w:tcW w:w="80" w:type="dxa"/>
            <w:vAlign w:val="bottom"/>
            <w:shd w:val="clear" w:color="auto" w:fill="D9D9D6"/>
          </w:tcPr>
          <w:p>
            <w:pPr>
              <w:spacing w:after="0"/>
              <w:rPr>
                <w:sz w:val="16"/>
                <w:szCs w:val="16"/>
                <w:color w:val="auto"/>
              </w:rPr>
            </w:pPr>
          </w:p>
        </w:tc>
        <w:tc>
          <w:tcPr>
            <w:tcW w:w="360" w:type="dxa"/>
            <w:vAlign w:val="bottom"/>
            <w:shd w:val="clear" w:color="auto" w:fill="D9D9D6"/>
          </w:tcPr>
          <w:p>
            <w:pPr>
              <w:jc w:val="right"/>
              <w:spacing w:after="0"/>
              <w:rPr>
                <w:sz w:val="20"/>
                <w:szCs w:val="20"/>
                <w:color w:val="auto"/>
              </w:rPr>
            </w:pPr>
            <w:r>
              <w:rPr>
                <w:rFonts w:ascii="Arial" w:cs="Arial" w:eastAsia="Arial" w:hAnsi="Arial"/>
                <w:sz w:val="14"/>
                <w:szCs w:val="14"/>
                <w:color w:val="auto"/>
              </w:rPr>
              <w:t>360</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tcBorders>
              <w:bottom w:val="single" w:sz="8" w:color="D9D9D6"/>
            </w:tcBorders>
            <w:shd w:val="clear" w:color="auto" w:fill="D9D9D6"/>
          </w:tcPr>
          <w:p>
            <w:pPr>
              <w:spacing w:after="0"/>
              <w:rPr>
                <w:sz w:val="16"/>
                <w:szCs w:val="16"/>
                <w:color w:val="auto"/>
              </w:rPr>
            </w:pPr>
          </w:p>
        </w:tc>
        <w:tc>
          <w:tcPr>
            <w:tcW w:w="692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Business Services Customer Relationships</w:t>
            </w: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2,437</w:t>
            </w:r>
          </w:p>
        </w:tc>
        <w:tc>
          <w:tcPr>
            <w:tcW w:w="20" w:type="dxa"/>
            <w:vAlign w:val="bottom"/>
            <w:tcBorders>
              <w:bottom w:val="single" w:sz="8" w:color="auto"/>
            </w:tcBorders>
            <w:shd w:val="clear" w:color="auto" w:fill="D9D9D6"/>
          </w:tcPr>
          <w:p>
            <w:pPr>
              <w:spacing w:after="0"/>
              <w:rPr>
                <w:sz w:val="16"/>
                <w:szCs w:val="16"/>
                <w:color w:val="auto"/>
              </w:rPr>
            </w:pPr>
          </w:p>
        </w:tc>
        <w:tc>
          <w:tcPr>
            <w:tcW w:w="880" w:type="dxa"/>
            <w:vAlign w:val="bottom"/>
            <w:tcBorders>
              <w:bottom w:val="single" w:sz="8" w:color="auto"/>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2,408</w:t>
            </w:r>
          </w:p>
        </w:tc>
        <w:tc>
          <w:tcPr>
            <w:tcW w:w="520" w:type="dxa"/>
            <w:vAlign w:val="bottom"/>
            <w:tcBorders>
              <w:bottom w:val="single" w:sz="8" w:color="D9D9D6"/>
            </w:tcBorders>
            <w:shd w:val="clear" w:color="auto" w:fill="D9D9D6"/>
          </w:tcPr>
          <w:p>
            <w:pPr>
              <w:spacing w:after="0"/>
              <w:rPr>
                <w:sz w:val="16"/>
                <w:szCs w:val="16"/>
                <w:color w:val="auto"/>
              </w:rPr>
            </w:pPr>
          </w:p>
        </w:tc>
        <w:tc>
          <w:tcPr>
            <w:tcW w:w="86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11</w:t>
            </w:r>
          </w:p>
        </w:tc>
        <w:tc>
          <w:tcPr>
            <w:tcW w:w="460" w:type="dxa"/>
            <w:vAlign w:val="bottom"/>
            <w:tcBorders>
              <w:bottom w:val="single" w:sz="8" w:color="auto"/>
            </w:tcBorders>
            <w:shd w:val="clear" w:color="auto" w:fill="D9D9D6"/>
          </w:tcPr>
          <w:p>
            <w:pPr>
              <w:spacing w:after="0"/>
              <w:rPr>
                <w:sz w:val="16"/>
                <w:szCs w:val="16"/>
                <w:color w:val="auto"/>
              </w:rPr>
            </w:pPr>
          </w:p>
        </w:tc>
        <w:tc>
          <w:tcPr>
            <w:tcW w:w="80" w:type="dxa"/>
            <w:vAlign w:val="bottom"/>
            <w:tcBorders>
              <w:bottom w:val="single" w:sz="8" w:color="auto"/>
            </w:tcBorders>
            <w:shd w:val="clear" w:color="auto" w:fill="D9D9D6"/>
          </w:tcPr>
          <w:p>
            <w:pPr>
              <w:spacing w:after="0"/>
              <w:rPr>
                <w:sz w:val="16"/>
                <w:szCs w:val="16"/>
                <w:color w:val="auto"/>
              </w:rPr>
            </w:pPr>
          </w:p>
        </w:tc>
        <w:tc>
          <w:tcPr>
            <w:tcW w:w="36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rPr>
              <w:t>11</w:t>
            </w:r>
          </w:p>
        </w:tc>
        <w:tc>
          <w:tcPr>
            <w:tcW w:w="20" w:type="dxa"/>
            <w:vAlign w:val="bottom"/>
            <w:tcBorders>
              <w:bottom w:val="single" w:sz="8" w:color="auto"/>
            </w:tcBorders>
            <w:shd w:val="clear" w:color="auto" w:fill="D9D9D6"/>
          </w:tcPr>
          <w:p>
            <w:pPr>
              <w:spacing w:after="0"/>
              <w:rPr>
                <w:sz w:val="16"/>
                <w:szCs w:val="16"/>
                <w:color w:val="auto"/>
              </w:rPr>
            </w:pPr>
          </w:p>
        </w:tc>
        <w:tc>
          <w:tcPr>
            <w:tcW w:w="120" w:type="dxa"/>
            <w:vAlign w:val="bottom"/>
            <w:tcBorders>
              <w:bottom w:val="single" w:sz="8" w:color="D9D9D6"/>
            </w:tcBorders>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0" w:type="dxa"/>
            <w:vAlign w:val="bottom"/>
            <w:shd w:val="clear" w:color="auto" w:fill="D9D9D6"/>
          </w:tcPr>
          <w:p>
            <w:pPr>
              <w:spacing w:after="0"/>
              <w:rPr>
                <w:sz w:val="15"/>
                <w:szCs w:val="15"/>
                <w:color w:val="auto"/>
              </w:rPr>
            </w:pPr>
          </w:p>
        </w:tc>
        <w:tc>
          <w:tcPr>
            <w:tcW w:w="692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Customer Relationships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33,499</w:t>
            </w:r>
          </w:p>
        </w:tc>
        <w:tc>
          <w:tcPr>
            <w:tcW w:w="20" w:type="dxa"/>
            <w:vAlign w:val="bottom"/>
            <w:shd w:val="clear" w:color="auto" w:fill="D9D9D6"/>
          </w:tcPr>
          <w:p>
            <w:pPr>
              <w:spacing w:after="0"/>
              <w:rPr>
                <w:sz w:val="15"/>
                <w:szCs w:val="15"/>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31,891</w:t>
            </w:r>
          </w:p>
        </w:tc>
        <w:tc>
          <w:tcPr>
            <w:tcW w:w="1380" w:type="dxa"/>
            <w:vAlign w:val="bottom"/>
            <w:gridSpan w:val="4"/>
            <w:shd w:val="clear" w:color="auto" w:fill="D9D9D6"/>
          </w:tcPr>
          <w:p>
            <w:pPr>
              <w:jc w:val="right"/>
              <w:spacing w:after="0"/>
              <w:rPr>
                <w:sz w:val="20"/>
                <w:szCs w:val="20"/>
                <w:color w:val="auto"/>
              </w:rPr>
            </w:pPr>
            <w:r>
              <w:rPr>
                <w:rFonts w:ascii="Arial" w:cs="Arial" w:eastAsia="Arial" w:hAnsi="Arial"/>
                <w:sz w:val="14"/>
                <w:szCs w:val="14"/>
                <w:b w:val="1"/>
                <w:bCs w:val="1"/>
                <w:color w:val="auto"/>
              </w:rPr>
              <w:t>380</w:t>
            </w:r>
          </w:p>
        </w:tc>
        <w:tc>
          <w:tcPr>
            <w:tcW w:w="460" w:type="dxa"/>
            <w:vAlign w:val="bottom"/>
            <w:shd w:val="clear" w:color="auto" w:fill="D9D9D6"/>
          </w:tcPr>
          <w:p>
            <w:pPr>
              <w:spacing w:after="0"/>
              <w:rPr>
                <w:sz w:val="15"/>
                <w:szCs w:val="15"/>
                <w:color w:val="auto"/>
              </w:rPr>
            </w:pPr>
          </w:p>
        </w:tc>
        <w:tc>
          <w:tcPr>
            <w:tcW w:w="80" w:type="dxa"/>
            <w:vAlign w:val="bottom"/>
            <w:shd w:val="clear" w:color="auto" w:fill="D9D9D6"/>
          </w:tcPr>
          <w:p>
            <w:pPr>
              <w:spacing w:after="0"/>
              <w:rPr>
                <w:sz w:val="15"/>
                <w:szCs w:val="15"/>
                <w:color w:val="auto"/>
              </w:rPr>
            </w:pPr>
          </w:p>
        </w:tc>
        <w:tc>
          <w:tcPr>
            <w:tcW w:w="36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rPr>
              <w:t>371</w:t>
            </w:r>
          </w:p>
        </w:tc>
        <w:tc>
          <w:tcPr>
            <w:tcW w:w="2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120" w:type="dxa"/>
            <w:vAlign w:val="bottom"/>
            <w:shd w:val="clear" w:color="auto" w:fill="D9D9D6"/>
          </w:tcPr>
          <w:p>
            <w:pPr>
              <w:spacing w:after="0"/>
              <w:rPr>
                <w:sz w:val="24"/>
                <w:szCs w:val="24"/>
                <w:color w:val="auto"/>
              </w:rPr>
            </w:pPr>
          </w:p>
        </w:tc>
        <w:tc>
          <w:tcPr>
            <w:tcW w:w="692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Residential Customer Relationships Mix</w:t>
            </w:r>
          </w:p>
        </w:tc>
        <w:tc>
          <w:tcPr>
            <w:tcW w:w="520" w:type="dxa"/>
            <w:vAlign w:val="bottom"/>
            <w:shd w:val="clear" w:color="auto" w:fill="D9D9D6"/>
          </w:tcPr>
          <w:p>
            <w:pPr>
              <w:spacing w:after="0"/>
              <w:rPr>
                <w:sz w:val="24"/>
                <w:szCs w:val="24"/>
                <w:color w:val="auto"/>
              </w:rPr>
            </w:pPr>
          </w:p>
        </w:tc>
        <w:tc>
          <w:tcPr>
            <w:tcW w:w="36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460" w:type="dxa"/>
            <w:vAlign w:val="bottom"/>
            <w:shd w:val="clear" w:color="auto" w:fill="D9D9D6"/>
          </w:tcPr>
          <w:p>
            <w:pPr>
              <w:spacing w:after="0"/>
              <w:rPr>
                <w:sz w:val="24"/>
                <w:szCs w:val="24"/>
                <w:color w:val="auto"/>
              </w:rPr>
            </w:pPr>
          </w:p>
        </w:tc>
        <w:tc>
          <w:tcPr>
            <w:tcW w:w="360" w:type="dxa"/>
            <w:vAlign w:val="bottom"/>
            <w:shd w:val="clear" w:color="auto" w:fill="D9D9D6"/>
          </w:tcPr>
          <w:p>
            <w:pPr>
              <w:spacing w:after="0"/>
              <w:rPr>
                <w:sz w:val="24"/>
                <w:szCs w:val="24"/>
                <w:color w:val="auto"/>
              </w:rPr>
            </w:pPr>
          </w:p>
        </w:tc>
        <w:tc>
          <w:tcPr>
            <w:tcW w:w="60" w:type="dxa"/>
            <w:vAlign w:val="bottom"/>
            <w:shd w:val="clear" w:color="auto" w:fill="D9D9D6"/>
          </w:tcPr>
          <w:p>
            <w:pPr>
              <w:spacing w:after="0"/>
              <w:rPr>
                <w:sz w:val="24"/>
                <w:szCs w:val="24"/>
                <w:color w:val="auto"/>
              </w:rPr>
            </w:pPr>
          </w:p>
        </w:tc>
        <w:tc>
          <w:tcPr>
            <w:tcW w:w="520" w:type="dxa"/>
            <w:vAlign w:val="bottom"/>
            <w:shd w:val="clear" w:color="auto" w:fill="D9D9D6"/>
          </w:tcPr>
          <w:p>
            <w:pPr>
              <w:spacing w:after="0"/>
              <w:rPr>
                <w:sz w:val="24"/>
                <w:szCs w:val="24"/>
                <w:color w:val="auto"/>
              </w:rPr>
            </w:pPr>
          </w:p>
        </w:tc>
        <w:tc>
          <w:tcPr>
            <w:tcW w:w="460" w:type="dxa"/>
            <w:vAlign w:val="bottom"/>
            <w:shd w:val="clear" w:color="auto" w:fill="D9D9D6"/>
          </w:tcPr>
          <w:p>
            <w:pPr>
              <w:spacing w:after="0"/>
              <w:rPr>
                <w:sz w:val="24"/>
                <w:szCs w:val="24"/>
                <w:color w:val="auto"/>
              </w:rPr>
            </w:pPr>
          </w:p>
        </w:tc>
        <w:tc>
          <w:tcPr>
            <w:tcW w:w="60" w:type="dxa"/>
            <w:vAlign w:val="bottom"/>
            <w:shd w:val="clear" w:color="auto" w:fill="D9D9D6"/>
          </w:tcPr>
          <w:p>
            <w:pPr>
              <w:spacing w:after="0"/>
              <w:rPr>
                <w:sz w:val="24"/>
                <w:szCs w:val="24"/>
                <w:color w:val="auto"/>
              </w:rPr>
            </w:pPr>
          </w:p>
        </w:tc>
        <w:tc>
          <w:tcPr>
            <w:tcW w:w="340" w:type="dxa"/>
            <w:vAlign w:val="bottom"/>
            <w:shd w:val="clear" w:color="auto" w:fill="D9D9D6"/>
          </w:tcPr>
          <w:p>
            <w:pPr>
              <w:spacing w:after="0"/>
              <w:rPr>
                <w:sz w:val="24"/>
                <w:szCs w:val="24"/>
                <w:color w:val="auto"/>
              </w:rPr>
            </w:pPr>
          </w:p>
        </w:tc>
        <w:tc>
          <w:tcPr>
            <w:tcW w:w="460" w:type="dxa"/>
            <w:vAlign w:val="bottom"/>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36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6920" w:type="dxa"/>
            <w:vAlign w:val="bottom"/>
            <w:shd w:val="clear" w:color="auto" w:fill="D9D9D6"/>
          </w:tcPr>
          <w:p>
            <w:pPr>
              <w:ind w:left="140"/>
              <w:spacing w:after="0"/>
              <w:rPr>
                <w:sz w:val="20"/>
                <w:szCs w:val="20"/>
                <w:color w:val="auto"/>
              </w:rPr>
            </w:pPr>
            <w:r>
              <w:rPr>
                <w:rFonts w:ascii="Arial" w:cs="Arial" w:eastAsia="Arial" w:hAnsi="Arial"/>
                <w:sz w:val="14"/>
                <w:szCs w:val="14"/>
                <w:color w:val="auto"/>
              </w:rPr>
              <w:t>One Product Residential Customers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12,997</w:t>
            </w:r>
          </w:p>
        </w:tc>
        <w:tc>
          <w:tcPr>
            <w:tcW w:w="20" w:type="dxa"/>
            <w:vAlign w:val="bottom"/>
            <w:shd w:val="clear" w:color="auto" w:fill="D9D9D6"/>
          </w:tcPr>
          <w:p>
            <w:pPr>
              <w:spacing w:after="0"/>
              <w:rPr>
                <w:sz w:val="16"/>
                <w:szCs w:val="16"/>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10,775</w:t>
            </w:r>
          </w:p>
        </w:tc>
        <w:tc>
          <w:tcPr>
            <w:tcW w:w="52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589</w:t>
            </w:r>
          </w:p>
        </w:tc>
        <w:tc>
          <w:tcPr>
            <w:tcW w:w="460" w:type="dxa"/>
            <w:vAlign w:val="bottom"/>
            <w:shd w:val="clear" w:color="auto" w:fill="D9D9D6"/>
          </w:tcPr>
          <w:p>
            <w:pPr>
              <w:spacing w:after="0"/>
              <w:rPr>
                <w:sz w:val="16"/>
                <w:szCs w:val="16"/>
                <w:color w:val="auto"/>
              </w:rPr>
            </w:pPr>
          </w:p>
        </w:tc>
        <w:tc>
          <w:tcPr>
            <w:tcW w:w="80" w:type="dxa"/>
            <w:vAlign w:val="bottom"/>
            <w:shd w:val="clear" w:color="auto" w:fill="D9D9D6"/>
          </w:tcPr>
          <w:p>
            <w:pPr>
              <w:spacing w:after="0"/>
              <w:rPr>
                <w:sz w:val="16"/>
                <w:szCs w:val="16"/>
                <w:color w:val="auto"/>
              </w:rPr>
            </w:pPr>
          </w:p>
        </w:tc>
        <w:tc>
          <w:tcPr>
            <w:tcW w:w="360" w:type="dxa"/>
            <w:vAlign w:val="bottom"/>
            <w:shd w:val="clear" w:color="auto" w:fill="D9D9D6"/>
          </w:tcPr>
          <w:p>
            <w:pPr>
              <w:jc w:val="right"/>
              <w:spacing w:after="0"/>
              <w:rPr>
                <w:sz w:val="20"/>
                <w:szCs w:val="20"/>
                <w:color w:val="auto"/>
              </w:rPr>
            </w:pPr>
            <w:r>
              <w:rPr>
                <w:rFonts w:ascii="Arial" w:cs="Arial" w:eastAsia="Arial" w:hAnsi="Arial"/>
                <w:sz w:val="14"/>
                <w:szCs w:val="14"/>
                <w:color w:val="auto"/>
              </w:rPr>
              <w:t>554</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6920" w:type="dxa"/>
            <w:vAlign w:val="bottom"/>
            <w:shd w:val="clear" w:color="auto" w:fill="D9D9D6"/>
          </w:tcPr>
          <w:p>
            <w:pPr>
              <w:ind w:left="140"/>
              <w:spacing w:after="0"/>
              <w:rPr>
                <w:sz w:val="20"/>
                <w:szCs w:val="20"/>
                <w:color w:val="auto"/>
              </w:rPr>
            </w:pPr>
            <w:r>
              <w:rPr>
                <w:rFonts w:ascii="Arial" w:cs="Arial" w:eastAsia="Arial" w:hAnsi="Arial"/>
                <w:sz w:val="14"/>
                <w:szCs w:val="14"/>
                <w:color w:val="auto"/>
              </w:rPr>
              <w:t>Two Product Residential Customers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8,645</w:t>
            </w:r>
          </w:p>
        </w:tc>
        <w:tc>
          <w:tcPr>
            <w:tcW w:w="20" w:type="dxa"/>
            <w:vAlign w:val="bottom"/>
            <w:shd w:val="clear" w:color="auto" w:fill="D9D9D6"/>
          </w:tcPr>
          <w:p>
            <w:pPr>
              <w:spacing w:after="0"/>
              <w:rPr>
                <w:sz w:val="16"/>
                <w:szCs w:val="16"/>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8,848</w:t>
            </w:r>
          </w:p>
        </w:tc>
        <w:tc>
          <w:tcPr>
            <w:tcW w:w="52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(89)</w:t>
            </w:r>
          </w:p>
        </w:tc>
        <w:tc>
          <w:tcPr>
            <w:tcW w:w="460" w:type="dxa"/>
            <w:vAlign w:val="bottom"/>
            <w:shd w:val="clear" w:color="auto" w:fill="D9D9D6"/>
          </w:tcPr>
          <w:p>
            <w:pPr>
              <w:spacing w:after="0"/>
              <w:rPr>
                <w:sz w:val="16"/>
                <w:szCs w:val="16"/>
                <w:color w:val="auto"/>
              </w:rPr>
            </w:pPr>
          </w:p>
        </w:tc>
        <w:tc>
          <w:tcPr>
            <w:tcW w:w="80" w:type="dxa"/>
            <w:vAlign w:val="bottom"/>
            <w:shd w:val="clear" w:color="auto" w:fill="D9D9D6"/>
          </w:tcPr>
          <w:p>
            <w:pPr>
              <w:spacing w:after="0"/>
              <w:rPr>
                <w:sz w:val="16"/>
                <w:szCs w:val="16"/>
                <w:color w:val="auto"/>
              </w:rPr>
            </w:pPr>
          </w:p>
        </w:tc>
        <w:tc>
          <w:tcPr>
            <w:tcW w:w="360" w:type="dxa"/>
            <w:vAlign w:val="bottom"/>
            <w:shd w:val="clear" w:color="auto" w:fill="D9D9D6"/>
          </w:tcPr>
          <w:p>
            <w:pPr>
              <w:jc w:val="right"/>
              <w:spacing w:after="0"/>
              <w:rPr>
                <w:sz w:val="20"/>
                <w:szCs w:val="20"/>
                <w:color w:val="auto"/>
              </w:rPr>
            </w:pPr>
            <w:r>
              <w:rPr>
                <w:rFonts w:ascii="Arial" w:cs="Arial" w:eastAsia="Arial" w:hAnsi="Arial"/>
                <w:sz w:val="14"/>
                <w:szCs w:val="14"/>
                <w:color w:val="auto"/>
              </w:rPr>
              <w:t>(75)</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6920" w:type="dxa"/>
            <w:vAlign w:val="bottom"/>
            <w:shd w:val="clear" w:color="auto" w:fill="D9D9D6"/>
          </w:tcPr>
          <w:p>
            <w:pPr>
              <w:ind w:left="140"/>
              <w:spacing w:after="0"/>
              <w:rPr>
                <w:sz w:val="20"/>
                <w:szCs w:val="20"/>
                <w:color w:val="auto"/>
              </w:rPr>
            </w:pPr>
            <w:r>
              <w:rPr>
                <w:rFonts w:ascii="Arial" w:cs="Arial" w:eastAsia="Arial" w:hAnsi="Arial"/>
                <w:sz w:val="14"/>
                <w:szCs w:val="14"/>
                <w:color w:val="auto"/>
              </w:rPr>
              <w:t>Three or More Product Residential Customers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9,420</w:t>
            </w:r>
          </w:p>
        </w:tc>
        <w:tc>
          <w:tcPr>
            <w:tcW w:w="20" w:type="dxa"/>
            <w:vAlign w:val="bottom"/>
            <w:shd w:val="clear" w:color="auto" w:fill="D9D9D6"/>
          </w:tcPr>
          <w:p>
            <w:pPr>
              <w:spacing w:after="0"/>
              <w:rPr>
                <w:sz w:val="16"/>
                <w:szCs w:val="16"/>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9,860</w:t>
            </w:r>
          </w:p>
        </w:tc>
        <w:tc>
          <w:tcPr>
            <w:tcW w:w="520" w:type="dxa"/>
            <w:vAlign w:val="bottom"/>
            <w:shd w:val="clear" w:color="auto" w:fill="D9D9D6"/>
          </w:tcPr>
          <w:p>
            <w:pPr>
              <w:spacing w:after="0"/>
              <w:rPr>
                <w:sz w:val="16"/>
                <w:szCs w:val="16"/>
                <w:color w:val="auto"/>
              </w:rPr>
            </w:pPr>
          </w:p>
        </w:tc>
        <w:tc>
          <w:tcPr>
            <w:tcW w:w="8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(130)</w:t>
            </w:r>
          </w:p>
        </w:tc>
        <w:tc>
          <w:tcPr>
            <w:tcW w:w="460" w:type="dxa"/>
            <w:vAlign w:val="bottom"/>
            <w:shd w:val="clear" w:color="auto" w:fill="D9D9D6"/>
          </w:tcPr>
          <w:p>
            <w:pPr>
              <w:spacing w:after="0"/>
              <w:rPr>
                <w:sz w:val="16"/>
                <w:szCs w:val="16"/>
                <w:color w:val="auto"/>
              </w:rPr>
            </w:pPr>
          </w:p>
        </w:tc>
        <w:tc>
          <w:tcPr>
            <w:tcW w:w="80" w:type="dxa"/>
            <w:vAlign w:val="bottom"/>
            <w:shd w:val="clear" w:color="auto" w:fill="D9D9D6"/>
          </w:tcPr>
          <w:p>
            <w:pPr>
              <w:spacing w:after="0"/>
              <w:rPr>
                <w:sz w:val="16"/>
                <w:szCs w:val="16"/>
                <w:color w:val="auto"/>
              </w:rPr>
            </w:pPr>
          </w:p>
        </w:tc>
        <w:tc>
          <w:tcPr>
            <w:tcW w:w="360" w:type="dxa"/>
            <w:vAlign w:val="bottom"/>
            <w:shd w:val="clear" w:color="auto" w:fill="D9D9D6"/>
          </w:tcPr>
          <w:p>
            <w:pPr>
              <w:jc w:val="right"/>
              <w:spacing w:after="0"/>
              <w:rPr>
                <w:sz w:val="20"/>
                <w:szCs w:val="20"/>
                <w:color w:val="auto"/>
              </w:rPr>
            </w:pPr>
            <w:r>
              <w:rPr>
                <w:rFonts w:ascii="Arial" w:cs="Arial" w:eastAsia="Arial" w:hAnsi="Arial"/>
                <w:sz w:val="14"/>
                <w:szCs w:val="14"/>
                <w:color w:val="auto"/>
              </w:rPr>
              <w:t>(119)</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120" w:type="dxa"/>
            <w:vAlign w:val="bottom"/>
            <w:shd w:val="clear" w:color="auto" w:fill="D9D9D6"/>
          </w:tcPr>
          <w:p>
            <w:pPr>
              <w:spacing w:after="0"/>
              <w:rPr>
                <w:sz w:val="24"/>
                <w:szCs w:val="24"/>
                <w:color w:val="auto"/>
              </w:rPr>
            </w:pPr>
          </w:p>
        </w:tc>
        <w:tc>
          <w:tcPr>
            <w:tcW w:w="6920" w:type="dxa"/>
            <w:vAlign w:val="bottom"/>
            <w:shd w:val="clear" w:color="auto" w:fill="D9D9D6"/>
          </w:tcPr>
          <w:p>
            <w:pPr>
              <w:ind w:left="140"/>
              <w:spacing w:after="0"/>
              <w:rPr>
                <w:sz w:val="20"/>
                <w:szCs w:val="20"/>
                <w:color w:val="auto"/>
              </w:rPr>
            </w:pPr>
            <w:r>
              <w:rPr>
                <w:rFonts w:ascii="Arial" w:cs="Arial" w:eastAsia="Arial" w:hAnsi="Arial"/>
                <w:sz w:val="14"/>
                <w:szCs w:val="14"/>
                <w:color w:val="auto"/>
              </w:rPr>
              <w:t>Residential Broadband Customers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28,774</w:t>
            </w:r>
          </w:p>
        </w:tc>
        <w:tc>
          <w:tcPr>
            <w:tcW w:w="20" w:type="dxa"/>
            <w:vAlign w:val="bottom"/>
            <w:shd w:val="clear" w:color="auto" w:fill="D9D9D6"/>
          </w:tcPr>
          <w:p>
            <w:pPr>
              <w:spacing w:after="0"/>
              <w:rPr>
                <w:sz w:val="24"/>
                <w:szCs w:val="24"/>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26,854</w:t>
            </w:r>
          </w:p>
        </w:tc>
        <w:tc>
          <w:tcPr>
            <w:tcW w:w="520" w:type="dxa"/>
            <w:vAlign w:val="bottom"/>
            <w:shd w:val="clear" w:color="auto" w:fill="D9D9D6"/>
          </w:tcPr>
          <w:p>
            <w:pPr>
              <w:spacing w:after="0"/>
              <w:rPr>
                <w:sz w:val="24"/>
                <w:szCs w:val="24"/>
                <w:color w:val="auto"/>
              </w:rPr>
            </w:pPr>
          </w:p>
        </w:tc>
        <w:tc>
          <w:tcPr>
            <w:tcW w:w="8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448</w:t>
            </w:r>
          </w:p>
        </w:tc>
        <w:tc>
          <w:tcPr>
            <w:tcW w:w="460" w:type="dxa"/>
            <w:vAlign w:val="bottom"/>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360" w:type="dxa"/>
            <w:vAlign w:val="bottom"/>
            <w:shd w:val="clear" w:color="auto" w:fill="D9D9D6"/>
          </w:tcPr>
          <w:p>
            <w:pPr>
              <w:jc w:val="right"/>
              <w:spacing w:after="0"/>
              <w:rPr>
                <w:sz w:val="20"/>
                <w:szCs w:val="20"/>
                <w:color w:val="auto"/>
              </w:rPr>
            </w:pPr>
            <w:r>
              <w:rPr>
                <w:rFonts w:ascii="Arial" w:cs="Arial" w:eastAsia="Arial" w:hAnsi="Arial"/>
                <w:sz w:val="14"/>
                <w:szCs w:val="14"/>
                <w:color w:val="auto"/>
              </w:rPr>
              <w:t>466</w:t>
            </w: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tcBorders>
              <w:bottom w:val="single" w:sz="8" w:color="D9D9D6"/>
            </w:tcBorders>
            <w:shd w:val="clear" w:color="auto" w:fill="D9D9D6"/>
          </w:tcPr>
          <w:p>
            <w:pPr>
              <w:spacing w:after="0"/>
              <w:rPr>
                <w:sz w:val="16"/>
                <w:szCs w:val="16"/>
                <w:color w:val="auto"/>
              </w:rPr>
            </w:pPr>
          </w:p>
        </w:tc>
        <w:tc>
          <w:tcPr>
            <w:tcW w:w="692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Business Services Broadband Customers</w:t>
            </w: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2,261</w:t>
            </w:r>
          </w:p>
        </w:tc>
        <w:tc>
          <w:tcPr>
            <w:tcW w:w="20" w:type="dxa"/>
            <w:vAlign w:val="bottom"/>
            <w:tcBorders>
              <w:bottom w:val="single" w:sz="8" w:color="auto"/>
            </w:tcBorders>
            <w:shd w:val="clear" w:color="auto" w:fill="D9D9D6"/>
          </w:tcPr>
          <w:p>
            <w:pPr>
              <w:spacing w:after="0"/>
              <w:rPr>
                <w:sz w:val="16"/>
                <w:szCs w:val="16"/>
                <w:color w:val="auto"/>
              </w:rPr>
            </w:pPr>
          </w:p>
        </w:tc>
        <w:tc>
          <w:tcPr>
            <w:tcW w:w="880" w:type="dxa"/>
            <w:vAlign w:val="bottom"/>
            <w:tcBorders>
              <w:bottom w:val="single" w:sz="8" w:color="auto"/>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2,226</w:t>
            </w:r>
          </w:p>
        </w:tc>
        <w:tc>
          <w:tcPr>
            <w:tcW w:w="520" w:type="dxa"/>
            <w:vAlign w:val="bottom"/>
            <w:tcBorders>
              <w:bottom w:val="single" w:sz="8" w:color="D9D9D6"/>
            </w:tcBorders>
            <w:shd w:val="clear" w:color="auto" w:fill="D9D9D6"/>
          </w:tcPr>
          <w:p>
            <w:pPr>
              <w:spacing w:after="0"/>
              <w:rPr>
                <w:sz w:val="16"/>
                <w:szCs w:val="16"/>
                <w:color w:val="auto"/>
              </w:rPr>
            </w:pPr>
          </w:p>
        </w:tc>
        <w:tc>
          <w:tcPr>
            <w:tcW w:w="86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12</w:t>
            </w:r>
          </w:p>
        </w:tc>
        <w:tc>
          <w:tcPr>
            <w:tcW w:w="460" w:type="dxa"/>
            <w:vAlign w:val="bottom"/>
            <w:tcBorders>
              <w:bottom w:val="single" w:sz="8" w:color="auto"/>
            </w:tcBorders>
            <w:shd w:val="clear" w:color="auto" w:fill="D9D9D6"/>
          </w:tcPr>
          <w:p>
            <w:pPr>
              <w:spacing w:after="0"/>
              <w:rPr>
                <w:sz w:val="16"/>
                <w:szCs w:val="16"/>
                <w:color w:val="auto"/>
              </w:rPr>
            </w:pPr>
          </w:p>
        </w:tc>
        <w:tc>
          <w:tcPr>
            <w:tcW w:w="80" w:type="dxa"/>
            <w:vAlign w:val="bottom"/>
            <w:tcBorders>
              <w:bottom w:val="single" w:sz="8" w:color="auto"/>
            </w:tcBorders>
            <w:shd w:val="clear" w:color="auto" w:fill="D9D9D6"/>
          </w:tcPr>
          <w:p>
            <w:pPr>
              <w:spacing w:after="0"/>
              <w:rPr>
                <w:sz w:val="16"/>
                <w:szCs w:val="16"/>
                <w:color w:val="auto"/>
              </w:rPr>
            </w:pPr>
          </w:p>
        </w:tc>
        <w:tc>
          <w:tcPr>
            <w:tcW w:w="36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rPr>
              <w:t>11</w:t>
            </w:r>
          </w:p>
        </w:tc>
        <w:tc>
          <w:tcPr>
            <w:tcW w:w="20" w:type="dxa"/>
            <w:vAlign w:val="bottom"/>
            <w:tcBorders>
              <w:bottom w:val="single" w:sz="8" w:color="auto"/>
            </w:tcBorders>
            <w:shd w:val="clear" w:color="auto" w:fill="D9D9D6"/>
          </w:tcPr>
          <w:p>
            <w:pPr>
              <w:spacing w:after="0"/>
              <w:rPr>
                <w:sz w:val="16"/>
                <w:szCs w:val="16"/>
                <w:color w:val="auto"/>
              </w:rPr>
            </w:pPr>
          </w:p>
        </w:tc>
        <w:tc>
          <w:tcPr>
            <w:tcW w:w="120" w:type="dxa"/>
            <w:vAlign w:val="bottom"/>
            <w:tcBorders>
              <w:bottom w:val="single" w:sz="8" w:color="D9D9D6"/>
            </w:tcBorders>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0" w:type="dxa"/>
            <w:vAlign w:val="bottom"/>
            <w:shd w:val="clear" w:color="auto" w:fill="D9D9D6"/>
          </w:tcPr>
          <w:p>
            <w:pPr>
              <w:spacing w:after="0"/>
              <w:rPr>
                <w:sz w:val="15"/>
                <w:szCs w:val="15"/>
                <w:color w:val="auto"/>
              </w:rPr>
            </w:pPr>
          </w:p>
        </w:tc>
        <w:tc>
          <w:tcPr>
            <w:tcW w:w="692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Broadband Customers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31,034</w:t>
            </w:r>
          </w:p>
        </w:tc>
        <w:tc>
          <w:tcPr>
            <w:tcW w:w="20" w:type="dxa"/>
            <w:vAlign w:val="bottom"/>
            <w:shd w:val="clear" w:color="auto" w:fill="D9D9D6"/>
          </w:tcPr>
          <w:p>
            <w:pPr>
              <w:spacing w:after="0"/>
              <w:rPr>
                <w:sz w:val="15"/>
                <w:szCs w:val="15"/>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29,080</w:t>
            </w:r>
          </w:p>
        </w:tc>
        <w:tc>
          <w:tcPr>
            <w:tcW w:w="520" w:type="dxa"/>
            <w:vAlign w:val="bottom"/>
            <w:shd w:val="clear" w:color="auto" w:fill="D9D9D6"/>
          </w:tcPr>
          <w:p>
            <w:pPr>
              <w:spacing w:after="0"/>
              <w:rPr>
                <w:sz w:val="15"/>
                <w:szCs w:val="15"/>
                <w:color w:val="auto"/>
              </w:rPr>
            </w:pPr>
          </w:p>
        </w:tc>
        <w:tc>
          <w:tcPr>
            <w:tcW w:w="86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461</w:t>
            </w:r>
          </w:p>
        </w:tc>
        <w:tc>
          <w:tcPr>
            <w:tcW w:w="460" w:type="dxa"/>
            <w:vAlign w:val="bottom"/>
            <w:shd w:val="clear" w:color="auto" w:fill="D9D9D6"/>
          </w:tcPr>
          <w:p>
            <w:pPr>
              <w:spacing w:after="0"/>
              <w:rPr>
                <w:sz w:val="15"/>
                <w:szCs w:val="15"/>
                <w:color w:val="auto"/>
              </w:rPr>
            </w:pPr>
          </w:p>
        </w:tc>
        <w:tc>
          <w:tcPr>
            <w:tcW w:w="80" w:type="dxa"/>
            <w:vAlign w:val="bottom"/>
            <w:shd w:val="clear" w:color="auto" w:fill="D9D9D6"/>
          </w:tcPr>
          <w:p>
            <w:pPr>
              <w:spacing w:after="0"/>
              <w:rPr>
                <w:sz w:val="15"/>
                <w:szCs w:val="15"/>
                <w:color w:val="auto"/>
              </w:rPr>
            </w:pPr>
          </w:p>
        </w:tc>
        <w:tc>
          <w:tcPr>
            <w:tcW w:w="36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rPr>
              <w:t>477</w:t>
            </w:r>
          </w:p>
        </w:tc>
        <w:tc>
          <w:tcPr>
            <w:tcW w:w="2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120" w:type="dxa"/>
            <w:vAlign w:val="bottom"/>
            <w:shd w:val="clear" w:color="auto" w:fill="D9D9D6"/>
          </w:tcPr>
          <w:p>
            <w:pPr>
              <w:spacing w:after="0"/>
              <w:rPr>
                <w:sz w:val="24"/>
                <w:szCs w:val="24"/>
                <w:color w:val="auto"/>
              </w:rPr>
            </w:pPr>
          </w:p>
        </w:tc>
        <w:tc>
          <w:tcPr>
            <w:tcW w:w="6920" w:type="dxa"/>
            <w:vAlign w:val="bottom"/>
            <w:shd w:val="clear" w:color="auto" w:fill="D9D9D6"/>
          </w:tcPr>
          <w:p>
            <w:pPr>
              <w:ind w:left="140"/>
              <w:spacing w:after="0"/>
              <w:rPr>
                <w:sz w:val="20"/>
                <w:szCs w:val="20"/>
                <w:color w:val="auto"/>
              </w:rPr>
            </w:pPr>
            <w:r>
              <w:rPr>
                <w:rFonts w:ascii="Arial" w:cs="Arial" w:eastAsia="Arial" w:hAnsi="Arial"/>
                <w:sz w:val="14"/>
                <w:szCs w:val="14"/>
                <w:color w:val="auto"/>
              </w:rPr>
              <w:t>Residential Video Customers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18,590</w:t>
            </w:r>
          </w:p>
        </w:tc>
        <w:tc>
          <w:tcPr>
            <w:tcW w:w="20" w:type="dxa"/>
            <w:vAlign w:val="bottom"/>
            <w:shd w:val="clear" w:color="auto" w:fill="D9D9D6"/>
          </w:tcPr>
          <w:p>
            <w:pPr>
              <w:spacing w:after="0"/>
              <w:rPr>
                <w:sz w:val="24"/>
                <w:szCs w:val="24"/>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19,900</w:t>
            </w:r>
          </w:p>
        </w:tc>
        <w:tc>
          <w:tcPr>
            <w:tcW w:w="520" w:type="dxa"/>
            <w:vAlign w:val="bottom"/>
            <w:shd w:val="clear" w:color="auto" w:fill="D9D9D6"/>
          </w:tcPr>
          <w:p>
            <w:pPr>
              <w:spacing w:after="0"/>
              <w:rPr>
                <w:sz w:val="24"/>
                <w:szCs w:val="24"/>
                <w:color w:val="auto"/>
              </w:rPr>
            </w:pPr>
          </w:p>
        </w:tc>
        <w:tc>
          <w:tcPr>
            <w:tcW w:w="8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(404)</w:t>
            </w:r>
          </w:p>
        </w:tc>
        <w:tc>
          <w:tcPr>
            <w:tcW w:w="460" w:type="dxa"/>
            <w:vAlign w:val="bottom"/>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360" w:type="dxa"/>
            <w:vAlign w:val="bottom"/>
            <w:shd w:val="clear" w:color="auto" w:fill="D9D9D6"/>
          </w:tcPr>
          <w:p>
            <w:pPr>
              <w:jc w:val="right"/>
              <w:spacing w:after="0"/>
              <w:rPr>
                <w:sz w:val="20"/>
                <w:szCs w:val="20"/>
                <w:color w:val="auto"/>
              </w:rPr>
            </w:pPr>
            <w:r>
              <w:rPr>
                <w:rFonts w:ascii="Arial" w:cs="Arial" w:eastAsia="Arial" w:hAnsi="Arial"/>
                <w:sz w:val="14"/>
                <w:szCs w:val="14"/>
                <w:color w:val="auto"/>
              </w:rPr>
              <w:t>(388)</w:t>
            </w: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tcBorders>
              <w:bottom w:val="single" w:sz="8" w:color="D9D9D6"/>
            </w:tcBorders>
            <w:shd w:val="clear" w:color="auto" w:fill="D9D9D6"/>
          </w:tcPr>
          <w:p>
            <w:pPr>
              <w:spacing w:after="0"/>
              <w:rPr>
                <w:sz w:val="16"/>
                <w:szCs w:val="16"/>
                <w:color w:val="auto"/>
              </w:rPr>
            </w:pPr>
          </w:p>
        </w:tc>
        <w:tc>
          <w:tcPr>
            <w:tcW w:w="692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Business Services Video Customers</w:t>
            </w: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765</w:t>
            </w:r>
          </w:p>
        </w:tc>
        <w:tc>
          <w:tcPr>
            <w:tcW w:w="20" w:type="dxa"/>
            <w:vAlign w:val="bottom"/>
            <w:tcBorders>
              <w:bottom w:val="single" w:sz="8" w:color="auto"/>
            </w:tcBorders>
            <w:shd w:val="clear" w:color="auto" w:fill="D9D9D6"/>
          </w:tcPr>
          <w:p>
            <w:pPr>
              <w:spacing w:after="0"/>
              <w:rPr>
                <w:sz w:val="16"/>
                <w:szCs w:val="16"/>
                <w:color w:val="auto"/>
              </w:rPr>
            </w:pPr>
          </w:p>
        </w:tc>
        <w:tc>
          <w:tcPr>
            <w:tcW w:w="880" w:type="dxa"/>
            <w:vAlign w:val="bottom"/>
            <w:tcBorders>
              <w:bottom w:val="single" w:sz="8" w:color="auto"/>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944</w:t>
            </w:r>
          </w:p>
        </w:tc>
        <w:tc>
          <w:tcPr>
            <w:tcW w:w="520" w:type="dxa"/>
            <w:vAlign w:val="bottom"/>
            <w:tcBorders>
              <w:bottom w:val="single" w:sz="8" w:color="D9D9D6"/>
            </w:tcBorders>
            <w:shd w:val="clear" w:color="auto" w:fill="D9D9D6"/>
          </w:tcPr>
          <w:p>
            <w:pPr>
              <w:spacing w:after="0"/>
              <w:rPr>
                <w:sz w:val="16"/>
                <w:szCs w:val="16"/>
                <w:color w:val="auto"/>
              </w:rPr>
            </w:pPr>
          </w:p>
        </w:tc>
        <w:tc>
          <w:tcPr>
            <w:tcW w:w="86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(87)</w:t>
            </w:r>
          </w:p>
        </w:tc>
        <w:tc>
          <w:tcPr>
            <w:tcW w:w="460" w:type="dxa"/>
            <w:vAlign w:val="bottom"/>
            <w:tcBorders>
              <w:bottom w:val="single" w:sz="8" w:color="auto"/>
            </w:tcBorders>
            <w:shd w:val="clear" w:color="auto" w:fill="D9D9D6"/>
          </w:tcPr>
          <w:p>
            <w:pPr>
              <w:spacing w:after="0"/>
              <w:rPr>
                <w:sz w:val="16"/>
                <w:szCs w:val="16"/>
                <w:color w:val="auto"/>
              </w:rPr>
            </w:pPr>
          </w:p>
        </w:tc>
        <w:tc>
          <w:tcPr>
            <w:tcW w:w="80" w:type="dxa"/>
            <w:vAlign w:val="bottom"/>
            <w:tcBorders>
              <w:bottom w:val="single" w:sz="8" w:color="auto"/>
            </w:tcBorders>
            <w:shd w:val="clear" w:color="auto" w:fill="D9D9D6"/>
          </w:tcPr>
          <w:p>
            <w:pPr>
              <w:spacing w:after="0"/>
              <w:rPr>
                <w:sz w:val="16"/>
                <w:szCs w:val="16"/>
                <w:color w:val="auto"/>
              </w:rPr>
            </w:pPr>
          </w:p>
        </w:tc>
        <w:tc>
          <w:tcPr>
            <w:tcW w:w="36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rPr>
              <w:t>(22)</w:t>
            </w:r>
          </w:p>
        </w:tc>
        <w:tc>
          <w:tcPr>
            <w:tcW w:w="20" w:type="dxa"/>
            <w:vAlign w:val="bottom"/>
            <w:tcBorders>
              <w:bottom w:val="single" w:sz="8" w:color="auto"/>
            </w:tcBorders>
            <w:shd w:val="clear" w:color="auto" w:fill="D9D9D6"/>
          </w:tcPr>
          <w:p>
            <w:pPr>
              <w:spacing w:after="0"/>
              <w:rPr>
                <w:sz w:val="16"/>
                <w:szCs w:val="16"/>
                <w:color w:val="auto"/>
              </w:rPr>
            </w:pPr>
          </w:p>
        </w:tc>
        <w:tc>
          <w:tcPr>
            <w:tcW w:w="120" w:type="dxa"/>
            <w:vAlign w:val="bottom"/>
            <w:tcBorders>
              <w:bottom w:val="single" w:sz="8" w:color="D9D9D6"/>
            </w:tcBorders>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0" w:type="dxa"/>
            <w:vAlign w:val="bottom"/>
            <w:shd w:val="clear" w:color="auto" w:fill="D9D9D6"/>
          </w:tcPr>
          <w:p>
            <w:pPr>
              <w:spacing w:after="0"/>
              <w:rPr>
                <w:sz w:val="15"/>
                <w:szCs w:val="15"/>
                <w:color w:val="auto"/>
              </w:rPr>
            </w:pPr>
          </w:p>
        </w:tc>
        <w:tc>
          <w:tcPr>
            <w:tcW w:w="692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Video Customers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19,355</w:t>
            </w:r>
          </w:p>
        </w:tc>
        <w:tc>
          <w:tcPr>
            <w:tcW w:w="20" w:type="dxa"/>
            <w:vAlign w:val="bottom"/>
            <w:shd w:val="clear" w:color="auto" w:fill="D9D9D6"/>
          </w:tcPr>
          <w:p>
            <w:pPr>
              <w:spacing w:after="0"/>
              <w:rPr>
                <w:sz w:val="15"/>
                <w:szCs w:val="15"/>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20,845</w:t>
            </w:r>
          </w:p>
        </w:tc>
        <w:tc>
          <w:tcPr>
            <w:tcW w:w="520" w:type="dxa"/>
            <w:vAlign w:val="bottom"/>
            <w:shd w:val="clear" w:color="auto" w:fill="D9D9D6"/>
          </w:tcPr>
          <w:p>
            <w:pPr>
              <w:spacing w:after="0"/>
              <w:rPr>
                <w:sz w:val="15"/>
                <w:szCs w:val="15"/>
                <w:color w:val="auto"/>
              </w:rPr>
            </w:pPr>
          </w:p>
        </w:tc>
        <w:tc>
          <w:tcPr>
            <w:tcW w:w="86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(491)</w:t>
            </w:r>
          </w:p>
        </w:tc>
        <w:tc>
          <w:tcPr>
            <w:tcW w:w="460" w:type="dxa"/>
            <w:vAlign w:val="bottom"/>
            <w:shd w:val="clear" w:color="auto" w:fill="D9D9D6"/>
          </w:tcPr>
          <w:p>
            <w:pPr>
              <w:spacing w:after="0"/>
              <w:rPr>
                <w:sz w:val="15"/>
                <w:szCs w:val="15"/>
                <w:color w:val="auto"/>
              </w:rPr>
            </w:pPr>
          </w:p>
        </w:tc>
        <w:tc>
          <w:tcPr>
            <w:tcW w:w="80" w:type="dxa"/>
            <w:vAlign w:val="bottom"/>
            <w:shd w:val="clear" w:color="auto" w:fill="D9D9D6"/>
          </w:tcPr>
          <w:p>
            <w:pPr>
              <w:spacing w:after="0"/>
              <w:rPr>
                <w:sz w:val="15"/>
                <w:szCs w:val="15"/>
                <w:color w:val="auto"/>
              </w:rPr>
            </w:pPr>
          </w:p>
        </w:tc>
        <w:tc>
          <w:tcPr>
            <w:tcW w:w="36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rPr>
              <w:t>(409)</w:t>
            </w:r>
          </w:p>
        </w:tc>
        <w:tc>
          <w:tcPr>
            <w:tcW w:w="2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120" w:type="dxa"/>
            <w:vAlign w:val="bottom"/>
            <w:shd w:val="clear" w:color="auto" w:fill="D9D9D6"/>
          </w:tcPr>
          <w:p>
            <w:pPr>
              <w:spacing w:after="0"/>
              <w:rPr>
                <w:sz w:val="24"/>
                <w:szCs w:val="24"/>
                <w:color w:val="auto"/>
              </w:rPr>
            </w:pPr>
          </w:p>
        </w:tc>
        <w:tc>
          <w:tcPr>
            <w:tcW w:w="6920" w:type="dxa"/>
            <w:vAlign w:val="bottom"/>
            <w:shd w:val="clear" w:color="auto" w:fill="D9D9D6"/>
          </w:tcPr>
          <w:p>
            <w:pPr>
              <w:ind w:left="140"/>
              <w:spacing w:after="0"/>
              <w:rPr>
                <w:sz w:val="20"/>
                <w:szCs w:val="20"/>
                <w:color w:val="auto"/>
              </w:rPr>
            </w:pPr>
            <w:r>
              <w:rPr>
                <w:rFonts w:ascii="Arial" w:cs="Arial" w:eastAsia="Arial" w:hAnsi="Arial"/>
                <w:sz w:val="14"/>
                <w:szCs w:val="14"/>
                <w:color w:val="auto"/>
              </w:rPr>
              <w:t>Residential Voice Customers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9,533</w:t>
            </w:r>
          </w:p>
        </w:tc>
        <w:tc>
          <w:tcPr>
            <w:tcW w:w="20" w:type="dxa"/>
            <w:vAlign w:val="bottom"/>
            <w:shd w:val="clear" w:color="auto" w:fill="D9D9D6"/>
          </w:tcPr>
          <w:p>
            <w:pPr>
              <w:spacing w:after="0"/>
              <w:rPr>
                <w:sz w:val="24"/>
                <w:szCs w:val="24"/>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9,840</w:t>
            </w:r>
          </w:p>
        </w:tc>
        <w:tc>
          <w:tcPr>
            <w:tcW w:w="520" w:type="dxa"/>
            <w:vAlign w:val="bottom"/>
            <w:shd w:val="clear" w:color="auto" w:fill="D9D9D6"/>
          </w:tcPr>
          <w:p>
            <w:pPr>
              <w:spacing w:after="0"/>
              <w:rPr>
                <w:sz w:val="24"/>
                <w:szCs w:val="24"/>
                <w:color w:val="auto"/>
              </w:rPr>
            </w:pPr>
          </w:p>
        </w:tc>
        <w:tc>
          <w:tcPr>
            <w:tcW w:w="86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(112)</w:t>
            </w:r>
          </w:p>
        </w:tc>
        <w:tc>
          <w:tcPr>
            <w:tcW w:w="460" w:type="dxa"/>
            <w:vAlign w:val="bottom"/>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360" w:type="dxa"/>
            <w:vAlign w:val="bottom"/>
            <w:shd w:val="clear" w:color="auto" w:fill="D9D9D6"/>
          </w:tcPr>
          <w:p>
            <w:pPr>
              <w:jc w:val="right"/>
              <w:spacing w:after="0"/>
              <w:rPr>
                <w:sz w:val="20"/>
                <w:szCs w:val="20"/>
                <w:color w:val="auto"/>
              </w:rPr>
            </w:pPr>
            <w:r>
              <w:rPr>
                <w:rFonts w:ascii="Arial" w:cs="Arial" w:eastAsia="Arial" w:hAnsi="Arial"/>
                <w:sz w:val="14"/>
                <w:szCs w:val="14"/>
                <w:color w:val="auto"/>
              </w:rPr>
              <w:t>(94)</w:t>
            </w: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tcBorders>
              <w:bottom w:val="single" w:sz="8" w:color="D9D9D6"/>
            </w:tcBorders>
            <w:shd w:val="clear" w:color="auto" w:fill="D9D9D6"/>
          </w:tcPr>
          <w:p>
            <w:pPr>
              <w:spacing w:after="0"/>
              <w:rPr>
                <w:sz w:val="16"/>
                <w:szCs w:val="16"/>
                <w:color w:val="auto"/>
              </w:rPr>
            </w:pPr>
          </w:p>
        </w:tc>
        <w:tc>
          <w:tcPr>
            <w:tcW w:w="692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Business Services Voice Customers</w:t>
            </w: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1,363</w:t>
            </w:r>
          </w:p>
        </w:tc>
        <w:tc>
          <w:tcPr>
            <w:tcW w:w="20" w:type="dxa"/>
            <w:vAlign w:val="bottom"/>
            <w:tcBorders>
              <w:bottom w:val="single" w:sz="8" w:color="auto"/>
            </w:tcBorders>
            <w:shd w:val="clear" w:color="auto" w:fill="D9D9D6"/>
          </w:tcPr>
          <w:p>
            <w:pPr>
              <w:spacing w:after="0"/>
              <w:rPr>
                <w:sz w:val="16"/>
                <w:szCs w:val="16"/>
                <w:color w:val="auto"/>
              </w:rPr>
            </w:pPr>
          </w:p>
        </w:tc>
        <w:tc>
          <w:tcPr>
            <w:tcW w:w="880" w:type="dxa"/>
            <w:vAlign w:val="bottom"/>
            <w:tcBorders>
              <w:bottom w:val="single" w:sz="8" w:color="auto"/>
            </w:tcBorders>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1,347</w:t>
            </w:r>
          </w:p>
        </w:tc>
        <w:tc>
          <w:tcPr>
            <w:tcW w:w="520" w:type="dxa"/>
            <w:vAlign w:val="bottom"/>
            <w:tcBorders>
              <w:bottom w:val="single" w:sz="8" w:color="D9D9D6"/>
            </w:tcBorders>
            <w:shd w:val="clear" w:color="auto" w:fill="D9D9D6"/>
          </w:tcPr>
          <w:p>
            <w:pPr>
              <w:spacing w:after="0"/>
              <w:rPr>
                <w:sz w:val="16"/>
                <w:szCs w:val="16"/>
                <w:color w:val="auto"/>
              </w:rPr>
            </w:pPr>
          </w:p>
        </w:tc>
        <w:tc>
          <w:tcPr>
            <w:tcW w:w="860" w:type="dxa"/>
            <w:vAlign w:val="bottom"/>
            <w:tcBorders>
              <w:bottom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color w:val="auto"/>
              </w:rPr>
              <w:t>6</w:t>
            </w:r>
          </w:p>
        </w:tc>
        <w:tc>
          <w:tcPr>
            <w:tcW w:w="460" w:type="dxa"/>
            <w:vAlign w:val="bottom"/>
            <w:tcBorders>
              <w:bottom w:val="single" w:sz="8" w:color="auto"/>
            </w:tcBorders>
            <w:shd w:val="clear" w:color="auto" w:fill="D9D9D6"/>
          </w:tcPr>
          <w:p>
            <w:pPr>
              <w:spacing w:after="0"/>
              <w:rPr>
                <w:sz w:val="16"/>
                <w:szCs w:val="16"/>
                <w:color w:val="auto"/>
              </w:rPr>
            </w:pPr>
          </w:p>
        </w:tc>
        <w:tc>
          <w:tcPr>
            <w:tcW w:w="80" w:type="dxa"/>
            <w:vAlign w:val="bottom"/>
            <w:tcBorders>
              <w:bottom w:val="single" w:sz="8" w:color="auto"/>
            </w:tcBorders>
            <w:shd w:val="clear" w:color="auto" w:fill="D9D9D6"/>
          </w:tcPr>
          <w:p>
            <w:pPr>
              <w:spacing w:after="0"/>
              <w:rPr>
                <w:sz w:val="16"/>
                <w:szCs w:val="16"/>
                <w:color w:val="auto"/>
              </w:rPr>
            </w:pPr>
          </w:p>
        </w:tc>
        <w:tc>
          <w:tcPr>
            <w:tcW w:w="36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rPr>
              <w:t>5</w:t>
            </w:r>
          </w:p>
        </w:tc>
        <w:tc>
          <w:tcPr>
            <w:tcW w:w="20" w:type="dxa"/>
            <w:vAlign w:val="bottom"/>
            <w:tcBorders>
              <w:bottom w:val="single" w:sz="8" w:color="auto"/>
            </w:tcBorders>
            <w:shd w:val="clear" w:color="auto" w:fill="D9D9D6"/>
          </w:tcPr>
          <w:p>
            <w:pPr>
              <w:spacing w:after="0"/>
              <w:rPr>
                <w:sz w:val="16"/>
                <w:szCs w:val="16"/>
                <w:color w:val="auto"/>
              </w:rPr>
            </w:pPr>
          </w:p>
        </w:tc>
        <w:tc>
          <w:tcPr>
            <w:tcW w:w="120" w:type="dxa"/>
            <w:vAlign w:val="bottom"/>
            <w:tcBorders>
              <w:bottom w:val="single" w:sz="8" w:color="D9D9D6"/>
            </w:tcBorders>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0" w:type="dxa"/>
            <w:vAlign w:val="bottom"/>
            <w:shd w:val="clear" w:color="auto" w:fill="D9D9D6"/>
          </w:tcPr>
          <w:p>
            <w:pPr>
              <w:spacing w:after="0"/>
              <w:rPr>
                <w:sz w:val="15"/>
                <w:szCs w:val="15"/>
                <w:color w:val="auto"/>
              </w:rPr>
            </w:pPr>
          </w:p>
        </w:tc>
        <w:tc>
          <w:tcPr>
            <w:tcW w:w="692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Voice Customers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10,896</w:t>
            </w:r>
          </w:p>
        </w:tc>
        <w:tc>
          <w:tcPr>
            <w:tcW w:w="20" w:type="dxa"/>
            <w:vAlign w:val="bottom"/>
            <w:shd w:val="clear" w:color="auto" w:fill="D9D9D6"/>
          </w:tcPr>
          <w:p>
            <w:pPr>
              <w:spacing w:after="0"/>
              <w:rPr>
                <w:sz w:val="15"/>
                <w:szCs w:val="15"/>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11,187</w:t>
            </w:r>
          </w:p>
        </w:tc>
        <w:tc>
          <w:tcPr>
            <w:tcW w:w="520" w:type="dxa"/>
            <w:vAlign w:val="bottom"/>
            <w:shd w:val="clear" w:color="auto" w:fill="D9D9D6"/>
          </w:tcPr>
          <w:p>
            <w:pPr>
              <w:spacing w:after="0"/>
              <w:rPr>
                <w:sz w:val="15"/>
                <w:szCs w:val="15"/>
                <w:color w:val="auto"/>
              </w:rPr>
            </w:pPr>
          </w:p>
        </w:tc>
        <w:tc>
          <w:tcPr>
            <w:tcW w:w="86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(106)</w:t>
            </w:r>
          </w:p>
        </w:tc>
        <w:tc>
          <w:tcPr>
            <w:tcW w:w="460" w:type="dxa"/>
            <w:vAlign w:val="bottom"/>
            <w:shd w:val="clear" w:color="auto" w:fill="D9D9D6"/>
          </w:tcPr>
          <w:p>
            <w:pPr>
              <w:spacing w:after="0"/>
              <w:rPr>
                <w:sz w:val="15"/>
                <w:szCs w:val="15"/>
                <w:color w:val="auto"/>
              </w:rPr>
            </w:pPr>
          </w:p>
        </w:tc>
        <w:tc>
          <w:tcPr>
            <w:tcW w:w="80" w:type="dxa"/>
            <w:vAlign w:val="bottom"/>
            <w:shd w:val="clear" w:color="auto" w:fill="D9D9D6"/>
          </w:tcPr>
          <w:p>
            <w:pPr>
              <w:spacing w:after="0"/>
              <w:rPr>
                <w:sz w:val="15"/>
                <w:szCs w:val="15"/>
                <w:color w:val="auto"/>
              </w:rPr>
            </w:pPr>
          </w:p>
        </w:tc>
        <w:tc>
          <w:tcPr>
            <w:tcW w:w="36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rPr>
              <w:t>(89)</w:t>
            </w:r>
          </w:p>
        </w:tc>
        <w:tc>
          <w:tcPr>
            <w:tcW w:w="2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120" w:type="dxa"/>
            <w:vAlign w:val="bottom"/>
            <w:shd w:val="clear" w:color="auto" w:fill="D9D9D6"/>
          </w:tcPr>
          <w:p>
            <w:pPr>
              <w:spacing w:after="0"/>
              <w:rPr>
                <w:sz w:val="24"/>
                <w:szCs w:val="24"/>
                <w:color w:val="auto"/>
              </w:rPr>
            </w:pPr>
          </w:p>
        </w:tc>
        <w:tc>
          <w:tcPr>
            <w:tcW w:w="692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Total Wireless Lines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3,103</w:t>
            </w:r>
          </w:p>
        </w:tc>
        <w:tc>
          <w:tcPr>
            <w:tcW w:w="20" w:type="dxa"/>
            <w:vAlign w:val="bottom"/>
            <w:shd w:val="clear" w:color="auto" w:fill="D9D9D6"/>
          </w:tcPr>
          <w:p>
            <w:pPr>
              <w:spacing w:after="0"/>
              <w:rPr>
                <w:sz w:val="24"/>
                <w:szCs w:val="24"/>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2,267</w:t>
            </w:r>
          </w:p>
        </w:tc>
        <w:tc>
          <w:tcPr>
            <w:tcW w:w="520" w:type="dxa"/>
            <w:vAlign w:val="bottom"/>
            <w:shd w:val="clear" w:color="auto" w:fill="D9D9D6"/>
          </w:tcPr>
          <w:p>
            <w:pPr>
              <w:spacing w:after="0"/>
              <w:rPr>
                <w:sz w:val="24"/>
                <w:szCs w:val="24"/>
                <w:color w:val="auto"/>
              </w:rPr>
            </w:pPr>
          </w:p>
        </w:tc>
        <w:tc>
          <w:tcPr>
            <w:tcW w:w="86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278</w:t>
            </w:r>
          </w:p>
        </w:tc>
        <w:tc>
          <w:tcPr>
            <w:tcW w:w="460" w:type="dxa"/>
            <w:vAlign w:val="bottom"/>
            <w:shd w:val="clear" w:color="auto" w:fill="D9D9D6"/>
          </w:tcPr>
          <w:p>
            <w:pPr>
              <w:spacing w:after="0"/>
              <w:rPr>
                <w:sz w:val="24"/>
                <w:szCs w:val="24"/>
                <w:color w:val="auto"/>
              </w:rPr>
            </w:pPr>
          </w:p>
        </w:tc>
        <w:tc>
          <w:tcPr>
            <w:tcW w:w="80" w:type="dxa"/>
            <w:vAlign w:val="bottom"/>
            <w:shd w:val="clear" w:color="auto" w:fill="D9D9D6"/>
          </w:tcPr>
          <w:p>
            <w:pPr>
              <w:spacing w:after="0"/>
              <w:rPr>
                <w:sz w:val="24"/>
                <w:szCs w:val="24"/>
                <w:color w:val="auto"/>
              </w:rPr>
            </w:pPr>
          </w:p>
        </w:tc>
        <w:tc>
          <w:tcPr>
            <w:tcW w:w="36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rPr>
              <w:t>216</w:t>
            </w: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20" w:type="dxa"/>
            <w:vAlign w:val="bottom"/>
            <w:shd w:val="clear" w:color="auto" w:fill="D9D9D6"/>
          </w:tcPr>
          <w:p>
            <w:pPr>
              <w:spacing w:after="0"/>
              <w:rPr>
                <w:sz w:val="4"/>
                <w:szCs w:val="4"/>
                <w:color w:val="auto"/>
              </w:rPr>
            </w:pPr>
          </w:p>
        </w:tc>
        <w:tc>
          <w:tcPr>
            <w:tcW w:w="6920" w:type="dxa"/>
            <w:vAlign w:val="bottom"/>
            <w:shd w:val="clear" w:color="auto" w:fill="D9D9D6"/>
          </w:tcPr>
          <w:p>
            <w:pPr>
              <w:spacing w:after="0"/>
              <w:rPr>
                <w:sz w:val="4"/>
                <w:szCs w:val="4"/>
                <w:color w:val="auto"/>
              </w:rPr>
            </w:pPr>
          </w:p>
        </w:tc>
        <w:tc>
          <w:tcPr>
            <w:tcW w:w="520" w:type="dxa"/>
            <w:vAlign w:val="bottom"/>
            <w:shd w:val="clear" w:color="auto" w:fill="D9D9D6"/>
          </w:tcPr>
          <w:p>
            <w:pPr>
              <w:spacing w:after="0"/>
              <w:rPr>
                <w:sz w:val="4"/>
                <w:szCs w:val="4"/>
                <w:color w:val="auto"/>
              </w:rPr>
            </w:pPr>
          </w:p>
        </w:tc>
        <w:tc>
          <w:tcPr>
            <w:tcW w:w="36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460" w:type="dxa"/>
            <w:vAlign w:val="bottom"/>
            <w:shd w:val="clear" w:color="auto" w:fill="D9D9D6"/>
          </w:tcPr>
          <w:p>
            <w:pPr>
              <w:spacing w:after="0"/>
              <w:rPr>
                <w:sz w:val="4"/>
                <w:szCs w:val="4"/>
                <w:color w:val="auto"/>
              </w:rPr>
            </w:pPr>
          </w:p>
        </w:tc>
        <w:tc>
          <w:tcPr>
            <w:tcW w:w="360" w:type="dxa"/>
            <w:vAlign w:val="bottom"/>
            <w:shd w:val="clear" w:color="auto" w:fill="D9D9D6"/>
          </w:tcPr>
          <w:p>
            <w:pPr>
              <w:spacing w:after="0"/>
              <w:rPr>
                <w:sz w:val="4"/>
                <w:szCs w:val="4"/>
                <w:color w:val="auto"/>
              </w:rPr>
            </w:pPr>
          </w:p>
        </w:tc>
        <w:tc>
          <w:tcPr>
            <w:tcW w:w="60" w:type="dxa"/>
            <w:vAlign w:val="bottom"/>
            <w:shd w:val="clear" w:color="auto" w:fill="D9D9D6"/>
          </w:tcPr>
          <w:p>
            <w:pPr>
              <w:spacing w:after="0"/>
              <w:rPr>
                <w:sz w:val="4"/>
                <w:szCs w:val="4"/>
                <w:color w:val="auto"/>
              </w:rPr>
            </w:pPr>
          </w:p>
        </w:tc>
        <w:tc>
          <w:tcPr>
            <w:tcW w:w="520" w:type="dxa"/>
            <w:vAlign w:val="bottom"/>
            <w:shd w:val="clear" w:color="auto" w:fill="D9D9D6"/>
          </w:tcPr>
          <w:p>
            <w:pPr>
              <w:spacing w:after="0"/>
              <w:rPr>
                <w:sz w:val="4"/>
                <w:szCs w:val="4"/>
                <w:color w:val="auto"/>
              </w:rPr>
            </w:pPr>
          </w:p>
        </w:tc>
        <w:tc>
          <w:tcPr>
            <w:tcW w:w="460" w:type="dxa"/>
            <w:vAlign w:val="bottom"/>
            <w:shd w:val="clear" w:color="auto" w:fill="D9D9D6"/>
          </w:tcPr>
          <w:p>
            <w:pPr>
              <w:spacing w:after="0"/>
              <w:rPr>
                <w:sz w:val="4"/>
                <w:szCs w:val="4"/>
                <w:color w:val="auto"/>
              </w:rPr>
            </w:pPr>
          </w:p>
        </w:tc>
        <w:tc>
          <w:tcPr>
            <w:tcW w:w="60" w:type="dxa"/>
            <w:vAlign w:val="bottom"/>
            <w:shd w:val="clear" w:color="auto" w:fill="D9D9D6"/>
          </w:tcPr>
          <w:p>
            <w:pPr>
              <w:spacing w:after="0"/>
              <w:rPr>
                <w:sz w:val="4"/>
                <w:szCs w:val="4"/>
                <w:color w:val="auto"/>
              </w:rPr>
            </w:pPr>
          </w:p>
        </w:tc>
        <w:tc>
          <w:tcPr>
            <w:tcW w:w="340" w:type="dxa"/>
            <w:vAlign w:val="bottom"/>
            <w:shd w:val="clear" w:color="auto" w:fill="D9D9D6"/>
          </w:tcPr>
          <w:p>
            <w:pPr>
              <w:spacing w:after="0"/>
              <w:rPr>
                <w:sz w:val="4"/>
                <w:szCs w:val="4"/>
                <w:color w:val="auto"/>
              </w:rPr>
            </w:pPr>
          </w:p>
        </w:tc>
        <w:tc>
          <w:tcPr>
            <w:tcW w:w="460" w:type="dxa"/>
            <w:vAlign w:val="bottom"/>
            <w:shd w:val="clear" w:color="auto" w:fill="D9D9D6"/>
          </w:tcPr>
          <w:p>
            <w:pPr>
              <w:spacing w:after="0"/>
              <w:rPr>
                <w:sz w:val="4"/>
                <w:szCs w:val="4"/>
                <w:color w:val="auto"/>
              </w:rPr>
            </w:pPr>
          </w:p>
        </w:tc>
        <w:tc>
          <w:tcPr>
            <w:tcW w:w="80" w:type="dxa"/>
            <w:vAlign w:val="bottom"/>
            <w:shd w:val="clear" w:color="auto" w:fill="D9D9D6"/>
          </w:tcPr>
          <w:p>
            <w:pPr>
              <w:spacing w:after="0"/>
              <w:rPr>
                <w:sz w:val="4"/>
                <w:szCs w:val="4"/>
                <w:color w:val="auto"/>
              </w:rPr>
            </w:pPr>
          </w:p>
        </w:tc>
        <w:tc>
          <w:tcPr>
            <w:tcW w:w="36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120" w:type="dxa"/>
            <w:vAlign w:val="bottom"/>
            <w:shd w:val="clear" w:color="auto" w:fill="D9D9D6"/>
          </w:tcPr>
          <w:p>
            <w:pPr>
              <w:spacing w:after="0"/>
              <w:rPr>
                <w:sz w:val="4"/>
                <w:szCs w:val="4"/>
                <w:color w:val="auto"/>
              </w:rPr>
            </w:pPr>
          </w:p>
        </w:tc>
        <w:tc>
          <w:tcPr>
            <w:tcW w:w="0" w:type="dxa"/>
            <w:vAlign w:val="bottom"/>
          </w:tcPr>
          <w:p>
            <w:pPr>
              <w:spacing w:after="0"/>
              <w:rPr>
                <w:sz w:val="1"/>
                <w:szCs w:val="1"/>
                <w:color w:val="auto"/>
              </w:rPr>
            </w:pPr>
          </w:p>
        </w:tc>
      </w:tr>
    </w:tbl>
    <w:p>
      <w:pPr>
        <w:spacing w:after="0" w:line="35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Cable Communications increased 12.4% to $6.8 billion in the first quarter of 2021, reflecting higher revenue, partially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offset by a 1.5% increase in operating expenses. Programming costs increased 5.5%, reflecting the timing of contract renewals, partially offset by a decline in the number of video subscribers. Non-programming expenses decreased 1.1%, primarily reflecting lower other expenses, advertising, marketing and promotion expenses and customer service expenses, partially offset by higher franchise and regulatory fees. Non-programming expenses per customer relationship decreased 5.9%. Adjusted EBITDA per customer relationship increased 7.0%, and Adjusted EBITDA margin was 43.2% compared to 40.7% in the first quarter of 2020. Cable Communications results include Adjusted EBITDA</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of $6 million from our wireless business, compared to a loss of $59 million in the prior year period.</w:t>
      </w:r>
    </w:p>
    <w:p>
      <w:pPr>
        <w:spacing w:after="0" w:line="1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for Cable Communications increased 8.0% to $1.4 billion in the first quarter of 2021, primarily reflecting 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in scalable infrastructure. Cable capital expenditures represented 8.7% of Cable revenue in the first quarter of 2021 compared to 8.5% in last year's first quarter.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828"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91440</wp:posOffset>
            </wp:positionV>
            <wp:extent cx="71151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20" w:type="dxa"/>
            <w:vAlign w:val="bottom"/>
            <w:shd w:val="clear" w:color="auto" w:fill="D9D9D6"/>
          </w:tcPr>
          <w:p>
            <w:pPr>
              <w:spacing w:after="0"/>
              <w:rPr>
                <w:sz w:val="16"/>
                <w:szCs w:val="16"/>
                <w:color w:val="auto"/>
              </w:rPr>
            </w:pPr>
          </w:p>
        </w:tc>
        <w:tc>
          <w:tcPr>
            <w:tcW w:w="814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56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38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200" w:type="dxa"/>
            <w:vAlign w:val="bottom"/>
            <w:shd w:val="clear" w:color="auto" w:fill="D9D9D6"/>
          </w:tcPr>
          <w:p>
            <w:pPr>
              <w:spacing w:after="0"/>
              <w:rPr>
                <w:sz w:val="16"/>
                <w:szCs w:val="16"/>
                <w:color w:val="auto"/>
              </w:rPr>
            </w:pPr>
          </w:p>
        </w:tc>
        <w:tc>
          <w:tcPr>
            <w:tcW w:w="34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20" w:type="dxa"/>
            <w:vAlign w:val="bottom"/>
            <w:tcBorders>
              <w:bottom w:val="single" w:sz="8" w:color="D9D9D6"/>
            </w:tcBorders>
            <w:shd w:val="clear" w:color="auto" w:fill="D9D9D6"/>
          </w:tcPr>
          <w:p>
            <w:pPr>
              <w:spacing w:after="0"/>
              <w:rPr>
                <w:sz w:val="16"/>
                <w:szCs w:val="16"/>
                <w:color w:val="auto"/>
              </w:rPr>
            </w:pPr>
          </w:p>
        </w:tc>
        <w:tc>
          <w:tcPr>
            <w:tcW w:w="8140" w:type="dxa"/>
            <w:vAlign w:val="bottom"/>
            <w:tcBorders>
              <w:bottom w:val="single" w:sz="8" w:color="D9D9D6"/>
            </w:tcBorders>
            <w:shd w:val="clear" w:color="auto" w:fill="D9D9D6"/>
          </w:tcPr>
          <w:p>
            <w:pPr>
              <w:spacing w:after="0"/>
              <w:rPr>
                <w:sz w:val="16"/>
                <w:szCs w:val="16"/>
                <w:color w:val="auto"/>
              </w:rPr>
            </w:pPr>
          </w:p>
        </w:tc>
        <w:tc>
          <w:tcPr>
            <w:tcW w:w="560" w:type="dxa"/>
            <w:vAlign w:val="bottom"/>
            <w:tcBorders>
              <w:bottom w:val="single" w:sz="8" w:color="D9D9D6"/>
            </w:tcBorders>
            <w:shd w:val="clear" w:color="auto" w:fill="D9D9D6"/>
          </w:tcPr>
          <w:p>
            <w:pPr>
              <w:spacing w:after="0"/>
              <w:rPr>
                <w:sz w:val="16"/>
                <w:szCs w:val="16"/>
                <w:color w:val="auto"/>
              </w:rPr>
            </w:pPr>
          </w:p>
        </w:tc>
        <w:tc>
          <w:tcPr>
            <w:tcW w:w="320" w:type="dxa"/>
            <w:vAlign w:val="bottom"/>
            <w:tcBorders>
              <w:bottom w:val="single" w:sz="8" w:color="D9D9D6"/>
            </w:tcBorders>
            <w:shd w:val="clear" w:color="auto" w:fill="D9D9D6"/>
          </w:tcPr>
          <w:p>
            <w:pPr>
              <w:spacing w:after="0"/>
              <w:rPr>
                <w:sz w:val="16"/>
                <w:szCs w:val="16"/>
                <w:color w:val="auto"/>
              </w:rPr>
            </w:pPr>
          </w:p>
        </w:tc>
        <w:tc>
          <w:tcPr>
            <w:tcW w:w="20" w:type="dxa"/>
            <w:vAlign w:val="bottom"/>
            <w:tcBorders>
              <w:bottom w:val="single" w:sz="8" w:color="D9D9D6"/>
            </w:tcBorders>
            <w:shd w:val="clear" w:color="auto" w:fill="D9D9D6"/>
          </w:tcPr>
          <w:p>
            <w:pPr>
              <w:spacing w:after="0"/>
              <w:rPr>
                <w:sz w:val="16"/>
                <w:szCs w:val="16"/>
                <w:color w:val="auto"/>
              </w:rPr>
            </w:pPr>
          </w:p>
        </w:tc>
        <w:tc>
          <w:tcPr>
            <w:tcW w:w="180" w:type="dxa"/>
            <w:vAlign w:val="bottom"/>
            <w:tcBorders>
              <w:bottom w:val="single" w:sz="8" w:color="D9D9D6"/>
            </w:tcBorders>
            <w:shd w:val="clear" w:color="auto" w:fill="D9D9D6"/>
          </w:tcPr>
          <w:p>
            <w:pPr>
              <w:spacing w:after="0"/>
              <w:rPr>
                <w:sz w:val="16"/>
                <w:szCs w:val="16"/>
                <w:color w:val="auto"/>
              </w:rPr>
            </w:pPr>
          </w:p>
        </w:tc>
        <w:tc>
          <w:tcPr>
            <w:tcW w:w="720" w:type="dxa"/>
            <w:vAlign w:val="bottom"/>
            <w:tcBorders>
              <w:bottom w:val="single" w:sz="8" w:color="auto"/>
            </w:tcBorders>
            <w:gridSpan w:val="3"/>
            <w:shd w:val="clear" w:color="auto" w:fill="D9D9D6"/>
          </w:tcPr>
          <w:p>
            <w:pPr>
              <w:spacing w:after="0"/>
              <w:rPr>
                <w:sz w:val="20"/>
                <w:szCs w:val="20"/>
                <w:color w:val="auto"/>
              </w:rPr>
            </w:pPr>
            <w:r>
              <w:rPr>
                <w:rFonts w:ascii="Arial" w:cs="Arial" w:eastAsia="Arial" w:hAnsi="Arial"/>
                <w:sz w:val="14"/>
                <w:szCs w:val="14"/>
                <w:color w:val="auto"/>
                <w:w w:val="99"/>
              </w:rPr>
              <w:t>1st Quarter</w:t>
            </w:r>
          </w:p>
        </w:tc>
        <w:tc>
          <w:tcPr>
            <w:tcW w:w="200" w:type="dxa"/>
            <w:vAlign w:val="bottom"/>
            <w:tcBorders>
              <w:bottom w:val="single" w:sz="8" w:color="D9D9D6"/>
            </w:tcBorders>
            <w:shd w:val="clear" w:color="auto" w:fill="D9D9D6"/>
          </w:tcPr>
          <w:p>
            <w:pPr>
              <w:spacing w:after="0"/>
              <w:rPr>
                <w:sz w:val="16"/>
                <w:szCs w:val="16"/>
                <w:color w:val="auto"/>
              </w:rPr>
            </w:pPr>
          </w:p>
        </w:tc>
        <w:tc>
          <w:tcPr>
            <w:tcW w:w="340" w:type="dxa"/>
            <w:vAlign w:val="bottom"/>
            <w:tcBorders>
              <w:bottom w:val="single" w:sz="8" w:color="D9D9D6"/>
            </w:tcBorders>
            <w:shd w:val="clear" w:color="auto" w:fill="D9D9D6"/>
          </w:tcPr>
          <w:p>
            <w:pPr>
              <w:spacing w:after="0"/>
              <w:rPr>
                <w:sz w:val="16"/>
                <w:szCs w:val="16"/>
                <w:color w:val="auto"/>
              </w:rPr>
            </w:pPr>
          </w:p>
        </w:tc>
        <w:tc>
          <w:tcPr>
            <w:tcW w:w="320" w:type="dxa"/>
            <w:vAlign w:val="bottom"/>
            <w:tcBorders>
              <w:bottom w:val="single" w:sz="8" w:color="D9D9D6"/>
            </w:tcBorders>
            <w:shd w:val="clear" w:color="auto" w:fill="D9D9D6"/>
          </w:tcPr>
          <w:p>
            <w:pPr>
              <w:spacing w:after="0"/>
              <w:rPr>
                <w:sz w:val="16"/>
                <w:szCs w:val="16"/>
                <w:color w:val="auto"/>
              </w:rPr>
            </w:pPr>
          </w:p>
        </w:tc>
        <w:tc>
          <w:tcPr>
            <w:tcW w:w="180" w:type="dxa"/>
            <w:vAlign w:val="bottom"/>
            <w:tcBorders>
              <w:bottom w:val="single" w:sz="8" w:color="D9D9D6"/>
            </w:tcBorders>
            <w:shd w:val="clear" w:color="auto" w:fill="D9D9D6"/>
          </w:tcPr>
          <w:p>
            <w:pPr>
              <w:spacing w:after="0"/>
              <w:rPr>
                <w:sz w:val="16"/>
                <w:szCs w:val="16"/>
                <w:color w:val="auto"/>
              </w:rPr>
            </w:pPr>
          </w:p>
        </w:tc>
        <w:tc>
          <w:tcPr>
            <w:tcW w:w="20" w:type="dxa"/>
            <w:vAlign w:val="bottom"/>
            <w:tcBorders>
              <w:bottom w:val="single" w:sz="8" w:color="D9D9D6"/>
            </w:tcBorders>
            <w:shd w:val="clear" w:color="auto" w:fill="D9D9D6"/>
          </w:tcPr>
          <w:p>
            <w:pPr>
              <w:spacing w:after="0"/>
              <w:rPr>
                <w:sz w:val="16"/>
                <w:szCs w:val="16"/>
                <w:color w:val="auto"/>
              </w:rPr>
            </w:pPr>
          </w:p>
        </w:tc>
        <w:tc>
          <w:tcPr>
            <w:tcW w:w="120" w:type="dxa"/>
            <w:vAlign w:val="bottom"/>
            <w:tcBorders>
              <w:bottom w:val="single" w:sz="8" w:color="D9D9D6"/>
            </w:tcBorders>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0" w:type="dxa"/>
            <w:vAlign w:val="bottom"/>
            <w:shd w:val="clear" w:color="auto" w:fill="D9D9D6"/>
          </w:tcPr>
          <w:p>
            <w:pPr>
              <w:spacing w:after="0"/>
              <w:rPr>
                <w:sz w:val="14"/>
                <w:szCs w:val="14"/>
                <w:color w:val="auto"/>
              </w:rPr>
            </w:pPr>
          </w:p>
        </w:tc>
        <w:tc>
          <w:tcPr>
            <w:tcW w:w="8140" w:type="dxa"/>
            <w:vAlign w:val="bottom"/>
            <w:vMerge w:val="restart"/>
            <w:shd w:val="clear" w:color="auto" w:fill="D9D9D6"/>
          </w:tcPr>
          <w:p>
            <w:pPr>
              <w:ind w:left="20"/>
              <w:spacing w:after="0"/>
              <w:rPr>
                <w:sz w:val="20"/>
                <w:szCs w:val="20"/>
                <w:color w:val="auto"/>
              </w:rPr>
            </w:pPr>
            <w:r>
              <w:rPr>
                <w:rFonts w:ascii="Arial" w:cs="Arial" w:eastAsia="Arial" w:hAnsi="Arial"/>
                <w:sz w:val="14"/>
                <w:szCs w:val="14"/>
                <w:b w:val="1"/>
                <w:bCs w:val="1"/>
                <w:color w:val="auto"/>
              </w:rPr>
              <w:t>NBCUniversal Revenue</w:t>
            </w:r>
          </w:p>
        </w:tc>
        <w:tc>
          <w:tcPr>
            <w:tcW w:w="9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2021</w:t>
            </w:r>
          </w:p>
        </w:tc>
        <w:tc>
          <w:tcPr>
            <w:tcW w:w="9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2020</w:t>
            </w:r>
          </w:p>
        </w:tc>
        <w:tc>
          <w:tcPr>
            <w:tcW w:w="200" w:type="dxa"/>
            <w:vAlign w:val="bottom"/>
            <w:shd w:val="clear" w:color="auto" w:fill="D9D9D6"/>
          </w:tcPr>
          <w:p>
            <w:pPr>
              <w:spacing w:after="0"/>
              <w:rPr>
                <w:sz w:val="14"/>
                <w:szCs w:val="14"/>
                <w:color w:val="auto"/>
              </w:rPr>
            </w:pPr>
          </w:p>
        </w:tc>
        <w:tc>
          <w:tcPr>
            <w:tcW w:w="980" w:type="dxa"/>
            <w:vAlign w:val="bottom"/>
            <w:gridSpan w:val="5"/>
            <w:shd w:val="clear" w:color="auto" w:fill="D9D9D6"/>
          </w:tcPr>
          <w:p>
            <w:pPr>
              <w:jc w:val="right"/>
              <w:ind w:right="14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96"/>
        </w:trPr>
        <w:tc>
          <w:tcPr>
            <w:tcW w:w="120" w:type="dxa"/>
            <w:vAlign w:val="bottom"/>
            <w:tcBorders>
              <w:top w:val="single" w:sz="8" w:color="D9D9D6"/>
            </w:tcBorders>
            <w:shd w:val="clear" w:color="auto" w:fill="D9D9D6"/>
          </w:tcPr>
          <w:p>
            <w:pPr>
              <w:spacing w:after="0"/>
              <w:rPr>
                <w:sz w:val="17"/>
                <w:szCs w:val="17"/>
                <w:color w:val="auto"/>
              </w:rPr>
            </w:pPr>
          </w:p>
        </w:tc>
        <w:tc>
          <w:tcPr>
            <w:tcW w:w="8140" w:type="dxa"/>
            <w:vAlign w:val="bottom"/>
            <w:tcBorders>
              <w:top w:val="single" w:sz="8" w:color="D9D9D6"/>
            </w:tcBorders>
            <w:vMerge w:val="continue"/>
            <w:shd w:val="clear" w:color="auto" w:fill="D9D9D6"/>
          </w:tcPr>
          <w:p>
            <w:pPr>
              <w:spacing w:after="0"/>
              <w:rPr>
                <w:sz w:val="17"/>
                <w:szCs w:val="17"/>
                <w:color w:val="auto"/>
              </w:rPr>
            </w:pPr>
          </w:p>
        </w:tc>
        <w:tc>
          <w:tcPr>
            <w:tcW w:w="56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180" w:type="dxa"/>
            <w:vAlign w:val="bottom"/>
            <w:tcBorders>
              <w:top w:val="single" w:sz="8" w:color="D9D9D6"/>
            </w:tcBorders>
            <w:shd w:val="clear" w:color="auto" w:fill="D9D9D6"/>
          </w:tcPr>
          <w:p>
            <w:pPr>
              <w:spacing w:after="0"/>
              <w:rPr>
                <w:sz w:val="17"/>
                <w:szCs w:val="17"/>
                <w:color w:val="auto"/>
              </w:rPr>
            </w:pPr>
          </w:p>
        </w:tc>
        <w:tc>
          <w:tcPr>
            <w:tcW w:w="38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200" w:type="dxa"/>
            <w:vAlign w:val="bottom"/>
            <w:tcBorders>
              <w:top w:val="single" w:sz="8" w:color="D9D9D6"/>
            </w:tcBorders>
            <w:shd w:val="clear" w:color="auto" w:fill="D9D9D6"/>
          </w:tcPr>
          <w:p>
            <w:pPr>
              <w:spacing w:after="0"/>
              <w:rPr>
                <w:sz w:val="17"/>
                <w:szCs w:val="17"/>
                <w:color w:val="auto"/>
              </w:rPr>
            </w:pPr>
          </w:p>
        </w:tc>
        <w:tc>
          <w:tcPr>
            <w:tcW w:w="34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18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120" w:type="dxa"/>
            <w:vAlign w:val="bottom"/>
            <w:tcBorders>
              <w:top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81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Media</w:t>
            </w: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$5,036</w:t>
            </w:r>
          </w:p>
        </w:tc>
        <w:tc>
          <w:tcPr>
            <w:tcW w:w="20" w:type="dxa"/>
            <w:vAlign w:val="bottom"/>
            <w:shd w:val="clear" w:color="auto" w:fill="D9D9D6"/>
          </w:tcPr>
          <w:p>
            <w:pPr>
              <w:spacing w:after="0"/>
              <w:rPr>
                <w:sz w:val="16"/>
                <w:szCs w:val="16"/>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$4,878</w:t>
            </w:r>
          </w:p>
        </w:tc>
        <w:tc>
          <w:tcPr>
            <w:tcW w:w="20" w:type="dxa"/>
            <w:vAlign w:val="bottom"/>
            <w:shd w:val="clear" w:color="auto" w:fill="D9D9D6"/>
          </w:tcPr>
          <w:p>
            <w:pPr>
              <w:spacing w:after="0"/>
              <w:rPr>
                <w:sz w:val="16"/>
                <w:szCs w:val="16"/>
                <w:color w:val="auto"/>
              </w:rPr>
            </w:pPr>
          </w:p>
        </w:tc>
        <w:tc>
          <w:tcPr>
            <w:tcW w:w="200" w:type="dxa"/>
            <w:vAlign w:val="bottom"/>
            <w:shd w:val="clear" w:color="auto" w:fill="D9D9D6"/>
          </w:tcPr>
          <w:p>
            <w:pPr>
              <w:spacing w:after="0"/>
              <w:rPr>
                <w:sz w:val="16"/>
                <w:szCs w:val="16"/>
                <w:color w:val="auto"/>
              </w:rPr>
            </w:pPr>
          </w:p>
        </w:tc>
        <w:tc>
          <w:tcPr>
            <w:tcW w:w="8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3.2 %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81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Studios</w:t>
            </w: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2,396</w:t>
            </w:r>
          </w:p>
        </w:tc>
        <w:tc>
          <w:tcPr>
            <w:tcW w:w="20" w:type="dxa"/>
            <w:vAlign w:val="bottom"/>
            <w:shd w:val="clear" w:color="auto" w:fill="D9D9D6"/>
          </w:tcPr>
          <w:p>
            <w:pPr>
              <w:spacing w:after="0"/>
              <w:rPr>
                <w:sz w:val="16"/>
                <w:szCs w:val="16"/>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2,409</w:t>
            </w:r>
          </w:p>
        </w:tc>
        <w:tc>
          <w:tcPr>
            <w:tcW w:w="20" w:type="dxa"/>
            <w:vAlign w:val="bottom"/>
            <w:shd w:val="clear" w:color="auto" w:fill="D9D9D6"/>
          </w:tcPr>
          <w:p>
            <w:pPr>
              <w:spacing w:after="0"/>
              <w:rPr>
                <w:sz w:val="16"/>
                <w:szCs w:val="16"/>
                <w:color w:val="auto"/>
              </w:rPr>
            </w:pPr>
          </w:p>
        </w:tc>
        <w:tc>
          <w:tcPr>
            <w:tcW w:w="200" w:type="dxa"/>
            <w:vAlign w:val="bottom"/>
            <w:shd w:val="clear" w:color="auto" w:fill="D9D9D6"/>
          </w:tcPr>
          <w:p>
            <w:pPr>
              <w:spacing w:after="0"/>
              <w:rPr>
                <w:sz w:val="16"/>
                <w:szCs w:val="16"/>
                <w:color w:val="auto"/>
              </w:rPr>
            </w:pPr>
          </w:p>
        </w:tc>
        <w:tc>
          <w:tcPr>
            <w:tcW w:w="8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(0.6 %)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81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Theme Parks</w:t>
            </w: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619</w:t>
            </w:r>
          </w:p>
        </w:tc>
        <w:tc>
          <w:tcPr>
            <w:tcW w:w="20" w:type="dxa"/>
            <w:vAlign w:val="bottom"/>
            <w:shd w:val="clear" w:color="auto" w:fill="D9D9D6"/>
          </w:tcPr>
          <w:p>
            <w:pPr>
              <w:spacing w:after="0"/>
              <w:rPr>
                <w:sz w:val="16"/>
                <w:szCs w:val="16"/>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925</w:t>
            </w:r>
          </w:p>
        </w:tc>
        <w:tc>
          <w:tcPr>
            <w:tcW w:w="20" w:type="dxa"/>
            <w:vAlign w:val="bottom"/>
            <w:shd w:val="clear" w:color="auto" w:fill="D9D9D6"/>
          </w:tcPr>
          <w:p>
            <w:pPr>
              <w:spacing w:after="0"/>
              <w:rPr>
                <w:sz w:val="16"/>
                <w:szCs w:val="16"/>
                <w:color w:val="auto"/>
              </w:rPr>
            </w:pPr>
          </w:p>
        </w:tc>
        <w:tc>
          <w:tcPr>
            <w:tcW w:w="200" w:type="dxa"/>
            <w:vAlign w:val="bottom"/>
            <w:shd w:val="clear" w:color="auto" w:fill="D9D9D6"/>
          </w:tcPr>
          <w:p>
            <w:pPr>
              <w:spacing w:after="0"/>
              <w:rPr>
                <w:sz w:val="16"/>
                <w:szCs w:val="16"/>
                <w:color w:val="auto"/>
              </w:rPr>
            </w:pPr>
          </w:p>
        </w:tc>
        <w:tc>
          <w:tcPr>
            <w:tcW w:w="8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(33.1 %)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81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Headquarters and other</w:t>
            </w: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16</w:t>
            </w:r>
          </w:p>
        </w:tc>
        <w:tc>
          <w:tcPr>
            <w:tcW w:w="20" w:type="dxa"/>
            <w:vAlign w:val="bottom"/>
            <w:shd w:val="clear" w:color="auto" w:fill="D9D9D6"/>
          </w:tcPr>
          <w:p>
            <w:pPr>
              <w:spacing w:after="0"/>
              <w:rPr>
                <w:sz w:val="16"/>
                <w:szCs w:val="16"/>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9</w:t>
            </w:r>
          </w:p>
        </w:tc>
        <w:tc>
          <w:tcPr>
            <w:tcW w:w="20" w:type="dxa"/>
            <w:vAlign w:val="bottom"/>
            <w:shd w:val="clear" w:color="auto" w:fill="D9D9D6"/>
          </w:tcPr>
          <w:p>
            <w:pPr>
              <w:spacing w:after="0"/>
              <w:rPr>
                <w:sz w:val="16"/>
                <w:szCs w:val="16"/>
                <w:color w:val="auto"/>
              </w:rPr>
            </w:pPr>
          </w:p>
        </w:tc>
        <w:tc>
          <w:tcPr>
            <w:tcW w:w="200" w:type="dxa"/>
            <w:vAlign w:val="bottom"/>
            <w:shd w:val="clear" w:color="auto" w:fill="D9D9D6"/>
          </w:tcPr>
          <w:p>
            <w:pPr>
              <w:spacing w:after="0"/>
              <w:rPr>
                <w:sz w:val="16"/>
                <w:szCs w:val="16"/>
                <w:color w:val="auto"/>
              </w:rPr>
            </w:pPr>
          </w:p>
        </w:tc>
        <w:tc>
          <w:tcPr>
            <w:tcW w:w="8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85.9 %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tcBorders>
              <w:bottom w:val="single" w:sz="8" w:color="D9D9D6"/>
            </w:tcBorders>
            <w:shd w:val="clear" w:color="auto" w:fill="D9D9D6"/>
          </w:tcPr>
          <w:p>
            <w:pPr>
              <w:spacing w:after="0"/>
              <w:rPr>
                <w:sz w:val="16"/>
                <w:szCs w:val="16"/>
                <w:color w:val="auto"/>
              </w:rPr>
            </w:pPr>
          </w:p>
        </w:tc>
        <w:tc>
          <w:tcPr>
            <w:tcW w:w="814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Eliminations</w:t>
            </w:r>
          </w:p>
        </w:tc>
        <w:tc>
          <w:tcPr>
            <w:tcW w:w="88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(1,043)</w:t>
            </w:r>
          </w:p>
        </w:tc>
        <w:tc>
          <w:tcPr>
            <w:tcW w:w="20" w:type="dxa"/>
            <w:vAlign w:val="bottom"/>
            <w:tcBorders>
              <w:bottom w:val="single" w:sz="8" w:color="auto"/>
            </w:tcBorders>
            <w:shd w:val="clear" w:color="auto" w:fill="D9D9D6"/>
          </w:tcPr>
          <w:p>
            <w:pPr>
              <w:spacing w:after="0"/>
              <w:rPr>
                <w:sz w:val="16"/>
                <w:szCs w:val="16"/>
                <w:color w:val="auto"/>
              </w:rPr>
            </w:pPr>
          </w:p>
        </w:tc>
        <w:tc>
          <w:tcPr>
            <w:tcW w:w="88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(492)</w:t>
            </w:r>
          </w:p>
        </w:tc>
        <w:tc>
          <w:tcPr>
            <w:tcW w:w="20" w:type="dxa"/>
            <w:vAlign w:val="bottom"/>
            <w:tcBorders>
              <w:bottom w:val="single" w:sz="8" w:color="auto"/>
            </w:tcBorders>
            <w:shd w:val="clear" w:color="auto" w:fill="D9D9D6"/>
          </w:tcPr>
          <w:p>
            <w:pPr>
              <w:spacing w:after="0"/>
              <w:rPr>
                <w:sz w:val="16"/>
                <w:szCs w:val="16"/>
                <w:color w:val="auto"/>
              </w:rPr>
            </w:pPr>
          </w:p>
        </w:tc>
        <w:tc>
          <w:tcPr>
            <w:tcW w:w="200" w:type="dxa"/>
            <w:vAlign w:val="bottom"/>
            <w:tcBorders>
              <w:bottom w:val="single" w:sz="8" w:color="auto"/>
            </w:tcBorders>
            <w:shd w:val="clear" w:color="auto" w:fill="D9D9D6"/>
          </w:tcPr>
          <w:p>
            <w:pPr>
              <w:spacing w:after="0"/>
              <w:rPr>
                <w:sz w:val="16"/>
                <w:szCs w:val="16"/>
                <w:color w:val="auto"/>
              </w:rPr>
            </w:pPr>
          </w:p>
        </w:tc>
        <w:tc>
          <w:tcPr>
            <w:tcW w:w="66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(111.5</w:t>
            </w:r>
          </w:p>
        </w:tc>
        <w:tc>
          <w:tcPr>
            <w:tcW w:w="18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w w:val="93"/>
              </w:rPr>
              <w:t>%)</w:t>
            </w:r>
          </w:p>
        </w:tc>
        <w:tc>
          <w:tcPr>
            <w:tcW w:w="20" w:type="dxa"/>
            <w:vAlign w:val="bottom"/>
            <w:tcBorders>
              <w:bottom w:val="single" w:sz="8" w:color="auto"/>
            </w:tcBorders>
            <w:shd w:val="clear" w:color="auto" w:fill="D9D9D6"/>
          </w:tcPr>
          <w:p>
            <w:pPr>
              <w:spacing w:after="0"/>
              <w:rPr>
                <w:sz w:val="16"/>
                <w:szCs w:val="16"/>
                <w:color w:val="auto"/>
              </w:rPr>
            </w:pPr>
          </w:p>
        </w:tc>
        <w:tc>
          <w:tcPr>
            <w:tcW w:w="120" w:type="dxa"/>
            <w:vAlign w:val="bottom"/>
            <w:tcBorders>
              <w:bottom w:val="single" w:sz="8" w:color="D9D9D6"/>
            </w:tcBorders>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0" w:type="dxa"/>
            <w:vAlign w:val="bottom"/>
            <w:shd w:val="clear" w:color="auto" w:fill="D9D9D6"/>
          </w:tcPr>
          <w:p>
            <w:pPr>
              <w:spacing w:after="0"/>
              <w:rPr>
                <w:sz w:val="15"/>
                <w:szCs w:val="15"/>
                <w:color w:val="auto"/>
              </w:rPr>
            </w:pPr>
          </w:p>
        </w:tc>
        <w:tc>
          <w:tcPr>
            <w:tcW w:w="81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NBCUniversal Revenue</w:t>
            </w: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$7,024</w:t>
            </w:r>
          </w:p>
        </w:tc>
        <w:tc>
          <w:tcPr>
            <w:tcW w:w="20" w:type="dxa"/>
            <w:vAlign w:val="bottom"/>
            <w:shd w:val="clear" w:color="auto" w:fill="D9D9D6"/>
          </w:tcPr>
          <w:p>
            <w:pPr>
              <w:spacing w:after="0"/>
              <w:rPr>
                <w:sz w:val="15"/>
                <w:szCs w:val="15"/>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$7,729</w:t>
            </w:r>
          </w:p>
        </w:tc>
        <w:tc>
          <w:tcPr>
            <w:tcW w:w="20" w:type="dxa"/>
            <w:vAlign w:val="bottom"/>
            <w:shd w:val="clear" w:color="auto" w:fill="D9D9D6"/>
          </w:tcPr>
          <w:p>
            <w:pPr>
              <w:spacing w:after="0"/>
              <w:rPr>
                <w:sz w:val="15"/>
                <w:szCs w:val="15"/>
                <w:color w:val="auto"/>
              </w:rPr>
            </w:pPr>
          </w:p>
        </w:tc>
        <w:tc>
          <w:tcPr>
            <w:tcW w:w="200" w:type="dxa"/>
            <w:vAlign w:val="bottom"/>
            <w:shd w:val="clear" w:color="auto" w:fill="D9D9D6"/>
          </w:tcPr>
          <w:p>
            <w:pPr>
              <w:spacing w:after="0"/>
              <w:rPr>
                <w:sz w:val="15"/>
                <w:szCs w:val="15"/>
                <w:color w:val="auto"/>
              </w:rPr>
            </w:pPr>
          </w:p>
        </w:tc>
        <w:tc>
          <w:tcPr>
            <w:tcW w:w="66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(9.1</w:t>
            </w:r>
          </w:p>
        </w:tc>
        <w:tc>
          <w:tcPr>
            <w:tcW w:w="18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w w:val="93"/>
              </w:rPr>
              <w:t>%)</w:t>
            </w:r>
          </w:p>
        </w:tc>
        <w:tc>
          <w:tcPr>
            <w:tcW w:w="2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120" w:type="dxa"/>
            <w:vAlign w:val="bottom"/>
            <w:shd w:val="clear" w:color="auto" w:fill="D9D9D6"/>
          </w:tcPr>
          <w:p>
            <w:pPr>
              <w:spacing w:after="0"/>
              <w:rPr>
                <w:sz w:val="24"/>
                <w:szCs w:val="24"/>
                <w:color w:val="auto"/>
              </w:rPr>
            </w:pPr>
          </w:p>
        </w:tc>
        <w:tc>
          <w:tcPr>
            <w:tcW w:w="814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NBCUniversal Adjusted EBITDA</w:t>
            </w:r>
          </w:p>
        </w:tc>
        <w:tc>
          <w:tcPr>
            <w:tcW w:w="56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38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200" w:type="dxa"/>
            <w:vAlign w:val="bottom"/>
            <w:shd w:val="clear" w:color="auto" w:fill="D9D9D6"/>
          </w:tcPr>
          <w:p>
            <w:pPr>
              <w:spacing w:after="0"/>
              <w:rPr>
                <w:sz w:val="24"/>
                <w:szCs w:val="24"/>
                <w:color w:val="auto"/>
              </w:rPr>
            </w:pPr>
          </w:p>
        </w:tc>
        <w:tc>
          <w:tcPr>
            <w:tcW w:w="340" w:type="dxa"/>
            <w:vAlign w:val="bottom"/>
            <w:shd w:val="clear" w:color="auto" w:fill="D9D9D6"/>
          </w:tcPr>
          <w:p>
            <w:pPr>
              <w:spacing w:after="0"/>
              <w:rPr>
                <w:sz w:val="24"/>
                <w:szCs w:val="24"/>
                <w:color w:val="auto"/>
              </w:rPr>
            </w:pPr>
          </w:p>
        </w:tc>
        <w:tc>
          <w:tcPr>
            <w:tcW w:w="320" w:type="dxa"/>
            <w:vAlign w:val="bottom"/>
            <w:shd w:val="clear" w:color="auto" w:fill="D9D9D6"/>
          </w:tcPr>
          <w:p>
            <w:pPr>
              <w:spacing w:after="0"/>
              <w:rPr>
                <w:sz w:val="24"/>
                <w:szCs w:val="24"/>
                <w:color w:val="auto"/>
              </w:rPr>
            </w:pPr>
          </w:p>
        </w:tc>
        <w:tc>
          <w:tcPr>
            <w:tcW w:w="180" w:type="dxa"/>
            <w:vAlign w:val="bottom"/>
            <w:shd w:val="clear" w:color="auto" w:fill="D9D9D6"/>
          </w:tcPr>
          <w:p>
            <w:pPr>
              <w:spacing w:after="0"/>
              <w:rPr>
                <w:sz w:val="24"/>
                <w:szCs w:val="24"/>
                <w:color w:val="auto"/>
              </w:rPr>
            </w:pPr>
          </w:p>
        </w:tc>
        <w:tc>
          <w:tcPr>
            <w:tcW w:w="2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81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Media</w:t>
            </w: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$1,473</w:t>
            </w:r>
          </w:p>
        </w:tc>
        <w:tc>
          <w:tcPr>
            <w:tcW w:w="20" w:type="dxa"/>
            <w:vAlign w:val="bottom"/>
            <w:shd w:val="clear" w:color="auto" w:fill="D9D9D6"/>
          </w:tcPr>
          <w:p>
            <w:pPr>
              <w:spacing w:after="0"/>
              <w:rPr>
                <w:sz w:val="16"/>
                <w:szCs w:val="16"/>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$1,529</w:t>
            </w:r>
          </w:p>
        </w:tc>
        <w:tc>
          <w:tcPr>
            <w:tcW w:w="20" w:type="dxa"/>
            <w:vAlign w:val="bottom"/>
            <w:shd w:val="clear" w:color="auto" w:fill="D9D9D6"/>
          </w:tcPr>
          <w:p>
            <w:pPr>
              <w:spacing w:after="0"/>
              <w:rPr>
                <w:sz w:val="16"/>
                <w:szCs w:val="16"/>
                <w:color w:val="auto"/>
              </w:rPr>
            </w:pPr>
          </w:p>
        </w:tc>
        <w:tc>
          <w:tcPr>
            <w:tcW w:w="200" w:type="dxa"/>
            <w:vAlign w:val="bottom"/>
            <w:shd w:val="clear" w:color="auto" w:fill="D9D9D6"/>
          </w:tcPr>
          <w:p>
            <w:pPr>
              <w:spacing w:after="0"/>
              <w:rPr>
                <w:sz w:val="16"/>
                <w:szCs w:val="16"/>
                <w:color w:val="auto"/>
              </w:rPr>
            </w:pPr>
          </w:p>
        </w:tc>
        <w:tc>
          <w:tcPr>
            <w:tcW w:w="8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(3.7 %)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81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Studios</w:t>
            </w:r>
          </w:p>
        </w:tc>
        <w:tc>
          <w:tcPr>
            <w:tcW w:w="8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497</w:t>
            </w:r>
          </w:p>
        </w:tc>
        <w:tc>
          <w:tcPr>
            <w:tcW w:w="20" w:type="dxa"/>
            <w:vAlign w:val="bottom"/>
            <w:shd w:val="clear" w:color="auto" w:fill="D9D9D6"/>
          </w:tcPr>
          <w:p>
            <w:pPr>
              <w:spacing w:after="0"/>
              <w:rPr>
                <w:sz w:val="16"/>
                <w:szCs w:val="16"/>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300</w:t>
            </w:r>
          </w:p>
        </w:tc>
        <w:tc>
          <w:tcPr>
            <w:tcW w:w="20" w:type="dxa"/>
            <w:vAlign w:val="bottom"/>
            <w:shd w:val="clear" w:color="auto" w:fill="D9D9D6"/>
          </w:tcPr>
          <w:p>
            <w:pPr>
              <w:spacing w:after="0"/>
              <w:rPr>
                <w:sz w:val="16"/>
                <w:szCs w:val="16"/>
                <w:color w:val="auto"/>
              </w:rPr>
            </w:pPr>
          </w:p>
        </w:tc>
        <w:tc>
          <w:tcPr>
            <w:tcW w:w="200" w:type="dxa"/>
            <w:vAlign w:val="bottom"/>
            <w:shd w:val="clear" w:color="auto" w:fill="D9D9D6"/>
          </w:tcPr>
          <w:p>
            <w:pPr>
              <w:spacing w:after="0"/>
              <w:rPr>
                <w:sz w:val="16"/>
                <w:szCs w:val="16"/>
                <w:color w:val="auto"/>
              </w:rPr>
            </w:pPr>
          </w:p>
        </w:tc>
        <w:tc>
          <w:tcPr>
            <w:tcW w:w="8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65.7 %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81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Theme Parks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(61)</w:t>
            </w:r>
          </w:p>
        </w:tc>
        <w:tc>
          <w:tcPr>
            <w:tcW w:w="20" w:type="dxa"/>
            <w:vAlign w:val="bottom"/>
            <w:shd w:val="clear" w:color="auto" w:fill="D9D9D6"/>
          </w:tcPr>
          <w:p>
            <w:pPr>
              <w:spacing w:after="0"/>
              <w:rPr>
                <w:sz w:val="16"/>
                <w:szCs w:val="16"/>
                <w:color w:val="auto"/>
              </w:rPr>
            </w:pPr>
          </w:p>
        </w:tc>
        <w:tc>
          <w:tcPr>
            <w:tcW w:w="880" w:type="dxa"/>
            <w:vAlign w:val="bottom"/>
            <w:gridSpan w:val="3"/>
            <w:shd w:val="clear" w:color="auto" w:fill="D9D9D6"/>
          </w:tcPr>
          <w:p>
            <w:pPr>
              <w:jc w:val="right"/>
              <w:ind w:right="60"/>
              <w:spacing w:after="0"/>
              <w:rPr>
                <w:sz w:val="20"/>
                <w:szCs w:val="20"/>
                <w:color w:val="auto"/>
              </w:rPr>
            </w:pPr>
            <w:r>
              <w:rPr>
                <w:rFonts w:ascii="Arial" w:cs="Arial" w:eastAsia="Arial" w:hAnsi="Arial"/>
                <w:sz w:val="14"/>
                <w:szCs w:val="14"/>
                <w:color w:val="auto"/>
              </w:rPr>
              <w:t>87</w:t>
            </w:r>
          </w:p>
        </w:tc>
        <w:tc>
          <w:tcPr>
            <w:tcW w:w="20" w:type="dxa"/>
            <w:vAlign w:val="bottom"/>
            <w:shd w:val="clear" w:color="auto" w:fill="D9D9D6"/>
          </w:tcPr>
          <w:p>
            <w:pPr>
              <w:spacing w:after="0"/>
              <w:rPr>
                <w:sz w:val="16"/>
                <w:szCs w:val="16"/>
                <w:color w:val="auto"/>
              </w:rPr>
            </w:pPr>
          </w:p>
        </w:tc>
        <w:tc>
          <w:tcPr>
            <w:tcW w:w="200" w:type="dxa"/>
            <w:vAlign w:val="bottom"/>
            <w:shd w:val="clear" w:color="auto" w:fill="D9D9D6"/>
          </w:tcPr>
          <w:p>
            <w:pPr>
              <w:spacing w:after="0"/>
              <w:rPr>
                <w:sz w:val="16"/>
                <w:szCs w:val="16"/>
                <w:color w:val="auto"/>
              </w:rPr>
            </w:pPr>
          </w:p>
        </w:tc>
        <w:tc>
          <w:tcPr>
            <w:tcW w:w="8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(170.9 %)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81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Headquarters and other</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(209)</w:t>
            </w:r>
          </w:p>
        </w:tc>
        <w:tc>
          <w:tcPr>
            <w:tcW w:w="20" w:type="dxa"/>
            <w:vAlign w:val="bottom"/>
            <w:shd w:val="clear" w:color="auto" w:fill="D9D9D6"/>
          </w:tcPr>
          <w:p>
            <w:pPr>
              <w:spacing w:after="0"/>
              <w:rPr>
                <w:sz w:val="16"/>
                <w:szCs w:val="16"/>
                <w:color w:val="auto"/>
              </w:rPr>
            </w:pPr>
          </w:p>
        </w:tc>
        <w:tc>
          <w:tcPr>
            <w:tcW w:w="8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(221)</w:t>
            </w:r>
          </w:p>
        </w:tc>
        <w:tc>
          <w:tcPr>
            <w:tcW w:w="20" w:type="dxa"/>
            <w:vAlign w:val="bottom"/>
            <w:shd w:val="clear" w:color="auto" w:fill="D9D9D6"/>
          </w:tcPr>
          <w:p>
            <w:pPr>
              <w:spacing w:after="0"/>
              <w:rPr>
                <w:sz w:val="16"/>
                <w:szCs w:val="16"/>
                <w:color w:val="auto"/>
              </w:rPr>
            </w:pPr>
          </w:p>
        </w:tc>
        <w:tc>
          <w:tcPr>
            <w:tcW w:w="200" w:type="dxa"/>
            <w:vAlign w:val="bottom"/>
            <w:shd w:val="clear" w:color="auto" w:fill="D9D9D6"/>
          </w:tcPr>
          <w:p>
            <w:pPr>
              <w:spacing w:after="0"/>
              <w:rPr>
                <w:sz w:val="16"/>
                <w:szCs w:val="16"/>
                <w:color w:val="auto"/>
              </w:rPr>
            </w:pPr>
          </w:p>
        </w:tc>
        <w:tc>
          <w:tcPr>
            <w:tcW w:w="84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5.7 %</w:t>
            </w: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8140" w:type="dxa"/>
            <w:vAlign w:val="bottom"/>
            <w:shd w:val="clear" w:color="auto" w:fill="D9D9D6"/>
          </w:tcPr>
          <w:p>
            <w:pPr>
              <w:ind w:left="140"/>
              <w:spacing w:after="0"/>
              <w:rPr>
                <w:sz w:val="20"/>
                <w:szCs w:val="20"/>
                <w:color w:val="auto"/>
              </w:rPr>
            </w:pPr>
            <w:r>
              <w:rPr>
                <w:rFonts w:ascii="Arial" w:cs="Arial" w:eastAsia="Arial" w:hAnsi="Arial"/>
                <w:sz w:val="14"/>
                <w:szCs w:val="14"/>
                <w:color w:val="auto"/>
              </w:rPr>
              <w:t>Eliminations</w:t>
            </w:r>
          </w:p>
        </w:tc>
        <w:tc>
          <w:tcPr>
            <w:tcW w:w="880" w:type="dxa"/>
            <w:vAlign w:val="bottom"/>
            <w:gridSpan w:val="2"/>
            <w:shd w:val="clear" w:color="auto" w:fill="D9D9D6"/>
          </w:tcPr>
          <w:p>
            <w:pPr>
              <w:jc w:val="right"/>
              <w:spacing w:after="0"/>
              <w:rPr>
                <w:sz w:val="20"/>
                <w:szCs w:val="20"/>
                <w:color w:val="auto"/>
              </w:rPr>
            </w:pPr>
            <w:r>
              <w:rPr>
                <w:rFonts w:ascii="Arial" w:cs="Arial" w:eastAsia="Arial" w:hAnsi="Arial"/>
                <w:sz w:val="14"/>
                <w:szCs w:val="14"/>
                <w:color w:val="auto"/>
              </w:rPr>
              <w:t>(210)</w:t>
            </w:r>
          </w:p>
        </w:tc>
        <w:tc>
          <w:tcPr>
            <w:tcW w:w="20" w:type="dxa"/>
            <w:vAlign w:val="bottom"/>
            <w:shd w:val="clear" w:color="auto" w:fill="D9D9D6"/>
          </w:tcPr>
          <w:p>
            <w:pPr>
              <w:spacing w:after="0"/>
              <w:rPr>
                <w:sz w:val="16"/>
                <w:szCs w:val="16"/>
                <w:color w:val="auto"/>
              </w:rPr>
            </w:pPr>
          </w:p>
        </w:tc>
        <w:tc>
          <w:tcPr>
            <w:tcW w:w="88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(6)</w:t>
            </w:r>
          </w:p>
        </w:tc>
        <w:tc>
          <w:tcPr>
            <w:tcW w:w="20" w:type="dxa"/>
            <w:vAlign w:val="bottom"/>
            <w:shd w:val="clear" w:color="auto" w:fill="D9D9D6"/>
          </w:tcPr>
          <w:p>
            <w:pPr>
              <w:spacing w:after="0"/>
              <w:rPr>
                <w:sz w:val="16"/>
                <w:szCs w:val="16"/>
                <w:color w:val="auto"/>
              </w:rPr>
            </w:pPr>
          </w:p>
        </w:tc>
        <w:tc>
          <w:tcPr>
            <w:tcW w:w="200" w:type="dxa"/>
            <w:vAlign w:val="bottom"/>
            <w:shd w:val="clear" w:color="auto" w:fill="D9D9D6"/>
          </w:tcPr>
          <w:p>
            <w:pPr>
              <w:spacing w:after="0"/>
              <w:rPr>
                <w:sz w:val="16"/>
                <w:szCs w:val="16"/>
                <w:color w:val="auto"/>
              </w:rPr>
            </w:pPr>
          </w:p>
        </w:tc>
        <w:tc>
          <w:tcPr>
            <w:tcW w:w="340" w:type="dxa"/>
            <w:vAlign w:val="bottom"/>
            <w:shd w:val="clear" w:color="auto" w:fill="D9D9D6"/>
          </w:tcPr>
          <w:p>
            <w:pPr>
              <w:spacing w:after="0"/>
              <w:rPr>
                <w:sz w:val="16"/>
                <w:szCs w:val="16"/>
                <w:color w:val="auto"/>
              </w:rPr>
            </w:pPr>
          </w:p>
        </w:tc>
        <w:tc>
          <w:tcPr>
            <w:tcW w:w="640" w:type="dxa"/>
            <w:vAlign w:val="bottom"/>
            <w:gridSpan w:val="4"/>
            <w:shd w:val="clear" w:color="auto" w:fill="D9D9D6"/>
          </w:tcPr>
          <w:p>
            <w:pPr>
              <w:jc w:val="right"/>
              <w:ind w:right="140"/>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3"/>
        </w:trPr>
        <w:tc>
          <w:tcPr>
            <w:tcW w:w="120" w:type="dxa"/>
            <w:vAlign w:val="bottom"/>
            <w:tcBorders>
              <w:top w:val="single" w:sz="8" w:color="D9D9D6"/>
            </w:tcBorders>
            <w:shd w:val="clear" w:color="auto" w:fill="D9D9D6"/>
          </w:tcPr>
          <w:p>
            <w:pPr>
              <w:spacing w:after="0"/>
              <w:rPr>
                <w:sz w:val="15"/>
                <w:szCs w:val="15"/>
                <w:color w:val="auto"/>
              </w:rPr>
            </w:pPr>
          </w:p>
        </w:tc>
        <w:tc>
          <w:tcPr>
            <w:tcW w:w="8140" w:type="dxa"/>
            <w:vAlign w:val="bottom"/>
            <w:tcBorders>
              <w:top w:val="single" w:sz="8" w:color="D9D9D6"/>
            </w:tcBorders>
            <w:shd w:val="clear" w:color="auto" w:fill="D9D9D6"/>
          </w:tcPr>
          <w:p>
            <w:pPr>
              <w:ind w:left="20"/>
              <w:spacing w:after="0"/>
              <w:rPr>
                <w:sz w:val="20"/>
                <w:szCs w:val="20"/>
                <w:color w:val="auto"/>
              </w:rPr>
            </w:pPr>
            <w:r>
              <w:rPr>
                <w:rFonts w:ascii="Arial" w:cs="Arial" w:eastAsia="Arial" w:hAnsi="Arial"/>
                <w:sz w:val="14"/>
                <w:szCs w:val="14"/>
                <w:b w:val="1"/>
                <w:bCs w:val="1"/>
                <w:color w:val="auto"/>
              </w:rPr>
              <w:t>NBCUniversal Adjusted EBITDA</w:t>
            </w:r>
          </w:p>
        </w:tc>
        <w:tc>
          <w:tcPr>
            <w:tcW w:w="880" w:type="dxa"/>
            <w:vAlign w:val="bottom"/>
            <w:tcBorders>
              <w:top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$1,490</w:t>
            </w:r>
          </w:p>
        </w:tc>
        <w:tc>
          <w:tcPr>
            <w:tcW w:w="20" w:type="dxa"/>
            <w:vAlign w:val="bottom"/>
            <w:tcBorders>
              <w:top w:val="single" w:sz="8" w:color="auto"/>
            </w:tcBorders>
            <w:shd w:val="clear" w:color="auto" w:fill="D9D9D6"/>
          </w:tcPr>
          <w:p>
            <w:pPr>
              <w:spacing w:after="0"/>
              <w:rPr>
                <w:sz w:val="15"/>
                <w:szCs w:val="15"/>
                <w:color w:val="auto"/>
              </w:rPr>
            </w:pPr>
          </w:p>
        </w:tc>
        <w:tc>
          <w:tcPr>
            <w:tcW w:w="880" w:type="dxa"/>
            <w:vAlign w:val="bottom"/>
            <w:tcBorders>
              <w:top w:val="single" w:sz="8" w:color="auto"/>
            </w:tcBorders>
            <w:gridSpan w:val="3"/>
            <w:shd w:val="clear" w:color="auto" w:fill="D9D9D6"/>
          </w:tcPr>
          <w:p>
            <w:pPr>
              <w:jc w:val="right"/>
              <w:ind w:right="60"/>
              <w:spacing w:after="0"/>
              <w:rPr>
                <w:sz w:val="20"/>
                <w:szCs w:val="20"/>
                <w:color w:val="auto"/>
              </w:rPr>
            </w:pPr>
            <w:r>
              <w:rPr>
                <w:rFonts w:ascii="Arial" w:cs="Arial" w:eastAsia="Arial" w:hAnsi="Arial"/>
                <w:sz w:val="14"/>
                <w:szCs w:val="14"/>
                <w:b w:val="1"/>
                <w:bCs w:val="1"/>
                <w:color w:val="auto"/>
              </w:rPr>
              <w:t>$1,689</w:t>
            </w:r>
          </w:p>
        </w:tc>
        <w:tc>
          <w:tcPr>
            <w:tcW w:w="20" w:type="dxa"/>
            <w:vAlign w:val="bottom"/>
            <w:tcBorders>
              <w:top w:val="single" w:sz="8" w:color="auto"/>
            </w:tcBorders>
            <w:shd w:val="clear" w:color="auto" w:fill="D9D9D6"/>
          </w:tcPr>
          <w:p>
            <w:pPr>
              <w:spacing w:after="0"/>
              <w:rPr>
                <w:sz w:val="15"/>
                <w:szCs w:val="15"/>
                <w:color w:val="auto"/>
              </w:rPr>
            </w:pPr>
          </w:p>
        </w:tc>
        <w:tc>
          <w:tcPr>
            <w:tcW w:w="200" w:type="dxa"/>
            <w:vAlign w:val="bottom"/>
            <w:tcBorders>
              <w:top w:val="single" w:sz="8" w:color="auto"/>
            </w:tcBorders>
            <w:shd w:val="clear" w:color="auto" w:fill="D9D9D6"/>
          </w:tcPr>
          <w:p>
            <w:pPr>
              <w:spacing w:after="0"/>
              <w:rPr>
                <w:sz w:val="15"/>
                <w:szCs w:val="15"/>
                <w:color w:val="auto"/>
              </w:rPr>
            </w:pPr>
          </w:p>
        </w:tc>
        <w:tc>
          <w:tcPr>
            <w:tcW w:w="840" w:type="dxa"/>
            <w:vAlign w:val="bottom"/>
            <w:tcBorders>
              <w:top w:val="single" w:sz="8" w:color="auto"/>
            </w:tcBorders>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(11.8 %)</w:t>
            </w:r>
          </w:p>
        </w:tc>
        <w:tc>
          <w:tcPr>
            <w:tcW w:w="20" w:type="dxa"/>
            <w:vAlign w:val="bottom"/>
            <w:tcBorders>
              <w:top w:val="single" w:sz="8" w:color="auto"/>
            </w:tcBorders>
            <w:shd w:val="clear" w:color="auto" w:fill="D9D9D6"/>
          </w:tcPr>
          <w:p>
            <w:pPr>
              <w:spacing w:after="0"/>
              <w:rPr>
                <w:sz w:val="15"/>
                <w:szCs w:val="15"/>
                <w:color w:val="auto"/>
              </w:rPr>
            </w:pPr>
          </w:p>
        </w:tc>
        <w:tc>
          <w:tcPr>
            <w:tcW w:w="120" w:type="dxa"/>
            <w:vAlign w:val="bottom"/>
            <w:tcBorders>
              <w:top w:val="single" w:sz="8" w:color="D9D9D6"/>
            </w:tcBorders>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8140" w:type="dxa"/>
            <w:vAlign w:val="bottom"/>
            <w:shd w:val="clear" w:color="auto" w:fill="D9D9D6"/>
          </w:tcPr>
          <w:p>
            <w:pPr>
              <w:ind w:left="20"/>
              <w:spacing w:after="0"/>
              <w:rPr>
                <w:sz w:val="20"/>
                <w:szCs w:val="20"/>
                <w:color w:val="auto"/>
              </w:rPr>
            </w:pPr>
            <w:r>
              <w:rPr>
                <w:rFonts w:ascii="Arial" w:cs="Arial" w:eastAsia="Arial" w:hAnsi="Arial"/>
                <w:sz w:val="14"/>
                <w:szCs w:val="14"/>
                <w:color w:val="auto"/>
              </w:rPr>
              <w:t>NM=comparison not meaningful.</w:t>
            </w:r>
          </w:p>
        </w:tc>
        <w:tc>
          <w:tcPr>
            <w:tcW w:w="56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38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200" w:type="dxa"/>
            <w:vAlign w:val="bottom"/>
            <w:shd w:val="clear" w:color="auto" w:fill="D9D9D6"/>
          </w:tcPr>
          <w:p>
            <w:pPr>
              <w:spacing w:after="0"/>
              <w:rPr>
                <w:sz w:val="16"/>
                <w:szCs w:val="16"/>
                <w:color w:val="auto"/>
              </w:rPr>
            </w:pPr>
          </w:p>
        </w:tc>
        <w:tc>
          <w:tcPr>
            <w:tcW w:w="34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18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20" w:type="dxa"/>
            <w:vAlign w:val="bottom"/>
            <w:shd w:val="clear" w:color="auto" w:fill="D9D9D6"/>
          </w:tcPr>
          <w:p>
            <w:pPr>
              <w:spacing w:after="0"/>
              <w:rPr>
                <w:sz w:val="4"/>
                <w:szCs w:val="4"/>
                <w:color w:val="auto"/>
              </w:rPr>
            </w:pPr>
          </w:p>
        </w:tc>
        <w:tc>
          <w:tcPr>
            <w:tcW w:w="8140" w:type="dxa"/>
            <w:vAlign w:val="bottom"/>
            <w:shd w:val="clear" w:color="auto" w:fill="D9D9D6"/>
          </w:tcPr>
          <w:p>
            <w:pPr>
              <w:spacing w:after="0"/>
              <w:rPr>
                <w:sz w:val="4"/>
                <w:szCs w:val="4"/>
                <w:color w:val="auto"/>
              </w:rPr>
            </w:pPr>
          </w:p>
        </w:tc>
        <w:tc>
          <w:tcPr>
            <w:tcW w:w="56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180" w:type="dxa"/>
            <w:vAlign w:val="bottom"/>
            <w:shd w:val="clear" w:color="auto" w:fill="D9D9D6"/>
          </w:tcPr>
          <w:p>
            <w:pPr>
              <w:spacing w:after="0"/>
              <w:rPr>
                <w:sz w:val="4"/>
                <w:szCs w:val="4"/>
                <w:color w:val="auto"/>
              </w:rPr>
            </w:pPr>
          </w:p>
        </w:tc>
        <w:tc>
          <w:tcPr>
            <w:tcW w:w="38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200" w:type="dxa"/>
            <w:vAlign w:val="bottom"/>
            <w:shd w:val="clear" w:color="auto" w:fill="D9D9D6"/>
          </w:tcPr>
          <w:p>
            <w:pPr>
              <w:spacing w:after="0"/>
              <w:rPr>
                <w:sz w:val="4"/>
                <w:szCs w:val="4"/>
                <w:color w:val="auto"/>
              </w:rPr>
            </w:pPr>
          </w:p>
        </w:tc>
        <w:tc>
          <w:tcPr>
            <w:tcW w:w="34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18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120" w:type="dxa"/>
            <w:vAlign w:val="bottom"/>
            <w:shd w:val="clear" w:color="auto" w:fill="D9D9D6"/>
          </w:tcPr>
          <w:p>
            <w:pPr>
              <w:spacing w:after="0"/>
              <w:rPr>
                <w:sz w:val="4"/>
                <w:szCs w:val="4"/>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Beginning in the first quarter of 2021, the operations of Peacock, which were previously reported in Corporate and Other, will now be included with NBCUniversal results and the operations of NBCUniversal will now be presented in three reportable business segments: Media, Studios and Theme Parks. Prior periods have been adjusted to reflect this presentation.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NBCUniversal decreased 9.1% to $7.0 billion in the first quarter of 2021.</w:t>
      </w:r>
      <w:r>
        <w:rPr>
          <w:rFonts w:ascii="Arial" w:cs="Arial" w:eastAsia="Arial" w:hAnsi="Arial"/>
          <w:sz w:val="18"/>
          <w:szCs w:val="18"/>
          <w:b w:val="1"/>
          <w:bCs w:val="1"/>
          <w:i w:val="1"/>
          <w:iCs w:val="1"/>
          <w:color w:val="auto"/>
        </w:rPr>
        <w:t xml:space="preserve"> Adjusted EBITDA </w:t>
      </w:r>
      <w:r>
        <w:rPr>
          <w:rFonts w:ascii="Arial" w:cs="Arial" w:eastAsia="Arial" w:hAnsi="Arial"/>
          <w:sz w:val="18"/>
          <w:szCs w:val="18"/>
          <w:color w:val="auto"/>
        </w:rPr>
        <w:t>decreased 11.8% to $1.5 billion.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3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Media revenue increased 3.2% to $5.0 billion in the first quarter of 2021, reflecting higher distribution revenue and other revenue, partially offset by lower advertising revenue. Distribution revenue increased 9.1%, driven by contractual rate increases, partially offset by a decline in subscribers. Other revenue increased 5.3% due to an increase in revenue from our digital properties. Advertising revenue decreased 3.4%, reflecting ratings declines, partially offset by higher pricing and sports volume, as well as advertising revenue from Peacock, which had not yet launched in the prior year period. Adjusted EBITDA decreased 3.7% to $1.5 billion in the first quarter of 2021, reflecting higher revenue, more than offset by higher programming and production expenses primarily driven by amortization of content at Peacock. Media results include $91 million of revenue and an Adjusted EBITDA</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loss of $277 million related to Peacock, compared to a loss of $59 million in the prior year period.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Studios</w:t>
      </w:r>
    </w:p>
    <w:p>
      <w:pPr>
        <w:spacing w:after="0" w:line="3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Studios revenue decreased 0.6% to $2.4 billion in the first quarter of 2021, primarily reflecting lower theatrical revenue, offset by higher content licensing revenue. Theatrical revenue decreased 87.7%, primarily driven by the deferral of theatrical releases as a result of theater closures and theaters operating at reduced capacity due to COVID-19. Content licensing revenue increased 14.1%, primarily due to a new licensing agreement for content that became exclusively available for streaming on Peacock during the quarter. Adjusted EBITDA increased 65.7% to $497 million in the first quarter of 2021, reflecting lower revenue, more than offset by lower operating costs. The decrease in operating costs was primarily driven by lower advertising, marketing and promotion expenses, partially offset by higher programming and production expenses. The decrease in advertising, marketing and promotion expenses was primarily due to a reduced number of theatrical releases compared to the prior year period as a result of COVID-19. The higher programming and production expenses were primarily driven by costs associated with the new licensing agreement with Peacock during the quarter, partially offset by lower amortization associated with theatrical releases in the current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68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Theme Parks</w:t>
      </w:r>
    </w:p>
    <w:p>
      <w:pPr>
        <w:spacing w:after="0" w:line="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Theme Parks revenue decreased 33.1% to $619 million in the first quarter of 2021, primarily due to Universal Orlando Resort and Universal Studios Japan operating at limited capacity, while Universal Studios Hollywood remained closed during the quarter as a result of COVID-19. Theme Parks Adjusted EBITDA loss was $61 million in the first quarter of 2021, which included pre-opening costs related to Universal Beijing Resort.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and Other</w:t>
      </w:r>
    </w:p>
    <w:p>
      <w:pPr>
        <w:spacing w:after="0" w:line="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NBCUniversal Headquarters and Other includes overhead, personnel costs and costs associated with corporate initiatives. Headquarters and Other Adjusted EBITDA loss was $209 million compared to a loss of $221 million in the first quarter of 2020.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Eliminations reflect the accounting for transactions among the NBCUniversal segments. Revenue eliminations for the quarter ended March 31, 2021 were $1.0 billion compared to $492 million in 2020, and Adjusted EBITDA eliminations were $210 million compared to $ 6 million in 2020. The year-over-year changes were primarily driven by the licensing of content by the Studios segment to Peacock in the Media segment.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151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20" w:type="dxa"/>
            <w:vAlign w:val="bottom"/>
            <w:shd w:val="clear" w:color="auto" w:fill="D9D9D6"/>
          </w:tcPr>
          <w:p>
            <w:pPr>
              <w:spacing w:after="0"/>
              <w:rPr>
                <w:sz w:val="16"/>
                <w:szCs w:val="16"/>
                <w:color w:val="auto"/>
              </w:rPr>
            </w:pPr>
          </w:p>
        </w:tc>
        <w:tc>
          <w:tcPr>
            <w:tcW w:w="6820" w:type="dxa"/>
            <w:vAlign w:val="bottom"/>
            <w:shd w:val="clear" w:color="auto" w:fill="D9D9D6"/>
          </w:tcPr>
          <w:p>
            <w:pPr>
              <w:ind w:left="20"/>
              <w:spacing w:after="0"/>
              <w:rPr>
                <w:sz w:val="20"/>
                <w:szCs w:val="20"/>
                <w:color w:val="auto"/>
              </w:rPr>
            </w:pPr>
            <w:r>
              <w:rPr>
                <w:rFonts w:ascii="Arial" w:cs="Arial" w:eastAsia="Arial" w:hAnsi="Arial"/>
                <w:sz w:val="11"/>
                <w:szCs w:val="11"/>
                <w:i w:val="1"/>
                <w:iCs w:val="1"/>
                <w:color w:val="auto"/>
              </w:rPr>
              <w:t>($ in millions)</w:t>
            </w:r>
          </w:p>
        </w:tc>
        <w:tc>
          <w:tcPr>
            <w:tcW w:w="66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660" w:type="dxa"/>
            <w:vAlign w:val="bottom"/>
            <w:shd w:val="clear" w:color="auto" w:fill="D9D9D6"/>
          </w:tcPr>
          <w:p>
            <w:pPr>
              <w:spacing w:after="0"/>
              <w:rPr>
                <w:sz w:val="16"/>
                <w:szCs w:val="16"/>
                <w:color w:val="auto"/>
              </w:rPr>
            </w:pPr>
          </w:p>
        </w:tc>
        <w:tc>
          <w:tcPr>
            <w:tcW w:w="60" w:type="dxa"/>
            <w:vAlign w:val="bottom"/>
            <w:shd w:val="clear" w:color="auto" w:fill="D9D9D6"/>
          </w:tcPr>
          <w:p>
            <w:pPr>
              <w:spacing w:after="0"/>
              <w:rPr>
                <w:sz w:val="16"/>
                <w:szCs w:val="16"/>
                <w:color w:val="auto"/>
              </w:rPr>
            </w:pPr>
          </w:p>
        </w:tc>
        <w:tc>
          <w:tcPr>
            <w:tcW w:w="26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440" w:type="dxa"/>
            <w:vAlign w:val="bottom"/>
            <w:shd w:val="clear" w:color="auto" w:fill="D9D9D6"/>
          </w:tcPr>
          <w:p>
            <w:pPr>
              <w:spacing w:after="0"/>
              <w:rPr>
                <w:sz w:val="16"/>
                <w:szCs w:val="16"/>
                <w:color w:val="auto"/>
              </w:rPr>
            </w:pPr>
          </w:p>
        </w:tc>
        <w:tc>
          <w:tcPr>
            <w:tcW w:w="40" w:type="dxa"/>
            <w:vAlign w:val="bottom"/>
            <w:shd w:val="clear" w:color="auto" w:fill="D9D9D6"/>
          </w:tcPr>
          <w:p>
            <w:pPr>
              <w:spacing w:after="0"/>
              <w:rPr>
                <w:sz w:val="16"/>
                <w:szCs w:val="16"/>
                <w:color w:val="auto"/>
              </w:rPr>
            </w:pPr>
          </w:p>
        </w:tc>
        <w:tc>
          <w:tcPr>
            <w:tcW w:w="6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0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520" w:type="dxa"/>
            <w:vAlign w:val="bottom"/>
            <w:shd w:val="clear" w:color="auto" w:fill="D9D9D6"/>
          </w:tcPr>
          <w:p>
            <w:pPr>
              <w:spacing w:after="0"/>
              <w:rPr>
                <w:sz w:val="16"/>
                <w:szCs w:val="16"/>
                <w:color w:val="auto"/>
              </w:rPr>
            </w:pPr>
          </w:p>
        </w:tc>
        <w:tc>
          <w:tcPr>
            <w:tcW w:w="38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8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20" w:type="dxa"/>
            <w:vAlign w:val="bottom"/>
            <w:shd w:val="clear" w:color="auto" w:fill="D9D9D6"/>
          </w:tcPr>
          <w:p>
            <w:pPr>
              <w:spacing w:after="0"/>
              <w:rPr>
                <w:sz w:val="18"/>
                <w:szCs w:val="18"/>
                <w:color w:val="auto"/>
              </w:rPr>
            </w:pPr>
          </w:p>
        </w:tc>
        <w:tc>
          <w:tcPr>
            <w:tcW w:w="6820" w:type="dxa"/>
            <w:vAlign w:val="bottom"/>
            <w:shd w:val="clear" w:color="auto" w:fill="D9D9D6"/>
          </w:tcPr>
          <w:p>
            <w:pPr>
              <w:spacing w:after="0"/>
              <w:rPr>
                <w:sz w:val="18"/>
                <w:szCs w:val="18"/>
                <w:color w:val="auto"/>
              </w:rPr>
            </w:pPr>
          </w:p>
        </w:tc>
        <w:tc>
          <w:tcPr>
            <w:tcW w:w="660" w:type="dxa"/>
            <w:vAlign w:val="bottom"/>
            <w:shd w:val="clear" w:color="auto" w:fill="D9D9D6"/>
          </w:tcPr>
          <w:p>
            <w:pPr>
              <w:spacing w:after="0"/>
              <w:rPr>
                <w:sz w:val="18"/>
                <w:szCs w:val="18"/>
                <w:color w:val="auto"/>
              </w:rPr>
            </w:pPr>
          </w:p>
        </w:tc>
        <w:tc>
          <w:tcPr>
            <w:tcW w:w="320" w:type="dxa"/>
            <w:vAlign w:val="bottom"/>
            <w:shd w:val="clear" w:color="auto" w:fill="D9D9D6"/>
          </w:tcPr>
          <w:p>
            <w:pPr>
              <w:spacing w:after="0"/>
              <w:rPr>
                <w:sz w:val="18"/>
                <w:szCs w:val="18"/>
                <w:color w:val="auto"/>
              </w:rPr>
            </w:pPr>
          </w:p>
        </w:tc>
        <w:tc>
          <w:tcPr>
            <w:tcW w:w="20" w:type="dxa"/>
            <w:vAlign w:val="bottom"/>
            <w:shd w:val="clear" w:color="auto" w:fill="D9D9D6"/>
          </w:tcPr>
          <w:p>
            <w:pPr>
              <w:spacing w:after="0"/>
              <w:rPr>
                <w:sz w:val="18"/>
                <w:szCs w:val="18"/>
                <w:color w:val="auto"/>
              </w:rPr>
            </w:pPr>
          </w:p>
        </w:tc>
        <w:tc>
          <w:tcPr>
            <w:tcW w:w="660" w:type="dxa"/>
            <w:vAlign w:val="bottom"/>
            <w:shd w:val="clear" w:color="auto" w:fill="D9D9D6"/>
          </w:tcPr>
          <w:p>
            <w:pPr>
              <w:spacing w:after="0"/>
              <w:rPr>
                <w:sz w:val="18"/>
                <w:szCs w:val="18"/>
                <w:color w:val="auto"/>
              </w:rPr>
            </w:pPr>
          </w:p>
        </w:tc>
        <w:tc>
          <w:tcPr>
            <w:tcW w:w="60" w:type="dxa"/>
            <w:vAlign w:val="bottom"/>
            <w:shd w:val="clear" w:color="auto" w:fill="D9D9D6"/>
          </w:tcPr>
          <w:p>
            <w:pPr>
              <w:spacing w:after="0"/>
              <w:rPr>
                <w:sz w:val="18"/>
                <w:szCs w:val="18"/>
                <w:color w:val="auto"/>
              </w:rPr>
            </w:pPr>
          </w:p>
        </w:tc>
        <w:tc>
          <w:tcPr>
            <w:tcW w:w="760" w:type="dxa"/>
            <w:vAlign w:val="bottom"/>
            <w:gridSpan w:val="4"/>
            <w:shd w:val="clear" w:color="auto" w:fill="D9D9D6"/>
          </w:tcPr>
          <w:p>
            <w:pPr>
              <w:spacing w:after="0"/>
              <w:rPr>
                <w:sz w:val="20"/>
                <w:szCs w:val="20"/>
                <w:color w:val="auto"/>
              </w:rPr>
            </w:pPr>
            <w:r>
              <w:rPr>
                <w:rFonts w:ascii="Arial" w:cs="Arial" w:eastAsia="Arial" w:hAnsi="Arial"/>
                <w:sz w:val="14"/>
                <w:szCs w:val="14"/>
                <w:color w:val="auto"/>
              </w:rPr>
              <w:t>1st Quarter</w:t>
            </w:r>
          </w:p>
        </w:tc>
        <w:tc>
          <w:tcPr>
            <w:tcW w:w="60" w:type="dxa"/>
            <w:vAlign w:val="bottom"/>
            <w:shd w:val="clear" w:color="auto" w:fill="D9D9D6"/>
          </w:tcPr>
          <w:p>
            <w:pPr>
              <w:spacing w:after="0"/>
              <w:rPr>
                <w:sz w:val="18"/>
                <w:szCs w:val="18"/>
                <w:color w:val="auto"/>
              </w:rPr>
            </w:pPr>
          </w:p>
        </w:tc>
        <w:tc>
          <w:tcPr>
            <w:tcW w:w="320" w:type="dxa"/>
            <w:vAlign w:val="bottom"/>
            <w:shd w:val="clear" w:color="auto" w:fill="D9D9D6"/>
          </w:tcPr>
          <w:p>
            <w:pPr>
              <w:spacing w:after="0"/>
              <w:rPr>
                <w:sz w:val="18"/>
                <w:szCs w:val="18"/>
                <w:color w:val="auto"/>
              </w:rPr>
            </w:pPr>
          </w:p>
        </w:tc>
        <w:tc>
          <w:tcPr>
            <w:tcW w:w="200" w:type="dxa"/>
            <w:vAlign w:val="bottom"/>
            <w:shd w:val="clear" w:color="auto" w:fill="D9D9D6"/>
          </w:tcPr>
          <w:p>
            <w:pPr>
              <w:spacing w:after="0"/>
              <w:rPr>
                <w:sz w:val="18"/>
                <w:szCs w:val="18"/>
                <w:color w:val="auto"/>
              </w:rPr>
            </w:pPr>
          </w:p>
        </w:tc>
        <w:tc>
          <w:tcPr>
            <w:tcW w:w="20" w:type="dxa"/>
            <w:vAlign w:val="bottom"/>
            <w:shd w:val="clear" w:color="auto" w:fill="D9D9D6"/>
          </w:tcPr>
          <w:p>
            <w:pPr>
              <w:spacing w:after="0"/>
              <w:rPr>
                <w:sz w:val="18"/>
                <w:szCs w:val="18"/>
                <w:color w:val="auto"/>
              </w:rPr>
            </w:pPr>
          </w:p>
        </w:tc>
        <w:tc>
          <w:tcPr>
            <w:tcW w:w="520" w:type="dxa"/>
            <w:vAlign w:val="bottom"/>
            <w:shd w:val="clear" w:color="auto" w:fill="D9D9D6"/>
          </w:tcPr>
          <w:p>
            <w:pPr>
              <w:spacing w:after="0"/>
              <w:rPr>
                <w:sz w:val="18"/>
                <w:szCs w:val="18"/>
                <w:color w:val="auto"/>
              </w:rPr>
            </w:pPr>
          </w:p>
        </w:tc>
        <w:tc>
          <w:tcPr>
            <w:tcW w:w="380" w:type="dxa"/>
            <w:vAlign w:val="bottom"/>
            <w:shd w:val="clear" w:color="auto" w:fill="D9D9D6"/>
          </w:tcPr>
          <w:p>
            <w:pPr>
              <w:spacing w:after="0"/>
              <w:rPr>
                <w:sz w:val="18"/>
                <w:szCs w:val="18"/>
                <w:color w:val="auto"/>
              </w:rPr>
            </w:pPr>
          </w:p>
        </w:tc>
        <w:tc>
          <w:tcPr>
            <w:tcW w:w="120" w:type="dxa"/>
            <w:vAlign w:val="bottom"/>
            <w:shd w:val="clear" w:color="auto" w:fill="D9D9D6"/>
          </w:tcPr>
          <w:p>
            <w:pPr>
              <w:spacing w:after="0"/>
              <w:rPr>
                <w:sz w:val="18"/>
                <w:szCs w:val="18"/>
                <w:color w:val="auto"/>
              </w:rPr>
            </w:pPr>
          </w:p>
        </w:tc>
        <w:tc>
          <w:tcPr>
            <w:tcW w:w="80" w:type="dxa"/>
            <w:vAlign w:val="bottom"/>
            <w:shd w:val="clear" w:color="auto" w:fill="D9D9D6"/>
          </w:tcPr>
          <w:p>
            <w:pPr>
              <w:spacing w:after="0"/>
              <w:rPr>
                <w:sz w:val="18"/>
                <w:szCs w:val="18"/>
                <w:color w:val="auto"/>
              </w:rPr>
            </w:pPr>
          </w:p>
        </w:tc>
        <w:tc>
          <w:tcPr>
            <w:tcW w:w="120" w:type="dxa"/>
            <w:vAlign w:val="bottom"/>
            <w:shd w:val="clear" w:color="auto" w:fill="D9D9D6"/>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20" w:type="dxa"/>
            <w:vAlign w:val="bottom"/>
            <w:tcBorders>
              <w:top w:val="single" w:sz="8" w:color="D9D9D6"/>
            </w:tcBorders>
            <w:shd w:val="clear" w:color="auto" w:fill="D9D9D6"/>
          </w:tcPr>
          <w:p>
            <w:pPr>
              <w:spacing w:after="0"/>
              <w:rPr>
                <w:sz w:val="20"/>
                <w:szCs w:val="20"/>
                <w:color w:val="auto"/>
              </w:rPr>
            </w:pPr>
          </w:p>
        </w:tc>
        <w:tc>
          <w:tcPr>
            <w:tcW w:w="6820" w:type="dxa"/>
            <w:vAlign w:val="bottom"/>
            <w:tcBorders>
              <w:top w:val="single" w:sz="8" w:color="D9D9D6"/>
            </w:tcBorders>
            <w:shd w:val="clear" w:color="auto" w:fill="D9D9D6"/>
          </w:tcPr>
          <w:p>
            <w:pPr>
              <w:spacing w:after="0"/>
              <w:rPr>
                <w:sz w:val="20"/>
                <w:szCs w:val="20"/>
                <w:color w:val="auto"/>
              </w:rPr>
            </w:pPr>
          </w:p>
        </w:tc>
        <w:tc>
          <w:tcPr>
            <w:tcW w:w="660" w:type="dxa"/>
            <w:vAlign w:val="bottom"/>
            <w:tcBorders>
              <w:top w:val="single" w:sz="8" w:color="D9D9D6"/>
            </w:tcBorders>
            <w:shd w:val="clear" w:color="auto" w:fill="D9D9D6"/>
          </w:tcPr>
          <w:p>
            <w:pPr>
              <w:spacing w:after="0"/>
              <w:rPr>
                <w:sz w:val="20"/>
                <w:szCs w:val="20"/>
                <w:color w:val="auto"/>
              </w:rPr>
            </w:pPr>
          </w:p>
        </w:tc>
        <w:tc>
          <w:tcPr>
            <w:tcW w:w="320" w:type="dxa"/>
            <w:vAlign w:val="bottom"/>
            <w:tcBorders>
              <w:top w:val="single" w:sz="8" w:color="D9D9D6"/>
            </w:tcBorders>
            <w:shd w:val="clear" w:color="auto" w:fill="D9D9D6"/>
          </w:tcPr>
          <w:p>
            <w:pPr>
              <w:spacing w:after="0"/>
              <w:rPr>
                <w:sz w:val="20"/>
                <w:szCs w:val="20"/>
                <w:color w:val="auto"/>
              </w:rPr>
            </w:pPr>
          </w:p>
        </w:tc>
        <w:tc>
          <w:tcPr>
            <w:tcW w:w="20" w:type="dxa"/>
            <w:vAlign w:val="bottom"/>
            <w:tcBorders>
              <w:top w:val="single" w:sz="8" w:color="D9D9D6"/>
            </w:tcBorders>
            <w:shd w:val="clear" w:color="auto" w:fill="D9D9D6"/>
          </w:tcPr>
          <w:p>
            <w:pPr>
              <w:spacing w:after="0"/>
              <w:rPr>
                <w:sz w:val="20"/>
                <w:szCs w:val="20"/>
                <w:color w:val="auto"/>
              </w:rPr>
            </w:pPr>
          </w:p>
        </w:tc>
        <w:tc>
          <w:tcPr>
            <w:tcW w:w="660" w:type="dxa"/>
            <w:vAlign w:val="bottom"/>
            <w:tcBorders>
              <w:top w:val="single" w:sz="8" w:color="D9D9D6"/>
            </w:tcBorders>
            <w:shd w:val="clear" w:color="auto" w:fill="D9D9D6"/>
          </w:tcPr>
          <w:p>
            <w:pPr>
              <w:spacing w:after="0"/>
              <w:rPr>
                <w:sz w:val="20"/>
                <w:szCs w:val="20"/>
                <w:color w:val="auto"/>
              </w:rPr>
            </w:pPr>
          </w:p>
        </w:tc>
        <w:tc>
          <w:tcPr>
            <w:tcW w:w="60" w:type="dxa"/>
            <w:vAlign w:val="bottom"/>
            <w:tcBorders>
              <w:top w:val="single" w:sz="8" w:color="D9D9D6"/>
            </w:tcBorders>
            <w:shd w:val="clear" w:color="auto" w:fill="D9D9D6"/>
          </w:tcPr>
          <w:p>
            <w:pPr>
              <w:spacing w:after="0"/>
              <w:rPr>
                <w:sz w:val="20"/>
                <w:szCs w:val="20"/>
                <w:color w:val="auto"/>
              </w:rPr>
            </w:pPr>
          </w:p>
        </w:tc>
        <w:tc>
          <w:tcPr>
            <w:tcW w:w="260" w:type="dxa"/>
            <w:vAlign w:val="bottom"/>
            <w:tcBorders>
              <w:top w:val="single" w:sz="8" w:color="auto"/>
            </w:tcBorders>
            <w:shd w:val="clear" w:color="auto" w:fill="D9D9D6"/>
          </w:tcPr>
          <w:p>
            <w:pPr>
              <w:spacing w:after="0"/>
              <w:rPr>
                <w:sz w:val="20"/>
                <w:szCs w:val="20"/>
                <w:color w:val="auto"/>
              </w:rPr>
            </w:pPr>
          </w:p>
        </w:tc>
        <w:tc>
          <w:tcPr>
            <w:tcW w:w="20" w:type="dxa"/>
            <w:vAlign w:val="bottom"/>
            <w:tcBorders>
              <w:top w:val="single" w:sz="8" w:color="auto"/>
            </w:tcBorders>
            <w:shd w:val="clear" w:color="auto" w:fill="D9D9D6"/>
          </w:tcPr>
          <w:p>
            <w:pPr>
              <w:spacing w:after="0"/>
              <w:rPr>
                <w:sz w:val="20"/>
                <w:szCs w:val="20"/>
                <w:color w:val="auto"/>
              </w:rPr>
            </w:pPr>
          </w:p>
        </w:tc>
        <w:tc>
          <w:tcPr>
            <w:tcW w:w="440" w:type="dxa"/>
            <w:vAlign w:val="bottom"/>
            <w:tcBorders>
              <w:top w:val="single" w:sz="8" w:color="auto"/>
            </w:tcBorders>
            <w:shd w:val="clear" w:color="auto" w:fill="D9D9D6"/>
          </w:tcPr>
          <w:p>
            <w:pPr>
              <w:spacing w:after="0"/>
              <w:rPr>
                <w:sz w:val="20"/>
                <w:szCs w:val="20"/>
                <w:color w:val="auto"/>
              </w:rPr>
            </w:pPr>
          </w:p>
        </w:tc>
        <w:tc>
          <w:tcPr>
            <w:tcW w:w="40" w:type="dxa"/>
            <w:vAlign w:val="bottom"/>
            <w:tcBorders>
              <w:top w:val="single" w:sz="8" w:color="D9D9D6"/>
            </w:tcBorders>
            <w:shd w:val="clear" w:color="auto" w:fill="D9D9D6"/>
          </w:tcPr>
          <w:p>
            <w:pPr>
              <w:spacing w:after="0"/>
              <w:rPr>
                <w:sz w:val="20"/>
                <w:szCs w:val="20"/>
                <w:color w:val="auto"/>
              </w:rPr>
            </w:pPr>
          </w:p>
        </w:tc>
        <w:tc>
          <w:tcPr>
            <w:tcW w:w="60" w:type="dxa"/>
            <w:vAlign w:val="bottom"/>
            <w:tcBorders>
              <w:top w:val="single" w:sz="8" w:color="D9D9D6"/>
            </w:tcBorders>
            <w:shd w:val="clear" w:color="auto" w:fill="D9D9D6"/>
          </w:tcPr>
          <w:p>
            <w:pPr>
              <w:spacing w:after="0"/>
              <w:rPr>
                <w:sz w:val="20"/>
                <w:szCs w:val="20"/>
                <w:color w:val="auto"/>
              </w:rPr>
            </w:pPr>
          </w:p>
        </w:tc>
        <w:tc>
          <w:tcPr>
            <w:tcW w:w="320" w:type="dxa"/>
            <w:vAlign w:val="bottom"/>
            <w:tcBorders>
              <w:top w:val="single" w:sz="8" w:color="D9D9D6"/>
            </w:tcBorders>
            <w:shd w:val="clear" w:color="auto" w:fill="D9D9D6"/>
          </w:tcPr>
          <w:p>
            <w:pPr>
              <w:spacing w:after="0"/>
              <w:rPr>
                <w:sz w:val="20"/>
                <w:szCs w:val="20"/>
                <w:color w:val="auto"/>
              </w:rPr>
            </w:pPr>
          </w:p>
        </w:tc>
        <w:tc>
          <w:tcPr>
            <w:tcW w:w="200" w:type="dxa"/>
            <w:vAlign w:val="bottom"/>
            <w:tcBorders>
              <w:top w:val="single" w:sz="8" w:color="D9D9D6"/>
            </w:tcBorders>
            <w:shd w:val="clear" w:color="auto" w:fill="D9D9D6"/>
          </w:tcPr>
          <w:p>
            <w:pPr>
              <w:spacing w:after="0"/>
              <w:rPr>
                <w:sz w:val="20"/>
                <w:szCs w:val="20"/>
                <w:color w:val="auto"/>
              </w:rPr>
            </w:pPr>
          </w:p>
        </w:tc>
        <w:tc>
          <w:tcPr>
            <w:tcW w:w="20" w:type="dxa"/>
            <w:vAlign w:val="bottom"/>
            <w:tcBorders>
              <w:top w:val="single" w:sz="8" w:color="D9D9D6"/>
            </w:tcBorders>
            <w:shd w:val="clear" w:color="auto" w:fill="D9D9D6"/>
          </w:tcPr>
          <w:p>
            <w:pPr>
              <w:spacing w:after="0"/>
              <w:rPr>
                <w:sz w:val="20"/>
                <w:szCs w:val="20"/>
                <w:color w:val="auto"/>
              </w:rPr>
            </w:pPr>
          </w:p>
        </w:tc>
        <w:tc>
          <w:tcPr>
            <w:tcW w:w="1220" w:type="dxa"/>
            <w:vAlign w:val="bottom"/>
            <w:tcBorders>
              <w:top w:val="single" w:sz="8" w:color="D9D9D6"/>
            </w:tcBorders>
            <w:gridSpan w:val="5"/>
            <w:shd w:val="clear" w:color="auto" w:fill="D9D9D6"/>
          </w:tcPr>
          <w:p>
            <w:pPr>
              <w:jc w:val="right"/>
              <w:ind w:right="180"/>
              <w:spacing w:after="0"/>
              <w:rPr>
                <w:sz w:val="20"/>
                <w:szCs w:val="20"/>
                <w:color w:val="auto"/>
              </w:rPr>
            </w:pPr>
            <w:r>
              <w:rPr>
                <w:rFonts w:ascii="Arial" w:cs="Arial" w:eastAsia="Arial" w:hAnsi="Arial"/>
                <w:sz w:val="14"/>
                <w:szCs w:val="14"/>
                <w:color w:val="auto"/>
              </w:rPr>
              <w:t>Constant</w:t>
            </w:r>
          </w:p>
        </w:tc>
        <w:tc>
          <w:tcPr>
            <w:tcW w:w="0" w:type="dxa"/>
            <w:vAlign w:val="bottom"/>
          </w:tcPr>
          <w:p>
            <w:pPr>
              <w:spacing w:after="0"/>
              <w:rPr>
                <w:sz w:val="1"/>
                <w:szCs w:val="1"/>
                <w:color w:val="auto"/>
              </w:rPr>
            </w:pPr>
          </w:p>
        </w:tc>
      </w:tr>
      <w:tr>
        <w:trPr>
          <w:trHeight w:val="135"/>
        </w:trPr>
        <w:tc>
          <w:tcPr>
            <w:tcW w:w="120" w:type="dxa"/>
            <w:vAlign w:val="bottom"/>
            <w:shd w:val="clear" w:color="auto" w:fill="D9D9D6"/>
          </w:tcPr>
          <w:p>
            <w:pPr>
              <w:spacing w:after="0"/>
              <w:rPr>
                <w:sz w:val="11"/>
                <w:szCs w:val="11"/>
                <w:color w:val="auto"/>
              </w:rPr>
            </w:pPr>
          </w:p>
        </w:tc>
        <w:tc>
          <w:tcPr>
            <w:tcW w:w="6820" w:type="dxa"/>
            <w:vAlign w:val="bottom"/>
            <w:shd w:val="clear" w:color="auto" w:fill="D9D9D6"/>
          </w:tcPr>
          <w:p>
            <w:pPr>
              <w:spacing w:after="0"/>
              <w:rPr>
                <w:sz w:val="11"/>
                <w:szCs w:val="11"/>
                <w:color w:val="auto"/>
              </w:rPr>
            </w:pPr>
          </w:p>
        </w:tc>
        <w:tc>
          <w:tcPr>
            <w:tcW w:w="1000" w:type="dxa"/>
            <w:vAlign w:val="bottom"/>
            <w:gridSpan w:val="3"/>
            <w:vMerge w:val="restart"/>
            <w:shd w:val="clear" w:color="auto" w:fill="D9D9D6"/>
          </w:tcPr>
          <w:p>
            <w:pPr>
              <w:jc w:val="right"/>
              <w:ind w:right="20"/>
              <w:spacing w:after="0"/>
              <w:rPr>
                <w:sz w:val="20"/>
                <w:szCs w:val="20"/>
                <w:color w:val="auto"/>
              </w:rPr>
            </w:pPr>
            <w:r>
              <w:rPr>
                <w:rFonts w:ascii="Arial" w:cs="Arial" w:eastAsia="Arial" w:hAnsi="Arial"/>
                <w:sz w:val="14"/>
                <w:szCs w:val="14"/>
                <w:color w:val="auto"/>
              </w:rPr>
              <w:t>2021</w:t>
            </w:r>
          </w:p>
        </w:tc>
        <w:tc>
          <w:tcPr>
            <w:tcW w:w="1000" w:type="dxa"/>
            <w:vAlign w:val="bottom"/>
            <w:gridSpan w:val="4"/>
            <w:vMerge w:val="restart"/>
            <w:shd w:val="clear" w:color="auto" w:fill="D9D9D6"/>
          </w:tcPr>
          <w:p>
            <w:pPr>
              <w:jc w:val="right"/>
              <w:ind w:right="20"/>
              <w:spacing w:after="0"/>
              <w:rPr>
                <w:sz w:val="20"/>
                <w:szCs w:val="20"/>
                <w:color w:val="auto"/>
              </w:rPr>
            </w:pPr>
            <w:r>
              <w:rPr>
                <w:rFonts w:ascii="Arial" w:cs="Arial" w:eastAsia="Arial" w:hAnsi="Arial"/>
                <w:sz w:val="14"/>
                <w:szCs w:val="14"/>
                <w:color w:val="auto"/>
              </w:rPr>
              <w:t>2020</w:t>
            </w:r>
          </w:p>
        </w:tc>
        <w:tc>
          <w:tcPr>
            <w:tcW w:w="440" w:type="dxa"/>
            <w:vAlign w:val="bottom"/>
            <w:shd w:val="clear" w:color="auto" w:fill="D9D9D6"/>
          </w:tcPr>
          <w:p>
            <w:pPr>
              <w:spacing w:after="0"/>
              <w:rPr>
                <w:sz w:val="11"/>
                <w:szCs w:val="11"/>
                <w:color w:val="auto"/>
              </w:rPr>
            </w:pPr>
          </w:p>
        </w:tc>
        <w:tc>
          <w:tcPr>
            <w:tcW w:w="40" w:type="dxa"/>
            <w:vAlign w:val="bottom"/>
            <w:shd w:val="clear" w:color="auto" w:fill="D9D9D6"/>
          </w:tcPr>
          <w:p>
            <w:pPr>
              <w:spacing w:after="0"/>
              <w:rPr>
                <w:sz w:val="11"/>
                <w:szCs w:val="11"/>
                <w:color w:val="auto"/>
              </w:rPr>
            </w:pPr>
          </w:p>
        </w:tc>
        <w:tc>
          <w:tcPr>
            <w:tcW w:w="600" w:type="dxa"/>
            <w:vAlign w:val="bottom"/>
            <w:gridSpan w:val="4"/>
            <w:vMerge w:val="restart"/>
            <w:shd w:val="clear" w:color="auto" w:fill="D9D9D6"/>
          </w:tcPr>
          <w:p>
            <w:pPr>
              <w:ind w:left="60"/>
              <w:spacing w:after="0"/>
              <w:rPr>
                <w:sz w:val="20"/>
                <w:szCs w:val="20"/>
                <w:color w:val="auto"/>
              </w:rPr>
            </w:pPr>
            <w:r>
              <w:rPr>
                <w:rFonts w:ascii="Arial" w:cs="Arial" w:eastAsia="Arial" w:hAnsi="Arial"/>
                <w:sz w:val="14"/>
                <w:szCs w:val="14"/>
                <w:color w:val="auto"/>
              </w:rPr>
              <w:t>Change</w:t>
            </w:r>
          </w:p>
        </w:tc>
        <w:tc>
          <w:tcPr>
            <w:tcW w:w="1220" w:type="dxa"/>
            <w:vAlign w:val="bottom"/>
            <w:gridSpan w:val="5"/>
            <w:shd w:val="clear" w:color="auto" w:fill="D9D9D6"/>
          </w:tcPr>
          <w:p>
            <w:pPr>
              <w:jc w:val="right"/>
              <w:ind w:right="180"/>
              <w:spacing w:after="0" w:line="135" w:lineRule="exact"/>
              <w:rPr>
                <w:sz w:val="20"/>
                <w:szCs w:val="20"/>
                <w:color w:val="auto"/>
              </w:rPr>
            </w:pPr>
            <w:r>
              <w:rPr>
                <w:rFonts w:ascii="Arial" w:cs="Arial" w:eastAsia="Arial" w:hAnsi="Arial"/>
                <w:sz w:val="14"/>
                <w:szCs w:val="14"/>
                <w:color w:val="auto"/>
              </w:rPr>
              <w:t>Currency</w:t>
            </w:r>
          </w:p>
        </w:tc>
        <w:tc>
          <w:tcPr>
            <w:tcW w:w="0" w:type="dxa"/>
            <w:vAlign w:val="bottom"/>
          </w:tcPr>
          <w:p>
            <w:pPr>
              <w:spacing w:after="0"/>
              <w:rPr>
                <w:sz w:val="1"/>
                <w:szCs w:val="1"/>
                <w:color w:val="auto"/>
              </w:rPr>
            </w:pPr>
          </w:p>
        </w:tc>
      </w:tr>
      <w:tr>
        <w:trPr>
          <w:trHeight w:val="144"/>
        </w:trPr>
        <w:tc>
          <w:tcPr>
            <w:tcW w:w="120" w:type="dxa"/>
            <w:vAlign w:val="bottom"/>
            <w:shd w:val="clear" w:color="auto" w:fill="D9D9D6"/>
          </w:tcPr>
          <w:p>
            <w:pPr>
              <w:spacing w:after="0"/>
              <w:rPr>
                <w:sz w:val="12"/>
                <w:szCs w:val="12"/>
                <w:color w:val="auto"/>
              </w:rPr>
            </w:pPr>
          </w:p>
        </w:tc>
        <w:tc>
          <w:tcPr>
            <w:tcW w:w="6820" w:type="dxa"/>
            <w:vAlign w:val="bottom"/>
            <w:vMerge w:val="restart"/>
            <w:shd w:val="clear" w:color="auto" w:fill="D9D9D6"/>
          </w:tcPr>
          <w:p>
            <w:pPr>
              <w:ind w:left="20"/>
              <w:spacing w:after="0"/>
              <w:rPr>
                <w:sz w:val="20"/>
                <w:szCs w:val="20"/>
                <w:color w:val="auto"/>
              </w:rPr>
            </w:pPr>
            <w:r>
              <w:rPr>
                <w:rFonts w:ascii="Arial" w:cs="Arial" w:eastAsia="Arial" w:hAnsi="Arial"/>
                <w:sz w:val="14"/>
                <w:szCs w:val="14"/>
                <w:b w:val="1"/>
                <w:bCs w:val="1"/>
                <w:color w:val="auto"/>
              </w:rPr>
              <w:t>Sky Revenue</w:t>
            </w:r>
          </w:p>
        </w:tc>
        <w:tc>
          <w:tcPr>
            <w:tcW w:w="1000" w:type="dxa"/>
            <w:vAlign w:val="bottom"/>
            <w:gridSpan w:val="3"/>
            <w:vMerge w:val="continue"/>
            <w:shd w:val="clear" w:color="auto" w:fill="D9D9D6"/>
          </w:tcPr>
          <w:p>
            <w:pPr>
              <w:spacing w:after="0"/>
              <w:rPr>
                <w:sz w:val="12"/>
                <w:szCs w:val="12"/>
                <w:color w:val="auto"/>
              </w:rPr>
            </w:pPr>
          </w:p>
        </w:tc>
        <w:tc>
          <w:tcPr>
            <w:tcW w:w="1000" w:type="dxa"/>
            <w:vAlign w:val="bottom"/>
            <w:gridSpan w:val="4"/>
            <w:vMerge w:val="continue"/>
            <w:shd w:val="clear" w:color="auto" w:fill="D9D9D6"/>
          </w:tcPr>
          <w:p>
            <w:pPr>
              <w:spacing w:after="0"/>
              <w:rPr>
                <w:sz w:val="12"/>
                <w:szCs w:val="12"/>
                <w:color w:val="auto"/>
              </w:rPr>
            </w:pPr>
          </w:p>
        </w:tc>
        <w:tc>
          <w:tcPr>
            <w:tcW w:w="440" w:type="dxa"/>
            <w:vAlign w:val="bottom"/>
            <w:shd w:val="clear" w:color="auto" w:fill="D9D9D6"/>
          </w:tcPr>
          <w:p>
            <w:pPr>
              <w:spacing w:after="0"/>
              <w:rPr>
                <w:sz w:val="12"/>
                <w:szCs w:val="12"/>
                <w:color w:val="auto"/>
              </w:rPr>
            </w:pPr>
          </w:p>
        </w:tc>
        <w:tc>
          <w:tcPr>
            <w:tcW w:w="40" w:type="dxa"/>
            <w:vAlign w:val="bottom"/>
            <w:shd w:val="clear" w:color="auto" w:fill="D9D9D6"/>
          </w:tcPr>
          <w:p>
            <w:pPr>
              <w:spacing w:after="0"/>
              <w:rPr>
                <w:sz w:val="12"/>
                <w:szCs w:val="12"/>
                <w:color w:val="auto"/>
              </w:rPr>
            </w:pPr>
          </w:p>
        </w:tc>
        <w:tc>
          <w:tcPr>
            <w:tcW w:w="600" w:type="dxa"/>
            <w:vAlign w:val="bottom"/>
            <w:gridSpan w:val="4"/>
            <w:vMerge w:val="continue"/>
            <w:shd w:val="clear" w:color="auto" w:fill="D9D9D6"/>
          </w:tcPr>
          <w:p>
            <w:pPr>
              <w:spacing w:after="0"/>
              <w:rPr>
                <w:sz w:val="12"/>
                <w:szCs w:val="12"/>
                <w:color w:val="auto"/>
              </w:rPr>
            </w:pPr>
          </w:p>
        </w:tc>
        <w:tc>
          <w:tcPr>
            <w:tcW w:w="520" w:type="dxa"/>
            <w:vAlign w:val="bottom"/>
            <w:shd w:val="clear" w:color="auto" w:fill="D9D9D6"/>
          </w:tcPr>
          <w:p>
            <w:pPr>
              <w:spacing w:after="0"/>
              <w:rPr>
                <w:sz w:val="12"/>
                <w:szCs w:val="12"/>
                <w:color w:val="auto"/>
              </w:rPr>
            </w:pPr>
          </w:p>
        </w:tc>
        <w:tc>
          <w:tcPr>
            <w:tcW w:w="700" w:type="dxa"/>
            <w:vAlign w:val="bottom"/>
            <w:gridSpan w:val="4"/>
            <w:shd w:val="clear" w:color="auto" w:fill="D9D9D6"/>
          </w:tcPr>
          <w:p>
            <w:pPr>
              <w:spacing w:after="0" w:line="144" w:lineRule="exact"/>
              <w:rPr>
                <w:sz w:val="20"/>
                <w:szCs w:val="20"/>
                <w:color w:val="auto"/>
              </w:rPr>
            </w:pPr>
            <w:r>
              <w:rPr>
                <w:rFonts w:ascii="Arial" w:cs="Arial" w:eastAsia="Arial" w:hAnsi="Arial"/>
                <w:sz w:val="14"/>
                <w:szCs w:val="14"/>
                <w:color w:val="auto"/>
              </w:rPr>
              <w:t>Change</w:t>
            </w:r>
            <w:r>
              <w:rPr>
                <w:rFonts w:ascii="Arial" w:cs="Arial" w:eastAsia="Arial" w:hAnsi="Arial"/>
                <w:sz w:val="9"/>
                <w:szCs w:val="9"/>
                <w:color w:val="auto"/>
              </w:rPr>
              <w:t>7</w:t>
            </w:r>
          </w:p>
        </w:tc>
        <w:tc>
          <w:tcPr>
            <w:tcW w:w="0" w:type="dxa"/>
            <w:vAlign w:val="bottom"/>
          </w:tcPr>
          <w:p>
            <w:pPr>
              <w:spacing w:after="0"/>
              <w:rPr>
                <w:sz w:val="1"/>
                <w:szCs w:val="1"/>
                <w:color w:val="auto"/>
              </w:rPr>
            </w:pPr>
          </w:p>
        </w:tc>
      </w:tr>
      <w:tr>
        <w:trPr>
          <w:trHeight w:val="196"/>
        </w:trPr>
        <w:tc>
          <w:tcPr>
            <w:tcW w:w="120" w:type="dxa"/>
            <w:vAlign w:val="bottom"/>
            <w:tcBorders>
              <w:top w:val="single" w:sz="8" w:color="D9D9D6"/>
            </w:tcBorders>
            <w:shd w:val="clear" w:color="auto" w:fill="D9D9D6"/>
          </w:tcPr>
          <w:p>
            <w:pPr>
              <w:spacing w:after="0"/>
              <w:rPr>
                <w:sz w:val="17"/>
                <w:szCs w:val="17"/>
                <w:color w:val="auto"/>
              </w:rPr>
            </w:pPr>
          </w:p>
        </w:tc>
        <w:tc>
          <w:tcPr>
            <w:tcW w:w="6820" w:type="dxa"/>
            <w:vAlign w:val="bottom"/>
            <w:tcBorders>
              <w:top w:val="single" w:sz="8" w:color="D9D9D6"/>
            </w:tcBorders>
            <w:vMerge w:val="continue"/>
            <w:shd w:val="clear" w:color="auto" w:fill="D9D9D6"/>
          </w:tcPr>
          <w:p>
            <w:pPr>
              <w:spacing w:after="0"/>
              <w:rPr>
                <w:sz w:val="17"/>
                <w:szCs w:val="17"/>
                <w:color w:val="auto"/>
              </w:rPr>
            </w:pPr>
          </w:p>
        </w:tc>
        <w:tc>
          <w:tcPr>
            <w:tcW w:w="66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660" w:type="dxa"/>
            <w:vAlign w:val="bottom"/>
            <w:tcBorders>
              <w:top w:val="single" w:sz="8" w:color="D9D9D6"/>
            </w:tcBorders>
            <w:shd w:val="clear" w:color="auto" w:fill="D9D9D6"/>
          </w:tcPr>
          <w:p>
            <w:pPr>
              <w:spacing w:after="0"/>
              <w:rPr>
                <w:sz w:val="17"/>
                <w:szCs w:val="17"/>
                <w:color w:val="auto"/>
              </w:rPr>
            </w:pPr>
          </w:p>
        </w:tc>
        <w:tc>
          <w:tcPr>
            <w:tcW w:w="60" w:type="dxa"/>
            <w:vAlign w:val="bottom"/>
            <w:tcBorders>
              <w:top w:val="single" w:sz="8" w:color="auto"/>
            </w:tcBorders>
            <w:shd w:val="clear" w:color="auto" w:fill="D9D9D6"/>
          </w:tcPr>
          <w:p>
            <w:pPr>
              <w:spacing w:after="0"/>
              <w:rPr>
                <w:sz w:val="17"/>
                <w:szCs w:val="17"/>
                <w:color w:val="auto"/>
              </w:rPr>
            </w:pPr>
          </w:p>
        </w:tc>
        <w:tc>
          <w:tcPr>
            <w:tcW w:w="26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440" w:type="dxa"/>
            <w:vAlign w:val="bottom"/>
            <w:tcBorders>
              <w:top w:val="single" w:sz="8" w:color="D9D9D6"/>
            </w:tcBorders>
            <w:shd w:val="clear" w:color="auto" w:fill="D9D9D6"/>
          </w:tcPr>
          <w:p>
            <w:pPr>
              <w:spacing w:after="0"/>
              <w:rPr>
                <w:sz w:val="17"/>
                <w:szCs w:val="17"/>
                <w:color w:val="auto"/>
              </w:rPr>
            </w:pPr>
          </w:p>
        </w:tc>
        <w:tc>
          <w:tcPr>
            <w:tcW w:w="40" w:type="dxa"/>
            <w:vAlign w:val="bottom"/>
            <w:tcBorders>
              <w:top w:val="single" w:sz="8" w:color="D9D9D6"/>
            </w:tcBorders>
            <w:shd w:val="clear" w:color="auto" w:fill="D9D9D6"/>
          </w:tcPr>
          <w:p>
            <w:pPr>
              <w:spacing w:after="0"/>
              <w:rPr>
                <w:sz w:val="17"/>
                <w:szCs w:val="17"/>
                <w:color w:val="auto"/>
              </w:rPr>
            </w:pPr>
          </w:p>
        </w:tc>
        <w:tc>
          <w:tcPr>
            <w:tcW w:w="60" w:type="dxa"/>
            <w:vAlign w:val="bottom"/>
            <w:tcBorders>
              <w:top w:val="single" w:sz="8" w:color="D9D9D6"/>
            </w:tcBorders>
            <w:shd w:val="clear" w:color="auto" w:fill="D9D9D6"/>
          </w:tcPr>
          <w:p>
            <w:pPr>
              <w:spacing w:after="0"/>
              <w:rPr>
                <w:sz w:val="17"/>
                <w:szCs w:val="17"/>
                <w:color w:val="auto"/>
              </w:rPr>
            </w:pPr>
          </w:p>
        </w:tc>
        <w:tc>
          <w:tcPr>
            <w:tcW w:w="320" w:type="dxa"/>
            <w:vAlign w:val="bottom"/>
            <w:tcBorders>
              <w:top w:val="single" w:sz="8" w:color="auto"/>
            </w:tcBorders>
            <w:shd w:val="clear" w:color="auto" w:fill="D9D9D6"/>
          </w:tcPr>
          <w:p>
            <w:pPr>
              <w:spacing w:after="0"/>
              <w:rPr>
                <w:sz w:val="17"/>
                <w:szCs w:val="17"/>
                <w:color w:val="auto"/>
              </w:rPr>
            </w:pPr>
          </w:p>
        </w:tc>
        <w:tc>
          <w:tcPr>
            <w:tcW w:w="200" w:type="dxa"/>
            <w:vAlign w:val="bottom"/>
            <w:tcBorders>
              <w:top w:val="single" w:sz="8" w:color="auto"/>
            </w:tcBorders>
            <w:shd w:val="clear" w:color="auto" w:fill="D9D9D6"/>
          </w:tcPr>
          <w:p>
            <w:pPr>
              <w:spacing w:after="0"/>
              <w:rPr>
                <w:sz w:val="17"/>
                <w:szCs w:val="17"/>
                <w:color w:val="auto"/>
              </w:rPr>
            </w:pPr>
          </w:p>
        </w:tc>
        <w:tc>
          <w:tcPr>
            <w:tcW w:w="20" w:type="dxa"/>
            <w:vAlign w:val="bottom"/>
            <w:tcBorders>
              <w:top w:val="single" w:sz="8" w:color="D9D9D6"/>
            </w:tcBorders>
            <w:shd w:val="clear" w:color="auto" w:fill="D9D9D6"/>
          </w:tcPr>
          <w:p>
            <w:pPr>
              <w:spacing w:after="0"/>
              <w:rPr>
                <w:sz w:val="17"/>
                <w:szCs w:val="17"/>
                <w:color w:val="auto"/>
              </w:rPr>
            </w:pPr>
          </w:p>
        </w:tc>
        <w:tc>
          <w:tcPr>
            <w:tcW w:w="520" w:type="dxa"/>
            <w:vAlign w:val="bottom"/>
            <w:tcBorders>
              <w:top w:val="single" w:sz="8" w:color="D9D9D6"/>
            </w:tcBorders>
            <w:shd w:val="clear" w:color="auto" w:fill="D9D9D6"/>
          </w:tcPr>
          <w:p>
            <w:pPr>
              <w:spacing w:after="0"/>
              <w:rPr>
                <w:sz w:val="17"/>
                <w:szCs w:val="17"/>
                <w:color w:val="auto"/>
              </w:rPr>
            </w:pPr>
          </w:p>
        </w:tc>
        <w:tc>
          <w:tcPr>
            <w:tcW w:w="380" w:type="dxa"/>
            <w:vAlign w:val="bottom"/>
            <w:tcBorders>
              <w:top w:val="single" w:sz="8" w:color="auto"/>
            </w:tcBorders>
            <w:shd w:val="clear" w:color="auto" w:fill="D9D9D6"/>
          </w:tcPr>
          <w:p>
            <w:pPr>
              <w:spacing w:after="0"/>
              <w:rPr>
                <w:sz w:val="17"/>
                <w:szCs w:val="17"/>
                <w:color w:val="auto"/>
              </w:rPr>
            </w:pPr>
          </w:p>
        </w:tc>
        <w:tc>
          <w:tcPr>
            <w:tcW w:w="120" w:type="dxa"/>
            <w:vAlign w:val="bottom"/>
            <w:tcBorders>
              <w:top w:val="single" w:sz="8" w:color="auto"/>
            </w:tcBorders>
            <w:shd w:val="clear" w:color="auto" w:fill="D9D9D6"/>
          </w:tcPr>
          <w:p>
            <w:pPr>
              <w:spacing w:after="0"/>
              <w:rPr>
                <w:sz w:val="17"/>
                <w:szCs w:val="17"/>
                <w:color w:val="auto"/>
              </w:rPr>
            </w:pPr>
          </w:p>
        </w:tc>
        <w:tc>
          <w:tcPr>
            <w:tcW w:w="80" w:type="dxa"/>
            <w:vAlign w:val="bottom"/>
            <w:tcBorders>
              <w:top w:val="single" w:sz="8" w:color="D9D9D6"/>
            </w:tcBorders>
            <w:shd w:val="clear" w:color="auto" w:fill="D9D9D6"/>
          </w:tcPr>
          <w:p>
            <w:pPr>
              <w:spacing w:after="0"/>
              <w:rPr>
                <w:sz w:val="17"/>
                <w:szCs w:val="17"/>
                <w:color w:val="auto"/>
              </w:rPr>
            </w:pPr>
          </w:p>
        </w:tc>
        <w:tc>
          <w:tcPr>
            <w:tcW w:w="120" w:type="dxa"/>
            <w:vAlign w:val="bottom"/>
            <w:tcBorders>
              <w:top w:val="single" w:sz="8" w:color="D9D9D6"/>
            </w:tcBorders>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6820" w:type="dxa"/>
            <w:vAlign w:val="bottom"/>
            <w:shd w:val="clear" w:color="auto" w:fill="D9D9D6"/>
          </w:tcPr>
          <w:p>
            <w:pPr>
              <w:ind w:left="140"/>
              <w:spacing w:after="0"/>
              <w:rPr>
                <w:sz w:val="20"/>
                <w:szCs w:val="20"/>
                <w:color w:val="auto"/>
              </w:rPr>
            </w:pPr>
            <w:r>
              <w:rPr>
                <w:rFonts w:ascii="Arial" w:cs="Arial" w:eastAsia="Arial" w:hAnsi="Arial"/>
                <w:sz w:val="14"/>
                <w:szCs w:val="14"/>
                <w:color w:val="auto"/>
              </w:rPr>
              <w:t>Direct-to-Consumer</w:t>
            </w:r>
          </w:p>
        </w:tc>
        <w:tc>
          <w:tcPr>
            <w:tcW w:w="10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$4,065</w:t>
            </w:r>
          </w:p>
        </w:tc>
        <w:tc>
          <w:tcPr>
            <w:tcW w:w="10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$3,679</w:t>
            </w:r>
          </w:p>
        </w:tc>
        <w:tc>
          <w:tcPr>
            <w:tcW w:w="440" w:type="dxa"/>
            <w:vAlign w:val="bottom"/>
            <w:shd w:val="clear" w:color="auto" w:fill="D9D9D6"/>
          </w:tcPr>
          <w:p>
            <w:pPr>
              <w:spacing w:after="0"/>
              <w:rPr>
                <w:sz w:val="16"/>
                <w:szCs w:val="16"/>
                <w:color w:val="auto"/>
              </w:rPr>
            </w:pPr>
          </w:p>
        </w:tc>
        <w:tc>
          <w:tcPr>
            <w:tcW w:w="40" w:type="dxa"/>
            <w:vAlign w:val="bottom"/>
            <w:shd w:val="clear" w:color="auto" w:fill="D9D9D6"/>
          </w:tcPr>
          <w:p>
            <w:pPr>
              <w:spacing w:after="0"/>
              <w:rPr>
                <w:sz w:val="16"/>
                <w:szCs w:val="16"/>
                <w:color w:val="auto"/>
              </w:rPr>
            </w:pPr>
          </w:p>
        </w:tc>
        <w:tc>
          <w:tcPr>
            <w:tcW w:w="3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10.5</w:t>
            </w:r>
          </w:p>
        </w:tc>
        <w:tc>
          <w:tcPr>
            <w:tcW w:w="200" w:type="dxa"/>
            <w:vAlign w:val="bottom"/>
            <w:shd w:val="clear" w:color="auto" w:fill="D9D9D6"/>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shd w:val="clear" w:color="auto" w:fill="D9D9D6"/>
          </w:tcPr>
          <w:p>
            <w:pPr>
              <w:spacing w:after="0"/>
              <w:rPr>
                <w:sz w:val="16"/>
                <w:szCs w:val="16"/>
                <w:color w:val="auto"/>
              </w:rPr>
            </w:pPr>
          </w:p>
        </w:tc>
        <w:tc>
          <w:tcPr>
            <w:tcW w:w="102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1.8 %</w:t>
            </w:r>
          </w:p>
        </w:tc>
        <w:tc>
          <w:tcPr>
            <w:tcW w:w="8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6820" w:type="dxa"/>
            <w:vAlign w:val="bottom"/>
            <w:shd w:val="clear" w:color="auto" w:fill="D9D9D6"/>
          </w:tcPr>
          <w:p>
            <w:pPr>
              <w:ind w:left="140"/>
              <w:spacing w:after="0"/>
              <w:rPr>
                <w:sz w:val="20"/>
                <w:szCs w:val="20"/>
                <w:color w:val="auto"/>
              </w:rPr>
            </w:pPr>
            <w:r>
              <w:rPr>
                <w:rFonts w:ascii="Arial" w:cs="Arial" w:eastAsia="Arial" w:hAnsi="Arial"/>
                <w:sz w:val="14"/>
                <w:szCs w:val="14"/>
                <w:color w:val="auto"/>
              </w:rPr>
              <w:t>Content</w:t>
            </w:r>
          </w:p>
        </w:tc>
        <w:tc>
          <w:tcPr>
            <w:tcW w:w="10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358</w:t>
            </w:r>
          </w:p>
        </w:tc>
        <w:tc>
          <w:tcPr>
            <w:tcW w:w="10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325</w:t>
            </w:r>
          </w:p>
        </w:tc>
        <w:tc>
          <w:tcPr>
            <w:tcW w:w="440" w:type="dxa"/>
            <w:vAlign w:val="bottom"/>
            <w:shd w:val="clear" w:color="auto" w:fill="D9D9D6"/>
          </w:tcPr>
          <w:p>
            <w:pPr>
              <w:spacing w:after="0"/>
              <w:rPr>
                <w:sz w:val="16"/>
                <w:szCs w:val="16"/>
                <w:color w:val="auto"/>
              </w:rPr>
            </w:pPr>
          </w:p>
        </w:tc>
        <w:tc>
          <w:tcPr>
            <w:tcW w:w="40" w:type="dxa"/>
            <w:vAlign w:val="bottom"/>
            <w:shd w:val="clear" w:color="auto" w:fill="D9D9D6"/>
          </w:tcPr>
          <w:p>
            <w:pPr>
              <w:spacing w:after="0"/>
              <w:rPr>
                <w:sz w:val="16"/>
                <w:szCs w:val="16"/>
                <w:color w:val="auto"/>
              </w:rPr>
            </w:pPr>
          </w:p>
        </w:tc>
        <w:tc>
          <w:tcPr>
            <w:tcW w:w="3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10.3</w:t>
            </w:r>
          </w:p>
        </w:tc>
        <w:tc>
          <w:tcPr>
            <w:tcW w:w="200" w:type="dxa"/>
            <w:vAlign w:val="bottom"/>
            <w:shd w:val="clear" w:color="auto" w:fill="D9D9D6"/>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shd w:val="clear" w:color="auto" w:fill="D9D9D6"/>
          </w:tcPr>
          <w:p>
            <w:pPr>
              <w:spacing w:after="0"/>
              <w:rPr>
                <w:sz w:val="16"/>
                <w:szCs w:val="16"/>
                <w:color w:val="auto"/>
              </w:rPr>
            </w:pPr>
          </w:p>
        </w:tc>
        <w:tc>
          <w:tcPr>
            <w:tcW w:w="1020" w:type="dxa"/>
            <w:vAlign w:val="bottom"/>
            <w:gridSpan w:val="3"/>
            <w:shd w:val="clear" w:color="auto" w:fill="D9D9D6"/>
          </w:tcPr>
          <w:p>
            <w:pPr>
              <w:jc w:val="right"/>
              <w:spacing w:after="0"/>
              <w:rPr>
                <w:sz w:val="20"/>
                <w:szCs w:val="20"/>
                <w:color w:val="auto"/>
              </w:rPr>
            </w:pPr>
            <w:r>
              <w:rPr>
                <w:rFonts w:ascii="Arial" w:cs="Arial" w:eastAsia="Arial" w:hAnsi="Arial"/>
                <w:sz w:val="14"/>
                <w:szCs w:val="14"/>
                <w:color w:val="auto"/>
              </w:rPr>
              <w:t>1.7 %</w:t>
            </w:r>
          </w:p>
        </w:tc>
        <w:tc>
          <w:tcPr>
            <w:tcW w:w="8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 w:type="dxa"/>
            <w:vAlign w:val="bottom"/>
            <w:tcBorders>
              <w:bottom w:val="single" w:sz="8" w:color="D9D9D6"/>
            </w:tcBorders>
            <w:shd w:val="clear" w:color="auto" w:fill="D9D9D6"/>
          </w:tcPr>
          <w:p>
            <w:pPr>
              <w:spacing w:after="0"/>
              <w:rPr>
                <w:sz w:val="16"/>
                <w:szCs w:val="16"/>
                <w:color w:val="auto"/>
              </w:rPr>
            </w:pPr>
          </w:p>
        </w:tc>
        <w:tc>
          <w:tcPr>
            <w:tcW w:w="6820" w:type="dxa"/>
            <w:vAlign w:val="bottom"/>
            <w:tcBorders>
              <w:bottom w:val="single" w:sz="8" w:color="D9D9D6"/>
            </w:tcBorders>
            <w:shd w:val="clear" w:color="auto" w:fill="D9D9D6"/>
          </w:tcPr>
          <w:p>
            <w:pPr>
              <w:ind w:left="140"/>
              <w:spacing w:after="0"/>
              <w:rPr>
                <w:sz w:val="20"/>
                <w:szCs w:val="20"/>
                <w:color w:val="auto"/>
              </w:rPr>
            </w:pPr>
            <w:r>
              <w:rPr>
                <w:rFonts w:ascii="Arial" w:cs="Arial" w:eastAsia="Arial" w:hAnsi="Arial"/>
                <w:sz w:val="14"/>
                <w:szCs w:val="14"/>
                <w:color w:val="auto"/>
              </w:rPr>
              <w:t>Advertising</w:t>
            </w:r>
          </w:p>
        </w:tc>
        <w:tc>
          <w:tcPr>
            <w:tcW w:w="1000" w:type="dxa"/>
            <w:vAlign w:val="bottom"/>
            <w:tcBorders>
              <w:bottom w:val="single" w:sz="8" w:color="auto"/>
            </w:tcBorders>
            <w:gridSpan w:val="3"/>
            <w:shd w:val="clear" w:color="auto" w:fill="D9D9D6"/>
          </w:tcPr>
          <w:p>
            <w:pPr>
              <w:jc w:val="right"/>
              <w:ind w:right="20"/>
              <w:spacing w:after="0"/>
              <w:rPr>
                <w:sz w:val="20"/>
                <w:szCs w:val="20"/>
                <w:color w:val="auto"/>
              </w:rPr>
            </w:pPr>
            <w:r>
              <w:rPr>
                <w:rFonts w:ascii="Arial" w:cs="Arial" w:eastAsia="Arial" w:hAnsi="Arial"/>
                <w:sz w:val="14"/>
                <w:szCs w:val="14"/>
                <w:color w:val="auto"/>
              </w:rPr>
              <w:t>574</w:t>
            </w:r>
          </w:p>
        </w:tc>
        <w:tc>
          <w:tcPr>
            <w:tcW w:w="1000" w:type="dxa"/>
            <w:vAlign w:val="bottom"/>
            <w:tcBorders>
              <w:bottom w:val="single" w:sz="8" w:color="auto"/>
            </w:tcBorders>
            <w:gridSpan w:val="4"/>
            <w:shd w:val="clear" w:color="auto" w:fill="D9D9D6"/>
          </w:tcPr>
          <w:p>
            <w:pPr>
              <w:jc w:val="right"/>
              <w:ind w:right="20"/>
              <w:spacing w:after="0"/>
              <w:rPr>
                <w:sz w:val="20"/>
                <w:szCs w:val="20"/>
                <w:color w:val="auto"/>
              </w:rPr>
            </w:pPr>
            <w:r>
              <w:rPr>
                <w:rFonts w:ascii="Arial" w:cs="Arial" w:eastAsia="Arial" w:hAnsi="Arial"/>
                <w:sz w:val="14"/>
                <w:szCs w:val="14"/>
                <w:color w:val="auto"/>
              </w:rPr>
              <w:t>513</w:t>
            </w:r>
          </w:p>
        </w:tc>
        <w:tc>
          <w:tcPr>
            <w:tcW w:w="440" w:type="dxa"/>
            <w:vAlign w:val="bottom"/>
            <w:tcBorders>
              <w:bottom w:val="single" w:sz="8" w:color="auto"/>
            </w:tcBorders>
            <w:shd w:val="clear" w:color="auto" w:fill="D9D9D6"/>
          </w:tcPr>
          <w:p>
            <w:pPr>
              <w:spacing w:after="0"/>
              <w:rPr>
                <w:sz w:val="16"/>
                <w:szCs w:val="16"/>
                <w:color w:val="auto"/>
              </w:rPr>
            </w:pPr>
          </w:p>
        </w:tc>
        <w:tc>
          <w:tcPr>
            <w:tcW w:w="40" w:type="dxa"/>
            <w:vAlign w:val="bottom"/>
            <w:tcBorders>
              <w:bottom w:val="single" w:sz="8" w:color="auto"/>
            </w:tcBorders>
            <w:shd w:val="clear" w:color="auto" w:fill="D9D9D6"/>
          </w:tcPr>
          <w:p>
            <w:pPr>
              <w:spacing w:after="0"/>
              <w:rPr>
                <w:sz w:val="16"/>
                <w:szCs w:val="16"/>
                <w:color w:val="auto"/>
              </w:rPr>
            </w:pPr>
          </w:p>
        </w:tc>
        <w:tc>
          <w:tcPr>
            <w:tcW w:w="380" w:type="dxa"/>
            <w:vAlign w:val="bottom"/>
            <w:tcBorders>
              <w:bottom w:val="single" w:sz="8" w:color="auto"/>
            </w:tcBorders>
            <w:gridSpan w:val="2"/>
            <w:shd w:val="clear" w:color="auto" w:fill="D9D9D6"/>
          </w:tcPr>
          <w:p>
            <w:pPr>
              <w:jc w:val="right"/>
              <w:ind w:right="40"/>
              <w:spacing w:after="0"/>
              <w:rPr>
                <w:sz w:val="20"/>
                <w:szCs w:val="20"/>
                <w:color w:val="auto"/>
              </w:rPr>
            </w:pPr>
            <w:r>
              <w:rPr>
                <w:rFonts w:ascii="Arial" w:cs="Arial" w:eastAsia="Arial" w:hAnsi="Arial"/>
                <w:sz w:val="14"/>
                <w:szCs w:val="14"/>
                <w:color w:val="auto"/>
              </w:rPr>
              <w:t>11.9</w:t>
            </w:r>
          </w:p>
        </w:tc>
        <w:tc>
          <w:tcPr>
            <w:tcW w:w="20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tcBorders>
              <w:bottom w:val="single" w:sz="8" w:color="auto"/>
            </w:tcBorders>
            <w:shd w:val="clear" w:color="auto" w:fill="D9D9D6"/>
          </w:tcPr>
          <w:p>
            <w:pPr>
              <w:spacing w:after="0"/>
              <w:rPr>
                <w:sz w:val="16"/>
                <w:szCs w:val="16"/>
                <w:color w:val="auto"/>
              </w:rPr>
            </w:pPr>
          </w:p>
        </w:tc>
        <w:tc>
          <w:tcPr>
            <w:tcW w:w="900" w:type="dxa"/>
            <w:vAlign w:val="bottom"/>
            <w:tcBorders>
              <w:bottom w:val="single" w:sz="8" w:color="auto"/>
            </w:tcBorders>
            <w:gridSpan w:val="2"/>
            <w:shd w:val="clear" w:color="auto" w:fill="D9D9D6"/>
          </w:tcPr>
          <w:p>
            <w:pPr>
              <w:jc w:val="right"/>
              <w:spacing w:after="0"/>
              <w:rPr>
                <w:sz w:val="20"/>
                <w:szCs w:val="20"/>
                <w:color w:val="auto"/>
              </w:rPr>
            </w:pPr>
            <w:r>
              <w:rPr>
                <w:rFonts w:ascii="Arial" w:cs="Arial" w:eastAsia="Arial" w:hAnsi="Arial"/>
                <w:sz w:val="14"/>
                <w:szCs w:val="14"/>
                <w:color w:val="auto"/>
              </w:rPr>
              <w:t>3.4</w:t>
            </w:r>
          </w:p>
        </w:tc>
        <w:tc>
          <w:tcPr>
            <w:tcW w:w="120" w:type="dxa"/>
            <w:vAlign w:val="bottom"/>
            <w:tcBorders>
              <w:bottom w:val="single" w:sz="8" w:color="auto"/>
            </w:tcBorders>
            <w:shd w:val="clear" w:color="auto" w:fill="D9D9D6"/>
          </w:tcPr>
          <w:p>
            <w:pPr>
              <w:jc w:val="right"/>
              <w:spacing w:after="0"/>
              <w:rPr>
                <w:sz w:val="20"/>
                <w:szCs w:val="20"/>
                <w:color w:val="auto"/>
              </w:rPr>
            </w:pPr>
            <w:r>
              <w:rPr>
                <w:rFonts w:ascii="Arial" w:cs="Arial" w:eastAsia="Arial" w:hAnsi="Arial"/>
                <w:sz w:val="14"/>
                <w:szCs w:val="14"/>
                <w:color w:val="auto"/>
                <w:w w:val="79"/>
              </w:rPr>
              <w:t>%</w:t>
            </w:r>
          </w:p>
        </w:tc>
        <w:tc>
          <w:tcPr>
            <w:tcW w:w="80" w:type="dxa"/>
            <w:vAlign w:val="bottom"/>
            <w:tcBorders>
              <w:bottom w:val="single" w:sz="8" w:color="auto"/>
            </w:tcBorders>
            <w:shd w:val="clear" w:color="auto" w:fill="D9D9D6"/>
          </w:tcPr>
          <w:p>
            <w:pPr>
              <w:spacing w:after="0"/>
              <w:rPr>
                <w:sz w:val="16"/>
                <w:szCs w:val="16"/>
                <w:color w:val="auto"/>
              </w:rPr>
            </w:pPr>
          </w:p>
        </w:tc>
        <w:tc>
          <w:tcPr>
            <w:tcW w:w="120" w:type="dxa"/>
            <w:vAlign w:val="bottom"/>
            <w:tcBorders>
              <w:bottom w:val="single" w:sz="8" w:color="D9D9D6"/>
            </w:tcBorders>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20" w:type="dxa"/>
            <w:vAlign w:val="bottom"/>
            <w:shd w:val="clear" w:color="auto" w:fill="D9D9D6"/>
          </w:tcPr>
          <w:p>
            <w:pPr>
              <w:spacing w:after="0"/>
              <w:rPr>
                <w:sz w:val="15"/>
                <w:szCs w:val="15"/>
                <w:color w:val="auto"/>
              </w:rPr>
            </w:pPr>
          </w:p>
        </w:tc>
        <w:tc>
          <w:tcPr>
            <w:tcW w:w="682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Sky Revenue</w:t>
            </w:r>
          </w:p>
        </w:tc>
        <w:tc>
          <w:tcPr>
            <w:tcW w:w="10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$4,997</w:t>
            </w:r>
          </w:p>
        </w:tc>
        <w:tc>
          <w:tcPr>
            <w:tcW w:w="10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$4,517</w:t>
            </w:r>
          </w:p>
        </w:tc>
        <w:tc>
          <w:tcPr>
            <w:tcW w:w="440" w:type="dxa"/>
            <w:vAlign w:val="bottom"/>
            <w:shd w:val="clear" w:color="auto" w:fill="D9D9D6"/>
          </w:tcPr>
          <w:p>
            <w:pPr>
              <w:spacing w:after="0"/>
              <w:rPr>
                <w:sz w:val="15"/>
                <w:szCs w:val="15"/>
                <w:color w:val="auto"/>
              </w:rPr>
            </w:pPr>
          </w:p>
        </w:tc>
        <w:tc>
          <w:tcPr>
            <w:tcW w:w="40" w:type="dxa"/>
            <w:vAlign w:val="bottom"/>
            <w:shd w:val="clear" w:color="auto" w:fill="D9D9D6"/>
          </w:tcPr>
          <w:p>
            <w:pPr>
              <w:spacing w:after="0"/>
              <w:rPr>
                <w:sz w:val="15"/>
                <w:szCs w:val="15"/>
                <w:color w:val="auto"/>
              </w:rPr>
            </w:pPr>
          </w:p>
        </w:tc>
        <w:tc>
          <w:tcPr>
            <w:tcW w:w="380" w:type="dxa"/>
            <w:vAlign w:val="bottom"/>
            <w:gridSpan w:val="2"/>
            <w:shd w:val="clear" w:color="auto" w:fill="D9D9D6"/>
          </w:tcPr>
          <w:p>
            <w:pPr>
              <w:jc w:val="right"/>
              <w:ind w:right="40"/>
              <w:spacing w:after="0"/>
              <w:rPr>
                <w:sz w:val="20"/>
                <w:szCs w:val="20"/>
                <w:color w:val="auto"/>
              </w:rPr>
            </w:pPr>
            <w:r>
              <w:rPr>
                <w:rFonts w:ascii="Arial" w:cs="Arial" w:eastAsia="Arial" w:hAnsi="Arial"/>
                <w:sz w:val="14"/>
                <w:szCs w:val="14"/>
                <w:b w:val="1"/>
                <w:bCs w:val="1"/>
                <w:color w:val="auto"/>
              </w:rPr>
              <w:t>10.6</w:t>
            </w:r>
          </w:p>
        </w:tc>
        <w:tc>
          <w:tcPr>
            <w:tcW w:w="20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w w:val="96"/>
              </w:rPr>
              <w:t>%</w:t>
            </w:r>
          </w:p>
        </w:tc>
        <w:tc>
          <w:tcPr>
            <w:tcW w:w="20" w:type="dxa"/>
            <w:vAlign w:val="bottom"/>
            <w:shd w:val="clear" w:color="auto" w:fill="D9D9D6"/>
          </w:tcPr>
          <w:p>
            <w:pPr>
              <w:spacing w:after="0"/>
              <w:rPr>
                <w:sz w:val="15"/>
                <w:szCs w:val="15"/>
                <w:color w:val="auto"/>
              </w:rPr>
            </w:pPr>
          </w:p>
        </w:tc>
        <w:tc>
          <w:tcPr>
            <w:tcW w:w="90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2.0</w:t>
            </w:r>
          </w:p>
        </w:tc>
        <w:tc>
          <w:tcPr>
            <w:tcW w:w="12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w w:val="79"/>
              </w:rPr>
              <w:t>%</w:t>
            </w:r>
          </w:p>
        </w:tc>
        <w:tc>
          <w:tcPr>
            <w:tcW w:w="80" w:type="dxa"/>
            <w:vAlign w:val="bottom"/>
            <w:shd w:val="clear" w:color="auto" w:fill="D9D9D6"/>
          </w:tcPr>
          <w:p>
            <w:pPr>
              <w:spacing w:after="0"/>
              <w:rPr>
                <w:sz w:val="15"/>
                <w:szCs w:val="15"/>
                <w:color w:val="auto"/>
              </w:rPr>
            </w:pPr>
          </w:p>
        </w:tc>
        <w:tc>
          <w:tcPr>
            <w:tcW w:w="120" w:type="dxa"/>
            <w:vAlign w:val="bottom"/>
            <w:shd w:val="clear" w:color="auto" w:fill="D9D9D6"/>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120" w:type="dxa"/>
            <w:vAlign w:val="bottom"/>
            <w:shd w:val="clear" w:color="auto" w:fill="D9D9D6"/>
          </w:tcPr>
          <w:p>
            <w:pPr>
              <w:spacing w:after="0"/>
              <w:rPr>
                <w:sz w:val="24"/>
                <w:szCs w:val="24"/>
                <w:color w:val="auto"/>
              </w:rPr>
            </w:pPr>
          </w:p>
        </w:tc>
        <w:tc>
          <w:tcPr>
            <w:tcW w:w="682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Sky Operating Costs and Expenses</w:t>
            </w:r>
          </w:p>
        </w:tc>
        <w:tc>
          <w:tcPr>
            <w:tcW w:w="10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$4,633</w:t>
            </w:r>
          </w:p>
        </w:tc>
        <w:tc>
          <w:tcPr>
            <w:tcW w:w="10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$3,966</w:t>
            </w:r>
          </w:p>
        </w:tc>
        <w:tc>
          <w:tcPr>
            <w:tcW w:w="440" w:type="dxa"/>
            <w:vAlign w:val="bottom"/>
            <w:shd w:val="clear" w:color="auto" w:fill="D9D9D6"/>
          </w:tcPr>
          <w:p>
            <w:pPr>
              <w:spacing w:after="0"/>
              <w:rPr>
                <w:sz w:val="24"/>
                <w:szCs w:val="24"/>
                <w:color w:val="auto"/>
              </w:rPr>
            </w:pPr>
          </w:p>
        </w:tc>
        <w:tc>
          <w:tcPr>
            <w:tcW w:w="40" w:type="dxa"/>
            <w:vAlign w:val="bottom"/>
            <w:shd w:val="clear" w:color="auto" w:fill="D9D9D6"/>
          </w:tcPr>
          <w:p>
            <w:pPr>
              <w:spacing w:after="0"/>
              <w:rPr>
                <w:sz w:val="24"/>
                <w:szCs w:val="24"/>
                <w:color w:val="auto"/>
              </w:rPr>
            </w:pPr>
          </w:p>
        </w:tc>
        <w:tc>
          <w:tcPr>
            <w:tcW w:w="58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16.8 %</w:t>
            </w:r>
          </w:p>
        </w:tc>
        <w:tc>
          <w:tcPr>
            <w:tcW w:w="20" w:type="dxa"/>
            <w:vAlign w:val="bottom"/>
            <w:shd w:val="clear" w:color="auto" w:fill="D9D9D6"/>
          </w:tcPr>
          <w:p>
            <w:pPr>
              <w:spacing w:after="0"/>
              <w:rPr>
                <w:sz w:val="24"/>
                <w:szCs w:val="24"/>
                <w:color w:val="auto"/>
              </w:rPr>
            </w:pPr>
          </w:p>
        </w:tc>
        <w:tc>
          <w:tcPr>
            <w:tcW w:w="102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7.8 %</w:t>
            </w:r>
          </w:p>
        </w:tc>
        <w:tc>
          <w:tcPr>
            <w:tcW w:w="80" w:type="dxa"/>
            <w:vAlign w:val="bottom"/>
            <w:shd w:val="clear" w:color="auto" w:fill="D9D9D6"/>
          </w:tcPr>
          <w:p>
            <w:pPr>
              <w:spacing w:after="0"/>
              <w:rPr>
                <w:sz w:val="24"/>
                <w:szCs w:val="24"/>
                <w:color w:val="auto"/>
              </w:rPr>
            </w:pP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0" w:type="dxa"/>
            <w:vAlign w:val="bottom"/>
            <w:shd w:val="clear" w:color="auto" w:fill="D9D9D6"/>
          </w:tcPr>
          <w:p>
            <w:pPr>
              <w:spacing w:after="0"/>
              <w:rPr>
                <w:sz w:val="24"/>
                <w:szCs w:val="24"/>
                <w:color w:val="auto"/>
              </w:rPr>
            </w:pPr>
          </w:p>
        </w:tc>
        <w:tc>
          <w:tcPr>
            <w:tcW w:w="6820" w:type="dxa"/>
            <w:vAlign w:val="bottom"/>
            <w:shd w:val="clear" w:color="auto" w:fill="D9D9D6"/>
          </w:tcPr>
          <w:p>
            <w:pPr>
              <w:ind w:left="20"/>
              <w:spacing w:after="0"/>
              <w:rPr>
                <w:sz w:val="20"/>
                <w:szCs w:val="20"/>
                <w:color w:val="auto"/>
              </w:rPr>
            </w:pPr>
            <w:r>
              <w:rPr>
                <w:rFonts w:ascii="Arial" w:cs="Arial" w:eastAsia="Arial" w:hAnsi="Arial"/>
                <w:sz w:val="14"/>
                <w:szCs w:val="14"/>
                <w:b w:val="1"/>
                <w:bCs w:val="1"/>
                <w:color w:val="auto"/>
              </w:rPr>
              <w:t>Sky Adjusted EBITDA</w:t>
            </w:r>
          </w:p>
        </w:tc>
        <w:tc>
          <w:tcPr>
            <w:tcW w:w="1000" w:type="dxa"/>
            <w:vAlign w:val="bottom"/>
            <w:gridSpan w:val="3"/>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$364</w:t>
            </w:r>
          </w:p>
        </w:tc>
        <w:tc>
          <w:tcPr>
            <w:tcW w:w="10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$551</w:t>
            </w:r>
          </w:p>
        </w:tc>
        <w:tc>
          <w:tcPr>
            <w:tcW w:w="440" w:type="dxa"/>
            <w:vAlign w:val="bottom"/>
            <w:shd w:val="clear" w:color="auto" w:fill="D9D9D6"/>
          </w:tcPr>
          <w:p>
            <w:pPr>
              <w:spacing w:after="0"/>
              <w:rPr>
                <w:sz w:val="24"/>
                <w:szCs w:val="24"/>
                <w:color w:val="auto"/>
              </w:rPr>
            </w:pPr>
          </w:p>
        </w:tc>
        <w:tc>
          <w:tcPr>
            <w:tcW w:w="40" w:type="dxa"/>
            <w:vAlign w:val="bottom"/>
            <w:shd w:val="clear" w:color="auto" w:fill="D9D9D6"/>
          </w:tcPr>
          <w:p>
            <w:pPr>
              <w:spacing w:after="0"/>
              <w:rPr>
                <w:sz w:val="24"/>
                <w:szCs w:val="24"/>
                <w:color w:val="auto"/>
              </w:rPr>
            </w:pPr>
          </w:p>
        </w:tc>
        <w:tc>
          <w:tcPr>
            <w:tcW w:w="580" w:type="dxa"/>
            <w:vAlign w:val="bottom"/>
            <w:gridSpan w:val="3"/>
            <w:shd w:val="clear" w:color="auto" w:fill="D9D9D6"/>
          </w:tcPr>
          <w:p>
            <w:pPr>
              <w:jc w:val="right"/>
              <w:spacing w:after="0"/>
              <w:rPr>
                <w:sz w:val="20"/>
                <w:szCs w:val="20"/>
                <w:color w:val="auto"/>
              </w:rPr>
            </w:pPr>
            <w:r>
              <w:rPr>
                <w:rFonts w:ascii="Arial" w:cs="Arial" w:eastAsia="Arial" w:hAnsi="Arial"/>
                <w:sz w:val="14"/>
                <w:szCs w:val="14"/>
                <w:b w:val="1"/>
                <w:bCs w:val="1"/>
                <w:color w:val="auto"/>
              </w:rPr>
              <w:t>(33.9 %)</w:t>
            </w:r>
          </w:p>
        </w:tc>
        <w:tc>
          <w:tcPr>
            <w:tcW w:w="20" w:type="dxa"/>
            <w:vAlign w:val="bottom"/>
            <w:shd w:val="clear" w:color="auto" w:fill="D9D9D6"/>
          </w:tcPr>
          <w:p>
            <w:pPr>
              <w:spacing w:after="0"/>
              <w:rPr>
                <w:sz w:val="24"/>
                <w:szCs w:val="24"/>
                <w:color w:val="auto"/>
              </w:rPr>
            </w:pPr>
          </w:p>
        </w:tc>
        <w:tc>
          <w:tcPr>
            <w:tcW w:w="1100" w:type="dxa"/>
            <w:vAlign w:val="bottom"/>
            <w:gridSpan w:val="4"/>
            <w:shd w:val="clear" w:color="auto" w:fill="D9D9D6"/>
          </w:tcPr>
          <w:p>
            <w:pPr>
              <w:jc w:val="right"/>
              <w:ind w:right="20"/>
              <w:spacing w:after="0"/>
              <w:rPr>
                <w:sz w:val="20"/>
                <w:szCs w:val="20"/>
                <w:color w:val="auto"/>
              </w:rPr>
            </w:pPr>
            <w:r>
              <w:rPr>
                <w:rFonts w:ascii="Arial" w:cs="Arial" w:eastAsia="Arial" w:hAnsi="Arial"/>
                <w:sz w:val="14"/>
                <w:szCs w:val="14"/>
                <w:b w:val="1"/>
                <w:bCs w:val="1"/>
                <w:color w:val="auto"/>
              </w:rPr>
              <w:t>(39.6 %)</w:t>
            </w:r>
          </w:p>
        </w:tc>
        <w:tc>
          <w:tcPr>
            <w:tcW w:w="120" w:type="dxa"/>
            <w:vAlign w:val="bottom"/>
            <w:shd w:val="clear" w:color="auto" w:fill="D9D9D6"/>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0" w:type="dxa"/>
            <w:vAlign w:val="bottom"/>
            <w:shd w:val="clear" w:color="auto" w:fill="D9D9D6"/>
          </w:tcPr>
          <w:p>
            <w:pPr>
              <w:spacing w:after="0"/>
              <w:rPr>
                <w:sz w:val="16"/>
                <w:szCs w:val="16"/>
                <w:color w:val="auto"/>
              </w:rPr>
            </w:pPr>
          </w:p>
        </w:tc>
        <w:tc>
          <w:tcPr>
            <w:tcW w:w="6820" w:type="dxa"/>
            <w:vAlign w:val="bottom"/>
            <w:shd w:val="clear" w:color="auto" w:fill="D9D9D6"/>
          </w:tcPr>
          <w:p>
            <w:pPr>
              <w:ind w:left="140"/>
              <w:spacing w:after="0"/>
              <w:rPr>
                <w:sz w:val="20"/>
                <w:szCs w:val="20"/>
                <w:color w:val="auto"/>
              </w:rPr>
            </w:pPr>
            <w:r>
              <w:rPr>
                <w:rFonts w:ascii="Arial" w:cs="Arial" w:eastAsia="Arial" w:hAnsi="Arial"/>
                <w:sz w:val="14"/>
                <w:szCs w:val="14"/>
                <w:i w:val="1"/>
                <w:iCs w:val="1"/>
                <w:color w:val="auto"/>
              </w:rPr>
              <w:t>Adjusted EBITDA Margin</w:t>
            </w:r>
          </w:p>
        </w:tc>
        <w:tc>
          <w:tcPr>
            <w:tcW w:w="980" w:type="dxa"/>
            <w:vAlign w:val="bottom"/>
            <w:gridSpan w:val="2"/>
            <w:shd w:val="clear" w:color="auto" w:fill="D9D9D6"/>
          </w:tcPr>
          <w:p>
            <w:pPr>
              <w:jc w:val="right"/>
              <w:spacing w:after="0"/>
              <w:rPr>
                <w:sz w:val="20"/>
                <w:szCs w:val="20"/>
                <w:color w:val="auto"/>
              </w:rPr>
            </w:pPr>
            <w:r>
              <w:rPr>
                <w:rFonts w:ascii="Arial" w:cs="Arial" w:eastAsia="Arial" w:hAnsi="Arial"/>
                <w:sz w:val="14"/>
                <w:szCs w:val="14"/>
                <w:i w:val="1"/>
                <w:iCs w:val="1"/>
                <w:color w:val="auto"/>
              </w:rPr>
              <w:t>7.3 %</w:t>
            </w:r>
          </w:p>
        </w:tc>
        <w:tc>
          <w:tcPr>
            <w:tcW w:w="20" w:type="dxa"/>
            <w:vAlign w:val="bottom"/>
            <w:shd w:val="clear" w:color="auto" w:fill="D9D9D6"/>
          </w:tcPr>
          <w:p>
            <w:pPr>
              <w:spacing w:after="0"/>
              <w:rPr>
                <w:sz w:val="16"/>
                <w:szCs w:val="16"/>
                <w:color w:val="auto"/>
              </w:rPr>
            </w:pPr>
          </w:p>
        </w:tc>
        <w:tc>
          <w:tcPr>
            <w:tcW w:w="980" w:type="dxa"/>
            <w:vAlign w:val="bottom"/>
            <w:gridSpan w:val="3"/>
            <w:shd w:val="clear" w:color="auto" w:fill="D9D9D6"/>
          </w:tcPr>
          <w:p>
            <w:pPr>
              <w:jc w:val="right"/>
              <w:spacing w:after="0"/>
              <w:rPr>
                <w:sz w:val="20"/>
                <w:szCs w:val="20"/>
                <w:color w:val="auto"/>
              </w:rPr>
            </w:pPr>
            <w:r>
              <w:rPr>
                <w:rFonts w:ascii="Arial" w:cs="Arial" w:eastAsia="Arial" w:hAnsi="Arial"/>
                <w:sz w:val="14"/>
                <w:szCs w:val="14"/>
                <w:i w:val="1"/>
                <w:iCs w:val="1"/>
                <w:color w:val="auto"/>
              </w:rPr>
              <w:t>12.2 %</w:t>
            </w:r>
          </w:p>
        </w:tc>
        <w:tc>
          <w:tcPr>
            <w:tcW w:w="20" w:type="dxa"/>
            <w:vAlign w:val="bottom"/>
            <w:shd w:val="clear" w:color="auto" w:fill="D9D9D6"/>
          </w:tcPr>
          <w:p>
            <w:pPr>
              <w:spacing w:after="0"/>
              <w:rPr>
                <w:sz w:val="16"/>
                <w:szCs w:val="16"/>
                <w:color w:val="auto"/>
              </w:rPr>
            </w:pPr>
          </w:p>
        </w:tc>
        <w:tc>
          <w:tcPr>
            <w:tcW w:w="440" w:type="dxa"/>
            <w:vAlign w:val="bottom"/>
            <w:shd w:val="clear" w:color="auto" w:fill="D9D9D6"/>
          </w:tcPr>
          <w:p>
            <w:pPr>
              <w:spacing w:after="0"/>
              <w:rPr>
                <w:sz w:val="16"/>
                <w:szCs w:val="16"/>
                <w:color w:val="auto"/>
              </w:rPr>
            </w:pPr>
          </w:p>
        </w:tc>
        <w:tc>
          <w:tcPr>
            <w:tcW w:w="40" w:type="dxa"/>
            <w:vAlign w:val="bottom"/>
            <w:shd w:val="clear" w:color="auto" w:fill="D9D9D6"/>
          </w:tcPr>
          <w:p>
            <w:pPr>
              <w:spacing w:after="0"/>
              <w:rPr>
                <w:sz w:val="16"/>
                <w:szCs w:val="16"/>
                <w:color w:val="auto"/>
              </w:rPr>
            </w:pPr>
          </w:p>
        </w:tc>
        <w:tc>
          <w:tcPr>
            <w:tcW w:w="60" w:type="dxa"/>
            <w:vAlign w:val="bottom"/>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200" w:type="dxa"/>
            <w:vAlign w:val="bottom"/>
            <w:shd w:val="clear" w:color="auto" w:fill="D9D9D6"/>
          </w:tcPr>
          <w:p>
            <w:pPr>
              <w:spacing w:after="0"/>
              <w:rPr>
                <w:sz w:val="16"/>
                <w:szCs w:val="16"/>
                <w:color w:val="auto"/>
              </w:rPr>
            </w:pPr>
          </w:p>
        </w:tc>
        <w:tc>
          <w:tcPr>
            <w:tcW w:w="20" w:type="dxa"/>
            <w:vAlign w:val="bottom"/>
            <w:shd w:val="clear" w:color="auto" w:fill="D9D9D6"/>
          </w:tcPr>
          <w:p>
            <w:pPr>
              <w:spacing w:after="0"/>
              <w:rPr>
                <w:sz w:val="16"/>
                <w:szCs w:val="16"/>
                <w:color w:val="auto"/>
              </w:rPr>
            </w:pPr>
          </w:p>
        </w:tc>
        <w:tc>
          <w:tcPr>
            <w:tcW w:w="520" w:type="dxa"/>
            <w:vAlign w:val="bottom"/>
            <w:shd w:val="clear" w:color="auto" w:fill="D9D9D6"/>
          </w:tcPr>
          <w:p>
            <w:pPr>
              <w:spacing w:after="0"/>
              <w:rPr>
                <w:sz w:val="16"/>
                <w:szCs w:val="16"/>
                <w:color w:val="auto"/>
              </w:rPr>
            </w:pPr>
          </w:p>
        </w:tc>
        <w:tc>
          <w:tcPr>
            <w:tcW w:w="38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80" w:type="dxa"/>
            <w:vAlign w:val="bottom"/>
            <w:shd w:val="clear" w:color="auto" w:fill="D9D9D6"/>
          </w:tcPr>
          <w:p>
            <w:pPr>
              <w:spacing w:after="0"/>
              <w:rPr>
                <w:sz w:val="16"/>
                <w:szCs w:val="16"/>
                <w:color w:val="auto"/>
              </w:rPr>
            </w:pPr>
          </w:p>
        </w:tc>
        <w:tc>
          <w:tcPr>
            <w:tcW w:w="12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20" w:type="dxa"/>
            <w:vAlign w:val="bottom"/>
            <w:shd w:val="clear" w:color="auto" w:fill="D9D9D6"/>
          </w:tcPr>
          <w:p>
            <w:pPr>
              <w:spacing w:after="0"/>
              <w:rPr>
                <w:sz w:val="4"/>
                <w:szCs w:val="4"/>
                <w:color w:val="auto"/>
              </w:rPr>
            </w:pPr>
          </w:p>
        </w:tc>
        <w:tc>
          <w:tcPr>
            <w:tcW w:w="6820" w:type="dxa"/>
            <w:vAlign w:val="bottom"/>
            <w:shd w:val="clear" w:color="auto" w:fill="D9D9D6"/>
          </w:tcPr>
          <w:p>
            <w:pPr>
              <w:spacing w:after="0"/>
              <w:rPr>
                <w:sz w:val="4"/>
                <w:szCs w:val="4"/>
                <w:color w:val="auto"/>
              </w:rPr>
            </w:pPr>
          </w:p>
        </w:tc>
        <w:tc>
          <w:tcPr>
            <w:tcW w:w="66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660" w:type="dxa"/>
            <w:vAlign w:val="bottom"/>
            <w:shd w:val="clear" w:color="auto" w:fill="D9D9D6"/>
          </w:tcPr>
          <w:p>
            <w:pPr>
              <w:spacing w:after="0"/>
              <w:rPr>
                <w:sz w:val="4"/>
                <w:szCs w:val="4"/>
                <w:color w:val="auto"/>
              </w:rPr>
            </w:pPr>
          </w:p>
        </w:tc>
        <w:tc>
          <w:tcPr>
            <w:tcW w:w="60" w:type="dxa"/>
            <w:vAlign w:val="bottom"/>
            <w:shd w:val="clear" w:color="auto" w:fill="D9D9D6"/>
          </w:tcPr>
          <w:p>
            <w:pPr>
              <w:spacing w:after="0"/>
              <w:rPr>
                <w:sz w:val="4"/>
                <w:szCs w:val="4"/>
                <w:color w:val="auto"/>
              </w:rPr>
            </w:pPr>
          </w:p>
        </w:tc>
        <w:tc>
          <w:tcPr>
            <w:tcW w:w="26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440" w:type="dxa"/>
            <w:vAlign w:val="bottom"/>
            <w:shd w:val="clear" w:color="auto" w:fill="D9D9D6"/>
          </w:tcPr>
          <w:p>
            <w:pPr>
              <w:spacing w:after="0"/>
              <w:rPr>
                <w:sz w:val="4"/>
                <w:szCs w:val="4"/>
                <w:color w:val="auto"/>
              </w:rPr>
            </w:pPr>
          </w:p>
        </w:tc>
        <w:tc>
          <w:tcPr>
            <w:tcW w:w="40" w:type="dxa"/>
            <w:vAlign w:val="bottom"/>
            <w:shd w:val="clear" w:color="auto" w:fill="D9D9D6"/>
          </w:tcPr>
          <w:p>
            <w:pPr>
              <w:spacing w:after="0"/>
              <w:rPr>
                <w:sz w:val="4"/>
                <w:szCs w:val="4"/>
                <w:color w:val="auto"/>
              </w:rPr>
            </w:pPr>
          </w:p>
        </w:tc>
        <w:tc>
          <w:tcPr>
            <w:tcW w:w="60" w:type="dxa"/>
            <w:vAlign w:val="bottom"/>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200" w:type="dxa"/>
            <w:vAlign w:val="bottom"/>
            <w:shd w:val="clear" w:color="auto" w:fill="D9D9D6"/>
          </w:tcPr>
          <w:p>
            <w:pPr>
              <w:spacing w:after="0"/>
              <w:rPr>
                <w:sz w:val="4"/>
                <w:szCs w:val="4"/>
                <w:color w:val="auto"/>
              </w:rPr>
            </w:pPr>
          </w:p>
        </w:tc>
        <w:tc>
          <w:tcPr>
            <w:tcW w:w="20" w:type="dxa"/>
            <w:vAlign w:val="bottom"/>
            <w:shd w:val="clear" w:color="auto" w:fill="D9D9D6"/>
          </w:tcPr>
          <w:p>
            <w:pPr>
              <w:spacing w:after="0"/>
              <w:rPr>
                <w:sz w:val="4"/>
                <w:szCs w:val="4"/>
                <w:color w:val="auto"/>
              </w:rPr>
            </w:pPr>
          </w:p>
        </w:tc>
        <w:tc>
          <w:tcPr>
            <w:tcW w:w="520" w:type="dxa"/>
            <w:vAlign w:val="bottom"/>
            <w:shd w:val="clear" w:color="auto" w:fill="D9D9D6"/>
          </w:tcPr>
          <w:p>
            <w:pPr>
              <w:spacing w:after="0"/>
              <w:rPr>
                <w:sz w:val="4"/>
                <w:szCs w:val="4"/>
                <w:color w:val="auto"/>
              </w:rPr>
            </w:pPr>
          </w:p>
        </w:tc>
        <w:tc>
          <w:tcPr>
            <w:tcW w:w="380" w:type="dxa"/>
            <w:vAlign w:val="bottom"/>
            <w:shd w:val="clear" w:color="auto" w:fill="D9D9D6"/>
          </w:tcPr>
          <w:p>
            <w:pPr>
              <w:spacing w:after="0"/>
              <w:rPr>
                <w:sz w:val="4"/>
                <w:szCs w:val="4"/>
                <w:color w:val="auto"/>
              </w:rPr>
            </w:pPr>
          </w:p>
        </w:tc>
        <w:tc>
          <w:tcPr>
            <w:tcW w:w="120" w:type="dxa"/>
            <w:vAlign w:val="bottom"/>
            <w:shd w:val="clear" w:color="auto" w:fill="D9D9D6"/>
          </w:tcPr>
          <w:p>
            <w:pPr>
              <w:spacing w:after="0"/>
              <w:rPr>
                <w:sz w:val="4"/>
                <w:szCs w:val="4"/>
                <w:color w:val="auto"/>
              </w:rPr>
            </w:pPr>
          </w:p>
        </w:tc>
        <w:tc>
          <w:tcPr>
            <w:tcW w:w="80" w:type="dxa"/>
            <w:vAlign w:val="bottom"/>
            <w:shd w:val="clear" w:color="auto" w:fill="D9D9D6"/>
          </w:tcPr>
          <w:p>
            <w:pPr>
              <w:spacing w:after="0"/>
              <w:rPr>
                <w:sz w:val="4"/>
                <w:szCs w:val="4"/>
                <w:color w:val="auto"/>
              </w:rPr>
            </w:pPr>
          </w:p>
        </w:tc>
        <w:tc>
          <w:tcPr>
            <w:tcW w:w="120" w:type="dxa"/>
            <w:vAlign w:val="bottom"/>
            <w:shd w:val="clear" w:color="auto" w:fill="D9D9D6"/>
          </w:tcPr>
          <w:p>
            <w:pPr>
              <w:spacing w:after="0"/>
              <w:rPr>
                <w:sz w:val="4"/>
                <w:szCs w:val="4"/>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56" w:lineRule="auto"/>
        <w:rPr>
          <w:sz w:val="20"/>
          <w:szCs w:val="20"/>
          <w:color w:val="auto"/>
        </w:rPr>
      </w:pPr>
      <w:r>
        <w:rPr>
          <w:rFonts w:ascii="Arial" w:cs="Arial" w:eastAsia="Arial" w:hAnsi="Arial"/>
          <w:sz w:val="20"/>
          <w:szCs w:val="20"/>
          <w:b w:val="1"/>
          <w:bCs w:val="1"/>
          <w:i w:val="1"/>
          <w:iCs w:val="1"/>
          <w:color w:val="auto"/>
        </w:rPr>
        <w:t xml:space="preserve">Revenue </w:t>
      </w:r>
      <w:r>
        <w:rPr>
          <w:rFonts w:ascii="Arial" w:cs="Arial" w:eastAsia="Arial" w:hAnsi="Arial"/>
          <w:sz w:val="17"/>
          <w:szCs w:val="17"/>
          <w:color w:val="auto"/>
        </w:rPr>
        <w:t>for Sky increased 10.6% to $5.0 billion in the first quarter of 2021. Excluding the impact of currency, revenue increased 2.0%,</w:t>
      </w:r>
      <w:r>
        <w:rPr>
          <w:rFonts w:ascii="Arial" w:cs="Arial" w:eastAsia="Arial" w:hAnsi="Arial"/>
          <w:sz w:val="20"/>
          <w:szCs w:val="20"/>
          <w:b w:val="1"/>
          <w:bCs w:val="1"/>
          <w:i w:val="1"/>
          <w:iCs w:val="1"/>
          <w:color w:val="auto"/>
        </w:rPr>
        <w:t xml:space="preserve"> </w:t>
      </w:r>
      <w:r>
        <w:rPr>
          <w:rFonts w:ascii="Arial" w:cs="Arial" w:eastAsia="Arial" w:hAnsi="Arial"/>
          <w:sz w:val="17"/>
          <w:szCs w:val="17"/>
          <w:color w:val="auto"/>
        </w:rPr>
        <w:t>reflecting higher direct-to-consumer revenue, advertising revenue and content revenue. Direct-to-consumer revenue increased 1.8% to $4.1 billion, driven by increases in average revenue per customer relationship and customer relationships. Advertising revenue increased 3.4% to $574 million, due to higher advanced advertising revenue in the U.K. Content revenue increased 1.7% to $358 million, primarily due to higher wholesale revenue from sports programming.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Total Customer Relationships </w:t>
      </w:r>
      <w:r>
        <w:rPr>
          <w:rFonts w:ascii="Arial" w:cs="Arial" w:eastAsia="Arial" w:hAnsi="Arial"/>
          <w:sz w:val="18"/>
          <w:szCs w:val="18"/>
          <w:color w:val="auto"/>
        </w:rPr>
        <w:t>increased by 221,000 to 23.4 million in the first quarter of 2021.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120" w:type="dxa"/>
            <w:vAlign w:val="bottom"/>
            <w:shd w:val="clear" w:color="auto" w:fill="D9D9D6"/>
          </w:tcPr>
          <w:p>
            <w:pPr>
              <w:ind w:left="140"/>
              <w:spacing w:after="0"/>
              <w:rPr>
                <w:sz w:val="20"/>
                <w:szCs w:val="20"/>
                <w:color w:val="auto"/>
              </w:rPr>
            </w:pPr>
            <w:r>
              <w:rPr>
                <w:rFonts w:ascii="Arial" w:cs="Arial" w:eastAsia="Arial" w:hAnsi="Arial"/>
                <w:sz w:val="11"/>
                <w:szCs w:val="11"/>
                <w:i w:val="1"/>
                <w:iCs w:val="1"/>
                <w:color w:val="auto"/>
              </w:rPr>
              <w:t>(in thousands)</w:t>
            </w:r>
          </w:p>
        </w:tc>
        <w:tc>
          <w:tcPr>
            <w:tcW w:w="660" w:type="dxa"/>
            <w:vAlign w:val="bottom"/>
            <w:tcBorders>
              <w:right w:val="single" w:sz="8" w:color="D9D9D6"/>
            </w:tcBorders>
            <w:shd w:val="clear" w:color="auto" w:fill="D9D9D6"/>
          </w:tcPr>
          <w:p>
            <w:pPr>
              <w:spacing w:after="0"/>
              <w:rPr>
                <w:sz w:val="16"/>
                <w:szCs w:val="16"/>
                <w:color w:val="auto"/>
              </w:rPr>
            </w:pPr>
          </w:p>
        </w:tc>
        <w:tc>
          <w:tcPr>
            <w:tcW w:w="320" w:type="dxa"/>
            <w:vAlign w:val="bottom"/>
            <w:shd w:val="clear" w:color="auto" w:fill="D9D9D6"/>
          </w:tcPr>
          <w:p>
            <w:pPr>
              <w:spacing w:after="0"/>
              <w:rPr>
                <w:sz w:val="16"/>
                <w:szCs w:val="16"/>
                <w:color w:val="auto"/>
              </w:rPr>
            </w:pPr>
          </w:p>
        </w:tc>
        <w:tc>
          <w:tcPr>
            <w:tcW w:w="440" w:type="dxa"/>
            <w:vAlign w:val="bottom"/>
            <w:tcBorders>
              <w:right w:val="single" w:sz="8" w:color="D9D9D6"/>
            </w:tcBorders>
            <w:shd w:val="clear" w:color="auto" w:fill="D9D9D6"/>
          </w:tcPr>
          <w:p>
            <w:pPr>
              <w:spacing w:after="0"/>
              <w:rPr>
                <w:sz w:val="16"/>
                <w:szCs w:val="16"/>
                <w:color w:val="auto"/>
              </w:rPr>
            </w:pPr>
          </w:p>
        </w:tc>
        <w:tc>
          <w:tcPr>
            <w:tcW w:w="160" w:type="dxa"/>
            <w:vAlign w:val="bottom"/>
            <w:shd w:val="clear" w:color="auto" w:fill="D9D9D6"/>
          </w:tcPr>
          <w:p>
            <w:pPr>
              <w:spacing w:after="0"/>
              <w:rPr>
                <w:sz w:val="16"/>
                <w:szCs w:val="16"/>
                <w:color w:val="auto"/>
              </w:rPr>
            </w:pPr>
          </w:p>
        </w:tc>
        <w:tc>
          <w:tcPr>
            <w:tcW w:w="360" w:type="dxa"/>
            <w:vAlign w:val="bottom"/>
            <w:shd w:val="clear" w:color="auto" w:fill="D9D9D6"/>
          </w:tcPr>
          <w:p>
            <w:pPr>
              <w:spacing w:after="0"/>
              <w:rPr>
                <w:sz w:val="16"/>
                <w:szCs w:val="16"/>
                <w:color w:val="auto"/>
              </w:rPr>
            </w:pPr>
          </w:p>
        </w:tc>
        <w:tc>
          <w:tcPr>
            <w:tcW w:w="1640" w:type="dxa"/>
            <w:vAlign w:val="bottom"/>
            <w:shd w:val="clear" w:color="auto" w:fill="D9D9D6"/>
          </w:tcPr>
          <w:p>
            <w:pPr>
              <w:spacing w:after="0"/>
              <w:rPr>
                <w:sz w:val="16"/>
                <w:szCs w:val="16"/>
                <w:color w:val="auto"/>
              </w:rPr>
            </w:pPr>
          </w:p>
        </w:tc>
        <w:tc>
          <w:tcPr>
            <w:tcW w:w="400" w:type="dxa"/>
            <w:vAlign w:val="bottom"/>
            <w:tcBorders>
              <w:left w:val="single" w:sz="8" w:color="D9D9D6"/>
            </w:tcBorders>
            <w:shd w:val="clear" w:color="auto" w:fill="D9D9D6"/>
          </w:tcPr>
          <w:p>
            <w:pPr>
              <w:spacing w:after="0"/>
              <w:rPr>
                <w:sz w:val="16"/>
                <w:szCs w:val="16"/>
                <w:color w:val="auto"/>
              </w:rPr>
            </w:pPr>
          </w:p>
        </w:tc>
        <w:tc>
          <w:tcPr>
            <w:tcW w:w="440" w:type="dxa"/>
            <w:vAlign w:val="bottom"/>
            <w:shd w:val="clear" w:color="auto" w:fill="D9D9D6"/>
          </w:tcPr>
          <w:p>
            <w:pPr>
              <w:spacing w:after="0"/>
              <w:rPr>
                <w:sz w:val="16"/>
                <w:szCs w:val="16"/>
                <w:color w:val="auto"/>
              </w:rPr>
            </w:pPr>
          </w:p>
        </w:tc>
        <w:tc>
          <w:tcPr>
            <w:tcW w:w="200" w:type="dxa"/>
            <w:vAlign w:val="bottom"/>
            <w:shd w:val="clear" w:color="auto" w:fill="D9D9D6"/>
          </w:tcPr>
          <w:p>
            <w:pPr>
              <w:spacing w:after="0"/>
              <w:rPr>
                <w:sz w:val="16"/>
                <w:szCs w:val="16"/>
                <w:color w:val="auto"/>
              </w:rPr>
            </w:pPr>
          </w:p>
        </w:tc>
        <w:tc>
          <w:tcPr>
            <w:tcW w:w="360" w:type="dxa"/>
            <w:vAlign w:val="bottom"/>
            <w:shd w:val="clear" w:color="auto" w:fill="D9D9D6"/>
          </w:tcPr>
          <w:p>
            <w:pPr>
              <w:spacing w:after="0"/>
              <w:rPr>
                <w:sz w:val="16"/>
                <w:szCs w:val="16"/>
                <w:color w:val="auto"/>
              </w:rPr>
            </w:pPr>
          </w:p>
        </w:tc>
        <w:tc>
          <w:tcPr>
            <w:tcW w:w="14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120" w:type="dxa"/>
            <w:vAlign w:val="bottom"/>
            <w:shd w:val="clear" w:color="auto" w:fill="D9D9D6"/>
          </w:tcPr>
          <w:p>
            <w:pPr>
              <w:spacing w:after="0"/>
              <w:rPr>
                <w:sz w:val="16"/>
                <w:szCs w:val="16"/>
                <w:color w:val="auto"/>
              </w:rPr>
            </w:pPr>
          </w:p>
        </w:tc>
        <w:tc>
          <w:tcPr>
            <w:tcW w:w="660" w:type="dxa"/>
            <w:vAlign w:val="bottom"/>
            <w:tcBorders>
              <w:right w:val="single" w:sz="8" w:color="D9D9D6"/>
            </w:tcBorders>
            <w:shd w:val="clear" w:color="auto" w:fill="D9D9D6"/>
          </w:tcPr>
          <w:p>
            <w:pPr>
              <w:spacing w:after="0"/>
              <w:rPr>
                <w:sz w:val="16"/>
                <w:szCs w:val="16"/>
                <w:color w:val="auto"/>
              </w:rPr>
            </w:pPr>
          </w:p>
        </w:tc>
        <w:tc>
          <w:tcPr>
            <w:tcW w:w="760" w:type="dxa"/>
            <w:vAlign w:val="bottom"/>
            <w:tcBorders>
              <w:right w:val="single" w:sz="8" w:color="D9D9D6"/>
            </w:tcBorders>
            <w:gridSpan w:val="2"/>
            <w:shd w:val="clear" w:color="auto" w:fill="D9D9D6"/>
          </w:tcPr>
          <w:p>
            <w:pPr>
              <w:spacing w:after="0"/>
              <w:rPr>
                <w:sz w:val="20"/>
                <w:szCs w:val="20"/>
                <w:color w:val="auto"/>
              </w:rPr>
            </w:pPr>
            <w:r>
              <w:rPr>
                <w:rFonts w:ascii="Arial" w:cs="Arial" w:eastAsia="Arial" w:hAnsi="Arial"/>
                <w:sz w:val="14"/>
                <w:szCs w:val="14"/>
                <w:color w:val="auto"/>
              </w:rPr>
              <w:t>Customers</w:t>
            </w:r>
          </w:p>
        </w:tc>
        <w:tc>
          <w:tcPr>
            <w:tcW w:w="160" w:type="dxa"/>
            <w:vAlign w:val="bottom"/>
            <w:shd w:val="clear" w:color="auto" w:fill="D9D9D6"/>
          </w:tcPr>
          <w:p>
            <w:pPr>
              <w:spacing w:after="0"/>
              <w:rPr>
                <w:sz w:val="16"/>
                <w:szCs w:val="16"/>
                <w:color w:val="auto"/>
              </w:rPr>
            </w:pPr>
          </w:p>
        </w:tc>
        <w:tc>
          <w:tcPr>
            <w:tcW w:w="360" w:type="dxa"/>
            <w:vAlign w:val="bottom"/>
            <w:shd w:val="clear" w:color="auto" w:fill="D9D9D6"/>
          </w:tcPr>
          <w:p>
            <w:pPr>
              <w:spacing w:after="0"/>
              <w:rPr>
                <w:sz w:val="16"/>
                <w:szCs w:val="16"/>
                <w:color w:val="auto"/>
              </w:rPr>
            </w:pPr>
          </w:p>
        </w:tc>
        <w:tc>
          <w:tcPr>
            <w:tcW w:w="1640" w:type="dxa"/>
            <w:vAlign w:val="bottom"/>
            <w:shd w:val="clear" w:color="auto" w:fill="D9D9D6"/>
          </w:tcPr>
          <w:p>
            <w:pPr>
              <w:spacing w:after="0"/>
              <w:rPr>
                <w:sz w:val="16"/>
                <w:szCs w:val="16"/>
                <w:color w:val="auto"/>
              </w:rPr>
            </w:pPr>
          </w:p>
        </w:tc>
        <w:tc>
          <w:tcPr>
            <w:tcW w:w="1040" w:type="dxa"/>
            <w:vAlign w:val="bottom"/>
            <w:tcBorders>
              <w:left w:val="single" w:sz="8" w:color="D9D9D6"/>
            </w:tcBorders>
            <w:gridSpan w:val="3"/>
            <w:shd w:val="clear" w:color="auto" w:fill="D9D9D6"/>
          </w:tcPr>
          <w:p>
            <w:pPr>
              <w:spacing w:after="0"/>
              <w:rPr>
                <w:sz w:val="20"/>
                <w:szCs w:val="20"/>
                <w:color w:val="auto"/>
              </w:rPr>
            </w:pPr>
            <w:r>
              <w:rPr>
                <w:rFonts w:ascii="Arial" w:cs="Arial" w:eastAsia="Arial" w:hAnsi="Arial"/>
                <w:sz w:val="14"/>
                <w:szCs w:val="14"/>
                <w:color w:val="auto"/>
              </w:rPr>
              <w:t>Net Additions</w:t>
            </w:r>
          </w:p>
        </w:tc>
        <w:tc>
          <w:tcPr>
            <w:tcW w:w="360" w:type="dxa"/>
            <w:vAlign w:val="bottom"/>
            <w:shd w:val="clear" w:color="auto" w:fill="D9D9D6"/>
          </w:tcPr>
          <w:p>
            <w:pPr>
              <w:spacing w:after="0"/>
              <w:rPr>
                <w:sz w:val="16"/>
                <w:szCs w:val="16"/>
                <w:color w:val="auto"/>
              </w:rPr>
            </w:pPr>
          </w:p>
        </w:tc>
        <w:tc>
          <w:tcPr>
            <w:tcW w:w="140" w:type="dxa"/>
            <w:vAlign w:val="bottom"/>
            <w:shd w:val="clear" w:color="auto" w:fill="D9D9D6"/>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120" w:type="dxa"/>
            <w:vAlign w:val="bottom"/>
            <w:shd w:val="clear" w:color="auto" w:fill="D9D9D6"/>
          </w:tcPr>
          <w:p>
            <w:pPr>
              <w:spacing w:after="0" w:line="20" w:lineRule="exact"/>
              <w:rPr>
                <w:sz w:val="1"/>
                <w:szCs w:val="1"/>
                <w:color w:val="auto"/>
              </w:rPr>
            </w:pPr>
          </w:p>
        </w:tc>
        <w:tc>
          <w:tcPr>
            <w:tcW w:w="660" w:type="dxa"/>
            <w:vAlign w:val="bottom"/>
            <w:tcBorders>
              <w:right w:val="single" w:sz="8" w:color="D9D9D6"/>
            </w:tcBorders>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tcBorders>
              <w:right w:val="single" w:sz="8" w:color="D9D9D6"/>
            </w:tcBorders>
            <w:shd w:val="clear" w:color="auto" w:fill="000000"/>
          </w:tcPr>
          <w:p>
            <w:pPr>
              <w:spacing w:after="0" w:line="20" w:lineRule="exact"/>
              <w:rPr>
                <w:sz w:val="1"/>
                <w:szCs w:val="1"/>
                <w:color w:val="auto"/>
              </w:rPr>
            </w:pPr>
          </w:p>
        </w:tc>
        <w:tc>
          <w:tcPr>
            <w:tcW w:w="2160" w:type="dxa"/>
            <w:vAlign w:val="bottom"/>
            <w:gridSpan w:val="3"/>
            <w:vMerge w:val="restart"/>
            <w:shd w:val="clear" w:color="auto" w:fill="D9D9D6"/>
          </w:tcPr>
          <w:p>
            <w:pPr>
              <w:ind w:left="160"/>
              <w:spacing w:after="0" w:line="189" w:lineRule="exact"/>
              <w:rPr>
                <w:sz w:val="20"/>
                <w:szCs w:val="20"/>
                <w:color w:val="auto"/>
              </w:rPr>
            </w:pPr>
            <w:r>
              <w:rPr>
                <w:rFonts w:ascii="Arial" w:cs="Arial" w:eastAsia="Arial" w:hAnsi="Arial"/>
                <w:sz w:val="14"/>
                <w:szCs w:val="14"/>
                <w:color w:val="auto"/>
              </w:rPr>
              <w:t>1Q20</w:t>
            </w:r>
            <w:r>
              <w:rPr>
                <w:rFonts w:ascii="Arial" w:cs="Arial" w:eastAsia="Arial" w:hAnsi="Arial"/>
                <w:sz w:val="18"/>
                <w:szCs w:val="18"/>
                <w:color w:val="auto"/>
                <w:vertAlign w:val="superscript"/>
              </w:rPr>
              <w:t>8</w:t>
            </w:r>
          </w:p>
        </w:tc>
        <w:tc>
          <w:tcPr>
            <w:tcW w:w="40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D9D9D6"/>
          </w:tcPr>
          <w:p>
            <w:pPr>
              <w:spacing w:after="0" w:line="20" w:lineRule="exact"/>
              <w:rPr>
                <w:sz w:val="1"/>
                <w:szCs w:val="1"/>
                <w:color w:val="auto"/>
              </w:rPr>
            </w:pPr>
          </w:p>
        </w:tc>
        <w:tc>
          <w:tcPr>
            <w:tcW w:w="360" w:type="dxa"/>
            <w:vAlign w:val="bottom"/>
            <w:shd w:val="clear" w:color="auto" w:fill="D9D9D6"/>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120" w:type="dxa"/>
            <w:vAlign w:val="bottom"/>
            <w:shd w:val="clear" w:color="auto" w:fill="D9D9D6"/>
          </w:tcPr>
          <w:p>
            <w:pPr>
              <w:spacing w:after="0"/>
              <w:rPr>
                <w:sz w:val="14"/>
                <w:szCs w:val="14"/>
                <w:color w:val="auto"/>
              </w:rPr>
            </w:pPr>
          </w:p>
        </w:tc>
        <w:tc>
          <w:tcPr>
            <w:tcW w:w="660" w:type="dxa"/>
            <w:vAlign w:val="bottom"/>
            <w:tcBorders>
              <w:right w:val="single" w:sz="8" w:color="D9D9D6"/>
            </w:tcBorders>
            <w:shd w:val="clear" w:color="auto" w:fill="D9D9D6"/>
          </w:tcPr>
          <w:p>
            <w:pPr>
              <w:spacing w:after="0"/>
              <w:rPr>
                <w:sz w:val="14"/>
                <w:szCs w:val="14"/>
                <w:color w:val="auto"/>
              </w:rPr>
            </w:pPr>
          </w:p>
        </w:tc>
        <w:tc>
          <w:tcPr>
            <w:tcW w:w="760" w:type="dxa"/>
            <w:vAlign w:val="bottom"/>
            <w:tcBorders>
              <w:right w:val="single" w:sz="8" w:color="D9D9D6"/>
            </w:tcBorders>
            <w:gridSpan w:val="2"/>
            <w:shd w:val="clear" w:color="auto" w:fill="D9D9D6"/>
          </w:tcPr>
          <w:p>
            <w:pPr>
              <w:spacing w:after="0"/>
              <w:rPr>
                <w:sz w:val="20"/>
                <w:szCs w:val="20"/>
                <w:color w:val="auto"/>
              </w:rPr>
            </w:pPr>
            <w:r>
              <w:rPr>
                <w:rFonts w:ascii="Arial" w:cs="Arial" w:eastAsia="Arial" w:hAnsi="Arial"/>
                <w:sz w:val="14"/>
                <w:szCs w:val="14"/>
                <w:color w:val="auto"/>
              </w:rPr>
              <w:t>1Q21</w:t>
            </w:r>
          </w:p>
        </w:tc>
        <w:tc>
          <w:tcPr>
            <w:tcW w:w="2160" w:type="dxa"/>
            <w:vAlign w:val="bottom"/>
            <w:gridSpan w:val="3"/>
            <w:vMerge w:val="continue"/>
            <w:shd w:val="clear" w:color="auto" w:fill="D9D9D6"/>
          </w:tcPr>
          <w:p>
            <w:pPr>
              <w:spacing w:after="0"/>
              <w:rPr>
                <w:sz w:val="14"/>
                <w:szCs w:val="14"/>
                <w:color w:val="auto"/>
              </w:rPr>
            </w:pPr>
          </w:p>
        </w:tc>
        <w:tc>
          <w:tcPr>
            <w:tcW w:w="1040" w:type="dxa"/>
            <w:vAlign w:val="bottom"/>
            <w:tcBorders>
              <w:left w:val="single" w:sz="8" w:color="D9D9D6"/>
            </w:tcBorders>
            <w:gridSpan w:val="3"/>
            <w:shd w:val="clear" w:color="auto" w:fill="D9D9D6"/>
          </w:tcPr>
          <w:p>
            <w:pPr>
              <w:jc w:val="center"/>
              <w:ind w:right="600"/>
              <w:spacing w:after="0"/>
              <w:rPr>
                <w:sz w:val="20"/>
                <w:szCs w:val="20"/>
                <w:color w:val="auto"/>
              </w:rPr>
            </w:pPr>
            <w:r>
              <w:rPr>
                <w:rFonts w:ascii="Arial" w:cs="Arial" w:eastAsia="Arial" w:hAnsi="Arial"/>
                <w:sz w:val="14"/>
                <w:szCs w:val="14"/>
                <w:color w:val="auto"/>
              </w:rPr>
              <w:t>1Q21</w:t>
            </w:r>
          </w:p>
        </w:tc>
        <w:tc>
          <w:tcPr>
            <w:tcW w:w="500" w:type="dxa"/>
            <w:vAlign w:val="bottom"/>
            <w:gridSpan w:val="2"/>
            <w:shd w:val="clear" w:color="auto" w:fill="D9D9D6"/>
          </w:tcPr>
          <w:p>
            <w:pPr>
              <w:jc w:val="right"/>
              <w:ind w:right="140"/>
              <w:spacing w:after="0"/>
              <w:rPr>
                <w:sz w:val="20"/>
                <w:szCs w:val="20"/>
                <w:color w:val="auto"/>
              </w:rPr>
            </w:pPr>
            <w:r>
              <w:rPr>
                <w:rFonts w:ascii="Arial" w:cs="Arial" w:eastAsia="Arial" w:hAnsi="Arial"/>
                <w:sz w:val="14"/>
                <w:szCs w:val="14"/>
                <w:color w:val="auto"/>
                <w:w w:val="99"/>
              </w:rPr>
              <w:t>1Q20</w:t>
            </w:r>
          </w:p>
        </w:tc>
        <w:tc>
          <w:tcPr>
            <w:tcW w:w="0" w:type="dxa"/>
            <w:vAlign w:val="bottom"/>
          </w:tcPr>
          <w:p>
            <w:pPr>
              <w:spacing w:after="0"/>
              <w:rPr>
                <w:sz w:val="1"/>
                <w:szCs w:val="1"/>
                <w:color w:val="auto"/>
              </w:rPr>
            </w:pPr>
          </w:p>
        </w:tc>
      </w:tr>
      <w:tr>
        <w:trPr>
          <w:trHeight w:val="20"/>
        </w:trPr>
        <w:tc>
          <w:tcPr>
            <w:tcW w:w="6120" w:type="dxa"/>
            <w:vAlign w:val="bottom"/>
            <w:shd w:val="clear" w:color="auto" w:fill="D9D9D6"/>
          </w:tcPr>
          <w:p>
            <w:pPr>
              <w:spacing w:after="0" w:line="20" w:lineRule="exact"/>
              <w:rPr>
                <w:sz w:val="1"/>
                <w:szCs w:val="1"/>
                <w:color w:val="auto"/>
              </w:rPr>
            </w:pPr>
          </w:p>
        </w:tc>
        <w:tc>
          <w:tcPr>
            <w:tcW w:w="660" w:type="dxa"/>
            <w:vAlign w:val="bottom"/>
            <w:tcBorders>
              <w:right w:val="single" w:sz="8" w:color="auto"/>
            </w:tcBorders>
            <w:shd w:val="clear" w:color="auto" w:fill="D9D9D6"/>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tcBorders>
              <w:right w:val="single" w:sz="8" w:color="D9D9D6"/>
            </w:tcBorders>
            <w:shd w:val="clear" w:color="auto" w:fill="D9D9D6"/>
          </w:tcPr>
          <w:p>
            <w:pPr>
              <w:spacing w:after="0" w:line="20" w:lineRule="exact"/>
              <w:rPr>
                <w:sz w:val="1"/>
                <w:szCs w:val="1"/>
                <w:color w:val="auto"/>
              </w:rPr>
            </w:pPr>
          </w:p>
        </w:tc>
        <w:tc>
          <w:tcPr>
            <w:tcW w:w="160" w:type="dxa"/>
            <w:vAlign w:val="bottom"/>
            <w:shd w:val="clear" w:color="auto" w:fill="D9D9D6"/>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40" w:type="dxa"/>
            <w:vAlign w:val="bottom"/>
            <w:shd w:val="clear" w:color="auto" w:fill="D9D9D6"/>
          </w:tcPr>
          <w:p>
            <w:pPr>
              <w:spacing w:after="0" w:line="20" w:lineRule="exact"/>
              <w:rPr>
                <w:sz w:val="1"/>
                <w:szCs w:val="1"/>
                <w:color w:val="auto"/>
              </w:rPr>
            </w:pPr>
          </w:p>
        </w:tc>
        <w:tc>
          <w:tcPr>
            <w:tcW w:w="400" w:type="dxa"/>
            <w:vAlign w:val="bottom"/>
            <w:tcBorders>
              <w:left w:val="single" w:sz="8" w:color="D9D9D6"/>
            </w:tcBorders>
            <w:shd w:val="clear" w:color="auto" w:fill="000000"/>
          </w:tcPr>
          <w:p>
            <w:pPr>
              <w:spacing w:after="0" w:line="20" w:lineRule="exact"/>
              <w:rPr>
                <w:sz w:val="1"/>
                <w:szCs w:val="1"/>
                <w:color w:val="auto"/>
              </w:rPr>
            </w:pPr>
          </w:p>
        </w:tc>
        <w:tc>
          <w:tcPr>
            <w:tcW w:w="440" w:type="dxa"/>
            <w:vAlign w:val="bottom"/>
            <w:shd w:val="clear" w:color="auto" w:fill="D9D9D6"/>
          </w:tcPr>
          <w:p>
            <w:pPr>
              <w:spacing w:after="0" w:line="20" w:lineRule="exact"/>
              <w:rPr>
                <w:sz w:val="1"/>
                <w:szCs w:val="1"/>
                <w:color w:val="auto"/>
              </w:rPr>
            </w:pPr>
          </w:p>
        </w:tc>
        <w:tc>
          <w:tcPr>
            <w:tcW w:w="200" w:type="dxa"/>
            <w:vAlign w:val="bottom"/>
            <w:shd w:val="clear" w:color="auto" w:fill="D9D9D6"/>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D9D9D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20" w:type="dxa"/>
            <w:vAlign w:val="bottom"/>
            <w:shd w:val="clear" w:color="auto" w:fill="D9D9D6"/>
          </w:tcPr>
          <w:p>
            <w:pPr>
              <w:ind w:left="260"/>
              <w:spacing w:after="0"/>
              <w:rPr>
                <w:sz w:val="20"/>
                <w:szCs w:val="20"/>
                <w:color w:val="auto"/>
              </w:rPr>
            </w:pPr>
            <w:r>
              <w:rPr>
                <w:rFonts w:ascii="Arial" w:cs="Arial" w:eastAsia="Arial" w:hAnsi="Arial"/>
                <w:sz w:val="14"/>
                <w:szCs w:val="14"/>
                <w:b w:val="1"/>
                <w:bCs w:val="1"/>
                <w:color w:val="auto"/>
              </w:rPr>
              <w:t>Total Customer Relationships</w:t>
            </w:r>
          </w:p>
        </w:tc>
        <w:tc>
          <w:tcPr>
            <w:tcW w:w="980" w:type="dxa"/>
            <w:vAlign w:val="bottom"/>
            <w:gridSpan w:val="2"/>
            <w:shd w:val="clear" w:color="auto" w:fill="D9D9D6"/>
          </w:tcPr>
          <w:p>
            <w:pPr>
              <w:jc w:val="right"/>
              <w:spacing w:after="0"/>
              <w:rPr>
                <w:sz w:val="20"/>
                <w:szCs w:val="20"/>
                <w:color w:val="auto"/>
              </w:rPr>
            </w:pPr>
            <w:r>
              <w:rPr>
                <w:rFonts w:ascii="Arial" w:cs="Arial" w:eastAsia="Arial" w:hAnsi="Arial"/>
                <w:sz w:val="14"/>
                <w:szCs w:val="14"/>
                <w:b w:val="1"/>
                <w:bCs w:val="1"/>
                <w:color w:val="auto"/>
              </w:rPr>
              <w:t>23,446</w:t>
            </w:r>
          </w:p>
        </w:tc>
        <w:tc>
          <w:tcPr>
            <w:tcW w:w="440" w:type="dxa"/>
            <w:vAlign w:val="bottom"/>
            <w:tcBorders>
              <w:right w:val="single" w:sz="8" w:color="D9D9D6"/>
            </w:tcBorders>
            <w:shd w:val="clear" w:color="auto" w:fill="D9D9D6"/>
          </w:tcPr>
          <w:p>
            <w:pPr>
              <w:spacing w:after="0"/>
              <w:rPr>
                <w:sz w:val="17"/>
                <w:szCs w:val="17"/>
                <w:color w:val="auto"/>
              </w:rPr>
            </w:pPr>
          </w:p>
        </w:tc>
        <w:tc>
          <w:tcPr>
            <w:tcW w:w="2160" w:type="dxa"/>
            <w:vAlign w:val="bottom"/>
            <w:gridSpan w:val="3"/>
            <w:shd w:val="clear" w:color="auto" w:fill="D9D9D6"/>
          </w:tcPr>
          <w:p>
            <w:pPr>
              <w:jc w:val="right"/>
              <w:ind w:right="1640"/>
              <w:spacing w:after="0"/>
              <w:rPr>
                <w:sz w:val="20"/>
                <w:szCs w:val="20"/>
                <w:color w:val="auto"/>
              </w:rPr>
            </w:pPr>
            <w:r>
              <w:rPr>
                <w:rFonts w:ascii="Arial" w:cs="Arial" w:eastAsia="Arial" w:hAnsi="Arial"/>
                <w:sz w:val="14"/>
                <w:szCs w:val="14"/>
                <w:b w:val="1"/>
                <w:bCs w:val="1"/>
                <w:color w:val="auto"/>
              </w:rPr>
              <w:t>23,216</w:t>
            </w:r>
          </w:p>
        </w:tc>
        <w:tc>
          <w:tcPr>
            <w:tcW w:w="400" w:type="dxa"/>
            <w:vAlign w:val="bottom"/>
            <w:tcBorders>
              <w:left w:val="single" w:sz="8" w:color="D9D9D6"/>
            </w:tcBorders>
            <w:shd w:val="clear" w:color="auto" w:fill="D9D9D6"/>
          </w:tcPr>
          <w:p>
            <w:pPr>
              <w:jc w:val="right"/>
              <w:spacing w:after="0"/>
              <w:rPr>
                <w:sz w:val="20"/>
                <w:szCs w:val="20"/>
                <w:color w:val="auto"/>
              </w:rPr>
            </w:pPr>
            <w:r>
              <w:rPr>
                <w:rFonts w:ascii="Arial" w:cs="Arial" w:eastAsia="Arial" w:hAnsi="Arial"/>
                <w:sz w:val="14"/>
                <w:szCs w:val="14"/>
                <w:b w:val="1"/>
                <w:bCs w:val="1"/>
                <w:color w:val="auto"/>
              </w:rPr>
              <w:t>221</w:t>
            </w:r>
          </w:p>
        </w:tc>
        <w:tc>
          <w:tcPr>
            <w:tcW w:w="440" w:type="dxa"/>
            <w:vAlign w:val="bottom"/>
            <w:shd w:val="clear" w:color="auto" w:fill="D9D9D6"/>
          </w:tcPr>
          <w:p>
            <w:pPr>
              <w:spacing w:after="0"/>
              <w:rPr>
                <w:sz w:val="17"/>
                <w:szCs w:val="17"/>
                <w:color w:val="auto"/>
              </w:rPr>
            </w:pPr>
          </w:p>
        </w:tc>
        <w:tc>
          <w:tcPr>
            <w:tcW w:w="200" w:type="dxa"/>
            <w:vAlign w:val="bottom"/>
            <w:shd w:val="clear" w:color="auto" w:fill="D9D9D6"/>
          </w:tcPr>
          <w:p>
            <w:pPr>
              <w:spacing w:after="0"/>
              <w:rPr>
                <w:sz w:val="17"/>
                <w:szCs w:val="17"/>
                <w:color w:val="auto"/>
              </w:rPr>
            </w:pPr>
          </w:p>
        </w:tc>
        <w:tc>
          <w:tcPr>
            <w:tcW w:w="360" w:type="dxa"/>
            <w:vAlign w:val="bottom"/>
            <w:shd w:val="clear" w:color="auto" w:fill="D9D9D6"/>
          </w:tcPr>
          <w:p>
            <w:pPr>
              <w:jc w:val="right"/>
              <w:spacing w:after="0"/>
              <w:rPr>
                <w:sz w:val="20"/>
                <w:szCs w:val="20"/>
                <w:color w:val="auto"/>
              </w:rPr>
            </w:pPr>
            <w:r>
              <w:rPr>
                <w:rFonts w:ascii="Arial" w:cs="Arial" w:eastAsia="Arial" w:hAnsi="Arial"/>
                <w:sz w:val="14"/>
                <w:szCs w:val="14"/>
                <w:b w:val="1"/>
                <w:bCs w:val="1"/>
                <w:color w:val="auto"/>
              </w:rPr>
              <w:t>(65)</w:t>
            </w:r>
          </w:p>
        </w:tc>
        <w:tc>
          <w:tcPr>
            <w:tcW w:w="140" w:type="dxa"/>
            <w:vAlign w:val="bottom"/>
            <w:shd w:val="clear" w:color="auto" w:fill="D9D9D6"/>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120" w:type="dxa"/>
            <w:vAlign w:val="bottom"/>
            <w:shd w:val="clear" w:color="auto" w:fill="D9D9D6"/>
          </w:tcPr>
          <w:p>
            <w:pPr>
              <w:spacing w:after="0"/>
              <w:rPr>
                <w:sz w:val="4"/>
                <w:szCs w:val="4"/>
                <w:color w:val="auto"/>
              </w:rPr>
            </w:pPr>
          </w:p>
        </w:tc>
        <w:tc>
          <w:tcPr>
            <w:tcW w:w="660" w:type="dxa"/>
            <w:vAlign w:val="bottom"/>
            <w:tcBorders>
              <w:right w:val="single" w:sz="8" w:color="D9D9D6"/>
            </w:tcBorders>
            <w:shd w:val="clear" w:color="auto" w:fill="D9D9D6"/>
          </w:tcPr>
          <w:p>
            <w:pPr>
              <w:spacing w:after="0"/>
              <w:rPr>
                <w:sz w:val="4"/>
                <w:szCs w:val="4"/>
                <w:color w:val="auto"/>
              </w:rPr>
            </w:pPr>
          </w:p>
        </w:tc>
        <w:tc>
          <w:tcPr>
            <w:tcW w:w="320" w:type="dxa"/>
            <w:vAlign w:val="bottom"/>
            <w:shd w:val="clear" w:color="auto" w:fill="D9D9D6"/>
          </w:tcPr>
          <w:p>
            <w:pPr>
              <w:spacing w:after="0"/>
              <w:rPr>
                <w:sz w:val="4"/>
                <w:szCs w:val="4"/>
                <w:color w:val="auto"/>
              </w:rPr>
            </w:pPr>
          </w:p>
        </w:tc>
        <w:tc>
          <w:tcPr>
            <w:tcW w:w="440" w:type="dxa"/>
            <w:vAlign w:val="bottom"/>
            <w:tcBorders>
              <w:right w:val="single" w:sz="8" w:color="D9D9D6"/>
            </w:tcBorders>
            <w:shd w:val="clear" w:color="auto" w:fill="D9D9D6"/>
          </w:tcPr>
          <w:p>
            <w:pPr>
              <w:spacing w:after="0"/>
              <w:rPr>
                <w:sz w:val="4"/>
                <w:szCs w:val="4"/>
                <w:color w:val="auto"/>
              </w:rPr>
            </w:pPr>
          </w:p>
        </w:tc>
        <w:tc>
          <w:tcPr>
            <w:tcW w:w="160" w:type="dxa"/>
            <w:vAlign w:val="bottom"/>
            <w:shd w:val="clear" w:color="auto" w:fill="D9D9D6"/>
          </w:tcPr>
          <w:p>
            <w:pPr>
              <w:spacing w:after="0"/>
              <w:rPr>
                <w:sz w:val="4"/>
                <w:szCs w:val="4"/>
                <w:color w:val="auto"/>
              </w:rPr>
            </w:pPr>
          </w:p>
        </w:tc>
        <w:tc>
          <w:tcPr>
            <w:tcW w:w="360" w:type="dxa"/>
            <w:vAlign w:val="bottom"/>
            <w:shd w:val="clear" w:color="auto" w:fill="D9D9D6"/>
          </w:tcPr>
          <w:p>
            <w:pPr>
              <w:spacing w:after="0"/>
              <w:rPr>
                <w:sz w:val="4"/>
                <w:szCs w:val="4"/>
                <w:color w:val="auto"/>
              </w:rPr>
            </w:pPr>
          </w:p>
        </w:tc>
        <w:tc>
          <w:tcPr>
            <w:tcW w:w="1640" w:type="dxa"/>
            <w:vAlign w:val="bottom"/>
            <w:shd w:val="clear" w:color="auto" w:fill="D9D9D6"/>
          </w:tcPr>
          <w:p>
            <w:pPr>
              <w:spacing w:after="0"/>
              <w:rPr>
                <w:sz w:val="4"/>
                <w:szCs w:val="4"/>
                <w:color w:val="auto"/>
              </w:rPr>
            </w:pPr>
          </w:p>
        </w:tc>
        <w:tc>
          <w:tcPr>
            <w:tcW w:w="400" w:type="dxa"/>
            <w:vAlign w:val="bottom"/>
            <w:tcBorders>
              <w:left w:val="single" w:sz="8" w:color="D9D9D6"/>
            </w:tcBorders>
            <w:shd w:val="clear" w:color="auto" w:fill="D9D9D6"/>
          </w:tcPr>
          <w:p>
            <w:pPr>
              <w:spacing w:after="0"/>
              <w:rPr>
                <w:sz w:val="4"/>
                <w:szCs w:val="4"/>
                <w:color w:val="auto"/>
              </w:rPr>
            </w:pPr>
          </w:p>
        </w:tc>
        <w:tc>
          <w:tcPr>
            <w:tcW w:w="440" w:type="dxa"/>
            <w:vAlign w:val="bottom"/>
            <w:shd w:val="clear" w:color="auto" w:fill="D9D9D6"/>
          </w:tcPr>
          <w:p>
            <w:pPr>
              <w:spacing w:after="0"/>
              <w:rPr>
                <w:sz w:val="4"/>
                <w:szCs w:val="4"/>
                <w:color w:val="auto"/>
              </w:rPr>
            </w:pPr>
          </w:p>
        </w:tc>
        <w:tc>
          <w:tcPr>
            <w:tcW w:w="200" w:type="dxa"/>
            <w:vAlign w:val="bottom"/>
            <w:shd w:val="clear" w:color="auto" w:fill="D9D9D6"/>
          </w:tcPr>
          <w:p>
            <w:pPr>
              <w:spacing w:after="0"/>
              <w:rPr>
                <w:sz w:val="4"/>
                <w:szCs w:val="4"/>
                <w:color w:val="auto"/>
              </w:rPr>
            </w:pPr>
          </w:p>
        </w:tc>
        <w:tc>
          <w:tcPr>
            <w:tcW w:w="360" w:type="dxa"/>
            <w:vAlign w:val="bottom"/>
            <w:shd w:val="clear" w:color="auto" w:fill="D9D9D6"/>
          </w:tcPr>
          <w:p>
            <w:pPr>
              <w:spacing w:after="0"/>
              <w:rPr>
                <w:sz w:val="4"/>
                <w:szCs w:val="4"/>
                <w:color w:val="auto"/>
              </w:rPr>
            </w:pPr>
          </w:p>
        </w:tc>
        <w:tc>
          <w:tcPr>
            <w:tcW w:w="140" w:type="dxa"/>
            <w:vAlign w:val="bottom"/>
            <w:shd w:val="clear" w:color="auto" w:fill="D9D9D6"/>
          </w:tcPr>
          <w:p>
            <w:pPr>
              <w:spacing w:after="0"/>
              <w:rPr>
                <w:sz w:val="4"/>
                <w:szCs w:val="4"/>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Sky decreased 33.9% to $364 million in the first quarter of 2021. Excluding the impact of currency, Adjusted EBITDA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decreased 39.6%, reflecting higher revenue and lower other expenses driven by decreases in personnel-related costs, more than offset by higher programming and production expenses and direct network costs. The increase in programming and production expenses primarily reflects higher sports programming costs due to an increase in the number of sporting events in the current period. The increase in direct network costs was driven by higher costs associated with growth in Sky’s residential mobile and broadband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684"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151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31"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Corporate and Other primarily relates to corporate operations and Comcast Spectacor. Revenue for the quarter ended March 31, 2021 was $89 million compared to $120 million in 2020. Corporate and Other Adjusted EBITDA loss was $281 million compared to a loss of $193 million in 2020, reflecting the impact of COVID-19 on Spectacor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w:t>
      </w:r>
    </w:p>
    <w:p>
      <w:pPr>
        <w:spacing w:after="0" w:line="31" w:lineRule="exact"/>
        <w:rPr>
          <w:sz w:val="20"/>
          <w:szCs w:val="20"/>
          <w:color w:val="auto"/>
        </w:rPr>
      </w:pPr>
    </w:p>
    <w:p>
      <w:pPr>
        <w:jc w:val="both"/>
        <w:spacing w:after="0"/>
        <w:rPr>
          <w:sz w:val="20"/>
          <w:szCs w:val="20"/>
          <w:color w:val="auto"/>
        </w:rPr>
      </w:pPr>
      <w:r>
        <w:rPr>
          <w:rFonts w:ascii="Arial" w:cs="Arial" w:eastAsia="Arial" w:hAnsi="Arial"/>
          <w:sz w:val="18"/>
          <w:szCs w:val="18"/>
          <w:color w:val="auto"/>
        </w:rPr>
        <w:t>Eliminations reflect the accounting for transactions between Cable Communications, NBCUniversal, Sky and Corporate and Other. Revenue eliminations for the quarter ended March 31, 2021 were $710 million compared to $675 million in 2020, and Adjusted EBITDA eliminations were a benefit of $10 million compared to a benefit of $7 million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223520</wp:posOffset>
            </wp:positionV>
            <wp:extent cx="71151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3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Notes:</w:t>
      </w:r>
    </w:p>
    <w:p>
      <w:pPr>
        <w:spacing w:after="0" w:line="369" w:lineRule="exact"/>
        <w:rPr>
          <w:sz w:val="20"/>
          <w:szCs w:val="20"/>
          <w:color w:val="auto"/>
        </w:rPr>
      </w:pPr>
    </w:p>
    <w:p>
      <w:pPr>
        <w:jc w:val="both"/>
        <w:ind w:left="180" w:hanging="161"/>
        <w:spacing w:after="0" w:line="253" w:lineRule="auto"/>
        <w:rPr>
          <w:sz w:val="20"/>
          <w:szCs w:val="20"/>
          <w:color w:val="auto"/>
        </w:rPr>
      </w:pPr>
      <w:r>
        <w:rPr>
          <w:rFonts w:ascii="Arial" w:cs="Arial" w:eastAsia="Arial" w:hAnsi="Arial"/>
          <w:sz w:val="18"/>
          <w:szCs w:val="18"/>
          <w:color w:val="auto"/>
        </w:rPr>
        <w:t>1 We define Adjusted Net Income and Adjusted EPS as net income attributable to Comcast Corporation and diluted earnings per common share attributable to Comcast Corporation shareholders, respectively, adjusted to exclude the effects of the amortization of acquisition-related intangible assets, investments that investors may want to evaluate separately (such as based on fair value) and the impact of certain events, gains, losses or other charges that affect period-over-period comparisons. See Table 5 for reconciliations of non-GAAP financial measures.</w:t>
      </w:r>
    </w:p>
    <w:p>
      <w:pPr>
        <w:spacing w:after="0" w:line="151" w:lineRule="exact"/>
        <w:rPr>
          <w:sz w:val="20"/>
          <w:szCs w:val="20"/>
          <w:color w:val="auto"/>
        </w:rPr>
      </w:pPr>
    </w:p>
    <w:p>
      <w:pPr>
        <w:jc w:val="both"/>
        <w:ind w:left="180" w:hanging="161"/>
        <w:spacing w:after="0" w:line="252" w:lineRule="auto"/>
        <w:rPr>
          <w:sz w:val="20"/>
          <w:szCs w:val="20"/>
          <w:color w:val="auto"/>
        </w:rPr>
      </w:pPr>
      <w:r>
        <w:rPr>
          <w:rFonts w:ascii="Arial" w:cs="Arial" w:eastAsia="Arial" w:hAnsi="Arial"/>
          <w:sz w:val="18"/>
          <w:szCs w:val="18"/>
          <w:color w:val="auto"/>
        </w:rPr>
        <w:t>2 We define Adjusted EBITDA as net income attributable to Comcast Corporation before net income (loss) attributable to noncontrolling interests and redeemable subsidiary preferred stock,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See Table 4 for reconciliation of non-GAAP financial measure.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3 All earnings per share amounts are presented on a diluted basis.</w:t>
      </w:r>
    </w:p>
    <w:p>
      <w:pPr>
        <w:spacing w:after="0" w:line="171" w:lineRule="exact"/>
        <w:rPr>
          <w:sz w:val="20"/>
          <w:szCs w:val="20"/>
          <w:color w:val="auto"/>
        </w:rPr>
      </w:pPr>
    </w:p>
    <w:p>
      <w:pPr>
        <w:jc w:val="both"/>
        <w:ind w:left="180" w:hanging="161"/>
        <w:spacing w:after="0" w:line="252" w:lineRule="auto"/>
        <w:rPr>
          <w:sz w:val="20"/>
          <w:szCs w:val="20"/>
          <w:color w:val="auto"/>
        </w:rPr>
      </w:pPr>
      <w:r>
        <w:rPr>
          <w:rFonts w:ascii="Arial" w:cs="Arial" w:eastAsia="Arial" w:hAnsi="Arial"/>
          <w:sz w:val="18"/>
          <w:szCs w:val="18"/>
          <w:color w:val="auto"/>
        </w:rPr>
        <w:t>4 We define Free Cash Flow as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related to certain capital or intangible assets, such as the construction of Universal Beijing Resort, are presented separately in our Consolidated Statement of Cash Flows and are therefore excluded from capital expenditures and cash paid for intangible assets for Free Cash Flow. See Table 4 for reconciliation of non-GAAP financial measure.</w:t>
      </w:r>
    </w:p>
    <w:p>
      <w:pPr>
        <w:spacing w:after="0" w:line="154" w:lineRule="exact"/>
        <w:rPr>
          <w:sz w:val="20"/>
          <w:szCs w:val="20"/>
          <w:color w:val="auto"/>
        </w:rPr>
      </w:pPr>
    </w:p>
    <w:p>
      <w:pPr>
        <w:jc w:val="both"/>
        <w:ind w:left="180" w:hanging="161"/>
        <w:spacing w:after="0" w:line="256" w:lineRule="auto"/>
        <w:rPr>
          <w:sz w:val="20"/>
          <w:szCs w:val="20"/>
          <w:color w:val="auto"/>
        </w:rPr>
      </w:pPr>
      <w:r>
        <w:rPr>
          <w:rFonts w:ascii="Arial" w:cs="Arial" w:eastAsia="Arial" w:hAnsi="Arial"/>
          <w:sz w:val="18"/>
          <w:szCs w:val="18"/>
          <w:color w:val="auto"/>
        </w:rPr>
        <w:t>5 In the first quarter of 2021, we updated Cable Communications' total residential customer relationships and broadband customers due to a conforming change to methodology resulting in a reduction of approximately 26,000 customers. There was no impact to net additions and prior periods have been recast on a comparable basis.</w:t>
      </w:r>
    </w:p>
    <w:p>
      <w:pPr>
        <w:spacing w:after="0" w:line="148" w:lineRule="exact"/>
        <w:rPr>
          <w:sz w:val="20"/>
          <w:szCs w:val="20"/>
          <w:color w:val="auto"/>
        </w:rPr>
      </w:pPr>
    </w:p>
    <w:p>
      <w:pPr>
        <w:jc w:val="both"/>
        <w:ind w:left="180" w:hanging="161"/>
        <w:spacing w:after="0" w:line="252" w:lineRule="auto"/>
        <w:rPr>
          <w:sz w:val="20"/>
          <w:szCs w:val="20"/>
          <w:color w:val="auto"/>
        </w:rPr>
      </w:pPr>
      <w:r>
        <w:rPr>
          <w:rFonts w:ascii="Arial" w:cs="Arial" w:eastAsia="Arial" w:hAnsi="Arial"/>
          <w:sz w:val="18"/>
          <w:szCs w:val="18"/>
          <w:color w:val="auto"/>
        </w:rPr>
        <w:t>6 Adjusted EBITDA is the measure of profit or loss for our segments. From time to time, we may present Adjusted EBITDA for components of our reportable segments, such as Peacock and the wireless business within Cable Communications. We believe these measures are useful to evaluate our financial results and provide a basis of comparison to others, although our definition of Adjusted EBITDA may not be directly comparable to similar measures used by other companies. Adjusted EBITDA for components are generally presented on a consistent basis with the respective segments and include direct revenue and operating costs and expenses attributed to the component operations.</w:t>
      </w:r>
    </w:p>
    <w:p>
      <w:pPr>
        <w:spacing w:after="0" w:line="154" w:lineRule="exact"/>
        <w:rPr>
          <w:sz w:val="20"/>
          <w:szCs w:val="20"/>
          <w:color w:val="auto"/>
        </w:rPr>
      </w:pPr>
    </w:p>
    <w:p>
      <w:pPr>
        <w:jc w:val="both"/>
        <w:ind w:left="180" w:hanging="161"/>
        <w:spacing w:after="0" w:line="256" w:lineRule="auto"/>
        <w:rPr>
          <w:sz w:val="20"/>
          <w:szCs w:val="20"/>
          <w:color w:val="auto"/>
        </w:rPr>
      </w:pPr>
      <w:r>
        <w:rPr>
          <w:rFonts w:ascii="Arial" w:cs="Arial" w:eastAsia="Arial" w:hAnsi="Arial"/>
          <w:sz w:val="18"/>
          <w:szCs w:val="18"/>
          <w:color w:val="auto"/>
        </w:rPr>
        <w:t>7 Sky constant currency growth rates are calculated by comparing the current period results to the comparative period results in the prior year adjusted to reflect the average exchange rates from the current year period rather than the actual exchange rates in effect during the respective prior year periods. See Table 6 for reconciliation of Sky's constant currency growth.</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674" w:right="339" w:bottom="1440" w:gutter="0" w:footer="0" w:header="0"/>
        </w:sectPr>
      </w:pPr>
    </w:p>
    <w:bookmarkStart w:id="9" w:name="page10"/>
    <w:bookmarkEnd w:id="9"/>
    <w:p>
      <w:pPr>
        <w:jc w:val="both"/>
        <w:ind w:left="180" w:hanging="161"/>
        <w:spacing w:after="0" w:line="253" w:lineRule="auto"/>
        <w:rPr>
          <w:sz w:val="20"/>
          <w:szCs w:val="20"/>
          <w:color w:val="auto"/>
        </w:rPr>
      </w:pPr>
      <w:r>
        <w:rPr>
          <w:rFonts w:ascii="Arial" w:cs="Arial" w:eastAsia="Arial" w:hAnsi="Arial"/>
          <w:sz w:val="18"/>
          <w:szCs w:val="18"/>
          <w:color w:val="auto"/>
        </w:rPr>
        <w:t>8 In the first quarter of 2021, we implemented conforming changes in the methodology for counting commercial customer relationships in Italy and Germany, which are now counted on a consistent basis with customers in the United Kingdom. The change resulted in a reduction in Sky’s total customer relationships of 714,000 as of December 31, 2020. The impact of the change in methodology to customer relationship net additions for any period was not material. For comparative purposes, we have recast Sky’s historical total customer relationships to reflect this adjustment.</w:t>
      </w:r>
    </w:p>
    <w:p>
      <w:pPr>
        <w:spacing w:after="0" w:line="200" w:lineRule="exact"/>
        <w:rPr>
          <w:sz w:val="20"/>
          <w:szCs w:val="20"/>
          <w:color w:val="auto"/>
        </w:rPr>
      </w:pPr>
    </w:p>
    <w:p>
      <w:pPr>
        <w:spacing w:after="0" w:line="3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All percentages are calculated on whole numbers. Minor differences may exist due to rounding.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 and Other Information</w:t>
      </w:r>
    </w:p>
    <w:p>
      <w:pPr>
        <w:spacing w:after="0" w:line="2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Comcast Corporation will host a conference call with the financial community today, April 29, 2021 at 8:30 a.m. Eastern Time (ET). The conference call and related materials will be broadcast live and posted on our Investor Relations website at </w:t>
      </w:r>
      <w:r>
        <w:rPr>
          <w:rFonts w:ascii="Arial" w:cs="Arial" w:eastAsia="Arial" w:hAnsi="Arial"/>
          <w:sz w:val="16"/>
          <w:szCs w:val="16"/>
          <w:u w:val="single" w:color="auto"/>
          <w:color w:val="0000FF"/>
        </w:rPr>
        <w:t>www.cmcsa.com</w:t>
      </w:r>
      <w:r>
        <w:rPr>
          <w:rFonts w:ascii="Arial" w:cs="Arial" w:eastAsia="Arial" w:hAnsi="Arial"/>
          <w:sz w:val="16"/>
          <w:szCs w:val="16"/>
          <w:color w:val="auto"/>
        </w:rPr>
        <w:t>. Those parties interested in participating via telephone should dial (800) 263-8495 with the conference ID number 5168008. A replay of the call will be available starting at 12:00 p.m. ET on April 29, 2021, on the Investor Relations website or by telephone. To access the telephone replay, which will be available until Thursday, May 6, 2021 at midnight ET, please dial (855) 859-2056 and enter the conference ID number 5168008.</w:t>
      </w:r>
    </w:p>
    <w:p>
      <w:pPr>
        <w:spacing w:after="0" w:line="23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 xml:space="preserve">From time to time, we post information that may be of interest to investors on our website at </w:t>
      </w:r>
      <w:r>
        <w:rPr>
          <w:rFonts w:ascii="Arial" w:cs="Arial" w:eastAsia="Arial" w:hAnsi="Arial"/>
          <w:sz w:val="16"/>
          <w:szCs w:val="16"/>
          <w:u w:val="single" w:color="auto"/>
          <w:color w:val="0000FF"/>
        </w:rPr>
        <w:t>www.cmcsa.com</w:t>
      </w:r>
      <w:r>
        <w:rPr>
          <w:rFonts w:ascii="Arial" w:cs="Arial" w:eastAsia="Arial" w:hAnsi="Arial"/>
          <w:sz w:val="16"/>
          <w:szCs w:val="16"/>
          <w:color w:val="auto"/>
        </w:rPr>
        <w:t xml:space="preserve"> and on our corporate website, </w:t>
      </w:r>
      <w:r>
        <w:rPr>
          <w:rFonts w:ascii="Arial" w:cs="Arial" w:eastAsia="Arial" w:hAnsi="Arial"/>
          <w:sz w:val="16"/>
          <w:szCs w:val="16"/>
          <w:u w:val="single" w:color="auto"/>
          <w:color w:val="0000FF"/>
        </w:rPr>
        <w:t>www.comcastcorporation.com</w:t>
      </w:r>
      <w:r>
        <w:rPr>
          <w:rFonts w:ascii="Arial" w:cs="Arial" w:eastAsia="Arial" w:hAnsi="Arial"/>
          <w:sz w:val="16"/>
          <w:szCs w:val="16"/>
          <w:color w:val="000000"/>
        </w:rPr>
        <w:t>. To automatically receive Comcast financial news by email, please visit</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www.cmcsa.com</w:t>
      </w:r>
      <w:r>
        <w:rPr>
          <w:rFonts w:ascii="Arial" w:cs="Arial" w:eastAsia="Arial" w:hAnsi="Arial"/>
          <w:sz w:val="16"/>
          <w:szCs w:val="16"/>
          <w:color w:val="0000FF"/>
        </w:rPr>
        <w:t xml:space="preserve"> </w:t>
      </w:r>
      <w:r>
        <w:rPr>
          <w:rFonts w:ascii="Arial" w:cs="Arial" w:eastAsia="Arial" w:hAnsi="Arial"/>
          <w:sz w:val="16"/>
          <w:szCs w:val="16"/>
          <w:color w:val="000000"/>
        </w:rPr>
        <w:t>and subscribe to email alerts.</w:t>
      </w:r>
    </w:p>
    <w:p>
      <w:pPr>
        <w:spacing w:after="0" w:line="200" w:lineRule="exact"/>
        <w:rPr>
          <w:sz w:val="20"/>
          <w:szCs w:val="20"/>
          <w:color w:val="auto"/>
        </w:rPr>
      </w:pP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9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480" w:type="dxa"/>
            <w:vAlign w:val="bottom"/>
          </w:tcPr>
          <w:p>
            <w:pPr>
              <w:jc w:val="right"/>
              <w:ind w:right="2219"/>
              <w:spacing w:after="0"/>
              <w:rPr>
                <w:sz w:val="20"/>
                <w:szCs w:val="20"/>
                <w:color w:val="auto"/>
              </w:rPr>
            </w:pPr>
            <w:r>
              <w:rPr>
                <w:rFonts w:ascii="Arial" w:cs="Arial" w:eastAsia="Arial" w:hAnsi="Arial"/>
                <w:sz w:val="16"/>
                <w:szCs w:val="16"/>
                <w:color w:val="auto"/>
              </w:rPr>
              <w:t>###</w:t>
            </w:r>
          </w:p>
        </w:tc>
        <w:tc>
          <w:tcPr>
            <w:tcW w:w="1760" w:type="dxa"/>
            <w:vAlign w:val="bottom"/>
          </w:tcPr>
          <w:p>
            <w:pPr>
              <w:spacing w:after="0"/>
              <w:rPr>
                <w:sz w:val="16"/>
                <w:szCs w:val="16"/>
                <w:color w:val="auto"/>
              </w:rPr>
            </w:pPr>
          </w:p>
        </w:tc>
      </w:tr>
      <w:tr>
        <w:trPr>
          <w:trHeight w:val="324"/>
        </w:trPr>
        <w:tc>
          <w:tcPr>
            <w:tcW w:w="1980" w:type="dxa"/>
            <w:vAlign w:val="bottom"/>
          </w:tcPr>
          <w:p>
            <w:pPr>
              <w:spacing w:after="0"/>
              <w:rPr>
                <w:sz w:val="20"/>
                <w:szCs w:val="20"/>
                <w:color w:val="auto"/>
              </w:rPr>
            </w:pPr>
            <w:r>
              <w:rPr>
                <w:rFonts w:ascii="Arial" w:cs="Arial" w:eastAsia="Arial" w:hAnsi="Arial"/>
                <w:sz w:val="16"/>
                <w:szCs w:val="16"/>
                <w:b w:val="1"/>
                <w:bCs w:val="1"/>
                <w:color w:val="auto"/>
              </w:rPr>
              <w:t>Investor Contacts:</w:t>
            </w:r>
          </w:p>
        </w:tc>
        <w:tc>
          <w:tcPr>
            <w:tcW w:w="2560" w:type="dxa"/>
            <w:vAlign w:val="bottom"/>
          </w:tcPr>
          <w:p>
            <w:pPr>
              <w:spacing w:after="0"/>
              <w:rPr>
                <w:sz w:val="24"/>
                <w:szCs w:val="24"/>
                <w:color w:val="auto"/>
              </w:rPr>
            </w:pPr>
          </w:p>
        </w:tc>
        <w:tc>
          <w:tcPr>
            <w:tcW w:w="3480" w:type="dxa"/>
            <w:vAlign w:val="bottom"/>
          </w:tcPr>
          <w:p>
            <w:pPr>
              <w:ind w:left="1600"/>
              <w:spacing w:after="0"/>
              <w:rPr>
                <w:sz w:val="20"/>
                <w:szCs w:val="20"/>
                <w:color w:val="auto"/>
              </w:rPr>
            </w:pPr>
            <w:r>
              <w:rPr>
                <w:rFonts w:ascii="Arial" w:cs="Arial" w:eastAsia="Arial" w:hAnsi="Arial"/>
                <w:sz w:val="16"/>
                <w:szCs w:val="16"/>
                <w:b w:val="1"/>
                <w:bCs w:val="1"/>
                <w:color w:val="auto"/>
              </w:rPr>
              <w:t>Press Contacts:</w:t>
            </w:r>
          </w:p>
        </w:tc>
        <w:tc>
          <w:tcPr>
            <w:tcW w:w="1760" w:type="dxa"/>
            <w:vAlign w:val="bottom"/>
          </w:tcPr>
          <w:p>
            <w:pPr>
              <w:spacing w:after="0"/>
              <w:rPr>
                <w:sz w:val="24"/>
                <w:szCs w:val="24"/>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6"/>
                <w:szCs w:val="16"/>
                <w:color w:val="auto"/>
              </w:rPr>
              <w:t>Marci Ryvicker</w:t>
            </w:r>
          </w:p>
        </w:tc>
        <w:tc>
          <w:tcPr>
            <w:tcW w:w="2560" w:type="dxa"/>
            <w:vAlign w:val="bottom"/>
          </w:tcPr>
          <w:p>
            <w:pPr>
              <w:jc w:val="right"/>
              <w:ind w:right="819"/>
              <w:spacing w:after="0"/>
              <w:rPr>
                <w:sz w:val="20"/>
                <w:szCs w:val="20"/>
                <w:color w:val="auto"/>
              </w:rPr>
            </w:pPr>
            <w:r>
              <w:rPr>
                <w:rFonts w:ascii="Arial" w:cs="Arial" w:eastAsia="Arial" w:hAnsi="Arial"/>
                <w:sz w:val="16"/>
                <w:szCs w:val="16"/>
                <w:color w:val="auto"/>
              </w:rPr>
              <w:t>(215) 286-4781</w:t>
            </w:r>
          </w:p>
        </w:tc>
        <w:tc>
          <w:tcPr>
            <w:tcW w:w="3480" w:type="dxa"/>
            <w:vAlign w:val="bottom"/>
          </w:tcPr>
          <w:p>
            <w:pPr>
              <w:ind w:left="1600"/>
              <w:spacing w:after="0"/>
              <w:rPr>
                <w:sz w:val="20"/>
                <w:szCs w:val="20"/>
                <w:color w:val="auto"/>
              </w:rPr>
            </w:pPr>
            <w:r>
              <w:rPr>
                <w:rFonts w:ascii="Arial" w:cs="Arial" w:eastAsia="Arial" w:hAnsi="Arial"/>
                <w:sz w:val="16"/>
                <w:szCs w:val="16"/>
                <w:color w:val="auto"/>
              </w:rPr>
              <w:t>Jennifer Khoury</w:t>
            </w:r>
          </w:p>
        </w:tc>
        <w:tc>
          <w:tcPr>
            <w:tcW w:w="1760" w:type="dxa"/>
            <w:vAlign w:val="bottom"/>
          </w:tcPr>
          <w:p>
            <w:pPr>
              <w:jc w:val="right"/>
              <w:spacing w:after="0"/>
              <w:rPr>
                <w:sz w:val="20"/>
                <w:szCs w:val="20"/>
                <w:color w:val="auto"/>
              </w:rPr>
            </w:pPr>
            <w:r>
              <w:rPr>
                <w:rFonts w:ascii="Arial" w:cs="Arial" w:eastAsia="Arial" w:hAnsi="Arial"/>
                <w:sz w:val="16"/>
                <w:szCs w:val="16"/>
                <w:color w:val="auto"/>
              </w:rPr>
              <w:t>(215) 286-7408</w:t>
            </w:r>
          </w:p>
        </w:tc>
      </w:tr>
      <w:tr>
        <w:trPr>
          <w:trHeight w:val="216"/>
        </w:trPr>
        <w:tc>
          <w:tcPr>
            <w:tcW w:w="1980" w:type="dxa"/>
            <w:vAlign w:val="bottom"/>
          </w:tcPr>
          <w:p>
            <w:pPr>
              <w:spacing w:after="0"/>
              <w:rPr>
                <w:sz w:val="20"/>
                <w:szCs w:val="20"/>
                <w:color w:val="auto"/>
              </w:rPr>
            </w:pPr>
            <w:r>
              <w:rPr>
                <w:rFonts w:ascii="Arial" w:cs="Arial" w:eastAsia="Arial" w:hAnsi="Arial"/>
                <w:sz w:val="16"/>
                <w:szCs w:val="16"/>
                <w:color w:val="auto"/>
              </w:rPr>
              <w:t>Jane Kearns</w:t>
            </w:r>
          </w:p>
        </w:tc>
        <w:tc>
          <w:tcPr>
            <w:tcW w:w="2560" w:type="dxa"/>
            <w:vAlign w:val="bottom"/>
          </w:tcPr>
          <w:p>
            <w:pPr>
              <w:jc w:val="right"/>
              <w:ind w:right="819"/>
              <w:spacing w:after="0"/>
              <w:rPr>
                <w:sz w:val="20"/>
                <w:szCs w:val="20"/>
                <w:color w:val="auto"/>
              </w:rPr>
            </w:pPr>
            <w:r>
              <w:rPr>
                <w:rFonts w:ascii="Arial" w:cs="Arial" w:eastAsia="Arial" w:hAnsi="Arial"/>
                <w:sz w:val="16"/>
                <w:szCs w:val="16"/>
                <w:color w:val="auto"/>
              </w:rPr>
              <w:t>(215) 286-4794</w:t>
            </w:r>
          </w:p>
        </w:tc>
        <w:tc>
          <w:tcPr>
            <w:tcW w:w="3480" w:type="dxa"/>
            <w:vAlign w:val="bottom"/>
          </w:tcPr>
          <w:p>
            <w:pPr>
              <w:ind w:left="1600"/>
              <w:spacing w:after="0"/>
              <w:rPr>
                <w:sz w:val="20"/>
                <w:szCs w:val="20"/>
                <w:color w:val="auto"/>
              </w:rPr>
            </w:pPr>
            <w:r>
              <w:rPr>
                <w:rFonts w:ascii="Arial" w:cs="Arial" w:eastAsia="Arial" w:hAnsi="Arial"/>
                <w:sz w:val="16"/>
                <w:szCs w:val="16"/>
                <w:color w:val="auto"/>
              </w:rPr>
              <w:t>John Demming</w:t>
            </w:r>
          </w:p>
        </w:tc>
        <w:tc>
          <w:tcPr>
            <w:tcW w:w="1760" w:type="dxa"/>
            <w:vAlign w:val="bottom"/>
          </w:tcPr>
          <w:p>
            <w:pPr>
              <w:jc w:val="right"/>
              <w:spacing w:after="0"/>
              <w:rPr>
                <w:sz w:val="20"/>
                <w:szCs w:val="20"/>
                <w:color w:val="auto"/>
              </w:rPr>
            </w:pPr>
            <w:r>
              <w:rPr>
                <w:rFonts w:ascii="Arial" w:cs="Arial" w:eastAsia="Arial" w:hAnsi="Arial"/>
                <w:sz w:val="16"/>
                <w:szCs w:val="16"/>
                <w:color w:val="auto"/>
              </w:rPr>
              <w:t>(215) 286-8011</w:t>
            </w:r>
          </w:p>
        </w:tc>
      </w:tr>
      <w:tr>
        <w:trPr>
          <w:trHeight w:val="216"/>
        </w:trPr>
        <w:tc>
          <w:tcPr>
            <w:tcW w:w="1980" w:type="dxa"/>
            <w:vAlign w:val="bottom"/>
          </w:tcPr>
          <w:p>
            <w:pPr>
              <w:spacing w:after="0"/>
              <w:rPr>
                <w:sz w:val="20"/>
                <w:szCs w:val="20"/>
                <w:color w:val="auto"/>
              </w:rPr>
            </w:pPr>
            <w:r>
              <w:rPr>
                <w:rFonts w:ascii="Arial" w:cs="Arial" w:eastAsia="Arial" w:hAnsi="Arial"/>
                <w:sz w:val="16"/>
                <w:szCs w:val="16"/>
                <w:color w:val="auto"/>
              </w:rPr>
              <w:t>Marc Kaplan</w:t>
            </w:r>
          </w:p>
        </w:tc>
        <w:tc>
          <w:tcPr>
            <w:tcW w:w="2560" w:type="dxa"/>
            <w:vAlign w:val="bottom"/>
          </w:tcPr>
          <w:p>
            <w:pPr>
              <w:jc w:val="right"/>
              <w:ind w:right="819"/>
              <w:spacing w:after="0"/>
              <w:rPr>
                <w:sz w:val="20"/>
                <w:szCs w:val="20"/>
                <w:color w:val="auto"/>
              </w:rPr>
            </w:pPr>
            <w:r>
              <w:rPr>
                <w:rFonts w:ascii="Arial" w:cs="Arial" w:eastAsia="Arial" w:hAnsi="Arial"/>
                <w:sz w:val="16"/>
                <w:szCs w:val="16"/>
                <w:color w:val="auto"/>
              </w:rPr>
              <w:t>(215) 286-6527</w:t>
            </w:r>
          </w:p>
        </w:tc>
        <w:tc>
          <w:tcPr>
            <w:tcW w:w="3480" w:type="dxa"/>
            <w:vAlign w:val="bottom"/>
          </w:tcPr>
          <w:p>
            <w:pPr>
              <w:spacing w:after="0"/>
              <w:rPr>
                <w:sz w:val="18"/>
                <w:szCs w:val="18"/>
                <w:color w:val="auto"/>
              </w:rPr>
            </w:pPr>
          </w:p>
        </w:tc>
        <w:tc>
          <w:tcPr>
            <w:tcW w:w="1760" w:type="dxa"/>
            <w:vAlign w:val="bottom"/>
          </w:tcPr>
          <w:p>
            <w:pPr>
              <w:spacing w:after="0"/>
              <w:rPr>
                <w:sz w:val="18"/>
                <w:szCs w:val="18"/>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 Concerning Forward-Looking Statements</w:t>
      </w:r>
    </w:p>
    <w:p>
      <w:pPr>
        <w:spacing w:after="0" w:line="2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This press release includes statements that may constitute forward-looking statements. Readers are cautioned not to place undue reliance on forward-looking statements, which speak only as of the date they are made, and involve risks and uncertainties that could cause actual events or our actual results to differ materially from those expressed in any such forward-looking statements. In evaluating these statements, readers should consider various factors, including the risks and uncertainties we describe in the “Risk Factors” sections of our most recent Annual Report on Form 10-K, our most recent Quarterly Report on Form 10-Q and other reports filed with the Securities and Exchange Commission (SEC). We undertake no obligation to update or revise publicly any forward-looking statements, whether because of new information, future events or otherwise.</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Comcast Corporation</w:t>
      </w:r>
    </w:p>
    <w:p>
      <w:pPr>
        <w:spacing w:after="0" w:line="5"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Comcast Corporation (Nasdaq: CMCSA) is a global media and technology company that connects people to moments that matter. We are principally focused on broadband, aggregation, and streaming with over 56 million customer relationships across the United States and Europe. We deliver broadband, wireless, and video through our Xfinity, Comcast Business, and Sky brands; create, distribute, and stream leading entertainment, sports, and news through Universal Filmed Entertainment Group, Universal Studio Group, Sky Studios, the NBC and Telemundo broadcast networks, multiple cable networks, Peacock, NBCUniversal News Group, NBC Sports, Sky News, and Sky Sports; and provide memorable experiences at Universal Parks and Resorts in the United States and Asia.</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Visit </w:t>
      </w:r>
      <w:r>
        <w:rPr>
          <w:rFonts w:ascii="Arial" w:cs="Arial" w:eastAsia="Arial" w:hAnsi="Arial"/>
          <w:sz w:val="16"/>
          <w:szCs w:val="16"/>
          <w:u w:val="single" w:color="auto"/>
          <w:color w:val="0000FF"/>
        </w:rPr>
        <w:t>www.comcastcorporation.com</w:t>
      </w:r>
      <w:r>
        <w:rPr>
          <w:rFonts w:ascii="Arial" w:cs="Arial" w:eastAsia="Arial" w:hAnsi="Arial"/>
          <w:sz w:val="16"/>
          <w:szCs w:val="16"/>
          <w:color w:val="auto"/>
        </w:rPr>
        <w:t xml:space="preserve"> for more information.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706" w:right="339" w:bottom="1440" w:gutter="0" w:footer="0" w:header="0"/>
        </w:sectPr>
      </w:pPr>
    </w:p>
    <w:bookmarkStart w:id="10" w:name="page11"/>
    <w:bookmarkEnd w:id="10"/>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6243320</wp:posOffset>
            </wp:positionH>
            <wp:positionV relativeFrom="page">
              <wp:posOffset>389255</wp:posOffset>
            </wp:positionV>
            <wp:extent cx="1028700" cy="4457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45770"/>
                    </a:xfrm>
                    <a:prstGeom prst="rect">
                      <a:avLst/>
                    </a:prstGeom>
                    <a:noFill/>
                  </pic:spPr>
                </pic:pic>
              </a:graphicData>
            </a:graphic>
          </wp:anchor>
        </w:drawing>
        <w:t>TABLE 1</w:t>
      </w: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Condensed Consolidated Statement of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0719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71995" cy="8890"/>
                    </a:xfrm>
                    <a:prstGeom prst="rect">
                      <a:avLst/>
                    </a:prstGeom>
                    <a:noFill/>
                  </pic:spPr>
                </pic:pic>
              </a:graphicData>
            </a:graphic>
          </wp:anchor>
        </w:drawing>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00" w:type="dxa"/>
            <w:vAlign w:val="bottom"/>
          </w:tcPr>
          <w:p>
            <w:pPr>
              <w:spacing w:after="0"/>
              <w:rPr>
                <w:sz w:val="18"/>
                <w:szCs w:val="18"/>
                <w:color w:val="auto"/>
              </w:rPr>
            </w:pPr>
          </w:p>
        </w:tc>
        <w:tc>
          <w:tcPr>
            <w:tcW w:w="2220" w:type="dxa"/>
            <w:vAlign w:val="bottom"/>
            <w:gridSpan w:val="4"/>
          </w:tcPr>
          <w:p>
            <w:pPr>
              <w:jc w:val="center"/>
              <w:spacing w:after="0"/>
              <w:rPr>
                <w:sz w:val="20"/>
                <w:szCs w:val="20"/>
                <w:color w:val="auto"/>
              </w:rPr>
            </w:pPr>
            <w:r>
              <w:rPr>
                <w:rFonts w:ascii="Arial" w:cs="Arial" w:eastAsia="Arial" w:hAnsi="Arial"/>
                <w:sz w:val="16"/>
                <w:szCs w:val="16"/>
                <w:b w:val="1"/>
                <w:bCs w:val="1"/>
                <w:color w:val="auto"/>
              </w:rPr>
              <w:t>Three Months Ended</w:t>
            </w:r>
          </w:p>
        </w:tc>
      </w:tr>
      <w:tr>
        <w:trPr>
          <w:trHeight w:val="216"/>
        </w:trPr>
        <w:tc>
          <w:tcPr>
            <w:tcW w:w="9000" w:type="dxa"/>
            <w:vAlign w:val="bottom"/>
          </w:tcPr>
          <w:p>
            <w:pPr>
              <w:spacing w:after="0"/>
              <w:rPr>
                <w:sz w:val="20"/>
                <w:szCs w:val="20"/>
                <w:color w:val="auto"/>
              </w:rPr>
            </w:pPr>
            <w:r>
              <w:rPr>
                <w:rFonts w:ascii="Arial" w:cs="Arial" w:eastAsia="Arial" w:hAnsi="Arial"/>
                <w:sz w:val="16"/>
                <w:szCs w:val="16"/>
                <w:color w:val="auto"/>
              </w:rPr>
              <w:t>(in millions, except per share data)</w:t>
            </w:r>
          </w:p>
        </w:tc>
        <w:tc>
          <w:tcPr>
            <w:tcW w:w="1500" w:type="dxa"/>
            <w:vAlign w:val="bottom"/>
            <w:gridSpan w:val="3"/>
          </w:tcPr>
          <w:p>
            <w:pPr>
              <w:jc w:val="center"/>
              <w:ind w:left="639"/>
              <w:spacing w:after="0"/>
              <w:rPr>
                <w:sz w:val="20"/>
                <w:szCs w:val="20"/>
                <w:color w:val="auto"/>
              </w:rPr>
            </w:pPr>
            <w:r>
              <w:rPr>
                <w:rFonts w:ascii="Arial" w:cs="Arial" w:eastAsia="Arial" w:hAnsi="Arial"/>
                <w:sz w:val="16"/>
                <w:szCs w:val="16"/>
                <w:b w:val="1"/>
                <w:bCs w:val="1"/>
                <w:color w:val="auto"/>
              </w:rPr>
              <w:t>March 31,</w:t>
            </w:r>
          </w:p>
        </w:tc>
        <w:tc>
          <w:tcPr>
            <w:tcW w:w="720" w:type="dxa"/>
            <w:vAlign w:val="bottom"/>
          </w:tcPr>
          <w:p>
            <w:pPr>
              <w:spacing w:after="0"/>
              <w:rPr>
                <w:sz w:val="18"/>
                <w:szCs w:val="18"/>
                <w:color w:val="auto"/>
              </w:rPr>
            </w:pPr>
          </w:p>
        </w:tc>
      </w:tr>
      <w:tr>
        <w:trPr>
          <w:trHeight w:val="216"/>
        </w:trPr>
        <w:tc>
          <w:tcPr>
            <w:tcW w:w="9000" w:type="dxa"/>
            <w:vAlign w:val="bottom"/>
          </w:tcPr>
          <w:p>
            <w:pPr>
              <w:spacing w:after="0"/>
              <w:rPr>
                <w:sz w:val="18"/>
                <w:szCs w:val="18"/>
                <w:color w:val="auto"/>
              </w:rPr>
            </w:pP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2020</w:t>
            </w:r>
          </w:p>
        </w:tc>
      </w:tr>
      <w:tr>
        <w:trPr>
          <w:trHeight w:val="214"/>
        </w:trPr>
        <w:tc>
          <w:tcPr>
            <w:tcW w:w="900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$27,205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$26,609</w:t>
            </w:r>
          </w:p>
        </w:tc>
      </w:tr>
      <w:tr>
        <w:trPr>
          <w:trHeight w:val="481"/>
        </w:trPr>
        <w:tc>
          <w:tcPr>
            <w:tcW w:w="9000" w:type="dxa"/>
            <w:vAlign w:val="bottom"/>
          </w:tcPr>
          <w:p>
            <w:pPr>
              <w:spacing w:after="0"/>
              <w:rPr>
                <w:sz w:val="20"/>
                <w:szCs w:val="20"/>
                <w:color w:val="auto"/>
              </w:rPr>
            </w:pPr>
            <w:r>
              <w:rPr>
                <w:rFonts w:ascii="Arial" w:cs="Arial" w:eastAsia="Arial" w:hAnsi="Arial"/>
                <w:sz w:val="16"/>
                <w:szCs w:val="16"/>
                <w:color w:val="auto"/>
              </w:rPr>
              <w:t>Costs and expenses</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9000" w:type="dxa"/>
            <w:vAlign w:val="bottom"/>
          </w:tcPr>
          <w:p>
            <w:pPr>
              <w:ind w:left="460"/>
              <w:spacing w:after="0"/>
              <w:rPr>
                <w:sz w:val="20"/>
                <w:szCs w:val="20"/>
                <w:color w:val="auto"/>
              </w:rPr>
            </w:pPr>
            <w:r>
              <w:rPr>
                <w:rFonts w:ascii="Arial" w:cs="Arial" w:eastAsia="Arial" w:hAnsi="Arial"/>
                <w:sz w:val="16"/>
                <w:szCs w:val="16"/>
                <w:color w:val="auto"/>
              </w:rPr>
              <w:t>Programming and production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8,919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8,301</w:t>
            </w:r>
          </w:p>
        </w:tc>
      </w:tr>
      <w:tr>
        <w:trPr>
          <w:trHeight w:val="216"/>
        </w:trPr>
        <w:tc>
          <w:tcPr>
            <w:tcW w:w="9000" w:type="dxa"/>
            <w:vAlign w:val="bottom"/>
          </w:tcPr>
          <w:p>
            <w:pPr>
              <w:ind w:left="460"/>
              <w:spacing w:after="0"/>
              <w:rPr>
                <w:sz w:val="20"/>
                <w:szCs w:val="20"/>
                <w:color w:val="auto"/>
              </w:rPr>
            </w:pPr>
            <w:r>
              <w:rPr>
                <w:rFonts w:ascii="Arial" w:cs="Arial" w:eastAsia="Arial" w:hAnsi="Arial"/>
                <w:sz w:val="16"/>
                <w:szCs w:val="16"/>
                <w:color w:val="auto"/>
              </w:rPr>
              <w:t>Other operating and administrative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8,269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8,254</w:t>
            </w:r>
          </w:p>
        </w:tc>
      </w:tr>
      <w:tr>
        <w:trPr>
          <w:trHeight w:val="216"/>
        </w:trPr>
        <w:tc>
          <w:tcPr>
            <w:tcW w:w="9000" w:type="dxa"/>
            <w:vAlign w:val="bottom"/>
          </w:tcPr>
          <w:p>
            <w:pPr>
              <w:ind w:left="460"/>
              <w:spacing w:after="0"/>
              <w:rPr>
                <w:sz w:val="20"/>
                <w:szCs w:val="20"/>
                <w:color w:val="auto"/>
              </w:rPr>
            </w:pPr>
            <w:r>
              <w:rPr>
                <w:rFonts w:ascii="Arial" w:cs="Arial" w:eastAsia="Arial" w:hAnsi="Arial"/>
                <w:sz w:val="16"/>
                <w:szCs w:val="16"/>
                <w:color w:val="auto"/>
              </w:rPr>
              <w:t>Advertising, marketing and promotion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1,616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1,938</w:t>
            </w:r>
          </w:p>
        </w:tc>
      </w:tr>
      <w:tr>
        <w:trPr>
          <w:trHeight w:val="216"/>
        </w:trPr>
        <w:tc>
          <w:tcPr>
            <w:tcW w:w="9000" w:type="dxa"/>
            <w:vAlign w:val="bottom"/>
          </w:tcPr>
          <w:p>
            <w:pPr>
              <w:ind w:left="460"/>
              <w:spacing w:after="0"/>
              <w:rPr>
                <w:sz w:val="20"/>
                <w:szCs w:val="20"/>
                <w:color w:val="auto"/>
              </w:rPr>
            </w:pPr>
            <w:r>
              <w:rPr>
                <w:rFonts w:ascii="Arial" w:cs="Arial" w:eastAsia="Arial" w:hAnsi="Arial"/>
                <w:sz w:val="16"/>
                <w:szCs w:val="16"/>
                <w:color w:val="auto"/>
              </w:rPr>
              <w:t>Depreciation</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2,117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2,107</w:t>
            </w:r>
          </w:p>
        </w:tc>
      </w:tr>
      <w:tr>
        <w:trPr>
          <w:trHeight w:val="219"/>
        </w:trPr>
        <w:tc>
          <w:tcPr>
            <w:tcW w:w="9000" w:type="dxa"/>
            <w:vAlign w:val="bottom"/>
          </w:tcPr>
          <w:p>
            <w:pPr>
              <w:ind w:left="460"/>
              <w:spacing w:after="0"/>
              <w:rPr>
                <w:sz w:val="20"/>
                <w:szCs w:val="20"/>
                <w:color w:val="auto"/>
              </w:rPr>
            </w:pPr>
            <w:r>
              <w:rPr>
                <w:rFonts w:ascii="Arial" w:cs="Arial" w:eastAsia="Arial" w:hAnsi="Arial"/>
                <w:sz w:val="16"/>
                <w:szCs w:val="16"/>
                <w:color w:val="auto"/>
              </w:rPr>
              <w:t>Amortization</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1,245</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1,157</w:t>
            </w:r>
          </w:p>
        </w:tc>
      </w:tr>
      <w:tr>
        <w:trPr>
          <w:trHeight w:val="212"/>
        </w:trPr>
        <w:tc>
          <w:tcPr>
            <w:tcW w:w="90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22,166</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21,757</w:t>
            </w:r>
          </w:p>
        </w:tc>
      </w:tr>
      <w:tr>
        <w:trPr>
          <w:trHeight w:val="407"/>
        </w:trPr>
        <w:tc>
          <w:tcPr>
            <w:tcW w:w="900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5,039</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4,852</w:t>
            </w:r>
          </w:p>
        </w:tc>
      </w:tr>
      <w:tr>
        <w:trPr>
          <w:trHeight w:val="486"/>
        </w:trPr>
        <w:tc>
          <w:tcPr>
            <w:tcW w:w="9000" w:type="dxa"/>
            <w:vAlign w:val="bottom"/>
          </w:tcPr>
          <w:p>
            <w:pPr>
              <w:spacing w:after="0"/>
              <w:rPr>
                <w:sz w:val="20"/>
                <w:szCs w:val="20"/>
                <w:color w:val="auto"/>
              </w:rPr>
            </w:pPr>
            <w:r>
              <w:rPr>
                <w:rFonts w:ascii="Arial" w:cs="Arial" w:eastAsia="Arial" w:hAnsi="Arial"/>
                <w:sz w:val="16"/>
                <w:szCs w:val="16"/>
                <w:color w:val="auto"/>
              </w:rPr>
              <w:t>Interest expense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(1,018)</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(1,212)</w:t>
            </w:r>
          </w:p>
        </w:tc>
      </w:tr>
      <w:tr>
        <w:trPr>
          <w:trHeight w:val="486"/>
        </w:trPr>
        <w:tc>
          <w:tcPr>
            <w:tcW w:w="9000" w:type="dxa"/>
            <w:vAlign w:val="bottom"/>
          </w:tcPr>
          <w:p>
            <w:pPr>
              <w:spacing w:after="0"/>
              <w:rPr>
                <w:sz w:val="20"/>
                <w:szCs w:val="20"/>
                <w:color w:val="auto"/>
              </w:rPr>
            </w:pPr>
            <w:r>
              <w:rPr>
                <w:rFonts w:ascii="Arial" w:cs="Arial" w:eastAsia="Arial" w:hAnsi="Arial"/>
                <w:sz w:val="16"/>
                <w:szCs w:val="16"/>
                <w:color w:val="auto"/>
              </w:rPr>
              <w:t>Investment and other income (loss), net</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9000" w:type="dxa"/>
            <w:vAlign w:val="bottom"/>
          </w:tcPr>
          <w:p>
            <w:pPr>
              <w:ind w:left="460"/>
              <w:spacing w:after="0"/>
              <w:rPr>
                <w:sz w:val="20"/>
                <w:szCs w:val="20"/>
                <w:color w:val="auto"/>
              </w:rPr>
            </w:pPr>
            <w:r>
              <w:rPr>
                <w:rFonts w:ascii="Arial" w:cs="Arial" w:eastAsia="Arial" w:hAnsi="Arial"/>
                <w:sz w:val="16"/>
                <w:szCs w:val="16"/>
                <w:color w:val="auto"/>
              </w:rPr>
              <w:t>Equity in net income (losses) of investees, net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136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(668)</w:t>
            </w:r>
          </w:p>
        </w:tc>
      </w:tr>
      <w:tr>
        <w:trPr>
          <w:trHeight w:val="216"/>
        </w:trPr>
        <w:tc>
          <w:tcPr>
            <w:tcW w:w="9000" w:type="dxa"/>
            <w:vAlign w:val="bottom"/>
          </w:tcPr>
          <w:p>
            <w:pPr>
              <w:ind w:left="460"/>
              <w:spacing w:after="0"/>
              <w:rPr>
                <w:sz w:val="20"/>
                <w:szCs w:val="20"/>
                <w:color w:val="auto"/>
              </w:rPr>
            </w:pPr>
            <w:r>
              <w:rPr>
                <w:rFonts w:ascii="Arial" w:cs="Arial" w:eastAsia="Arial" w:hAnsi="Arial"/>
                <w:sz w:val="16"/>
                <w:szCs w:val="16"/>
                <w:color w:val="auto"/>
              </w:rPr>
              <w:t>Realized and unrealized gains (losses) on equity securities, net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237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19"/>
        </w:trPr>
        <w:tc>
          <w:tcPr>
            <w:tcW w:w="9000" w:type="dxa"/>
            <w:vAlign w:val="bottom"/>
          </w:tcPr>
          <w:p>
            <w:pPr>
              <w:ind w:left="460"/>
              <w:spacing w:after="0"/>
              <w:rPr>
                <w:sz w:val="20"/>
                <w:szCs w:val="20"/>
                <w:color w:val="auto"/>
              </w:rPr>
            </w:pPr>
            <w:r>
              <w:rPr>
                <w:rFonts w:ascii="Arial" w:cs="Arial" w:eastAsia="Arial" w:hAnsi="Arial"/>
                <w:sz w:val="16"/>
                <w:szCs w:val="16"/>
                <w:color w:val="auto"/>
              </w:rPr>
              <w:t>Other income (loss), net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12"/>
        </w:trPr>
        <w:tc>
          <w:tcPr>
            <w:tcW w:w="90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390</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(716)</w:t>
            </w:r>
          </w:p>
        </w:tc>
      </w:tr>
      <w:tr>
        <w:trPr>
          <w:trHeight w:val="461"/>
        </w:trPr>
        <w:tc>
          <w:tcPr>
            <w:tcW w:w="900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4,411</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2,924</w:t>
            </w:r>
          </w:p>
        </w:tc>
      </w:tr>
      <w:tr>
        <w:trPr>
          <w:trHeight w:val="489"/>
        </w:trPr>
        <w:tc>
          <w:tcPr>
            <w:tcW w:w="9000" w:type="dxa"/>
            <w:vAlign w:val="bottom"/>
          </w:tcPr>
          <w:p>
            <w:pPr>
              <w:spacing w:after="0"/>
              <w:rPr>
                <w:sz w:val="20"/>
                <w:szCs w:val="20"/>
                <w:color w:val="auto"/>
              </w:rPr>
            </w:pPr>
            <w:r>
              <w:rPr>
                <w:rFonts w:ascii="Arial" w:cs="Arial" w:eastAsia="Arial" w:hAnsi="Arial"/>
                <w:sz w:val="16"/>
                <w:szCs w:val="16"/>
                <w:color w:val="auto"/>
              </w:rPr>
              <w:t>Income tax expense</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(1,119)</w:t>
            </w: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w:t>
            </w:r>
          </w:p>
        </w:tc>
      </w:tr>
      <w:tr>
        <w:trPr>
          <w:trHeight w:val="463"/>
        </w:trPr>
        <w:tc>
          <w:tcPr>
            <w:tcW w:w="900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3,292</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2,224</w:t>
            </w:r>
          </w:p>
        </w:tc>
      </w:tr>
      <w:tr>
        <w:trPr>
          <w:trHeight w:val="486"/>
        </w:trPr>
        <w:tc>
          <w:tcPr>
            <w:tcW w:w="9000" w:type="dxa"/>
            <w:vAlign w:val="bottom"/>
          </w:tcPr>
          <w:p>
            <w:pPr>
              <w:spacing w:after="0"/>
              <w:rPr>
                <w:sz w:val="20"/>
                <w:szCs w:val="20"/>
                <w:color w:val="auto"/>
              </w:rPr>
            </w:pPr>
            <w:r>
              <w:rPr>
                <w:rFonts w:ascii="Arial" w:cs="Arial" w:eastAsia="Arial" w:hAnsi="Arial"/>
                <w:sz w:val="16"/>
                <w:szCs w:val="16"/>
                <w:color w:val="auto"/>
              </w:rPr>
              <w:t>Less: Net income (loss) attributable to noncontrolling interests and redeemable subsidiary preferred stock</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(37)</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76"/>
        </w:trPr>
        <w:tc>
          <w:tcPr>
            <w:tcW w:w="90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r>
        <w:trPr>
          <w:trHeight w:val="210"/>
        </w:trPr>
        <w:tc>
          <w:tcPr>
            <w:tcW w:w="9000" w:type="dxa"/>
            <w:vAlign w:val="bottom"/>
          </w:tcPr>
          <w:p>
            <w:pPr>
              <w:spacing w:after="0"/>
              <w:rPr>
                <w:sz w:val="20"/>
                <w:szCs w:val="20"/>
                <w:color w:val="auto"/>
              </w:rPr>
            </w:pPr>
            <w:r>
              <w:rPr>
                <w:rFonts w:ascii="Arial" w:cs="Arial" w:eastAsia="Arial" w:hAnsi="Arial"/>
                <w:sz w:val="16"/>
                <w:szCs w:val="16"/>
                <w:b w:val="1"/>
                <w:bCs w:val="1"/>
                <w:color w:val="auto"/>
              </w:rPr>
              <w:t>Net income attributable to Comcast Corporation</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$3,329</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$2,147</w:t>
            </w:r>
          </w:p>
        </w:tc>
      </w:tr>
      <w:tr>
        <w:trPr>
          <w:trHeight w:val="20"/>
        </w:trPr>
        <w:tc>
          <w:tcPr>
            <w:tcW w:w="90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601"/>
        </w:trPr>
        <w:tc>
          <w:tcPr>
            <w:tcW w:w="9000" w:type="dxa"/>
            <w:vAlign w:val="bottom"/>
          </w:tcPr>
          <w:p>
            <w:pPr>
              <w:spacing w:after="0"/>
              <w:rPr>
                <w:sz w:val="20"/>
                <w:szCs w:val="20"/>
                <w:color w:val="auto"/>
              </w:rPr>
            </w:pPr>
            <w:r>
              <w:rPr>
                <w:rFonts w:ascii="Arial" w:cs="Arial" w:eastAsia="Arial" w:hAnsi="Arial"/>
                <w:sz w:val="16"/>
                <w:szCs w:val="16"/>
                <w:b w:val="1"/>
                <w:bCs w:val="1"/>
                <w:color w:val="auto"/>
              </w:rPr>
              <w:t>Diluted earnings per common share attributable to Comcast Corporation shareholders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$0.71</w:t>
            </w: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$0.46</w:t>
            </w:r>
          </w:p>
        </w:tc>
      </w:tr>
      <w:tr>
        <w:trPr>
          <w:trHeight w:val="20"/>
        </w:trPr>
        <w:tc>
          <w:tcPr>
            <w:tcW w:w="90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453"/>
        </w:trPr>
        <w:tc>
          <w:tcPr>
            <w:tcW w:w="9000" w:type="dxa"/>
            <w:vAlign w:val="bottom"/>
          </w:tcPr>
          <w:p>
            <w:pPr>
              <w:spacing w:after="0"/>
              <w:rPr>
                <w:sz w:val="20"/>
                <w:szCs w:val="20"/>
                <w:color w:val="auto"/>
              </w:rPr>
            </w:pPr>
            <w:r>
              <w:rPr>
                <w:rFonts w:ascii="Arial" w:cs="Arial" w:eastAsia="Arial" w:hAnsi="Arial"/>
                <w:sz w:val="16"/>
                <w:szCs w:val="16"/>
                <w:color w:val="auto"/>
              </w:rPr>
              <w:t>Diluted weighted-average number of common shares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4,665</w:t>
            </w: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4,617</w:t>
            </w:r>
          </w:p>
        </w:tc>
      </w:tr>
      <w:tr>
        <w:trPr>
          <w:trHeight w:val="20"/>
        </w:trPr>
        <w:tc>
          <w:tcPr>
            <w:tcW w:w="90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20"/>
          </w:cols>
          <w:pgMar w:left="340" w:top="838" w:right="339" w:bottom="1440" w:gutter="0" w:footer="0" w:header="0"/>
        </w:sectPr>
      </w:pPr>
    </w:p>
    <w:bookmarkStart w:id="11" w:name="page12"/>
    <w:bookmarkEnd w:id="11"/>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6303010</wp:posOffset>
            </wp:positionH>
            <wp:positionV relativeFrom="page">
              <wp:posOffset>414655</wp:posOffset>
            </wp:positionV>
            <wp:extent cx="1028700" cy="4457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45770"/>
                    </a:xfrm>
                    <a:prstGeom prst="rect">
                      <a:avLst/>
                    </a:prstGeom>
                    <a:noFill/>
                  </pic:spPr>
                </pic:pic>
              </a:graphicData>
            </a:graphic>
          </wp:anchor>
        </w:drawing>
        <w:t>TABLE 2</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Consolidated Statement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900" w:type="dxa"/>
            <w:vAlign w:val="bottom"/>
          </w:tcPr>
          <w:p>
            <w:pPr>
              <w:spacing w:after="0"/>
              <w:rPr>
                <w:sz w:val="18"/>
                <w:szCs w:val="18"/>
                <w:color w:val="auto"/>
              </w:rPr>
            </w:pPr>
          </w:p>
        </w:tc>
        <w:tc>
          <w:tcPr>
            <w:tcW w:w="2320" w:type="dxa"/>
            <w:vAlign w:val="bottom"/>
            <w:gridSpan w:val="4"/>
          </w:tcPr>
          <w:p>
            <w:pPr>
              <w:jc w:val="center"/>
              <w:spacing w:after="0"/>
              <w:rPr>
                <w:sz w:val="20"/>
                <w:szCs w:val="20"/>
                <w:color w:val="auto"/>
              </w:rPr>
            </w:pPr>
            <w:r>
              <w:rPr>
                <w:rFonts w:ascii="Arial" w:cs="Arial" w:eastAsia="Arial" w:hAnsi="Arial"/>
                <w:sz w:val="16"/>
                <w:szCs w:val="16"/>
                <w:b w:val="1"/>
                <w:bCs w:val="1"/>
                <w:color w:val="auto"/>
              </w:rPr>
              <w:t>Three Months Ended</w:t>
            </w:r>
          </w:p>
        </w:tc>
      </w:tr>
      <w:tr>
        <w:trPr>
          <w:trHeight w:val="216"/>
        </w:trPr>
        <w:tc>
          <w:tcPr>
            <w:tcW w:w="8900" w:type="dxa"/>
            <w:vAlign w:val="bottom"/>
          </w:tcPr>
          <w:p>
            <w:pPr>
              <w:spacing w:after="0"/>
              <w:rPr>
                <w:sz w:val="20"/>
                <w:szCs w:val="20"/>
                <w:color w:val="auto"/>
              </w:rPr>
            </w:pPr>
            <w:r>
              <w:rPr>
                <w:rFonts w:ascii="Arial" w:cs="Arial" w:eastAsia="Arial" w:hAnsi="Arial"/>
                <w:sz w:val="16"/>
                <w:szCs w:val="16"/>
                <w:color w:val="auto"/>
              </w:rPr>
              <w:t>(in millions)</w:t>
            </w:r>
          </w:p>
        </w:tc>
        <w:tc>
          <w:tcPr>
            <w:tcW w:w="1580" w:type="dxa"/>
            <w:vAlign w:val="bottom"/>
            <w:gridSpan w:val="3"/>
          </w:tcPr>
          <w:p>
            <w:pPr>
              <w:jc w:val="center"/>
              <w:ind w:left="659"/>
              <w:spacing w:after="0"/>
              <w:rPr>
                <w:sz w:val="20"/>
                <w:szCs w:val="20"/>
                <w:color w:val="auto"/>
              </w:rPr>
            </w:pPr>
            <w:r>
              <w:rPr>
                <w:rFonts w:ascii="Arial" w:cs="Arial" w:eastAsia="Arial" w:hAnsi="Arial"/>
                <w:sz w:val="16"/>
                <w:szCs w:val="16"/>
                <w:b w:val="1"/>
                <w:bCs w:val="1"/>
                <w:color w:val="auto"/>
              </w:rPr>
              <w:t>March 31,</w:t>
            </w:r>
          </w:p>
        </w:tc>
        <w:tc>
          <w:tcPr>
            <w:tcW w:w="740" w:type="dxa"/>
            <w:vAlign w:val="bottom"/>
          </w:tcPr>
          <w:p>
            <w:pPr>
              <w:spacing w:after="0"/>
              <w:rPr>
                <w:sz w:val="18"/>
                <w:szCs w:val="18"/>
                <w:color w:val="auto"/>
              </w:rPr>
            </w:pPr>
          </w:p>
        </w:tc>
      </w:tr>
      <w:tr>
        <w:trPr>
          <w:trHeight w:val="216"/>
        </w:trPr>
        <w:tc>
          <w:tcPr>
            <w:tcW w:w="8900" w:type="dxa"/>
            <w:vAlign w:val="bottom"/>
          </w:tcPr>
          <w:p>
            <w:pPr>
              <w:spacing w:after="0"/>
              <w:rPr>
                <w:sz w:val="18"/>
                <w:szCs w:val="18"/>
                <w:color w:val="auto"/>
              </w:rPr>
            </w:pP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2020</w:t>
            </w:r>
          </w:p>
        </w:tc>
      </w:tr>
      <w:tr>
        <w:trPr>
          <w:trHeight w:val="412"/>
        </w:trPr>
        <w:tc>
          <w:tcPr>
            <w:tcW w:w="8900" w:type="dxa"/>
            <w:vAlign w:val="bottom"/>
          </w:tcPr>
          <w:p>
            <w:pPr>
              <w:spacing w:after="0"/>
              <w:rPr>
                <w:sz w:val="20"/>
                <w:szCs w:val="20"/>
                <w:color w:val="auto"/>
              </w:rPr>
            </w:pPr>
            <w:r>
              <w:rPr>
                <w:rFonts w:ascii="Arial" w:cs="Arial" w:eastAsia="Arial" w:hAnsi="Arial"/>
                <w:sz w:val="16"/>
                <w:szCs w:val="16"/>
                <w:b w:val="1"/>
                <w:bCs w:val="1"/>
                <w:color w:val="auto"/>
              </w:rPr>
              <w:t>OPERATING ACTIVITIES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$3,292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$2,224</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Depreciation and amortization</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3,362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3,264</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Share-based compensation</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373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298</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Noncash interest expense (income),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227</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Net (gain) loss on investment activity and other</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(239)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791</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Deferred income taxes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Changes in operating assets and liabilities, net of effects of acquisitions and divestitures: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Current and noncurrent receivables,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554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198</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Film and television costs, net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393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6"/>
        </w:trPr>
        <w:tc>
          <w:tcPr>
            <w:tcW w:w="8900" w:type="dxa"/>
            <w:vAlign w:val="bottom"/>
          </w:tcPr>
          <w:p>
            <w:pPr>
              <w:ind w:left="540"/>
              <w:spacing w:after="0"/>
              <w:rPr>
                <w:sz w:val="20"/>
                <w:szCs w:val="20"/>
                <w:color w:val="auto"/>
              </w:rPr>
            </w:pPr>
            <w:r>
              <w:rPr>
                <w:rFonts w:ascii="Arial" w:cs="Arial" w:eastAsia="Arial" w:hAnsi="Arial"/>
                <w:sz w:val="16"/>
                <w:szCs w:val="16"/>
                <w:color w:val="auto"/>
              </w:rPr>
              <w:t>Accounts payable and accrued expenses related to trade creditors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(198)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(727)</w:t>
            </w:r>
          </w:p>
        </w:tc>
      </w:tr>
      <w:tr>
        <w:trPr>
          <w:trHeight w:val="219"/>
        </w:trPr>
        <w:tc>
          <w:tcPr>
            <w:tcW w:w="8900" w:type="dxa"/>
            <w:vAlign w:val="bottom"/>
          </w:tcPr>
          <w:p>
            <w:pPr>
              <w:ind w:left="540"/>
              <w:spacing w:after="0"/>
              <w:rPr>
                <w:sz w:val="20"/>
                <w:szCs w:val="20"/>
                <w:color w:val="auto"/>
              </w:rPr>
            </w:pPr>
            <w:r>
              <w:rPr>
                <w:rFonts w:ascii="Arial" w:cs="Arial" w:eastAsia="Arial" w:hAnsi="Arial"/>
                <w:sz w:val="16"/>
                <w:szCs w:val="16"/>
                <w:color w:val="auto"/>
              </w:rPr>
              <w:t>Other operating assets and liabilities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124</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w:t>
            </w:r>
          </w:p>
        </w:tc>
      </w:tr>
      <w:tr>
        <w:trPr>
          <w:trHeight w:val="409"/>
        </w:trPr>
        <w:tc>
          <w:tcPr>
            <w:tcW w:w="8900" w:type="dxa"/>
            <w:vAlign w:val="bottom"/>
          </w:tcPr>
          <w:p>
            <w:pPr>
              <w:ind w:left="980"/>
              <w:spacing w:after="0"/>
              <w:rPr>
                <w:sz w:val="20"/>
                <w:szCs w:val="20"/>
                <w:color w:val="auto"/>
              </w:rPr>
            </w:pPr>
            <w:r>
              <w:rPr>
                <w:rFonts w:ascii="Arial" w:cs="Arial" w:eastAsia="Arial" w:hAnsi="Arial"/>
                <w:sz w:val="16"/>
                <w:szCs w:val="16"/>
                <w:color w:val="auto"/>
              </w:rPr>
              <w:t>Net cash provided by operating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7,751</w:t>
            </w: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5,824</w:t>
            </w:r>
          </w:p>
        </w:tc>
      </w:tr>
      <w:tr>
        <w:trPr>
          <w:trHeight w:val="412"/>
        </w:trPr>
        <w:tc>
          <w:tcPr>
            <w:tcW w:w="890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Capital expenditures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(1,859)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(1,881)</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Cash paid for intangible assets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(612)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(618)</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Construction of Universal Beijing Resort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(428)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(371)</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Acquisitions, net of cash acquired</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(147)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(194)</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Proceeds from sales of businesses and investments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388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Purchases of investments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(52)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19"/>
        </w:trPr>
        <w:tc>
          <w:tcPr>
            <w:tcW w:w="8900" w:type="dxa"/>
            <w:vAlign w:val="bottom"/>
          </w:tcPr>
          <w:p>
            <w:pPr>
              <w:ind w:left="20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409"/>
        </w:trPr>
        <w:tc>
          <w:tcPr>
            <w:tcW w:w="8900" w:type="dxa"/>
            <w:vAlign w:val="bottom"/>
          </w:tcPr>
          <w:p>
            <w:pPr>
              <w:ind w:left="980"/>
              <w:spacing w:after="0"/>
              <w:rPr>
                <w:sz w:val="20"/>
                <w:szCs w:val="20"/>
                <w:color w:val="auto"/>
              </w:rPr>
            </w:pPr>
            <w:r>
              <w:rPr>
                <w:rFonts w:ascii="Arial" w:cs="Arial" w:eastAsia="Arial" w:hAnsi="Arial"/>
                <w:sz w:val="16"/>
                <w:szCs w:val="16"/>
                <w:color w:val="auto"/>
              </w:rPr>
              <w:t>Net cash provided by (used in) investing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(2,612)</w:t>
            </w: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(3,101)</w:t>
            </w:r>
          </w:p>
        </w:tc>
      </w:tr>
      <w:tr>
        <w:trPr>
          <w:trHeight w:val="412"/>
        </w:trPr>
        <w:tc>
          <w:tcPr>
            <w:tcW w:w="890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Proceeds from borrowings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192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9,281</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Repurchases and repayments of debt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(124)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(7,439)</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Repurchases of common stock under employee plans</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(309)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(233)</w:t>
            </w:r>
          </w:p>
        </w:tc>
      </w:tr>
      <w:tr>
        <w:trPr>
          <w:trHeight w:val="216"/>
        </w:trPr>
        <w:tc>
          <w:tcPr>
            <w:tcW w:w="8900" w:type="dxa"/>
            <w:vAlign w:val="bottom"/>
          </w:tcPr>
          <w:p>
            <w:pPr>
              <w:ind w:left="200"/>
              <w:spacing w:after="0"/>
              <w:rPr>
                <w:sz w:val="20"/>
                <w:szCs w:val="20"/>
                <w:color w:val="auto"/>
              </w:rPr>
            </w:pPr>
            <w:r>
              <w:rPr>
                <w:rFonts w:ascii="Arial" w:cs="Arial" w:eastAsia="Arial" w:hAnsi="Arial"/>
                <w:sz w:val="16"/>
                <w:szCs w:val="16"/>
                <w:color w:val="auto"/>
              </w:rPr>
              <w:t>Dividends paid</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(1,080)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(977)</w:t>
            </w:r>
          </w:p>
        </w:tc>
      </w:tr>
      <w:tr>
        <w:trPr>
          <w:trHeight w:val="219"/>
        </w:trPr>
        <w:tc>
          <w:tcPr>
            <w:tcW w:w="8900" w:type="dxa"/>
            <w:vAlign w:val="bottom"/>
          </w:tcPr>
          <w:p>
            <w:pPr>
              <w:ind w:left="20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(577)</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w:t>
            </w:r>
          </w:p>
        </w:tc>
      </w:tr>
      <w:tr>
        <w:trPr>
          <w:trHeight w:val="412"/>
        </w:trPr>
        <w:tc>
          <w:tcPr>
            <w:tcW w:w="8900" w:type="dxa"/>
            <w:vAlign w:val="bottom"/>
          </w:tcPr>
          <w:p>
            <w:pPr>
              <w:ind w:left="980"/>
              <w:spacing w:after="0"/>
              <w:rPr>
                <w:sz w:val="20"/>
                <w:szCs w:val="20"/>
                <w:color w:val="auto"/>
              </w:rPr>
            </w:pPr>
            <w:r>
              <w:rPr>
                <w:rFonts w:ascii="Arial" w:cs="Arial" w:eastAsia="Arial" w:hAnsi="Arial"/>
                <w:sz w:val="16"/>
                <w:szCs w:val="16"/>
                <w:color w:val="auto"/>
              </w:rPr>
              <w:t>Net cash provided by (used in) financing activities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(1,898)</w:t>
            </w: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w:t>
            </w:r>
          </w:p>
        </w:tc>
      </w:tr>
      <w:tr>
        <w:trPr>
          <w:trHeight w:val="409"/>
        </w:trPr>
        <w:tc>
          <w:tcPr>
            <w:tcW w:w="8900" w:type="dxa"/>
            <w:vAlign w:val="bottom"/>
          </w:tcPr>
          <w:p>
            <w:pPr>
              <w:spacing w:after="0"/>
              <w:rPr>
                <w:sz w:val="20"/>
                <w:szCs w:val="20"/>
                <w:color w:val="auto"/>
              </w:rPr>
            </w:pPr>
            <w:r>
              <w:rPr>
                <w:rFonts w:ascii="Arial" w:cs="Arial" w:eastAsia="Arial" w:hAnsi="Arial"/>
                <w:sz w:val="16"/>
                <w:szCs w:val="16"/>
                <w:color w:val="auto"/>
              </w:rPr>
              <w:t>Impact of foreign currency on cash, cash equivalents and restricted cash</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(33)</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432"/>
        </w:trPr>
        <w:tc>
          <w:tcPr>
            <w:tcW w:w="8900" w:type="dxa"/>
            <w:vAlign w:val="bottom"/>
          </w:tcPr>
          <w:p>
            <w:pPr>
              <w:spacing w:after="0"/>
              <w:rPr>
                <w:sz w:val="20"/>
                <w:szCs w:val="20"/>
                <w:color w:val="auto"/>
              </w:rPr>
            </w:pPr>
            <w:r>
              <w:rPr>
                <w:rFonts w:ascii="Arial" w:cs="Arial" w:eastAsia="Arial" w:hAnsi="Arial"/>
                <w:sz w:val="16"/>
                <w:szCs w:val="16"/>
                <w:color w:val="auto"/>
              </w:rPr>
              <w:t>Increase (decrease) in cash, cash equivalents and restricted cash</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3,208</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3,020</w:t>
            </w:r>
          </w:p>
        </w:tc>
      </w:tr>
      <w:tr>
        <w:trPr>
          <w:trHeight w:val="435"/>
        </w:trPr>
        <w:tc>
          <w:tcPr>
            <w:tcW w:w="8900" w:type="dxa"/>
            <w:vAlign w:val="bottom"/>
          </w:tcPr>
          <w:p>
            <w:pPr>
              <w:spacing w:after="0"/>
              <w:rPr>
                <w:sz w:val="20"/>
                <w:szCs w:val="20"/>
                <w:color w:val="auto"/>
              </w:rPr>
            </w:pPr>
            <w:r>
              <w:rPr>
                <w:rFonts w:ascii="Arial" w:cs="Arial" w:eastAsia="Arial" w:hAnsi="Arial"/>
                <w:sz w:val="16"/>
                <w:szCs w:val="16"/>
                <w:color w:val="auto"/>
              </w:rPr>
              <w:t>Cash, cash equivalents and restricted cash, beginning of period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11,768</w:t>
            </w: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5,589</w:t>
            </w:r>
          </w:p>
        </w:tc>
      </w:tr>
      <w:tr>
        <w:trPr>
          <w:trHeight w:val="415"/>
        </w:trPr>
        <w:tc>
          <w:tcPr>
            <w:tcW w:w="8900" w:type="dxa"/>
            <w:vAlign w:val="bottom"/>
          </w:tcPr>
          <w:p>
            <w:pPr>
              <w:spacing w:after="0"/>
              <w:rPr>
                <w:sz w:val="20"/>
                <w:szCs w:val="20"/>
                <w:color w:val="auto"/>
              </w:rPr>
            </w:pPr>
            <w:r>
              <w:rPr>
                <w:rFonts w:ascii="Arial" w:cs="Arial" w:eastAsia="Arial" w:hAnsi="Arial"/>
                <w:sz w:val="16"/>
                <w:szCs w:val="16"/>
                <w:b w:val="1"/>
                <w:bCs w:val="1"/>
                <w:color w:val="auto"/>
              </w:rPr>
              <w:t>Cash, cash equivalents and restricted cash, end of period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$14,976</w:t>
            </w: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$8,609</w:t>
            </w:r>
          </w:p>
        </w:tc>
      </w:tr>
      <w:tr>
        <w:trPr>
          <w:trHeight w:val="21"/>
        </w:trPr>
        <w:tc>
          <w:tcPr>
            <w:tcW w:w="8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20"/>
          </w:cols>
          <w:pgMar w:left="340" w:top="879" w:right="339" w:bottom="1440" w:gutter="0" w:footer="0" w:header="0"/>
        </w:sectPr>
      </w:pPr>
    </w:p>
    <w:bookmarkStart w:id="12" w:name="page13"/>
    <w:bookmarkEnd w:id="12"/>
    <w:p>
      <w:pPr>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6303010</wp:posOffset>
            </wp:positionH>
            <wp:positionV relativeFrom="page">
              <wp:posOffset>389255</wp:posOffset>
            </wp:positionV>
            <wp:extent cx="1028700" cy="4457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45770"/>
                    </a:xfrm>
                    <a:prstGeom prst="rect">
                      <a:avLst/>
                    </a:prstGeom>
                    <a:noFill/>
                  </pic:spPr>
                </pic:pic>
              </a:graphicData>
            </a:graphic>
          </wp:anchor>
        </w:drawing>
        <w:t>TABLE 3</w:t>
      </w: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Condensed Consolidated Balance Sheet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(in millions)</w:t>
            </w:r>
          </w:p>
        </w:tc>
        <w:tc>
          <w:tcPr>
            <w:tcW w:w="1840" w:type="dxa"/>
            <w:vAlign w:val="bottom"/>
            <w:gridSpan w:val="2"/>
          </w:tcPr>
          <w:p>
            <w:pPr>
              <w:ind w:left="380"/>
              <w:spacing w:after="0"/>
              <w:rPr>
                <w:sz w:val="20"/>
                <w:szCs w:val="20"/>
                <w:color w:val="auto"/>
              </w:rPr>
            </w:pPr>
            <w:r>
              <w:rPr>
                <w:rFonts w:ascii="Arial" w:cs="Arial" w:eastAsia="Arial" w:hAnsi="Arial"/>
                <w:sz w:val="18"/>
                <w:szCs w:val="18"/>
                <w:b w:val="1"/>
                <w:bCs w:val="1"/>
                <w:color w:val="auto"/>
              </w:rPr>
              <w:t>March 31,</w:t>
            </w:r>
          </w:p>
        </w:tc>
        <w:tc>
          <w:tcPr>
            <w:tcW w:w="1600" w:type="dxa"/>
            <w:vAlign w:val="bottom"/>
          </w:tcPr>
          <w:p>
            <w:pPr>
              <w:jc w:val="right"/>
              <w:ind w:right="15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9"/>
        </w:trPr>
        <w:tc>
          <w:tcPr>
            <w:tcW w:w="77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6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16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09"/>
        </w:trPr>
        <w:tc>
          <w:tcPr>
            <w:tcW w:w="7780" w:type="dxa"/>
            <w:vAlign w:val="bottom"/>
            <w:vMerge w:val="continue"/>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780" w:type="dxa"/>
            <w:vAlign w:val="bottom"/>
          </w:tcPr>
          <w:p>
            <w:pPr>
              <w:spacing w:after="0"/>
              <w:rPr>
                <w:sz w:val="20"/>
                <w:szCs w:val="20"/>
                <w:color w:val="auto"/>
              </w:rPr>
            </w:pPr>
            <w:r>
              <w:rPr>
                <w:rFonts w:ascii="Arial" w:cs="Arial" w:eastAsia="Arial" w:hAnsi="Arial"/>
                <w:sz w:val="18"/>
                <w:szCs w:val="18"/>
                <w:color w:val="auto"/>
              </w:rPr>
              <w:t>Current Assets</w:t>
            </w:r>
          </w:p>
        </w:tc>
        <w:tc>
          <w:tcPr>
            <w:tcW w:w="1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$14,950</w:t>
            </w: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78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16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$11,740</w:t>
            </w:r>
          </w:p>
        </w:tc>
        <w:tc>
          <w:tcPr>
            <w:tcW w:w="0" w:type="dxa"/>
            <w:vAlign w:val="bottom"/>
          </w:tcPr>
          <w:p>
            <w:pPr>
              <w:spacing w:after="0"/>
              <w:rPr>
                <w:sz w:val="1"/>
                <w:szCs w:val="1"/>
                <w:color w:val="auto"/>
              </w:rPr>
            </w:pPr>
          </w:p>
        </w:tc>
      </w:tr>
      <w:tr>
        <w:trPr>
          <w:trHeight w:val="229"/>
        </w:trPr>
        <w:tc>
          <w:tcPr>
            <w:tcW w:w="778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10,986</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11,466</w:t>
            </w:r>
          </w:p>
        </w:tc>
        <w:tc>
          <w:tcPr>
            <w:tcW w:w="0" w:type="dxa"/>
            <w:vAlign w:val="bottom"/>
          </w:tcPr>
          <w:p>
            <w:pPr>
              <w:spacing w:after="0"/>
              <w:rPr>
                <w:sz w:val="1"/>
                <w:szCs w:val="1"/>
                <w:color w:val="auto"/>
              </w:rPr>
            </w:pPr>
          </w:p>
        </w:tc>
      </w:tr>
      <w:tr>
        <w:trPr>
          <w:trHeight w:val="239"/>
        </w:trPr>
        <w:tc>
          <w:tcPr>
            <w:tcW w:w="778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3,502</w:t>
            </w:r>
          </w:p>
        </w:tc>
        <w:tc>
          <w:tcPr>
            <w:tcW w:w="240" w:type="dxa"/>
            <w:vAlign w:val="bottom"/>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3,535</w:t>
            </w:r>
          </w:p>
        </w:tc>
        <w:tc>
          <w:tcPr>
            <w:tcW w:w="0" w:type="dxa"/>
            <w:vAlign w:val="bottom"/>
          </w:tcPr>
          <w:p>
            <w:pPr>
              <w:spacing w:after="0"/>
              <w:rPr>
                <w:sz w:val="1"/>
                <w:szCs w:val="1"/>
                <w:color w:val="auto"/>
              </w:rPr>
            </w:pPr>
          </w:p>
        </w:tc>
      </w:tr>
      <w:tr>
        <w:trPr>
          <w:trHeight w:val="223"/>
        </w:trPr>
        <w:tc>
          <w:tcPr>
            <w:tcW w:w="7780" w:type="dxa"/>
            <w:vAlign w:val="bottom"/>
          </w:tcPr>
          <w:p>
            <w:pPr>
              <w:ind w:left="460"/>
              <w:spacing w:after="0"/>
              <w:rPr>
                <w:sz w:val="20"/>
                <w:szCs w:val="20"/>
                <w:color w:val="auto"/>
              </w:rPr>
            </w:pPr>
            <w:r>
              <w:rPr>
                <w:rFonts w:ascii="Arial" w:cs="Arial" w:eastAsia="Arial" w:hAnsi="Arial"/>
                <w:sz w:val="18"/>
                <w:szCs w:val="18"/>
                <w:color w:val="auto"/>
              </w:rPr>
              <w:t>Total current assets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29,438</w:t>
            </w:r>
          </w:p>
        </w:tc>
        <w:tc>
          <w:tcPr>
            <w:tcW w:w="24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26,741</w:t>
            </w:r>
          </w:p>
        </w:tc>
        <w:tc>
          <w:tcPr>
            <w:tcW w:w="0" w:type="dxa"/>
            <w:vAlign w:val="bottom"/>
          </w:tcPr>
          <w:p>
            <w:pPr>
              <w:spacing w:after="0"/>
              <w:rPr>
                <w:sz w:val="1"/>
                <w:szCs w:val="1"/>
                <w:color w:val="auto"/>
              </w:rPr>
            </w:pPr>
          </w:p>
        </w:tc>
      </w:tr>
      <w:tr>
        <w:trPr>
          <w:trHeight w:val="426"/>
        </w:trPr>
        <w:tc>
          <w:tcPr>
            <w:tcW w:w="778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12,983</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13,340</w:t>
            </w:r>
          </w:p>
        </w:tc>
        <w:tc>
          <w:tcPr>
            <w:tcW w:w="0" w:type="dxa"/>
            <w:vAlign w:val="bottom"/>
          </w:tcPr>
          <w:p>
            <w:pPr>
              <w:spacing w:after="0"/>
              <w:rPr>
                <w:sz w:val="1"/>
                <w:szCs w:val="1"/>
                <w:color w:val="auto"/>
              </w:rPr>
            </w:pPr>
          </w:p>
        </w:tc>
      </w:tr>
      <w:tr>
        <w:trPr>
          <w:trHeight w:val="445"/>
        </w:trPr>
        <w:tc>
          <w:tcPr>
            <w:tcW w:w="7780" w:type="dxa"/>
            <w:vAlign w:val="bottom"/>
          </w:tcPr>
          <w:p>
            <w:pPr>
              <w:spacing w:after="0"/>
              <w:rPr>
                <w:sz w:val="20"/>
                <w:szCs w:val="20"/>
                <w:color w:val="auto"/>
              </w:rPr>
            </w:pPr>
            <w:r>
              <w:rPr>
                <w:rFonts w:ascii="Arial" w:cs="Arial" w:eastAsia="Arial" w:hAnsi="Arial"/>
                <w:sz w:val="18"/>
                <w:szCs w:val="18"/>
                <w:color w:val="auto"/>
              </w:rPr>
              <w:t>Investments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7,889</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7,820</w:t>
            </w:r>
          </w:p>
        </w:tc>
        <w:tc>
          <w:tcPr>
            <w:tcW w:w="0" w:type="dxa"/>
            <w:vAlign w:val="bottom"/>
          </w:tcPr>
          <w:p>
            <w:pPr>
              <w:spacing w:after="0"/>
              <w:rPr>
                <w:sz w:val="1"/>
                <w:szCs w:val="1"/>
                <w:color w:val="auto"/>
              </w:rPr>
            </w:pPr>
          </w:p>
        </w:tc>
      </w:tr>
      <w:tr>
        <w:trPr>
          <w:trHeight w:val="446"/>
        </w:trPr>
        <w:tc>
          <w:tcPr>
            <w:tcW w:w="7780" w:type="dxa"/>
            <w:vAlign w:val="bottom"/>
          </w:tcPr>
          <w:p>
            <w:pPr>
              <w:spacing w:after="0"/>
              <w:rPr>
                <w:sz w:val="20"/>
                <w:szCs w:val="20"/>
                <w:color w:val="auto"/>
              </w:rPr>
            </w:pPr>
            <w:r>
              <w:rPr>
                <w:rFonts w:ascii="Arial" w:cs="Arial" w:eastAsia="Arial" w:hAnsi="Arial"/>
                <w:sz w:val="18"/>
                <w:szCs w:val="18"/>
                <w:color w:val="auto"/>
              </w:rPr>
              <w:t>Investment securing collateralized obligation</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487</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446"/>
        </w:trPr>
        <w:tc>
          <w:tcPr>
            <w:tcW w:w="77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52,317</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51,995</w:t>
            </w:r>
          </w:p>
        </w:tc>
        <w:tc>
          <w:tcPr>
            <w:tcW w:w="0" w:type="dxa"/>
            <w:vAlign w:val="bottom"/>
          </w:tcPr>
          <w:p>
            <w:pPr>
              <w:spacing w:after="0"/>
              <w:rPr>
                <w:sz w:val="1"/>
                <w:szCs w:val="1"/>
                <w:color w:val="auto"/>
              </w:rPr>
            </w:pPr>
          </w:p>
        </w:tc>
      </w:tr>
      <w:tr>
        <w:trPr>
          <w:trHeight w:val="445"/>
        </w:trPr>
        <w:tc>
          <w:tcPr>
            <w:tcW w:w="7780" w:type="dxa"/>
            <w:vAlign w:val="bottom"/>
          </w:tcPr>
          <w:p>
            <w:pPr>
              <w:spacing w:after="0"/>
              <w:rPr>
                <w:sz w:val="20"/>
                <w:szCs w:val="20"/>
                <w:color w:val="auto"/>
              </w:rPr>
            </w:pPr>
            <w:r>
              <w:rPr>
                <w:rFonts w:ascii="Arial" w:cs="Arial" w:eastAsia="Arial" w:hAnsi="Arial"/>
                <w:sz w:val="18"/>
                <w:szCs w:val="18"/>
                <w:color w:val="auto"/>
              </w:rPr>
              <w:t>Goodwill</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70,106</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70,669</w:t>
            </w:r>
          </w:p>
        </w:tc>
        <w:tc>
          <w:tcPr>
            <w:tcW w:w="0" w:type="dxa"/>
            <w:vAlign w:val="bottom"/>
          </w:tcPr>
          <w:p>
            <w:pPr>
              <w:spacing w:after="0"/>
              <w:rPr>
                <w:sz w:val="1"/>
                <w:szCs w:val="1"/>
                <w:color w:val="auto"/>
              </w:rPr>
            </w:pPr>
          </w:p>
        </w:tc>
      </w:tr>
      <w:tr>
        <w:trPr>
          <w:trHeight w:val="446"/>
        </w:trPr>
        <w:tc>
          <w:tcPr>
            <w:tcW w:w="7780" w:type="dxa"/>
            <w:vAlign w:val="bottom"/>
          </w:tcPr>
          <w:p>
            <w:pPr>
              <w:spacing w:after="0"/>
              <w:rPr>
                <w:sz w:val="20"/>
                <w:szCs w:val="20"/>
                <w:color w:val="auto"/>
              </w:rPr>
            </w:pPr>
            <w:r>
              <w:rPr>
                <w:rFonts w:ascii="Arial" w:cs="Arial" w:eastAsia="Arial" w:hAnsi="Arial"/>
                <w:sz w:val="18"/>
                <w:szCs w:val="18"/>
                <w:color w:val="auto"/>
              </w:rPr>
              <w:t>Franchise rights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59,365</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59,365</w:t>
            </w:r>
          </w:p>
        </w:tc>
        <w:tc>
          <w:tcPr>
            <w:tcW w:w="0" w:type="dxa"/>
            <w:vAlign w:val="bottom"/>
          </w:tcPr>
          <w:p>
            <w:pPr>
              <w:spacing w:after="0"/>
              <w:rPr>
                <w:sz w:val="1"/>
                <w:szCs w:val="1"/>
                <w:color w:val="auto"/>
              </w:rPr>
            </w:pPr>
          </w:p>
        </w:tc>
      </w:tr>
      <w:tr>
        <w:trPr>
          <w:trHeight w:val="445"/>
        </w:trPr>
        <w:tc>
          <w:tcPr>
            <w:tcW w:w="778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34,861</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35,389</w:t>
            </w:r>
          </w:p>
        </w:tc>
        <w:tc>
          <w:tcPr>
            <w:tcW w:w="0" w:type="dxa"/>
            <w:vAlign w:val="bottom"/>
          </w:tcPr>
          <w:p>
            <w:pPr>
              <w:spacing w:after="0"/>
              <w:rPr>
                <w:sz w:val="1"/>
                <w:szCs w:val="1"/>
                <w:color w:val="auto"/>
              </w:rPr>
            </w:pPr>
          </w:p>
        </w:tc>
      </w:tr>
      <w:tr>
        <w:trPr>
          <w:trHeight w:val="445"/>
        </w:trPr>
        <w:tc>
          <w:tcPr>
            <w:tcW w:w="7780" w:type="dxa"/>
            <w:vAlign w:val="bottom"/>
          </w:tcPr>
          <w:p>
            <w:pPr>
              <w:spacing w:after="0"/>
              <w:rPr>
                <w:sz w:val="20"/>
                <w:szCs w:val="20"/>
                <w:color w:val="auto"/>
              </w:rPr>
            </w:pPr>
            <w:r>
              <w:rPr>
                <w:rFonts w:ascii="Arial" w:cs="Arial" w:eastAsia="Arial" w:hAnsi="Arial"/>
                <w:sz w:val="18"/>
                <w:szCs w:val="18"/>
                <w:color w:val="auto"/>
              </w:rPr>
              <w:t>Other noncurrent assets, net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11,065</w:t>
            </w:r>
          </w:p>
        </w:tc>
        <w:tc>
          <w:tcPr>
            <w:tcW w:w="24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8,103</w:t>
            </w:r>
          </w:p>
        </w:tc>
        <w:tc>
          <w:tcPr>
            <w:tcW w:w="0" w:type="dxa"/>
            <w:vAlign w:val="bottom"/>
          </w:tcPr>
          <w:p>
            <w:pPr>
              <w:spacing w:after="0"/>
              <w:rPr>
                <w:sz w:val="1"/>
                <w:szCs w:val="1"/>
                <w:color w:val="auto"/>
              </w:rPr>
            </w:pPr>
          </w:p>
        </w:tc>
      </w:tr>
      <w:tr>
        <w:trPr>
          <w:trHeight w:val="425"/>
        </w:trPr>
        <w:tc>
          <w:tcPr>
            <w:tcW w:w="778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$278,511</w:t>
            </w:r>
          </w:p>
        </w:tc>
        <w:tc>
          <w:tcPr>
            <w:tcW w:w="24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$273,869</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778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80" w:type="dxa"/>
            <w:vAlign w:val="bottom"/>
          </w:tcPr>
          <w:p>
            <w:pPr>
              <w:spacing w:after="0"/>
              <w:rPr>
                <w:sz w:val="20"/>
                <w:szCs w:val="20"/>
                <w:color w:val="auto"/>
              </w:rPr>
            </w:pPr>
            <w:r>
              <w:rPr>
                <w:rFonts w:ascii="Arial" w:cs="Arial" w:eastAsia="Arial" w:hAnsi="Arial"/>
                <w:sz w:val="18"/>
                <w:szCs w:val="18"/>
                <w:color w:val="auto"/>
              </w:rPr>
              <w:t>Current Liabilities</w:t>
            </w:r>
          </w:p>
        </w:tc>
        <w:tc>
          <w:tcPr>
            <w:tcW w:w="1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$11,148</w:t>
            </w: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780" w:type="dxa"/>
            <w:vAlign w:val="bottom"/>
          </w:tcPr>
          <w:p>
            <w:pPr>
              <w:ind w:left="340"/>
              <w:spacing w:after="0"/>
              <w:rPr>
                <w:sz w:val="20"/>
                <w:szCs w:val="20"/>
                <w:color w:val="auto"/>
              </w:rPr>
            </w:pPr>
            <w:r>
              <w:rPr>
                <w:rFonts w:ascii="Arial" w:cs="Arial" w:eastAsia="Arial" w:hAnsi="Arial"/>
                <w:sz w:val="18"/>
                <w:szCs w:val="18"/>
                <w:color w:val="auto"/>
              </w:rPr>
              <w:t>Accounts payable and accrued expenses related to trade creditors</w:t>
            </w:r>
          </w:p>
        </w:tc>
        <w:tc>
          <w:tcPr>
            <w:tcW w:w="16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$11,364</w:t>
            </w:r>
          </w:p>
        </w:tc>
        <w:tc>
          <w:tcPr>
            <w:tcW w:w="0" w:type="dxa"/>
            <w:vAlign w:val="bottom"/>
          </w:tcPr>
          <w:p>
            <w:pPr>
              <w:spacing w:after="0"/>
              <w:rPr>
                <w:sz w:val="1"/>
                <w:szCs w:val="1"/>
                <w:color w:val="auto"/>
              </w:rPr>
            </w:pPr>
          </w:p>
        </w:tc>
      </w:tr>
      <w:tr>
        <w:trPr>
          <w:trHeight w:val="230"/>
        </w:trPr>
        <w:tc>
          <w:tcPr>
            <w:tcW w:w="7780" w:type="dxa"/>
            <w:vAlign w:val="bottom"/>
          </w:tcPr>
          <w:p>
            <w:pPr>
              <w:ind w:left="340"/>
              <w:spacing w:after="0"/>
              <w:rPr>
                <w:sz w:val="20"/>
                <w:szCs w:val="20"/>
                <w:color w:val="auto"/>
              </w:rPr>
            </w:pPr>
            <w:r>
              <w:rPr>
                <w:rFonts w:ascii="Arial" w:cs="Arial" w:eastAsia="Arial" w:hAnsi="Arial"/>
                <w:sz w:val="18"/>
                <w:szCs w:val="18"/>
                <w:color w:val="auto"/>
              </w:rPr>
              <w:t>Accrued participations and residuals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1,619</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30"/>
        </w:trPr>
        <w:tc>
          <w:tcPr>
            <w:tcW w:w="778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3,376</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2,963</w:t>
            </w:r>
          </w:p>
        </w:tc>
        <w:tc>
          <w:tcPr>
            <w:tcW w:w="0" w:type="dxa"/>
            <w:vAlign w:val="bottom"/>
          </w:tcPr>
          <w:p>
            <w:pPr>
              <w:spacing w:after="0"/>
              <w:rPr>
                <w:sz w:val="1"/>
                <w:szCs w:val="1"/>
                <w:color w:val="auto"/>
              </w:rPr>
            </w:pPr>
          </w:p>
        </w:tc>
      </w:tr>
      <w:tr>
        <w:trPr>
          <w:trHeight w:val="229"/>
        </w:trPr>
        <w:tc>
          <w:tcPr>
            <w:tcW w:w="778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9,891</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9,617</w:t>
            </w:r>
          </w:p>
        </w:tc>
        <w:tc>
          <w:tcPr>
            <w:tcW w:w="0" w:type="dxa"/>
            <w:vAlign w:val="bottom"/>
          </w:tcPr>
          <w:p>
            <w:pPr>
              <w:spacing w:after="0"/>
              <w:rPr>
                <w:sz w:val="1"/>
                <w:szCs w:val="1"/>
                <w:color w:val="auto"/>
              </w:rPr>
            </w:pPr>
          </w:p>
        </w:tc>
      </w:tr>
      <w:tr>
        <w:trPr>
          <w:trHeight w:val="239"/>
        </w:trPr>
        <w:tc>
          <w:tcPr>
            <w:tcW w:w="7780" w:type="dxa"/>
            <w:vAlign w:val="bottom"/>
          </w:tcPr>
          <w:p>
            <w:pPr>
              <w:ind w:left="340"/>
              <w:spacing w:after="0"/>
              <w:rPr>
                <w:sz w:val="20"/>
                <w:szCs w:val="20"/>
                <w:color w:val="auto"/>
              </w:rPr>
            </w:pPr>
            <w:r>
              <w:rPr>
                <w:rFonts w:ascii="Arial" w:cs="Arial" w:eastAsia="Arial" w:hAnsi="Arial"/>
                <w:sz w:val="18"/>
                <w:szCs w:val="18"/>
                <w:color w:val="auto"/>
              </w:rPr>
              <w:t>Current portion of long-term debt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4,777</w:t>
            </w:r>
          </w:p>
        </w:tc>
        <w:tc>
          <w:tcPr>
            <w:tcW w:w="240" w:type="dxa"/>
            <w:vAlign w:val="bottom"/>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3,146</w:t>
            </w:r>
          </w:p>
        </w:tc>
        <w:tc>
          <w:tcPr>
            <w:tcW w:w="0" w:type="dxa"/>
            <w:vAlign w:val="bottom"/>
          </w:tcPr>
          <w:p>
            <w:pPr>
              <w:spacing w:after="0"/>
              <w:rPr>
                <w:sz w:val="1"/>
                <w:szCs w:val="1"/>
                <w:color w:val="auto"/>
              </w:rPr>
            </w:pPr>
          </w:p>
        </w:tc>
      </w:tr>
      <w:tr>
        <w:trPr>
          <w:trHeight w:val="223"/>
        </w:trPr>
        <w:tc>
          <w:tcPr>
            <w:tcW w:w="7780" w:type="dxa"/>
            <w:vAlign w:val="bottom"/>
          </w:tcPr>
          <w:p>
            <w:pPr>
              <w:ind w:left="460"/>
              <w:spacing w:after="0"/>
              <w:rPr>
                <w:sz w:val="20"/>
                <w:szCs w:val="20"/>
                <w:color w:val="auto"/>
              </w:rPr>
            </w:pPr>
            <w:r>
              <w:rPr>
                <w:rFonts w:ascii="Arial" w:cs="Arial" w:eastAsia="Arial" w:hAnsi="Arial"/>
                <w:sz w:val="18"/>
                <w:szCs w:val="18"/>
                <w:color w:val="auto"/>
              </w:rPr>
              <w:t>Total current liabilities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30,811</w:t>
            </w:r>
          </w:p>
        </w:tc>
        <w:tc>
          <w:tcPr>
            <w:tcW w:w="24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28,796</w:t>
            </w:r>
          </w:p>
        </w:tc>
        <w:tc>
          <w:tcPr>
            <w:tcW w:w="0" w:type="dxa"/>
            <w:vAlign w:val="bottom"/>
          </w:tcPr>
          <w:p>
            <w:pPr>
              <w:spacing w:after="0"/>
              <w:rPr>
                <w:sz w:val="1"/>
                <w:szCs w:val="1"/>
                <w:color w:val="auto"/>
              </w:rPr>
            </w:pPr>
          </w:p>
        </w:tc>
      </w:tr>
      <w:tr>
        <w:trPr>
          <w:trHeight w:val="425"/>
        </w:trPr>
        <w:tc>
          <w:tcPr>
            <w:tcW w:w="778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98,936</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100,614</w:t>
            </w:r>
          </w:p>
        </w:tc>
        <w:tc>
          <w:tcPr>
            <w:tcW w:w="0" w:type="dxa"/>
            <w:vAlign w:val="bottom"/>
          </w:tcPr>
          <w:p>
            <w:pPr>
              <w:spacing w:after="0"/>
              <w:rPr>
                <w:sz w:val="1"/>
                <w:szCs w:val="1"/>
                <w:color w:val="auto"/>
              </w:rPr>
            </w:pPr>
          </w:p>
        </w:tc>
      </w:tr>
      <w:tr>
        <w:trPr>
          <w:trHeight w:val="445"/>
        </w:trPr>
        <w:tc>
          <w:tcPr>
            <w:tcW w:w="7780" w:type="dxa"/>
            <w:vAlign w:val="bottom"/>
          </w:tcPr>
          <w:p>
            <w:pPr>
              <w:spacing w:after="0"/>
              <w:rPr>
                <w:sz w:val="20"/>
                <w:szCs w:val="20"/>
                <w:color w:val="auto"/>
              </w:rPr>
            </w:pPr>
            <w:r>
              <w:rPr>
                <w:rFonts w:ascii="Arial" w:cs="Arial" w:eastAsia="Arial" w:hAnsi="Arial"/>
                <w:sz w:val="18"/>
                <w:szCs w:val="18"/>
                <w:color w:val="auto"/>
              </w:rPr>
              <w:t>Collateralized obligation</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5,168</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5,168</w:t>
            </w:r>
          </w:p>
        </w:tc>
        <w:tc>
          <w:tcPr>
            <w:tcW w:w="0" w:type="dxa"/>
            <w:vAlign w:val="bottom"/>
          </w:tcPr>
          <w:p>
            <w:pPr>
              <w:spacing w:after="0"/>
              <w:rPr>
                <w:sz w:val="1"/>
                <w:szCs w:val="1"/>
                <w:color w:val="auto"/>
              </w:rPr>
            </w:pPr>
          </w:p>
        </w:tc>
      </w:tr>
      <w:tr>
        <w:trPr>
          <w:trHeight w:val="446"/>
        </w:trPr>
        <w:tc>
          <w:tcPr>
            <w:tcW w:w="7780" w:type="dxa"/>
            <w:vAlign w:val="bottom"/>
          </w:tcPr>
          <w:p>
            <w:pPr>
              <w:spacing w:after="0"/>
              <w:rPr>
                <w:sz w:val="20"/>
                <w:szCs w:val="20"/>
                <w:color w:val="auto"/>
              </w:rPr>
            </w:pPr>
            <w:r>
              <w:rPr>
                <w:rFonts w:ascii="Arial" w:cs="Arial" w:eastAsia="Arial" w:hAnsi="Arial"/>
                <w:sz w:val="18"/>
                <w:szCs w:val="18"/>
                <w:color w:val="auto"/>
              </w:rPr>
              <w:t>Deferred income taxes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28,260</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28,051</w:t>
            </w:r>
          </w:p>
        </w:tc>
        <w:tc>
          <w:tcPr>
            <w:tcW w:w="0" w:type="dxa"/>
            <w:vAlign w:val="bottom"/>
          </w:tcPr>
          <w:p>
            <w:pPr>
              <w:spacing w:after="0"/>
              <w:rPr>
                <w:sz w:val="1"/>
                <w:szCs w:val="1"/>
                <w:color w:val="auto"/>
              </w:rPr>
            </w:pPr>
          </w:p>
        </w:tc>
      </w:tr>
      <w:tr>
        <w:trPr>
          <w:trHeight w:val="445"/>
        </w:trPr>
        <w:tc>
          <w:tcPr>
            <w:tcW w:w="77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20,690</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18,222</w:t>
            </w:r>
          </w:p>
        </w:tc>
        <w:tc>
          <w:tcPr>
            <w:tcW w:w="0" w:type="dxa"/>
            <w:vAlign w:val="bottom"/>
          </w:tcPr>
          <w:p>
            <w:pPr>
              <w:spacing w:after="0"/>
              <w:rPr>
                <w:sz w:val="1"/>
                <w:szCs w:val="1"/>
                <w:color w:val="auto"/>
              </w:rPr>
            </w:pPr>
          </w:p>
        </w:tc>
      </w:tr>
      <w:tr>
        <w:trPr>
          <w:trHeight w:val="446"/>
        </w:trPr>
        <w:tc>
          <w:tcPr>
            <w:tcW w:w="7780" w:type="dxa"/>
            <w:vAlign w:val="bottom"/>
          </w:tcPr>
          <w:p>
            <w:pPr>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546</w:t>
            </w:r>
          </w:p>
        </w:tc>
        <w:tc>
          <w:tcPr>
            <w:tcW w:w="2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445"/>
        </w:trPr>
        <w:tc>
          <w:tcPr>
            <w:tcW w:w="7780" w:type="dxa"/>
            <w:vAlign w:val="bottom"/>
          </w:tcPr>
          <w:p>
            <w:pPr>
              <w:spacing w:after="0"/>
              <w:rPr>
                <w:sz w:val="20"/>
                <w:szCs w:val="20"/>
                <w:color w:val="auto"/>
              </w:rPr>
            </w:pPr>
            <w:r>
              <w:rPr>
                <w:rFonts w:ascii="Arial" w:cs="Arial" w:eastAsia="Arial" w:hAnsi="Arial"/>
                <w:sz w:val="18"/>
                <w:szCs w:val="18"/>
                <w:color w:val="auto"/>
              </w:rPr>
              <w:t>Equity</w:t>
            </w:r>
          </w:p>
        </w:tc>
        <w:tc>
          <w:tcPr>
            <w:tcW w:w="1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92,575</w:t>
            </w: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780" w:type="dxa"/>
            <w:vAlign w:val="bottom"/>
          </w:tcPr>
          <w:p>
            <w:pPr>
              <w:ind w:left="340"/>
              <w:spacing w:after="0"/>
              <w:rPr>
                <w:sz w:val="20"/>
                <w:szCs w:val="20"/>
                <w:color w:val="auto"/>
              </w:rPr>
            </w:pPr>
            <w:r>
              <w:rPr>
                <w:rFonts w:ascii="Arial" w:cs="Arial" w:eastAsia="Arial" w:hAnsi="Arial"/>
                <w:sz w:val="18"/>
                <w:szCs w:val="18"/>
                <w:color w:val="auto"/>
              </w:rPr>
              <w:t>Comcast Corporation shareholders' equity</w:t>
            </w:r>
          </w:p>
        </w:tc>
        <w:tc>
          <w:tcPr>
            <w:tcW w:w="16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90,323</w:t>
            </w:r>
          </w:p>
        </w:tc>
        <w:tc>
          <w:tcPr>
            <w:tcW w:w="0" w:type="dxa"/>
            <w:vAlign w:val="bottom"/>
          </w:tcPr>
          <w:p>
            <w:pPr>
              <w:spacing w:after="0"/>
              <w:rPr>
                <w:sz w:val="1"/>
                <w:szCs w:val="1"/>
                <w:color w:val="auto"/>
              </w:rPr>
            </w:pPr>
          </w:p>
        </w:tc>
      </w:tr>
      <w:tr>
        <w:trPr>
          <w:trHeight w:val="239"/>
        </w:trPr>
        <w:tc>
          <w:tcPr>
            <w:tcW w:w="7780" w:type="dxa"/>
            <w:vAlign w:val="bottom"/>
          </w:tcPr>
          <w:p>
            <w:pPr>
              <w:ind w:left="340"/>
              <w:spacing w:after="0"/>
              <w:rPr>
                <w:sz w:val="20"/>
                <w:szCs w:val="20"/>
                <w:color w:val="auto"/>
              </w:rPr>
            </w:pPr>
            <w:r>
              <w:rPr>
                <w:rFonts w:ascii="Arial" w:cs="Arial" w:eastAsia="Arial" w:hAnsi="Arial"/>
                <w:sz w:val="18"/>
                <w:szCs w:val="18"/>
                <w:color w:val="auto"/>
              </w:rPr>
              <w:t>Noncontrolling interests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1,525</w:t>
            </w:r>
          </w:p>
        </w:tc>
        <w:tc>
          <w:tcPr>
            <w:tcW w:w="240" w:type="dxa"/>
            <w:vAlign w:val="bottom"/>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23"/>
        </w:trPr>
        <w:tc>
          <w:tcPr>
            <w:tcW w:w="7780" w:type="dxa"/>
            <w:vAlign w:val="bottom"/>
          </w:tcPr>
          <w:p>
            <w:pPr>
              <w:ind w:left="460"/>
              <w:spacing w:after="0"/>
              <w:rPr>
                <w:sz w:val="20"/>
                <w:szCs w:val="20"/>
                <w:color w:val="auto"/>
              </w:rPr>
            </w:pPr>
            <w:r>
              <w:rPr>
                <w:rFonts w:ascii="Arial" w:cs="Arial" w:eastAsia="Arial" w:hAnsi="Arial"/>
                <w:sz w:val="18"/>
                <w:szCs w:val="18"/>
                <w:color w:val="auto"/>
              </w:rPr>
              <w:t>Total equity</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94,100</w:t>
            </w:r>
          </w:p>
        </w:tc>
        <w:tc>
          <w:tcPr>
            <w:tcW w:w="24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91,738</w:t>
            </w:r>
          </w:p>
        </w:tc>
        <w:tc>
          <w:tcPr>
            <w:tcW w:w="0" w:type="dxa"/>
            <w:vAlign w:val="bottom"/>
          </w:tcPr>
          <w:p>
            <w:pPr>
              <w:spacing w:after="0"/>
              <w:rPr>
                <w:sz w:val="1"/>
                <w:szCs w:val="1"/>
                <w:color w:val="auto"/>
              </w:rPr>
            </w:pPr>
          </w:p>
        </w:tc>
      </w:tr>
      <w:tr>
        <w:trPr>
          <w:trHeight w:val="425"/>
        </w:trPr>
        <w:tc>
          <w:tcPr>
            <w:tcW w:w="778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$278,511</w:t>
            </w:r>
          </w:p>
        </w:tc>
        <w:tc>
          <w:tcPr>
            <w:tcW w:w="240" w:type="dxa"/>
            <w:vAlign w:val="bottom"/>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$273,869</w:t>
            </w:r>
          </w:p>
        </w:tc>
        <w:tc>
          <w:tcPr>
            <w:tcW w:w="0" w:type="dxa"/>
            <w:vAlign w:val="bottom"/>
          </w:tcPr>
          <w:p>
            <w:pPr>
              <w:spacing w:after="0"/>
              <w:rPr>
                <w:sz w:val="1"/>
                <w:szCs w:val="1"/>
                <w:color w:val="auto"/>
              </w:rPr>
            </w:pPr>
          </w:p>
        </w:tc>
      </w:tr>
      <w:tr>
        <w:trPr>
          <w:trHeight w:val="21"/>
        </w:trPr>
        <w:tc>
          <w:tcPr>
            <w:tcW w:w="7780" w:type="dxa"/>
            <w:vAlign w:val="bottom"/>
            <w:vMerge w:val="restart"/>
          </w:tcPr>
          <w:p>
            <w:pPr>
              <w:ind w:left="5520"/>
              <w:spacing w:after="0"/>
              <w:rPr>
                <w:sz w:val="20"/>
                <w:szCs w:val="20"/>
                <w:color w:val="auto"/>
              </w:rPr>
            </w:pPr>
            <w:r>
              <w:rPr>
                <w:rFonts w:ascii="Arial" w:cs="Arial" w:eastAsia="Arial" w:hAnsi="Arial"/>
                <w:sz w:val="14"/>
                <w:szCs w:val="14"/>
                <w:color w:val="auto"/>
              </w:rPr>
              <w:t>10</w:t>
            </w: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1"/>
        </w:trPr>
        <w:tc>
          <w:tcPr>
            <w:tcW w:w="778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838" w:right="339" w:bottom="1440" w:gutter="0" w:footer="0" w:header="0"/>
        </w:sectPr>
      </w:pPr>
    </w:p>
    <w:bookmarkStart w:id="13" w:name="page14"/>
    <w:bookmarkEnd w:id="13"/>
    <w:p>
      <w:pPr>
        <w:ind w:left="20"/>
        <w:spacing w:after="0"/>
        <w:rPr>
          <w:sz w:val="20"/>
          <w:szCs w:val="20"/>
          <w:color w:val="auto"/>
        </w:rPr>
      </w:pPr>
      <w:r>
        <w:rPr>
          <w:rFonts w:ascii="Arial" w:cs="Arial" w:eastAsia="Arial" w:hAnsi="Arial"/>
          <w:sz w:val="25"/>
          <w:szCs w:val="25"/>
          <w:b w:val="1"/>
          <w:bCs w:val="1"/>
          <w:color w:val="828282"/>
        </w:rPr>
        <w:t>TABLE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-179705</wp:posOffset>
            </wp:positionV>
            <wp:extent cx="1028700" cy="436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28700" cy="436880"/>
                    </a:xfrm>
                    <a:prstGeom prst="rect">
                      <a:avLst/>
                    </a:prstGeom>
                    <a:noFill/>
                  </pic:spPr>
                </pic:pic>
              </a:graphicData>
            </a:graphic>
          </wp:anchor>
        </w:drawing>
      </w:r>
    </w:p>
    <w:p>
      <w:pPr>
        <w:spacing w:after="0" w:line="3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828282"/>
        </w:rPr>
        <w:t>Reconciliation from Net Income Attributable to Comcast Corporation to Adjusted EBITDA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1900" w:type="dxa"/>
            <w:vAlign w:val="bottom"/>
            <w:gridSpan w:val="3"/>
          </w:tcPr>
          <w:p>
            <w:pPr>
              <w:jc w:val="right"/>
              <w:ind w:right="168"/>
              <w:spacing w:after="0"/>
              <w:rPr>
                <w:sz w:val="20"/>
                <w:szCs w:val="20"/>
                <w:color w:val="auto"/>
              </w:rPr>
            </w:pPr>
            <w:r>
              <w:rPr>
                <w:rFonts w:ascii="Arial" w:cs="Arial" w:eastAsia="Arial" w:hAnsi="Arial"/>
                <w:sz w:val="14"/>
                <w:szCs w:val="14"/>
                <w:b w:val="1"/>
                <w:bCs w:val="1"/>
                <w:color w:val="auto"/>
              </w:rPr>
              <w:t>Three Months Ended</w:t>
            </w:r>
          </w:p>
        </w:tc>
      </w:tr>
      <w:tr>
        <w:trPr>
          <w:trHeight w:val="176"/>
        </w:trPr>
        <w:tc>
          <w:tcPr>
            <w:tcW w:w="9320" w:type="dxa"/>
            <w:vAlign w:val="bottom"/>
          </w:tcPr>
          <w:p>
            <w:pPr>
              <w:spacing w:after="0"/>
              <w:rPr>
                <w:sz w:val="15"/>
                <w:szCs w:val="15"/>
                <w:color w:val="auto"/>
              </w:rPr>
            </w:pPr>
          </w:p>
        </w:tc>
        <w:tc>
          <w:tcPr>
            <w:tcW w:w="1900" w:type="dxa"/>
            <w:vAlign w:val="bottom"/>
            <w:gridSpan w:val="3"/>
          </w:tcPr>
          <w:p>
            <w:pPr>
              <w:jc w:val="right"/>
              <w:ind w:right="548"/>
              <w:spacing w:after="0"/>
              <w:rPr>
                <w:sz w:val="20"/>
                <w:szCs w:val="20"/>
                <w:color w:val="auto"/>
              </w:rPr>
            </w:pPr>
            <w:r>
              <w:rPr>
                <w:rFonts w:ascii="Arial" w:cs="Arial" w:eastAsia="Arial" w:hAnsi="Arial"/>
                <w:sz w:val="14"/>
                <w:szCs w:val="14"/>
                <w:b w:val="1"/>
                <w:bCs w:val="1"/>
                <w:color w:val="auto"/>
              </w:rPr>
              <w:t>March 31,</w:t>
            </w:r>
          </w:p>
        </w:tc>
      </w:tr>
      <w:tr>
        <w:trPr>
          <w:trHeight w:val="189"/>
        </w:trPr>
        <w:tc>
          <w:tcPr>
            <w:tcW w:w="9320" w:type="dxa"/>
            <w:vAlign w:val="bottom"/>
          </w:tcPr>
          <w:p>
            <w:pPr>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2020</w:t>
            </w:r>
          </w:p>
        </w:tc>
      </w:tr>
      <w:tr>
        <w:trPr>
          <w:trHeight w:val="183"/>
        </w:trPr>
        <w:tc>
          <w:tcPr>
            <w:tcW w:w="9320" w:type="dxa"/>
            <w:vAlign w:val="bottom"/>
          </w:tcPr>
          <w:p>
            <w:pPr>
              <w:spacing w:after="0"/>
              <w:rPr>
                <w:sz w:val="20"/>
                <w:szCs w:val="20"/>
                <w:color w:val="auto"/>
              </w:rPr>
            </w:pPr>
            <w:r>
              <w:rPr>
                <w:rFonts w:ascii="Arial" w:cs="Arial" w:eastAsia="Arial" w:hAnsi="Arial"/>
                <w:sz w:val="14"/>
                <w:szCs w:val="14"/>
                <w:b w:val="1"/>
                <w:bCs w:val="1"/>
                <w:color w:val="auto"/>
              </w:rPr>
              <w:t>Net income attributable to Comcast Corporation</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$3,329</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$2,147</w:t>
            </w:r>
          </w:p>
        </w:tc>
      </w:tr>
      <w:tr>
        <w:trPr>
          <w:trHeight w:val="189"/>
        </w:trPr>
        <w:tc>
          <w:tcPr>
            <w:tcW w:w="9320" w:type="dxa"/>
            <w:vAlign w:val="bottom"/>
          </w:tcPr>
          <w:p>
            <w:pPr>
              <w:spacing w:after="0"/>
              <w:rPr>
                <w:sz w:val="20"/>
                <w:szCs w:val="20"/>
                <w:color w:val="auto"/>
              </w:rPr>
            </w:pPr>
            <w:r>
              <w:rPr>
                <w:rFonts w:ascii="Arial" w:cs="Arial" w:eastAsia="Arial" w:hAnsi="Arial"/>
                <w:sz w:val="14"/>
                <w:szCs w:val="14"/>
                <w:color w:val="auto"/>
              </w:rPr>
              <w:t>Net income (loss) attributable to noncontrolling interests and redeemable subsidiary preferred stock</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(37)</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77</w:t>
            </w:r>
          </w:p>
        </w:tc>
      </w:tr>
      <w:tr>
        <w:trPr>
          <w:trHeight w:val="189"/>
        </w:trPr>
        <w:tc>
          <w:tcPr>
            <w:tcW w:w="9320" w:type="dxa"/>
            <w:vAlign w:val="bottom"/>
          </w:tcPr>
          <w:p>
            <w:pPr>
              <w:spacing w:after="0"/>
              <w:rPr>
                <w:sz w:val="20"/>
                <w:szCs w:val="20"/>
                <w:color w:val="auto"/>
              </w:rPr>
            </w:pPr>
            <w:r>
              <w:rPr>
                <w:rFonts w:ascii="Arial" w:cs="Arial" w:eastAsia="Arial" w:hAnsi="Arial"/>
                <w:sz w:val="14"/>
                <w:szCs w:val="14"/>
                <w:color w:val="auto"/>
              </w:rPr>
              <w:t>Income tax expense</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1,119</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700</w:t>
            </w:r>
          </w:p>
        </w:tc>
      </w:tr>
      <w:tr>
        <w:trPr>
          <w:trHeight w:val="189"/>
        </w:trPr>
        <w:tc>
          <w:tcPr>
            <w:tcW w:w="9320" w:type="dxa"/>
            <w:vAlign w:val="bottom"/>
          </w:tcPr>
          <w:p>
            <w:pPr>
              <w:spacing w:after="0"/>
              <w:rPr>
                <w:sz w:val="20"/>
                <w:szCs w:val="20"/>
                <w:color w:val="auto"/>
              </w:rPr>
            </w:pPr>
            <w:r>
              <w:rPr>
                <w:rFonts w:ascii="Arial" w:cs="Arial" w:eastAsia="Arial" w:hAnsi="Arial"/>
                <w:sz w:val="14"/>
                <w:szCs w:val="14"/>
                <w:color w:val="auto"/>
              </w:rPr>
              <w:t>Interest expense</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1,018</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1,212</w:t>
            </w:r>
          </w:p>
        </w:tc>
      </w:tr>
      <w:tr>
        <w:trPr>
          <w:trHeight w:val="189"/>
        </w:trPr>
        <w:tc>
          <w:tcPr>
            <w:tcW w:w="9320" w:type="dxa"/>
            <w:vAlign w:val="bottom"/>
          </w:tcPr>
          <w:p>
            <w:pPr>
              <w:spacing w:after="0"/>
              <w:rPr>
                <w:sz w:val="20"/>
                <w:szCs w:val="20"/>
                <w:color w:val="auto"/>
              </w:rPr>
            </w:pPr>
            <w:r>
              <w:rPr>
                <w:rFonts w:ascii="Arial" w:cs="Arial" w:eastAsia="Arial" w:hAnsi="Arial"/>
                <w:sz w:val="14"/>
                <w:szCs w:val="14"/>
                <w:color w:val="auto"/>
              </w:rPr>
              <w:t>Investment and other (income) loss, net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(390)</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716</w:t>
            </w:r>
          </w:p>
        </w:tc>
      </w:tr>
      <w:tr>
        <w:trPr>
          <w:trHeight w:val="189"/>
        </w:trPr>
        <w:tc>
          <w:tcPr>
            <w:tcW w:w="932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3,362</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3,264</w:t>
            </w:r>
          </w:p>
        </w:tc>
      </w:tr>
      <w:tr>
        <w:trPr>
          <w:trHeight w:val="189"/>
        </w:trPr>
        <w:tc>
          <w:tcPr>
            <w:tcW w:w="9320" w:type="dxa"/>
            <w:vAlign w:val="bottom"/>
          </w:tcPr>
          <w:p>
            <w:pPr>
              <w:spacing w:after="0" w:line="189" w:lineRule="exact"/>
              <w:rPr>
                <w:sz w:val="20"/>
                <w:szCs w:val="20"/>
                <w:color w:val="auto"/>
              </w:rPr>
            </w:pPr>
            <w:r>
              <w:rPr>
                <w:rFonts w:ascii="Arial" w:cs="Arial" w:eastAsia="Arial" w:hAnsi="Arial"/>
                <w:sz w:val="14"/>
                <w:szCs w:val="14"/>
                <w:color w:val="auto"/>
              </w:rPr>
              <w:t xml:space="preserve">Adjustments </w:t>
            </w:r>
            <w:r>
              <w:rPr>
                <w:rFonts w:ascii="Arial" w:cs="Arial" w:eastAsia="Arial" w:hAnsi="Arial"/>
                <w:sz w:val="18"/>
                <w:szCs w:val="18"/>
                <w:color w:val="auto"/>
                <w:vertAlign w:val="superscript"/>
              </w:rPr>
              <w:t>(1)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w:t>
            </w:r>
          </w:p>
        </w:tc>
        <w:tc>
          <w:tcPr>
            <w:tcW w:w="8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r>
      <w:tr>
        <w:trPr>
          <w:trHeight w:val="183"/>
        </w:trPr>
        <w:tc>
          <w:tcPr>
            <w:tcW w:w="9320" w:type="dxa"/>
            <w:vAlign w:val="bottom"/>
          </w:tcPr>
          <w:p>
            <w:pPr>
              <w:spacing w:after="0"/>
              <w:rPr>
                <w:sz w:val="20"/>
                <w:szCs w:val="20"/>
                <w:color w:val="auto"/>
              </w:rPr>
            </w:pPr>
            <w:r>
              <w:rPr>
                <w:rFonts w:ascii="Arial" w:cs="Arial" w:eastAsia="Arial" w:hAnsi="Arial"/>
                <w:sz w:val="14"/>
                <w:szCs w:val="14"/>
                <w:b w:val="1"/>
                <w:bCs w:val="1"/>
                <w:color w:val="auto"/>
              </w:rPr>
              <w:t>Adjusted EBITDA</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$8,413</w:t>
            </w:r>
          </w:p>
        </w:tc>
        <w:tc>
          <w:tcPr>
            <w:tcW w:w="8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$8,130</w:t>
            </w:r>
          </w:p>
        </w:tc>
      </w:tr>
      <w:tr>
        <w:trPr>
          <w:trHeight w:val="21"/>
        </w:trPr>
        <w:tc>
          <w:tcPr>
            <w:tcW w:w="9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828282"/>
        </w:rPr>
        <w:t>Reconciliation from Net Cash Provided by Operating Activities to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192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6"/>
        </w:trPr>
        <w:tc>
          <w:tcPr>
            <w:tcW w:w="9320" w:type="dxa"/>
            <w:vAlign w:val="bottom"/>
          </w:tcPr>
          <w:p>
            <w:pPr>
              <w:spacing w:after="0"/>
              <w:rPr>
                <w:sz w:val="15"/>
                <w:szCs w:val="15"/>
                <w:color w:val="auto"/>
              </w:rPr>
            </w:pPr>
          </w:p>
        </w:tc>
        <w:tc>
          <w:tcPr>
            <w:tcW w:w="1300" w:type="dxa"/>
            <w:vAlign w:val="bottom"/>
            <w:gridSpan w:val="3"/>
          </w:tcPr>
          <w:p>
            <w:pPr>
              <w:jc w:val="center"/>
              <w:ind w:left="548"/>
              <w:spacing w:after="0"/>
              <w:rPr>
                <w:sz w:val="20"/>
                <w:szCs w:val="20"/>
                <w:color w:val="auto"/>
              </w:rPr>
            </w:pPr>
            <w:r>
              <w:rPr>
                <w:rFonts w:ascii="Arial" w:cs="Arial" w:eastAsia="Arial" w:hAnsi="Arial"/>
                <w:sz w:val="14"/>
                <w:szCs w:val="14"/>
                <w:b w:val="1"/>
                <w:bCs w:val="1"/>
                <w:color w:val="auto"/>
              </w:rPr>
              <w:t>March 31,</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3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83"/>
        </w:trPr>
        <w:tc>
          <w:tcPr>
            <w:tcW w:w="9320" w:type="dxa"/>
            <w:vAlign w:val="bottom"/>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$7,751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$5,824</w:t>
            </w:r>
          </w:p>
        </w:tc>
        <w:tc>
          <w:tcPr>
            <w:tcW w:w="0" w:type="dxa"/>
            <w:vAlign w:val="bottom"/>
          </w:tcPr>
          <w:p>
            <w:pPr>
              <w:spacing w:after="0"/>
              <w:rPr>
                <w:sz w:val="1"/>
                <w:szCs w:val="1"/>
                <w:color w:val="auto"/>
              </w:rPr>
            </w:pPr>
          </w:p>
        </w:tc>
      </w:tr>
      <w:tr>
        <w:trPr>
          <w:trHeight w:val="189"/>
        </w:trPr>
        <w:tc>
          <w:tcPr>
            <w:tcW w:w="9320" w:type="dxa"/>
            <w:vAlign w:val="bottom"/>
          </w:tcPr>
          <w:p>
            <w:pPr>
              <w:ind w:left="20"/>
              <w:spacing w:after="0"/>
              <w:rPr>
                <w:sz w:val="20"/>
                <w:szCs w:val="20"/>
                <w:color w:val="auto"/>
              </w:rPr>
            </w:pPr>
            <w:r>
              <w:rPr>
                <w:rFonts w:ascii="Arial" w:cs="Arial" w:eastAsia="Arial" w:hAnsi="Arial"/>
                <w:sz w:val="14"/>
                <w:szCs w:val="14"/>
                <w:color w:val="auto"/>
              </w:rPr>
              <w:t>Capital expenditures</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(1,859)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(1,881)</w:t>
            </w:r>
          </w:p>
        </w:tc>
        <w:tc>
          <w:tcPr>
            <w:tcW w:w="0" w:type="dxa"/>
            <w:vAlign w:val="bottom"/>
          </w:tcPr>
          <w:p>
            <w:pPr>
              <w:spacing w:after="0"/>
              <w:rPr>
                <w:sz w:val="1"/>
                <w:szCs w:val="1"/>
                <w:color w:val="auto"/>
              </w:rPr>
            </w:pPr>
          </w:p>
        </w:tc>
      </w:tr>
      <w:tr>
        <w:trPr>
          <w:trHeight w:val="189"/>
        </w:trPr>
        <w:tc>
          <w:tcPr>
            <w:tcW w:w="9320" w:type="dxa"/>
            <w:vAlign w:val="bottom"/>
          </w:tcPr>
          <w:p>
            <w:pPr>
              <w:ind w:left="20"/>
              <w:spacing w:after="0"/>
              <w:rPr>
                <w:sz w:val="20"/>
                <w:szCs w:val="20"/>
                <w:color w:val="auto"/>
              </w:rPr>
            </w:pPr>
            <w:r>
              <w:rPr>
                <w:rFonts w:ascii="Arial" w:cs="Arial" w:eastAsia="Arial" w:hAnsi="Arial"/>
                <w:sz w:val="14"/>
                <w:szCs w:val="14"/>
                <w:color w:val="auto"/>
              </w:rPr>
              <w:t>Cash paid for capitalized software and other intangible assets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(612)</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(618)</w:t>
            </w:r>
          </w:p>
        </w:tc>
        <w:tc>
          <w:tcPr>
            <w:tcW w:w="0" w:type="dxa"/>
            <w:vAlign w:val="bottom"/>
          </w:tcPr>
          <w:p>
            <w:pPr>
              <w:spacing w:after="0"/>
              <w:rPr>
                <w:sz w:val="1"/>
                <w:szCs w:val="1"/>
                <w:color w:val="auto"/>
              </w:rPr>
            </w:pPr>
          </w:p>
        </w:tc>
      </w:tr>
      <w:tr>
        <w:trPr>
          <w:trHeight w:val="183"/>
        </w:trPr>
        <w:tc>
          <w:tcPr>
            <w:tcW w:w="9320" w:type="dxa"/>
            <w:vAlign w:val="bottom"/>
          </w:tcPr>
          <w:p>
            <w:pPr>
              <w:ind w:left="20"/>
              <w:spacing w:after="0"/>
              <w:rPr>
                <w:sz w:val="20"/>
                <w:szCs w:val="20"/>
                <w:color w:val="auto"/>
              </w:rPr>
            </w:pPr>
            <w:r>
              <w:rPr>
                <w:rFonts w:ascii="Arial" w:cs="Arial" w:eastAsia="Arial" w:hAnsi="Arial"/>
                <w:sz w:val="14"/>
                <w:szCs w:val="14"/>
                <w:b w:val="1"/>
                <w:bCs w:val="1"/>
                <w:color w:val="auto"/>
              </w:rPr>
              <w:t>Free Cash Flow</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$5,280</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$3,325</w:t>
            </w:r>
          </w:p>
        </w:tc>
        <w:tc>
          <w:tcPr>
            <w:tcW w:w="0" w:type="dxa"/>
            <w:vAlign w:val="bottom"/>
          </w:tcPr>
          <w:p>
            <w:pPr>
              <w:spacing w:after="0"/>
              <w:rPr>
                <w:sz w:val="1"/>
                <w:szCs w:val="1"/>
                <w:color w:val="auto"/>
              </w:rPr>
            </w:pPr>
          </w:p>
        </w:tc>
      </w:tr>
      <w:tr>
        <w:trPr>
          <w:trHeight w:val="20"/>
        </w:trPr>
        <w:tc>
          <w:tcPr>
            <w:tcW w:w="9320" w:type="dxa"/>
            <w:vAlign w:val="bottom"/>
            <w:vMerge w:val="restart"/>
          </w:tcPr>
          <w:p>
            <w:pPr>
              <w:ind w:left="20"/>
              <w:spacing w:after="0"/>
              <w:rPr>
                <w:sz w:val="20"/>
                <w:szCs w:val="20"/>
                <w:color w:val="auto"/>
              </w:rPr>
            </w:pPr>
            <w:r>
              <w:rPr>
                <w:rFonts w:ascii="Arial" w:cs="Arial" w:eastAsia="Arial" w:hAnsi="Arial"/>
                <w:sz w:val="18"/>
                <w:szCs w:val="18"/>
                <w:b w:val="1"/>
                <w:bCs w:val="1"/>
                <w:color w:val="828282"/>
              </w:rPr>
              <w:t>Alternate Presentation of Free Cash Flow (Unaudited)</w:t>
            </w: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9320" w:type="dxa"/>
            <w:vAlign w:val="bottom"/>
            <w:tcBorders>
              <w:bottom w:val="single" w:sz="8" w:color="004EA8"/>
            </w:tcBorders>
            <w:vMerge w:val="continue"/>
          </w:tcPr>
          <w:p>
            <w:pPr>
              <w:spacing w:after="0"/>
              <w:rPr>
                <w:sz w:val="24"/>
                <w:szCs w:val="24"/>
                <w:color w:val="auto"/>
              </w:rPr>
            </w:pPr>
          </w:p>
        </w:tc>
        <w:tc>
          <w:tcPr>
            <w:tcW w:w="900" w:type="dxa"/>
            <w:vAlign w:val="bottom"/>
            <w:tcBorders>
              <w:bottom w:val="single" w:sz="8" w:color="004EA8"/>
            </w:tcBorders>
          </w:tcPr>
          <w:p>
            <w:pPr>
              <w:spacing w:after="0"/>
              <w:rPr>
                <w:sz w:val="24"/>
                <w:szCs w:val="24"/>
                <w:color w:val="auto"/>
              </w:rPr>
            </w:pPr>
          </w:p>
        </w:tc>
        <w:tc>
          <w:tcPr>
            <w:tcW w:w="120" w:type="dxa"/>
            <w:vAlign w:val="bottom"/>
            <w:tcBorders>
              <w:bottom w:val="single" w:sz="8" w:color="004EA8"/>
            </w:tcBorders>
          </w:tcPr>
          <w:p>
            <w:pPr>
              <w:spacing w:after="0"/>
              <w:rPr>
                <w:sz w:val="24"/>
                <w:szCs w:val="24"/>
                <w:color w:val="auto"/>
              </w:rPr>
            </w:pPr>
          </w:p>
        </w:tc>
        <w:tc>
          <w:tcPr>
            <w:tcW w:w="280" w:type="dxa"/>
            <w:vAlign w:val="bottom"/>
            <w:tcBorders>
              <w:bottom w:val="single" w:sz="8" w:color="004EA8"/>
            </w:tcBorders>
          </w:tcPr>
          <w:p>
            <w:pPr>
              <w:spacing w:after="0"/>
              <w:rPr>
                <w:sz w:val="24"/>
                <w:szCs w:val="24"/>
                <w:color w:val="auto"/>
              </w:rPr>
            </w:pPr>
          </w:p>
        </w:tc>
        <w:tc>
          <w:tcPr>
            <w:tcW w:w="620" w:type="dxa"/>
            <w:vAlign w:val="bottom"/>
            <w:tcBorders>
              <w:bottom w:val="single" w:sz="8" w:color="004EA8"/>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320" w:type="dxa"/>
            <w:vAlign w:val="bottom"/>
          </w:tcPr>
          <w:p>
            <w:pPr>
              <w:spacing w:after="0"/>
              <w:rPr>
                <w:sz w:val="20"/>
                <w:szCs w:val="20"/>
                <w:color w:val="auto"/>
              </w:rPr>
            </w:pPr>
          </w:p>
        </w:tc>
        <w:tc>
          <w:tcPr>
            <w:tcW w:w="192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6"/>
        </w:trPr>
        <w:tc>
          <w:tcPr>
            <w:tcW w:w="9320" w:type="dxa"/>
            <w:vAlign w:val="bottom"/>
          </w:tcPr>
          <w:p>
            <w:pPr>
              <w:spacing w:after="0"/>
              <w:rPr>
                <w:sz w:val="15"/>
                <w:szCs w:val="15"/>
                <w:color w:val="auto"/>
              </w:rPr>
            </w:pPr>
          </w:p>
        </w:tc>
        <w:tc>
          <w:tcPr>
            <w:tcW w:w="1300" w:type="dxa"/>
            <w:vAlign w:val="bottom"/>
            <w:gridSpan w:val="3"/>
          </w:tcPr>
          <w:p>
            <w:pPr>
              <w:jc w:val="center"/>
              <w:ind w:left="548"/>
              <w:spacing w:after="0"/>
              <w:rPr>
                <w:sz w:val="20"/>
                <w:szCs w:val="20"/>
                <w:color w:val="auto"/>
              </w:rPr>
            </w:pPr>
            <w:r>
              <w:rPr>
                <w:rFonts w:ascii="Arial" w:cs="Arial" w:eastAsia="Arial" w:hAnsi="Arial"/>
                <w:sz w:val="14"/>
                <w:szCs w:val="14"/>
                <w:b w:val="1"/>
                <w:bCs w:val="1"/>
                <w:color w:val="auto"/>
              </w:rPr>
              <w:t>March 31,</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3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83"/>
        </w:trPr>
        <w:tc>
          <w:tcPr>
            <w:tcW w:w="9320" w:type="dxa"/>
            <w:vAlign w:val="bottom"/>
          </w:tcPr>
          <w:p>
            <w:pPr>
              <w:ind w:left="20"/>
              <w:spacing w:after="0"/>
              <w:rPr>
                <w:sz w:val="20"/>
                <w:szCs w:val="20"/>
                <w:color w:val="auto"/>
              </w:rPr>
            </w:pPr>
            <w:r>
              <w:rPr>
                <w:rFonts w:ascii="Arial" w:cs="Arial" w:eastAsia="Arial" w:hAnsi="Arial"/>
                <w:sz w:val="14"/>
                <w:szCs w:val="14"/>
                <w:b w:val="1"/>
                <w:bCs w:val="1"/>
                <w:color w:val="auto"/>
              </w:rPr>
              <w:t>Adjusted EBITDA</w:t>
            </w: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$8,413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$8,130</w:t>
            </w:r>
          </w:p>
        </w:tc>
        <w:tc>
          <w:tcPr>
            <w:tcW w:w="0" w:type="dxa"/>
            <w:vAlign w:val="bottom"/>
          </w:tcPr>
          <w:p>
            <w:pPr>
              <w:spacing w:after="0"/>
              <w:rPr>
                <w:sz w:val="1"/>
                <w:szCs w:val="1"/>
                <w:color w:val="auto"/>
              </w:rPr>
            </w:pPr>
          </w:p>
        </w:tc>
      </w:tr>
      <w:tr>
        <w:trPr>
          <w:trHeight w:val="189"/>
        </w:trPr>
        <w:tc>
          <w:tcPr>
            <w:tcW w:w="9320" w:type="dxa"/>
            <w:vAlign w:val="bottom"/>
          </w:tcPr>
          <w:p>
            <w:pPr>
              <w:ind w:left="20"/>
              <w:spacing w:after="0"/>
              <w:rPr>
                <w:sz w:val="20"/>
                <w:szCs w:val="20"/>
                <w:color w:val="auto"/>
              </w:rPr>
            </w:pPr>
            <w:r>
              <w:rPr>
                <w:rFonts w:ascii="Arial" w:cs="Arial" w:eastAsia="Arial" w:hAnsi="Arial"/>
                <w:sz w:val="14"/>
                <w:szCs w:val="14"/>
                <w:color w:val="auto"/>
              </w:rPr>
              <w:t>Capital expenditures</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(1,859)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(1,881)</w:t>
            </w:r>
          </w:p>
        </w:tc>
        <w:tc>
          <w:tcPr>
            <w:tcW w:w="0" w:type="dxa"/>
            <w:vAlign w:val="bottom"/>
          </w:tcPr>
          <w:p>
            <w:pPr>
              <w:spacing w:after="0"/>
              <w:rPr>
                <w:sz w:val="1"/>
                <w:szCs w:val="1"/>
                <w:color w:val="auto"/>
              </w:rPr>
            </w:pPr>
          </w:p>
        </w:tc>
      </w:tr>
      <w:tr>
        <w:trPr>
          <w:trHeight w:val="189"/>
        </w:trPr>
        <w:tc>
          <w:tcPr>
            <w:tcW w:w="9320" w:type="dxa"/>
            <w:vAlign w:val="bottom"/>
          </w:tcPr>
          <w:p>
            <w:pPr>
              <w:ind w:left="20"/>
              <w:spacing w:after="0"/>
              <w:rPr>
                <w:sz w:val="20"/>
                <w:szCs w:val="20"/>
                <w:color w:val="auto"/>
              </w:rPr>
            </w:pPr>
            <w:r>
              <w:rPr>
                <w:rFonts w:ascii="Arial" w:cs="Arial" w:eastAsia="Arial" w:hAnsi="Arial"/>
                <w:sz w:val="14"/>
                <w:szCs w:val="14"/>
                <w:color w:val="auto"/>
              </w:rPr>
              <w:t>Cash paid for capitalized software and other intangible assets</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(612)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(618)</w:t>
            </w:r>
          </w:p>
        </w:tc>
        <w:tc>
          <w:tcPr>
            <w:tcW w:w="0" w:type="dxa"/>
            <w:vAlign w:val="bottom"/>
          </w:tcPr>
          <w:p>
            <w:pPr>
              <w:spacing w:after="0"/>
              <w:rPr>
                <w:sz w:val="1"/>
                <w:szCs w:val="1"/>
                <w:color w:val="auto"/>
              </w:rPr>
            </w:pPr>
          </w:p>
        </w:tc>
      </w:tr>
      <w:tr>
        <w:trPr>
          <w:trHeight w:val="189"/>
        </w:trPr>
        <w:tc>
          <w:tcPr>
            <w:tcW w:w="9320" w:type="dxa"/>
            <w:vAlign w:val="bottom"/>
          </w:tcPr>
          <w:p>
            <w:pPr>
              <w:ind w:left="20"/>
              <w:spacing w:after="0"/>
              <w:rPr>
                <w:sz w:val="20"/>
                <w:szCs w:val="20"/>
                <w:color w:val="auto"/>
              </w:rPr>
            </w:pPr>
            <w:r>
              <w:rPr>
                <w:rFonts w:ascii="Arial" w:cs="Arial" w:eastAsia="Arial" w:hAnsi="Arial"/>
                <w:sz w:val="14"/>
                <w:szCs w:val="14"/>
                <w:color w:val="auto"/>
              </w:rPr>
              <w:t>Cash interest expense</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(911)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(991)</w:t>
            </w:r>
          </w:p>
        </w:tc>
        <w:tc>
          <w:tcPr>
            <w:tcW w:w="0" w:type="dxa"/>
            <w:vAlign w:val="bottom"/>
          </w:tcPr>
          <w:p>
            <w:pPr>
              <w:spacing w:after="0"/>
              <w:rPr>
                <w:sz w:val="1"/>
                <w:szCs w:val="1"/>
                <w:color w:val="auto"/>
              </w:rPr>
            </w:pPr>
          </w:p>
        </w:tc>
      </w:tr>
      <w:tr>
        <w:trPr>
          <w:trHeight w:val="189"/>
        </w:trPr>
        <w:tc>
          <w:tcPr>
            <w:tcW w:w="9320" w:type="dxa"/>
            <w:vAlign w:val="bottom"/>
          </w:tcPr>
          <w:p>
            <w:pPr>
              <w:ind w:left="20"/>
              <w:spacing w:after="0"/>
              <w:rPr>
                <w:sz w:val="20"/>
                <w:szCs w:val="20"/>
                <w:color w:val="auto"/>
              </w:rPr>
            </w:pPr>
            <w:r>
              <w:rPr>
                <w:rFonts w:ascii="Arial" w:cs="Arial" w:eastAsia="Arial" w:hAnsi="Arial"/>
                <w:sz w:val="14"/>
                <w:szCs w:val="14"/>
                <w:color w:val="auto"/>
              </w:rPr>
              <w:t>Cash taxes</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(87)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89"/>
        </w:trPr>
        <w:tc>
          <w:tcPr>
            <w:tcW w:w="9320" w:type="dxa"/>
            <w:vAlign w:val="bottom"/>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(176)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(1,393)</w:t>
            </w:r>
          </w:p>
        </w:tc>
        <w:tc>
          <w:tcPr>
            <w:tcW w:w="0" w:type="dxa"/>
            <w:vAlign w:val="bottom"/>
          </w:tcPr>
          <w:p>
            <w:pPr>
              <w:spacing w:after="0"/>
              <w:rPr>
                <w:sz w:val="1"/>
                <w:szCs w:val="1"/>
                <w:color w:val="auto"/>
              </w:rPr>
            </w:pPr>
          </w:p>
        </w:tc>
      </w:tr>
      <w:tr>
        <w:trPr>
          <w:trHeight w:val="189"/>
        </w:trPr>
        <w:tc>
          <w:tcPr>
            <w:tcW w:w="9320" w:type="dxa"/>
            <w:vAlign w:val="bottom"/>
          </w:tcPr>
          <w:p>
            <w:pPr>
              <w:ind w:left="20"/>
              <w:spacing w:after="0"/>
              <w:rPr>
                <w:sz w:val="20"/>
                <w:szCs w:val="20"/>
                <w:color w:val="auto"/>
              </w:rPr>
            </w:pPr>
            <w:r>
              <w:rPr>
                <w:rFonts w:ascii="Arial" w:cs="Arial" w:eastAsia="Arial" w:hAnsi="Arial"/>
                <w:sz w:val="14"/>
                <w:szCs w:val="14"/>
                <w:color w:val="auto"/>
              </w:rPr>
              <w:t>Noncash share-based compensation</w:t>
            </w: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373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189"/>
        </w:trPr>
        <w:tc>
          <w:tcPr>
            <w:tcW w:w="932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Other </w:t>
            </w:r>
            <w:r>
              <w:rPr>
                <w:rFonts w:ascii="Arial" w:cs="Arial" w:eastAsia="Arial" w:hAnsi="Arial"/>
                <w:sz w:val="18"/>
                <w:szCs w:val="18"/>
                <w:color w:val="auto"/>
                <w:vertAlign w:val="superscript"/>
              </w:rPr>
              <w:t>(2)</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139</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83"/>
        </w:trPr>
        <w:tc>
          <w:tcPr>
            <w:tcW w:w="9320" w:type="dxa"/>
            <w:vAlign w:val="bottom"/>
          </w:tcPr>
          <w:p>
            <w:pPr>
              <w:ind w:left="20"/>
              <w:spacing w:after="0"/>
              <w:rPr>
                <w:sz w:val="20"/>
                <w:szCs w:val="20"/>
                <w:color w:val="auto"/>
              </w:rPr>
            </w:pPr>
            <w:r>
              <w:rPr>
                <w:rFonts w:ascii="Arial" w:cs="Arial" w:eastAsia="Arial" w:hAnsi="Arial"/>
                <w:sz w:val="14"/>
                <w:szCs w:val="14"/>
                <w:b w:val="1"/>
                <w:bCs w:val="1"/>
                <w:color w:val="auto"/>
              </w:rPr>
              <w:t>Free Cash Flow</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$5,280</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$3,325</w:t>
            </w:r>
          </w:p>
        </w:tc>
        <w:tc>
          <w:tcPr>
            <w:tcW w:w="0" w:type="dxa"/>
            <w:vAlign w:val="bottom"/>
          </w:tcPr>
          <w:p>
            <w:pPr>
              <w:spacing w:after="0"/>
              <w:rPr>
                <w:sz w:val="1"/>
                <w:szCs w:val="1"/>
                <w:color w:val="auto"/>
              </w:rPr>
            </w:pPr>
          </w:p>
        </w:tc>
      </w:tr>
      <w:tr>
        <w:trPr>
          <w:trHeight w:val="21"/>
        </w:trPr>
        <w:tc>
          <w:tcPr>
            <w:tcW w:w="9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360" w:right="20" w:hanging="334"/>
        <w:spacing w:after="0" w:line="188" w:lineRule="auto"/>
        <w:tabs>
          <w:tab w:leader="none" w:pos="360" w:val="left"/>
        </w:tabs>
        <w:numPr>
          <w:ilvl w:val="0"/>
          <w:numId w:val="3"/>
        </w:numPr>
        <w:rPr>
          <w:rFonts w:ascii="Arial" w:cs="Arial" w:eastAsia="Arial" w:hAnsi="Arial"/>
          <w:sz w:val="20"/>
          <w:szCs w:val="20"/>
          <w:color w:val="auto"/>
          <w:vertAlign w:val="superscript"/>
        </w:rPr>
      </w:pPr>
      <w:r>
        <w:rPr>
          <w:rFonts w:ascii="Arial" w:cs="Arial" w:eastAsia="Arial" w:hAnsi="Arial"/>
          <w:sz w:val="14"/>
          <w:szCs w:val="14"/>
          <w:color w:val="auto"/>
        </w:rPr>
        <w:t>1st quarter 2021 and 2020 Adjusted EBITDA exclude $12 million and $14 million of other operating and administrative expense, respectively, related to the Sky transaction, primarily relating to the replacement of share-based compensation awards and costs related to integration activities.</w:t>
      </w:r>
    </w:p>
    <w:p>
      <w:pPr>
        <w:spacing w:after="0" w:line="71" w:lineRule="exact"/>
        <w:rPr>
          <w:rFonts w:ascii="Arial" w:cs="Arial" w:eastAsia="Arial" w:hAnsi="Arial"/>
          <w:sz w:val="20"/>
          <w:szCs w:val="20"/>
          <w:color w:val="auto"/>
          <w:vertAlign w:val="superscript"/>
        </w:rPr>
      </w:pPr>
    </w:p>
    <w:p>
      <w:pPr>
        <w:ind w:left="360" w:right="20" w:hanging="334"/>
        <w:spacing w:after="0" w:line="188" w:lineRule="auto"/>
        <w:tabs>
          <w:tab w:leader="none" w:pos="360" w:val="left"/>
        </w:tabs>
        <w:numPr>
          <w:ilvl w:val="0"/>
          <w:numId w:val="3"/>
        </w:numPr>
        <w:rPr>
          <w:rFonts w:ascii="Arial" w:cs="Arial" w:eastAsia="Arial" w:hAnsi="Arial"/>
          <w:sz w:val="20"/>
          <w:szCs w:val="20"/>
          <w:color w:val="auto"/>
          <w:vertAlign w:val="superscript"/>
        </w:rPr>
      </w:pPr>
      <w:r>
        <w:rPr>
          <w:rFonts w:ascii="Arial" w:cs="Arial" w:eastAsia="Arial" w:hAnsi="Arial"/>
          <w:sz w:val="14"/>
          <w:szCs w:val="14"/>
          <w:color w:val="auto"/>
        </w:rPr>
        <w:t>1st quarter 2021 and 2020 include decreases of $12 million and $14 million of costs related to the Sky transaction, respectively, as these amounts are excluded from Adjusted EBITDA.</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Note: Minor differences may exist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40"/>
          </w:cols>
          <w:pgMar w:left="320" w:top="987" w:right="339" w:bottom="1440" w:gutter="0" w:footer="0" w:header="0"/>
        </w:sectPr>
      </w:pPr>
    </w:p>
    <w:bookmarkStart w:id="14" w:name="page15"/>
    <w:bookmarkEnd w:id="14"/>
    <w:p>
      <w:pPr>
        <w:ind w:left="20"/>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5986145</wp:posOffset>
            </wp:positionH>
            <wp:positionV relativeFrom="page">
              <wp:posOffset>586105</wp:posOffset>
            </wp:positionV>
            <wp:extent cx="1080135" cy="4629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080135" cy="462915"/>
                    </a:xfrm>
                    <a:prstGeom prst="rect">
                      <a:avLst/>
                    </a:prstGeom>
                    <a:noFill/>
                  </pic:spPr>
                </pic:pic>
              </a:graphicData>
            </a:graphic>
          </wp:anchor>
        </w:drawing>
        <w:t>TABLE 5</w:t>
      </w:r>
    </w:p>
    <w:p>
      <w:pPr>
        <w:spacing w:after="0" w:line="28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828282"/>
        </w:rPr>
        <w:t>Reconciliations of Adjusted Net Income and Adjusted EPS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2940" w:type="dxa"/>
            <w:vAlign w:val="bottom"/>
            <w:gridSpan w:val="5"/>
          </w:tcPr>
          <w:p>
            <w:pPr>
              <w:jc w:val="center"/>
              <w:ind w:left="488"/>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7700" w:type="dxa"/>
            <w:vAlign w:val="bottom"/>
          </w:tcPr>
          <w:p>
            <w:pPr>
              <w:spacing w:after="0"/>
              <w:rPr>
                <w:sz w:val="16"/>
                <w:szCs w:val="16"/>
                <w:color w:val="auto"/>
              </w:rPr>
            </w:pP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1000" w:type="dxa"/>
            <w:vAlign w:val="bottom"/>
            <w:gridSpan w:val="3"/>
          </w:tcPr>
          <w:p>
            <w:pPr>
              <w:jc w:val="center"/>
              <w:ind w:left="128"/>
              <w:spacing w:after="0"/>
              <w:rPr>
                <w:sz w:val="20"/>
                <w:szCs w:val="20"/>
                <w:color w:val="auto"/>
              </w:rPr>
            </w:pPr>
            <w:r>
              <w:rPr>
                <w:rFonts w:ascii="Arial" w:cs="Arial" w:eastAsia="Arial" w:hAnsi="Arial"/>
                <w:sz w:val="14"/>
                <w:szCs w:val="14"/>
                <w:b w:val="1"/>
                <w:bCs w:val="1"/>
                <w:color w:val="auto"/>
              </w:rPr>
              <w:t>March 31,</w:t>
            </w: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7700" w:type="dxa"/>
            <w:vAlign w:val="bottom"/>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7700" w:type="dxa"/>
            <w:vAlign w:val="bottom"/>
          </w:tcPr>
          <w:p>
            <w:pPr>
              <w:spacing w:after="0"/>
              <w:rPr>
                <w:sz w:val="20"/>
                <w:szCs w:val="20"/>
                <w:color w:val="auto"/>
              </w:rPr>
            </w:pPr>
            <w:r>
              <w:rPr>
                <w:rFonts w:ascii="Arial" w:cs="Arial" w:eastAsia="Arial" w:hAnsi="Arial"/>
                <w:sz w:val="14"/>
                <w:szCs w:val="14"/>
                <w:color w:val="auto"/>
              </w:rPr>
              <w:t>(in millions, except per share data)</w:t>
            </w:r>
          </w:p>
        </w:tc>
        <w:tc>
          <w:tcPr>
            <w:tcW w:w="1160" w:type="dxa"/>
            <w:vAlign w:val="bottom"/>
            <w:vMerge w:val="restart"/>
          </w:tcPr>
          <w:p>
            <w:pPr>
              <w:jc w:val="right"/>
              <w:ind w:right="628"/>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EPS</w:t>
            </w: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7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78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48"/>
              <w:spacing w:after="0"/>
              <w:rPr>
                <w:sz w:val="20"/>
                <w:szCs w:val="20"/>
                <w:color w:val="auto"/>
              </w:rPr>
            </w:pPr>
            <w:r>
              <w:rPr>
                <w:rFonts w:ascii="Arial" w:cs="Arial" w:eastAsia="Arial" w:hAnsi="Arial"/>
                <w:sz w:val="14"/>
                <w:szCs w:val="14"/>
                <w:color w:val="auto"/>
              </w:rPr>
              <w:t>EPS</w:t>
            </w:r>
          </w:p>
        </w:tc>
        <w:tc>
          <w:tcPr>
            <w:tcW w:w="0" w:type="dxa"/>
            <w:vAlign w:val="bottom"/>
          </w:tcPr>
          <w:p>
            <w:pPr>
              <w:spacing w:after="0"/>
              <w:rPr>
                <w:sz w:val="1"/>
                <w:szCs w:val="1"/>
                <w:color w:val="auto"/>
              </w:rPr>
            </w:pPr>
          </w:p>
        </w:tc>
      </w:tr>
      <w:tr>
        <w:trPr>
          <w:trHeight w:val="183"/>
        </w:trPr>
        <w:tc>
          <w:tcPr>
            <w:tcW w:w="7700" w:type="dxa"/>
            <w:vAlign w:val="bottom"/>
          </w:tcPr>
          <w:p>
            <w:pPr>
              <w:spacing w:after="0"/>
              <w:rPr>
                <w:sz w:val="20"/>
                <w:szCs w:val="20"/>
                <w:color w:val="auto"/>
              </w:rPr>
            </w:pPr>
            <w:r>
              <w:rPr>
                <w:rFonts w:ascii="Arial" w:cs="Arial" w:eastAsia="Arial" w:hAnsi="Arial"/>
                <w:sz w:val="14"/>
                <w:szCs w:val="14"/>
                <w:b w:val="1"/>
                <w:bCs w:val="1"/>
                <w:color w:val="auto"/>
              </w:rPr>
              <w:t>Net income attributable to Comcast Corporation and diluted earnings per share attributable to Comcast</w:t>
            </w:r>
          </w:p>
        </w:tc>
        <w:tc>
          <w:tcPr>
            <w:tcW w:w="1160" w:type="dxa"/>
            <w:vAlign w:val="bottom"/>
            <w:tcBorders>
              <w:top w:val="single" w:sz="8" w:color="auto"/>
            </w:tcBorders>
            <w:vMerge w:val="restart"/>
          </w:tcPr>
          <w:p>
            <w:pPr>
              <w:jc w:val="right"/>
              <w:ind w:right="268"/>
              <w:spacing w:after="0"/>
              <w:rPr>
                <w:sz w:val="20"/>
                <w:szCs w:val="20"/>
                <w:color w:val="auto"/>
              </w:rPr>
            </w:pPr>
            <w:r>
              <w:rPr>
                <w:rFonts w:ascii="Arial" w:cs="Arial" w:eastAsia="Arial" w:hAnsi="Arial"/>
                <w:sz w:val="14"/>
                <w:szCs w:val="14"/>
                <w:b w:val="1"/>
                <w:bCs w:val="1"/>
                <w:color w:val="auto"/>
              </w:rPr>
              <w:t>$3,329</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$0.71</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vMerge w:val="restart"/>
          </w:tcPr>
          <w:p>
            <w:pPr>
              <w:jc w:val="right"/>
              <w:ind w:right="208"/>
              <w:spacing w:after="0"/>
              <w:rPr>
                <w:sz w:val="20"/>
                <w:szCs w:val="20"/>
                <w:color w:val="auto"/>
              </w:rPr>
            </w:pPr>
            <w:r>
              <w:rPr>
                <w:rFonts w:ascii="Arial" w:cs="Arial" w:eastAsia="Arial" w:hAnsi="Arial"/>
                <w:sz w:val="14"/>
                <w:szCs w:val="14"/>
                <w:color w:val="auto"/>
              </w:rPr>
              <w:t>$2,147</w:t>
            </w: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$0.46</w:t>
            </w:r>
          </w:p>
        </w:tc>
        <w:tc>
          <w:tcPr>
            <w:tcW w:w="0" w:type="dxa"/>
            <w:vAlign w:val="bottom"/>
          </w:tcPr>
          <w:p>
            <w:pPr>
              <w:spacing w:after="0"/>
              <w:rPr>
                <w:sz w:val="1"/>
                <w:szCs w:val="1"/>
                <w:color w:val="auto"/>
              </w:rPr>
            </w:pPr>
          </w:p>
        </w:tc>
      </w:tr>
      <w:tr>
        <w:trPr>
          <w:trHeight w:val="180"/>
        </w:trPr>
        <w:tc>
          <w:tcPr>
            <w:tcW w:w="7700" w:type="dxa"/>
            <w:vAlign w:val="bottom"/>
          </w:tcPr>
          <w:p>
            <w:pPr>
              <w:spacing w:after="0"/>
              <w:rPr>
                <w:sz w:val="20"/>
                <w:szCs w:val="20"/>
                <w:color w:val="auto"/>
              </w:rPr>
            </w:pPr>
            <w:r>
              <w:rPr>
                <w:rFonts w:ascii="Arial" w:cs="Arial" w:eastAsia="Arial" w:hAnsi="Arial"/>
                <w:sz w:val="14"/>
                <w:szCs w:val="14"/>
                <w:b w:val="1"/>
                <w:bCs w:val="1"/>
                <w:color w:val="auto"/>
              </w:rPr>
              <w:t>Corporation shareholders</w:t>
            </w:r>
          </w:p>
        </w:tc>
        <w:tc>
          <w:tcPr>
            <w:tcW w:w="116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700" w:type="dxa"/>
            <w:vAlign w:val="bottom"/>
          </w:tcPr>
          <w:p>
            <w:pPr>
              <w:spacing w:after="0"/>
              <w:rPr>
                <w:sz w:val="20"/>
                <w:szCs w:val="20"/>
                <w:color w:val="auto"/>
              </w:rPr>
            </w:pPr>
            <w:r>
              <w:rPr>
                <w:rFonts w:ascii="Arial" w:cs="Arial" w:eastAsia="Arial" w:hAnsi="Arial"/>
                <w:sz w:val="14"/>
                <w:szCs w:val="14"/>
                <w:i w:val="1"/>
                <w:iCs w:val="1"/>
                <w:color w:val="auto"/>
              </w:rPr>
              <w:t>Change</w:t>
            </w:r>
          </w:p>
        </w:tc>
        <w:tc>
          <w:tcPr>
            <w:tcW w:w="1160" w:type="dxa"/>
            <w:vAlign w:val="bottom"/>
          </w:tcPr>
          <w:p>
            <w:pPr>
              <w:jc w:val="right"/>
              <w:ind w:right="268"/>
              <w:spacing w:after="0"/>
              <w:rPr>
                <w:sz w:val="20"/>
                <w:szCs w:val="20"/>
                <w:color w:val="auto"/>
              </w:rPr>
            </w:pPr>
            <w:r>
              <w:rPr>
                <w:rFonts w:ascii="Arial" w:cs="Arial" w:eastAsia="Arial" w:hAnsi="Arial"/>
                <w:sz w:val="14"/>
                <w:szCs w:val="14"/>
                <w:i w:val="1"/>
                <w:iCs w:val="1"/>
                <w:color w:val="auto"/>
              </w:rPr>
              <w:t>55.1 %</w:t>
            </w:r>
          </w:p>
        </w:tc>
        <w:tc>
          <w:tcPr>
            <w:tcW w:w="660" w:type="dxa"/>
            <w:vAlign w:val="bottom"/>
          </w:tcPr>
          <w:p>
            <w:pPr>
              <w:jc w:val="right"/>
              <w:spacing w:after="0"/>
              <w:rPr>
                <w:sz w:val="20"/>
                <w:szCs w:val="20"/>
                <w:color w:val="auto"/>
              </w:rPr>
            </w:pPr>
            <w:r>
              <w:rPr>
                <w:rFonts w:ascii="Arial" w:cs="Arial" w:eastAsia="Arial" w:hAnsi="Arial"/>
                <w:sz w:val="14"/>
                <w:szCs w:val="14"/>
                <w:i w:val="1"/>
                <w:iCs w:val="1"/>
                <w:color w:val="auto"/>
              </w:rPr>
              <w:t>54.3 %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7700" w:type="dxa"/>
            <w:vAlign w:val="bottom"/>
          </w:tcPr>
          <w:p>
            <w:pPr>
              <w:spacing w:after="0"/>
              <w:rPr>
                <w:sz w:val="20"/>
                <w:szCs w:val="20"/>
                <w:color w:val="auto"/>
              </w:rPr>
            </w:pPr>
            <w:r>
              <w:rPr>
                <w:rFonts w:ascii="Arial" w:cs="Arial" w:eastAsia="Arial" w:hAnsi="Arial"/>
                <w:sz w:val="14"/>
                <w:szCs w:val="14"/>
                <w:color w:val="auto"/>
              </w:rPr>
              <w:t xml:space="preserve">Amortization of acquisition-related intangible assets </w:t>
            </w:r>
            <w:r>
              <w:rPr>
                <w:rFonts w:ascii="Arial" w:cs="Arial" w:eastAsia="Arial" w:hAnsi="Arial"/>
                <w:sz w:val="18"/>
                <w:szCs w:val="18"/>
                <w:color w:val="auto"/>
                <w:vertAlign w:val="superscript"/>
              </w:rPr>
              <w:t>(1)</w:t>
            </w:r>
          </w:p>
        </w:tc>
        <w:tc>
          <w:tcPr>
            <w:tcW w:w="1160" w:type="dxa"/>
            <w:vAlign w:val="bottom"/>
          </w:tcPr>
          <w:p>
            <w:pPr>
              <w:jc w:val="right"/>
              <w:ind w:right="268"/>
              <w:spacing w:after="0"/>
              <w:rPr>
                <w:sz w:val="20"/>
                <w:szCs w:val="20"/>
                <w:color w:val="auto"/>
              </w:rPr>
            </w:pPr>
            <w:r>
              <w:rPr>
                <w:rFonts w:ascii="Arial" w:cs="Arial" w:eastAsia="Arial" w:hAnsi="Arial"/>
                <w:sz w:val="14"/>
                <w:szCs w:val="14"/>
                <w:b w:val="1"/>
                <w:bCs w:val="1"/>
                <w:color w:val="auto"/>
              </w:rPr>
              <w:t>477</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0.11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08"/>
              <w:spacing w:after="0"/>
              <w:rPr>
                <w:sz w:val="20"/>
                <w:szCs w:val="20"/>
                <w:color w:val="auto"/>
              </w:rPr>
            </w:pPr>
            <w:r>
              <w:rPr>
                <w:rFonts w:ascii="Arial" w:cs="Arial" w:eastAsia="Arial" w:hAnsi="Arial"/>
                <w:sz w:val="14"/>
                <w:szCs w:val="14"/>
                <w:color w:val="auto"/>
              </w:rPr>
              <w:t>458</w:t>
            </w:r>
          </w:p>
        </w:tc>
        <w:tc>
          <w:tcPr>
            <w:tcW w:w="580" w:type="dxa"/>
            <w:vAlign w:val="bottom"/>
          </w:tcPr>
          <w:p>
            <w:pPr>
              <w:jc w:val="right"/>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207"/>
        </w:trPr>
        <w:tc>
          <w:tcPr>
            <w:tcW w:w="7700" w:type="dxa"/>
            <w:vAlign w:val="bottom"/>
          </w:tcPr>
          <w:p>
            <w:pPr>
              <w:spacing w:after="0"/>
              <w:rPr>
                <w:sz w:val="20"/>
                <w:szCs w:val="20"/>
                <w:color w:val="auto"/>
              </w:rPr>
            </w:pPr>
            <w:r>
              <w:rPr>
                <w:rFonts w:ascii="Arial" w:cs="Arial" w:eastAsia="Arial" w:hAnsi="Arial"/>
                <w:sz w:val="14"/>
                <w:szCs w:val="14"/>
                <w:color w:val="auto"/>
              </w:rPr>
              <w:t xml:space="preserve">Investments </w:t>
            </w:r>
            <w:r>
              <w:rPr>
                <w:rFonts w:ascii="Arial" w:cs="Arial" w:eastAsia="Arial" w:hAnsi="Arial"/>
                <w:sz w:val="18"/>
                <w:szCs w:val="18"/>
                <w:color w:val="auto"/>
                <w:vertAlign w:val="superscript"/>
              </w:rPr>
              <w:t>(2)</w:t>
            </w:r>
          </w:p>
        </w:tc>
        <w:tc>
          <w:tcPr>
            <w:tcW w:w="1160" w:type="dxa"/>
            <w:vAlign w:val="bottom"/>
          </w:tcPr>
          <w:p>
            <w:pPr>
              <w:jc w:val="right"/>
              <w:ind w:right="268"/>
              <w:spacing w:after="0"/>
              <w:rPr>
                <w:sz w:val="20"/>
                <w:szCs w:val="20"/>
                <w:color w:val="auto"/>
              </w:rPr>
            </w:pPr>
            <w:r>
              <w:rPr>
                <w:rFonts w:ascii="Arial" w:cs="Arial" w:eastAsia="Arial" w:hAnsi="Arial"/>
                <w:sz w:val="14"/>
                <w:szCs w:val="14"/>
                <w:b w:val="1"/>
                <w:bCs w:val="1"/>
                <w:color w:val="auto"/>
              </w:rPr>
              <w:t>(287)</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(0.06)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08"/>
              <w:spacing w:after="0"/>
              <w:rPr>
                <w:sz w:val="20"/>
                <w:szCs w:val="20"/>
                <w:color w:val="auto"/>
              </w:rPr>
            </w:pPr>
            <w:r>
              <w:rPr>
                <w:rFonts w:ascii="Arial" w:cs="Arial" w:eastAsia="Arial" w:hAnsi="Arial"/>
                <w:sz w:val="14"/>
                <w:szCs w:val="14"/>
                <w:color w:val="auto"/>
              </w:rPr>
              <w:t>544</w:t>
            </w:r>
          </w:p>
        </w:tc>
        <w:tc>
          <w:tcPr>
            <w:tcW w:w="580" w:type="dxa"/>
            <w:vAlign w:val="bottom"/>
          </w:tcPr>
          <w:p>
            <w:pPr>
              <w:jc w:val="right"/>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172"/>
        </w:trPr>
        <w:tc>
          <w:tcPr>
            <w:tcW w:w="7700" w:type="dxa"/>
            <w:vAlign w:val="bottom"/>
          </w:tcPr>
          <w:p>
            <w:pPr>
              <w:spacing w:after="0"/>
              <w:rPr>
                <w:sz w:val="20"/>
                <w:szCs w:val="20"/>
                <w:color w:val="auto"/>
              </w:rPr>
            </w:pPr>
            <w:r>
              <w:rPr>
                <w:rFonts w:ascii="Arial" w:cs="Arial" w:eastAsia="Arial" w:hAnsi="Arial"/>
                <w:sz w:val="14"/>
                <w:szCs w:val="14"/>
                <w:color w:val="auto"/>
              </w:rPr>
              <w:t>Items affecting period-over-period comparability:</w:t>
            </w:r>
          </w:p>
        </w:tc>
        <w:tc>
          <w:tcPr>
            <w:tcW w:w="116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700" w:type="dxa"/>
            <w:vAlign w:val="bottom"/>
          </w:tcPr>
          <w:p>
            <w:pPr>
              <w:ind w:left="120"/>
              <w:spacing w:after="0" w:line="188" w:lineRule="exact"/>
              <w:rPr>
                <w:sz w:val="20"/>
                <w:szCs w:val="20"/>
                <w:color w:val="auto"/>
              </w:rPr>
            </w:pPr>
            <w:r>
              <w:rPr>
                <w:rFonts w:ascii="Arial" w:cs="Arial" w:eastAsia="Arial" w:hAnsi="Arial"/>
                <w:sz w:val="14"/>
                <w:szCs w:val="14"/>
                <w:color w:val="auto"/>
              </w:rPr>
              <w:t xml:space="preserve">Loss on early redemption of debt </w:t>
            </w:r>
            <w:r>
              <w:rPr>
                <w:rFonts w:ascii="Arial" w:cs="Arial" w:eastAsia="Arial" w:hAnsi="Arial"/>
                <w:sz w:val="18"/>
                <w:szCs w:val="18"/>
                <w:color w:val="auto"/>
                <w:vertAlign w:val="superscript"/>
              </w:rPr>
              <w:t>(3)</w:t>
            </w:r>
          </w:p>
        </w:tc>
        <w:tc>
          <w:tcPr>
            <w:tcW w:w="1160" w:type="dxa"/>
            <w:vAlign w:val="bottom"/>
            <w:vMerge w:val="continue"/>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780" w:type="dxa"/>
            <w:vAlign w:val="bottom"/>
          </w:tcPr>
          <w:p>
            <w:pPr>
              <w:jc w:val="right"/>
              <w:ind w:right="268"/>
              <w:spacing w:after="0"/>
              <w:rPr>
                <w:sz w:val="20"/>
                <w:szCs w:val="20"/>
                <w:color w:val="auto"/>
              </w:rPr>
            </w:pPr>
            <w:r>
              <w:rPr>
                <w:rFonts w:ascii="Arial" w:cs="Arial" w:eastAsia="Arial" w:hAnsi="Arial"/>
                <w:sz w:val="14"/>
                <w:szCs w:val="14"/>
                <w:color w:val="auto"/>
              </w:rPr>
              <w:t>106</w:t>
            </w:r>
          </w:p>
        </w:tc>
        <w:tc>
          <w:tcPr>
            <w:tcW w:w="580" w:type="dxa"/>
            <w:vAlign w:val="bottom"/>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89"/>
        </w:trPr>
        <w:tc>
          <w:tcPr>
            <w:tcW w:w="7700" w:type="dxa"/>
            <w:vAlign w:val="bottom"/>
          </w:tcPr>
          <w:p>
            <w:pPr>
              <w:ind w:left="120"/>
              <w:spacing w:after="0" w:line="189" w:lineRule="exact"/>
              <w:rPr>
                <w:sz w:val="20"/>
                <w:szCs w:val="20"/>
                <w:color w:val="auto"/>
              </w:rPr>
            </w:pPr>
            <w:r>
              <w:rPr>
                <w:rFonts w:ascii="Arial" w:cs="Arial" w:eastAsia="Arial" w:hAnsi="Arial"/>
                <w:sz w:val="14"/>
                <w:szCs w:val="14"/>
                <w:color w:val="auto"/>
              </w:rPr>
              <w:t xml:space="preserve">Costs related to Sky transaction </w:t>
            </w:r>
            <w:r>
              <w:rPr>
                <w:rFonts w:ascii="Arial" w:cs="Arial" w:eastAsia="Arial" w:hAnsi="Arial"/>
                <w:sz w:val="18"/>
                <w:szCs w:val="18"/>
                <w:color w:val="auto"/>
                <w:vertAlign w:val="superscript"/>
              </w:rPr>
              <w:t>(4)</w:t>
            </w:r>
          </w:p>
        </w:tc>
        <w:tc>
          <w:tcPr>
            <w:tcW w:w="1160" w:type="dxa"/>
            <w:vAlign w:val="bottom"/>
          </w:tcPr>
          <w:p>
            <w:pPr>
              <w:jc w:val="right"/>
              <w:ind w:right="268"/>
              <w:spacing w:after="0"/>
              <w:rPr>
                <w:sz w:val="20"/>
                <w:szCs w:val="20"/>
                <w:color w:val="auto"/>
              </w:rPr>
            </w:pPr>
            <w:r>
              <w:rPr>
                <w:rFonts w:ascii="Arial" w:cs="Arial" w:eastAsia="Arial" w:hAnsi="Arial"/>
                <w:sz w:val="14"/>
                <w:szCs w:val="14"/>
                <w:b w:val="1"/>
                <w:bCs w:val="1"/>
                <w:color w:val="auto"/>
              </w:rPr>
              <w:t>10</w:t>
            </w:r>
          </w:p>
        </w:tc>
        <w:tc>
          <w:tcPr>
            <w:tcW w:w="10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208"/>
              <w:spacing w:after="0"/>
              <w:rPr>
                <w:sz w:val="20"/>
                <w:szCs w:val="20"/>
                <w:color w:val="auto"/>
              </w:rPr>
            </w:pPr>
            <w:r>
              <w:rPr>
                <w:rFonts w:ascii="Arial" w:cs="Arial" w:eastAsia="Arial" w:hAnsi="Arial"/>
                <w:sz w:val="14"/>
                <w:szCs w:val="14"/>
                <w:color w:val="auto"/>
              </w:rPr>
              <w:t>11</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7700" w:type="dxa"/>
            <w:vAlign w:val="bottom"/>
          </w:tcPr>
          <w:p>
            <w:pPr>
              <w:spacing w:after="0"/>
              <w:rPr>
                <w:sz w:val="20"/>
                <w:szCs w:val="20"/>
                <w:color w:val="auto"/>
              </w:rPr>
            </w:pPr>
            <w:r>
              <w:rPr>
                <w:rFonts w:ascii="Arial" w:cs="Arial" w:eastAsia="Arial" w:hAnsi="Arial"/>
                <w:sz w:val="14"/>
                <w:szCs w:val="14"/>
                <w:b w:val="1"/>
                <w:bCs w:val="1"/>
                <w:color w:val="auto"/>
              </w:rPr>
              <w:t>Adjusted Net income and Adjusted EPS</w:t>
            </w:r>
          </w:p>
        </w:tc>
        <w:tc>
          <w:tcPr>
            <w:tcW w:w="116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$3,529</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$0.76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$3,266</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$0.71</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4"/>
                <w:szCs w:val="14"/>
                <w:i w:val="1"/>
                <w:iCs w:val="1"/>
                <w:color w:val="auto"/>
              </w:rPr>
              <w:t>Change</w:t>
            </w: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7700" w:type="dxa"/>
            <w:vAlign w:val="bottom"/>
            <w:vMerge w:val="continue"/>
          </w:tcPr>
          <w:p>
            <w:pPr>
              <w:spacing w:after="0"/>
              <w:rPr>
                <w:sz w:val="16"/>
                <w:szCs w:val="16"/>
                <w:color w:val="auto"/>
              </w:rPr>
            </w:pPr>
          </w:p>
        </w:tc>
        <w:tc>
          <w:tcPr>
            <w:tcW w:w="1160" w:type="dxa"/>
            <w:vAlign w:val="bottom"/>
          </w:tcPr>
          <w:p>
            <w:pPr>
              <w:jc w:val="right"/>
              <w:ind w:right="268"/>
              <w:spacing w:after="0"/>
              <w:rPr>
                <w:sz w:val="20"/>
                <w:szCs w:val="20"/>
                <w:color w:val="auto"/>
              </w:rPr>
            </w:pPr>
            <w:r>
              <w:rPr>
                <w:rFonts w:ascii="Arial" w:cs="Arial" w:eastAsia="Arial" w:hAnsi="Arial"/>
                <w:sz w:val="14"/>
                <w:szCs w:val="14"/>
                <w:i w:val="1"/>
                <w:iCs w:val="1"/>
                <w:color w:val="auto"/>
              </w:rPr>
              <w:t>8.1 %</w:t>
            </w:r>
          </w:p>
        </w:tc>
        <w:tc>
          <w:tcPr>
            <w:tcW w:w="660" w:type="dxa"/>
            <w:vAlign w:val="bottom"/>
          </w:tcPr>
          <w:p>
            <w:pPr>
              <w:jc w:val="right"/>
              <w:spacing w:after="0"/>
              <w:rPr>
                <w:sz w:val="20"/>
                <w:szCs w:val="20"/>
                <w:color w:val="auto"/>
              </w:rPr>
            </w:pPr>
            <w:r>
              <w:rPr>
                <w:rFonts w:ascii="Arial" w:cs="Arial" w:eastAsia="Arial" w:hAnsi="Arial"/>
                <w:sz w:val="14"/>
                <w:szCs w:val="14"/>
                <w:i w:val="1"/>
                <w:iCs w:val="1"/>
                <w:color w:val="auto"/>
              </w:rPr>
              <w:t>7.0 %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jc w:val="both"/>
        <w:ind w:left="260" w:right="40" w:hanging="252"/>
        <w:spacing w:after="0" w:line="250" w:lineRule="auto"/>
        <w:tabs>
          <w:tab w:leader="none" w:pos="252"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Acquisition-related intangible assets are recognized as a result of the application of Accounting Standards Codification Topic 805,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(such as customer relationships), and their amortization is significantly affected by the size and timing of our acquisitions. Amortization of intangible assets not resulting from business combinations (such as software and acquired intellectual property rights used in our theme parks) is included in Adjusted Net Income and Adjusted EPS.</w:t>
      </w:r>
    </w:p>
    <w:p>
      <w:pPr>
        <w:spacing w:after="0" w:line="151" w:lineRule="exact"/>
        <w:rPr>
          <w:sz w:val="20"/>
          <w:szCs w:val="20"/>
          <w:color w:val="auto"/>
        </w:rPr>
      </w:pPr>
    </w:p>
    <w:p>
      <w:pPr>
        <w:jc w:val="center"/>
        <w:ind w:left="8800"/>
        <w:spacing w:after="0"/>
        <w:rPr>
          <w:sz w:val="20"/>
          <w:szCs w:val="20"/>
          <w:color w:val="auto"/>
        </w:rPr>
      </w:pPr>
      <w:r>
        <w:rPr>
          <w:rFonts w:ascii="Arial" w:cs="Arial" w:eastAsia="Arial" w:hAnsi="Arial"/>
          <w:sz w:val="13"/>
          <w:szCs w:val="13"/>
          <w:color w:val="auto"/>
        </w:rPr>
        <w:t>Three Months Ended</w:t>
      </w:r>
    </w:p>
    <w:p>
      <w:pPr>
        <w:jc w:val="center"/>
        <w:ind w:left="8800"/>
        <w:spacing w:after="0"/>
        <w:rPr>
          <w:sz w:val="20"/>
          <w:szCs w:val="20"/>
          <w:color w:val="auto"/>
        </w:rPr>
      </w:pPr>
      <w:r>
        <w:rPr>
          <w:rFonts w:ascii="Arial" w:cs="Arial" w:eastAsia="Arial" w:hAnsi="Arial"/>
          <w:sz w:val="13"/>
          <w:szCs w:val="13"/>
          <w:color w:val="auto"/>
        </w:rPr>
        <w:t>March 31,</w:t>
      </w:r>
    </w:p>
    <w:p>
      <w:pPr>
        <w:spacing w:after="0" w:line="26"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2021</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2020</w:t>
            </w:r>
          </w:p>
        </w:tc>
      </w:tr>
      <w:tr>
        <w:trPr>
          <w:trHeight w:val="169"/>
        </w:trPr>
        <w:tc>
          <w:tcPr>
            <w:tcW w:w="8720" w:type="dxa"/>
            <w:vAlign w:val="bottom"/>
          </w:tcPr>
          <w:p>
            <w:pPr>
              <w:spacing w:after="0"/>
              <w:rPr>
                <w:sz w:val="20"/>
                <w:szCs w:val="20"/>
                <w:color w:val="auto"/>
              </w:rPr>
            </w:pPr>
            <w:r>
              <w:rPr>
                <w:rFonts w:ascii="Arial" w:cs="Arial" w:eastAsia="Arial" w:hAnsi="Arial"/>
                <w:sz w:val="13"/>
                <w:szCs w:val="13"/>
                <w:color w:val="auto"/>
              </w:rPr>
              <w:t>Amortization of acquisition-related intangible assets before income taxes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$592</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$575</w:t>
            </w:r>
          </w:p>
        </w:tc>
      </w:tr>
      <w:tr>
        <w:trPr>
          <w:trHeight w:val="175"/>
        </w:trPr>
        <w:tc>
          <w:tcPr>
            <w:tcW w:w="8720" w:type="dxa"/>
            <w:vAlign w:val="bottom"/>
          </w:tcPr>
          <w:p>
            <w:pPr>
              <w:spacing w:after="0"/>
              <w:rPr>
                <w:sz w:val="20"/>
                <w:szCs w:val="20"/>
                <w:color w:val="auto"/>
              </w:rPr>
            </w:pPr>
            <w:r>
              <w:rPr>
                <w:rFonts w:ascii="Arial" w:cs="Arial" w:eastAsia="Arial" w:hAnsi="Arial"/>
                <w:sz w:val="13"/>
                <w:szCs w:val="13"/>
                <w:color w:val="auto"/>
              </w:rPr>
              <w:t>Amortization of acquisition-related intangible assets, net of tax</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$477</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$458</w:t>
            </w:r>
          </w:p>
        </w:tc>
      </w:tr>
      <w:tr>
        <w:trPr>
          <w:trHeight w:val="21"/>
        </w:trPr>
        <w:tc>
          <w:tcPr>
            <w:tcW w:w="87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260" w:right="220" w:hanging="252"/>
        <w:spacing w:after="0" w:line="242" w:lineRule="auto"/>
        <w:tabs>
          <w:tab w:leader="none" w:pos="252" w:val="left"/>
        </w:tabs>
        <w:numPr>
          <w:ilvl w:val="0"/>
          <w:numId w:val="5"/>
        </w:numPr>
        <w:rPr>
          <w:rFonts w:ascii="Arial" w:cs="Arial" w:eastAsia="Arial" w:hAnsi="Arial"/>
          <w:sz w:val="13"/>
          <w:szCs w:val="13"/>
          <w:color w:val="auto"/>
        </w:rPr>
      </w:pPr>
      <w:r>
        <w:rPr>
          <w:rFonts w:ascii="Arial" w:cs="Arial" w:eastAsia="Arial" w:hAnsi="Arial"/>
          <w:sz w:val="13"/>
          <w:szCs w:val="13"/>
          <w:color w:val="auto"/>
        </w:rPr>
        <w:t>Adjustments for investments include realized and unrealized (gains) losses on equity securities, net (as stated in Table 1), as well as the equity in net (income) losses of investees, net, for certain equity method investments, including Atairos and Hulu.</w:t>
      </w:r>
    </w:p>
    <w:p>
      <w:pPr>
        <w:spacing w:after="0" w:line="89" w:lineRule="exact"/>
        <w:rPr>
          <w:sz w:val="20"/>
          <w:szCs w:val="20"/>
          <w:color w:val="auto"/>
        </w:rPr>
      </w:pPr>
    </w:p>
    <w:p>
      <w:pPr>
        <w:jc w:val="center"/>
        <w:ind w:left="8800"/>
        <w:spacing w:after="0"/>
        <w:rPr>
          <w:sz w:val="20"/>
          <w:szCs w:val="20"/>
          <w:color w:val="auto"/>
        </w:rPr>
      </w:pPr>
      <w:r>
        <w:rPr>
          <w:rFonts w:ascii="Arial" w:cs="Arial" w:eastAsia="Arial" w:hAnsi="Arial"/>
          <w:sz w:val="13"/>
          <w:szCs w:val="13"/>
          <w:color w:val="auto"/>
        </w:rPr>
        <w:t>Three Months Ended</w:t>
      </w:r>
    </w:p>
    <w:p>
      <w:pPr>
        <w:jc w:val="center"/>
        <w:ind w:left="8800"/>
        <w:spacing w:after="0"/>
        <w:rPr>
          <w:sz w:val="20"/>
          <w:szCs w:val="20"/>
          <w:color w:val="auto"/>
        </w:rPr>
      </w:pPr>
      <w:r>
        <w:rPr>
          <w:rFonts w:ascii="Arial" w:cs="Arial" w:eastAsia="Arial" w:hAnsi="Arial"/>
          <w:sz w:val="13"/>
          <w:szCs w:val="13"/>
          <w:color w:val="auto"/>
        </w:rPr>
        <w:t>March 31,</w:t>
      </w:r>
    </w:p>
    <w:p>
      <w:pPr>
        <w:spacing w:after="0" w:line="26"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2021</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2020</w:t>
            </w:r>
          </w:p>
        </w:tc>
      </w:tr>
      <w:tr>
        <w:trPr>
          <w:trHeight w:val="160"/>
        </w:trPr>
        <w:tc>
          <w:tcPr>
            <w:tcW w:w="8720" w:type="dxa"/>
            <w:vAlign w:val="bottom"/>
          </w:tcPr>
          <w:p>
            <w:pPr>
              <w:spacing w:after="0"/>
              <w:rPr>
                <w:sz w:val="20"/>
                <w:szCs w:val="20"/>
                <w:color w:val="auto"/>
              </w:rPr>
            </w:pPr>
            <w:r>
              <w:rPr>
                <w:rFonts w:ascii="Arial" w:cs="Arial" w:eastAsia="Arial" w:hAnsi="Arial"/>
                <w:sz w:val="13"/>
                <w:szCs w:val="13"/>
                <w:color w:val="auto"/>
              </w:rPr>
              <w:t>Realized and unrealized (gains) losses on equity securities, net</w:t>
            </w:r>
          </w:p>
        </w:tc>
        <w:tc>
          <w:tcPr>
            <w:tcW w:w="800" w:type="dxa"/>
            <w:vAlign w:val="bottom"/>
          </w:tcPr>
          <w:p>
            <w:pPr>
              <w:jc w:val="right"/>
              <w:spacing w:after="0"/>
              <w:rPr>
                <w:sz w:val="20"/>
                <w:szCs w:val="20"/>
                <w:color w:val="auto"/>
              </w:rPr>
            </w:pPr>
            <w:r>
              <w:rPr>
                <w:rFonts w:ascii="Arial" w:cs="Arial" w:eastAsia="Arial" w:hAnsi="Arial"/>
                <w:sz w:val="13"/>
                <w:szCs w:val="13"/>
                <w:color w:val="auto"/>
              </w:rPr>
              <w:t>($237)</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$58</w:t>
            </w:r>
          </w:p>
        </w:tc>
      </w:tr>
      <w:tr>
        <w:trPr>
          <w:trHeight w:val="185"/>
        </w:trPr>
        <w:tc>
          <w:tcPr>
            <w:tcW w:w="8720" w:type="dxa"/>
            <w:vAlign w:val="bottom"/>
          </w:tcPr>
          <w:p>
            <w:pPr>
              <w:spacing w:after="0"/>
              <w:rPr>
                <w:sz w:val="20"/>
                <w:szCs w:val="20"/>
                <w:color w:val="auto"/>
              </w:rPr>
            </w:pPr>
            <w:r>
              <w:rPr>
                <w:rFonts w:ascii="Arial" w:cs="Arial" w:eastAsia="Arial" w:hAnsi="Arial"/>
                <w:sz w:val="13"/>
                <w:szCs w:val="13"/>
                <w:color w:val="auto"/>
              </w:rPr>
              <w:t>Equity in net (income) losses of investees, net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(133)</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663</w:t>
            </w:r>
          </w:p>
        </w:tc>
      </w:tr>
      <w:tr>
        <w:trPr>
          <w:trHeight w:val="159"/>
        </w:trPr>
        <w:tc>
          <w:tcPr>
            <w:tcW w:w="8720" w:type="dxa"/>
            <w:vAlign w:val="bottom"/>
          </w:tcPr>
          <w:p>
            <w:pPr>
              <w:spacing w:after="0"/>
              <w:rPr>
                <w:sz w:val="20"/>
                <w:szCs w:val="20"/>
                <w:color w:val="auto"/>
              </w:rPr>
            </w:pPr>
            <w:r>
              <w:rPr>
                <w:rFonts w:ascii="Arial" w:cs="Arial" w:eastAsia="Arial" w:hAnsi="Arial"/>
                <w:sz w:val="13"/>
                <w:szCs w:val="13"/>
                <w:color w:val="auto"/>
              </w:rPr>
              <w:t>Investments before income taxes</w:t>
            </w:r>
          </w:p>
        </w:tc>
        <w:tc>
          <w:tcPr>
            <w:tcW w:w="800" w:type="dxa"/>
            <w:vAlign w:val="bottom"/>
          </w:tcPr>
          <w:p>
            <w:pPr>
              <w:jc w:val="right"/>
              <w:spacing w:after="0"/>
              <w:rPr>
                <w:sz w:val="20"/>
                <w:szCs w:val="20"/>
                <w:color w:val="auto"/>
              </w:rPr>
            </w:pPr>
            <w:r>
              <w:rPr>
                <w:rFonts w:ascii="Arial" w:cs="Arial" w:eastAsia="Arial" w:hAnsi="Arial"/>
                <w:sz w:val="13"/>
                <w:szCs w:val="13"/>
                <w:color w:val="auto"/>
              </w:rPr>
              <w:t>(370)</w:t>
            </w: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721</w:t>
            </w:r>
          </w:p>
        </w:tc>
      </w:tr>
      <w:tr>
        <w:trPr>
          <w:trHeight w:val="192"/>
        </w:trPr>
        <w:tc>
          <w:tcPr>
            <w:tcW w:w="8720" w:type="dxa"/>
            <w:vAlign w:val="bottom"/>
          </w:tcPr>
          <w:p>
            <w:pPr>
              <w:spacing w:after="0"/>
              <w:rPr>
                <w:sz w:val="20"/>
                <w:szCs w:val="20"/>
                <w:color w:val="auto"/>
              </w:rPr>
            </w:pPr>
            <w:r>
              <w:rPr>
                <w:rFonts w:ascii="Arial" w:cs="Arial" w:eastAsia="Arial" w:hAnsi="Arial"/>
                <w:sz w:val="13"/>
                <w:szCs w:val="13"/>
                <w:color w:val="auto"/>
              </w:rPr>
              <w:t>Investments, net of tax</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($287)</w:t>
            </w:r>
          </w:p>
        </w:tc>
        <w:tc>
          <w:tcPr>
            <w:tcW w:w="2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$544</w:t>
            </w:r>
          </w:p>
        </w:tc>
      </w:tr>
      <w:tr>
        <w:trPr>
          <w:trHeight w:val="20"/>
        </w:trPr>
        <w:tc>
          <w:tcPr>
            <w:tcW w:w="87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240" w:hanging="232"/>
        <w:spacing w:after="0"/>
        <w:tabs>
          <w:tab w:leader="none" w:pos="240" w:val="left"/>
        </w:tabs>
        <w:numPr>
          <w:ilvl w:val="0"/>
          <w:numId w:val="6"/>
        </w:numPr>
        <w:rPr>
          <w:rFonts w:ascii="Arial" w:cs="Arial" w:eastAsia="Arial" w:hAnsi="Arial"/>
          <w:sz w:val="13"/>
          <w:szCs w:val="13"/>
          <w:color w:val="auto"/>
        </w:rPr>
      </w:pPr>
      <w:r>
        <w:rPr>
          <w:rFonts w:ascii="Arial" w:cs="Arial" w:eastAsia="Arial" w:hAnsi="Arial"/>
          <w:sz w:val="13"/>
          <w:szCs w:val="13"/>
          <w:color w:val="auto"/>
        </w:rPr>
        <w:t>1st quarter 2020 net income attributable to Comcast Corporation includes $140 million of interest expense, $106 million net of tax, resulting from the early redemption of debt.</w:t>
      </w:r>
    </w:p>
    <w:p>
      <w:pPr>
        <w:spacing w:after="0" w:line="107" w:lineRule="exact"/>
        <w:rPr>
          <w:rFonts w:ascii="Arial" w:cs="Arial" w:eastAsia="Arial" w:hAnsi="Arial"/>
          <w:sz w:val="13"/>
          <w:szCs w:val="13"/>
          <w:color w:val="auto"/>
        </w:rPr>
      </w:pPr>
    </w:p>
    <w:p>
      <w:pPr>
        <w:ind w:left="260" w:hanging="252"/>
        <w:spacing w:after="0" w:line="242" w:lineRule="auto"/>
        <w:tabs>
          <w:tab w:leader="none" w:pos="252" w:val="left"/>
        </w:tabs>
        <w:numPr>
          <w:ilvl w:val="0"/>
          <w:numId w:val="6"/>
        </w:numPr>
        <w:rPr>
          <w:rFonts w:ascii="Arial" w:cs="Arial" w:eastAsia="Arial" w:hAnsi="Arial"/>
          <w:sz w:val="13"/>
          <w:szCs w:val="13"/>
          <w:color w:val="auto"/>
        </w:rPr>
      </w:pPr>
      <w:r>
        <w:rPr>
          <w:rFonts w:ascii="Arial" w:cs="Arial" w:eastAsia="Arial" w:hAnsi="Arial"/>
          <w:sz w:val="13"/>
          <w:szCs w:val="13"/>
          <w:color w:val="auto"/>
        </w:rPr>
        <w:t>1st quarter 2021 and 2020 net income attributable to Comcast Corporation includes $12 million and $14 million of operating costs and expenses, $10 million and $11 million net of tax, respectively, related to the Sky transaction.</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color w:val="auto"/>
        </w:rPr>
        <w:t>Note: Minor differences may exist due to rounding.</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40"/>
          </w:cols>
          <w:pgMar w:left="320" w:top="946" w:right="339" w:bottom="1440" w:gutter="0" w:footer="0" w:header="0"/>
        </w:sectPr>
      </w:pPr>
    </w:p>
    <w:bookmarkStart w:id="15" w:name="page16"/>
    <w:bookmarkEnd w:id="15"/>
    <w:p>
      <w:pPr>
        <w:ind w:left="60"/>
        <w:spacing w:after="0"/>
        <w:rPr>
          <w:sz w:val="20"/>
          <w:szCs w:val="20"/>
          <w:color w:val="auto"/>
        </w:rPr>
      </w:pPr>
      <w:r>
        <w:rPr>
          <w:rFonts w:ascii="Arial" w:cs="Arial" w:eastAsia="Arial" w:hAnsi="Arial"/>
          <w:sz w:val="25"/>
          <w:szCs w:val="25"/>
          <w:b w:val="1"/>
          <w:bCs w:val="1"/>
          <w:color w:val="828282"/>
        </w:rPr>
        <w:drawing>
          <wp:anchor simplePos="0" relativeHeight="251657728" behindDoc="1" locked="0" layoutInCell="0" allowOverlap="1">
            <wp:simplePos x="0" y="0"/>
            <wp:positionH relativeFrom="page">
              <wp:posOffset>6097270</wp:posOffset>
            </wp:positionH>
            <wp:positionV relativeFrom="page">
              <wp:posOffset>603250</wp:posOffset>
            </wp:positionV>
            <wp:extent cx="1209040" cy="522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209040" cy="522605"/>
                    </a:xfrm>
                    <a:prstGeom prst="rect">
                      <a:avLst/>
                    </a:prstGeom>
                    <a:noFill/>
                  </pic:spPr>
                </pic:pic>
              </a:graphicData>
            </a:graphic>
          </wp:anchor>
        </w:drawing>
        <w:t>TABLE 6</w:t>
      </w:r>
    </w:p>
    <w:p>
      <w:pPr>
        <w:spacing w:after="0" w:line="255"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828282"/>
        </w:rPr>
        <w:t>Reconciliation of Sky Constant Currency Growth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70891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3200" w:type="dxa"/>
            <w:vAlign w:val="bottom"/>
            <w:gridSpan w:val="6"/>
          </w:tcPr>
          <w:p>
            <w:pPr>
              <w:jc w:val="center"/>
              <w:spacing w:after="0"/>
              <w:rPr>
                <w:sz w:val="20"/>
                <w:szCs w:val="20"/>
                <w:color w:val="auto"/>
              </w:rPr>
            </w:pPr>
            <w:r>
              <w:rPr>
                <w:rFonts w:ascii="Arial" w:cs="Arial" w:eastAsia="Arial" w:hAnsi="Arial"/>
                <w:sz w:val="16"/>
                <w:szCs w:val="16"/>
                <w:b w:val="1"/>
                <w:bCs w:val="1"/>
                <w:color w:val="auto"/>
              </w:rPr>
              <w:t>Three Months Ended</w:t>
            </w:r>
          </w:p>
        </w:tc>
      </w:tr>
      <w:tr>
        <w:trPr>
          <w:trHeight w:val="211"/>
        </w:trPr>
        <w:tc>
          <w:tcPr>
            <w:tcW w:w="8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center"/>
              <w:spacing w:after="0"/>
              <w:rPr>
                <w:sz w:val="20"/>
                <w:szCs w:val="20"/>
                <w:color w:val="auto"/>
              </w:rPr>
            </w:pPr>
            <w:r>
              <w:rPr>
                <w:rFonts w:ascii="Arial" w:cs="Arial" w:eastAsia="Arial" w:hAnsi="Arial"/>
                <w:sz w:val="16"/>
                <w:szCs w:val="16"/>
                <w:b w:val="1"/>
                <w:bCs w:val="1"/>
                <w:color w:val="auto"/>
              </w:rPr>
              <w:t>March 31,</w:t>
            </w:r>
          </w:p>
        </w:tc>
        <w:tc>
          <w:tcPr>
            <w:tcW w:w="1060" w:type="dxa"/>
            <w:vAlign w:val="bottom"/>
          </w:tcPr>
          <w:p>
            <w:pPr>
              <w:spacing w:after="0"/>
              <w:rPr>
                <w:sz w:val="18"/>
                <w:szCs w:val="18"/>
                <w:color w:val="auto"/>
              </w:rPr>
            </w:pPr>
          </w:p>
        </w:tc>
      </w:tr>
      <w:tr>
        <w:trPr>
          <w:trHeight w:val="221"/>
        </w:trPr>
        <w:tc>
          <w:tcPr>
            <w:tcW w:w="8020" w:type="dxa"/>
            <w:vAlign w:val="bottom"/>
          </w:tcPr>
          <w:p>
            <w:pPr>
              <w:spacing w:after="0"/>
              <w:rPr>
                <w:sz w:val="20"/>
                <w:szCs w:val="20"/>
                <w:color w:val="auto"/>
              </w:rPr>
            </w:pPr>
            <w:r>
              <w:rPr>
                <w:rFonts w:ascii="Arial" w:cs="Arial" w:eastAsia="Arial" w:hAnsi="Arial"/>
                <w:sz w:val="16"/>
                <w:szCs w:val="16"/>
                <w:color w:val="auto"/>
              </w:rPr>
              <w:t>(in millions)</w:t>
            </w:r>
          </w:p>
        </w:tc>
        <w:tc>
          <w:tcPr>
            <w:tcW w:w="8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ind w:right="119"/>
              <w:spacing w:after="0" w:line="221" w:lineRule="exact"/>
              <w:rPr>
                <w:sz w:val="20"/>
                <w:szCs w:val="20"/>
                <w:color w:val="auto"/>
              </w:rPr>
            </w:pPr>
            <w:r>
              <w:rPr>
                <w:rFonts w:ascii="Arial" w:cs="Arial" w:eastAsia="Arial" w:hAnsi="Arial"/>
                <w:sz w:val="16"/>
                <w:szCs w:val="16"/>
                <w:color w:val="auto"/>
              </w:rPr>
              <w:t>2020</w:t>
            </w:r>
            <w:r>
              <w:rPr>
                <w:rFonts w:ascii="Arial" w:cs="Arial" w:eastAsia="Arial" w:hAnsi="Arial"/>
                <w:sz w:val="21"/>
                <w:szCs w:val="21"/>
                <w:color w:val="auto"/>
                <w:vertAlign w:val="superscript"/>
              </w:rPr>
              <w:t>(1)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Change</w:t>
            </w:r>
          </w:p>
        </w:tc>
      </w:tr>
      <w:tr>
        <w:trPr>
          <w:trHeight w:val="298"/>
        </w:trPr>
        <w:tc>
          <w:tcPr>
            <w:tcW w:w="8020" w:type="dxa"/>
            <w:vAlign w:val="bottom"/>
          </w:tcPr>
          <w:p>
            <w:pPr>
              <w:spacing w:after="0"/>
              <w:rPr>
                <w:sz w:val="20"/>
                <w:szCs w:val="20"/>
                <w:color w:val="auto"/>
              </w:rPr>
            </w:pPr>
            <w:r>
              <w:rPr>
                <w:rFonts w:ascii="Arial" w:cs="Arial" w:eastAsia="Arial" w:hAnsi="Arial"/>
                <w:sz w:val="16"/>
                <w:szCs w:val="16"/>
                <w:color w:val="auto"/>
              </w:rPr>
              <w:t>Direct-to-Consumer</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$4,065</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$3,993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1.8 %</w:t>
            </w:r>
          </w:p>
        </w:tc>
      </w:tr>
      <w:tr>
        <w:trPr>
          <w:trHeight w:val="216"/>
        </w:trPr>
        <w:tc>
          <w:tcPr>
            <w:tcW w:w="8020" w:type="dxa"/>
            <w:vAlign w:val="bottom"/>
          </w:tcPr>
          <w:p>
            <w:pPr>
              <w:spacing w:after="0"/>
              <w:rPr>
                <w:sz w:val="20"/>
                <w:szCs w:val="20"/>
                <w:color w:val="auto"/>
              </w:rPr>
            </w:pPr>
            <w:r>
              <w:rPr>
                <w:rFonts w:ascii="Arial" w:cs="Arial" w:eastAsia="Arial" w:hAnsi="Arial"/>
                <w:sz w:val="16"/>
                <w:szCs w:val="16"/>
                <w:color w:val="auto"/>
              </w:rPr>
              <w:t>Content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358</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1.7 %</w:t>
            </w:r>
          </w:p>
        </w:tc>
      </w:tr>
      <w:tr>
        <w:trPr>
          <w:trHeight w:val="219"/>
        </w:trPr>
        <w:tc>
          <w:tcPr>
            <w:tcW w:w="8020" w:type="dxa"/>
            <w:vAlign w:val="bottom"/>
          </w:tcPr>
          <w:p>
            <w:pPr>
              <w:spacing w:after="0"/>
              <w:rPr>
                <w:sz w:val="20"/>
                <w:szCs w:val="20"/>
                <w:color w:val="auto"/>
              </w:rPr>
            </w:pPr>
            <w:r>
              <w:rPr>
                <w:rFonts w:ascii="Arial" w:cs="Arial" w:eastAsia="Arial" w:hAnsi="Arial"/>
                <w:sz w:val="16"/>
                <w:szCs w:val="16"/>
                <w:color w:val="auto"/>
              </w:rPr>
              <w:t>Advertising</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574</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3.4 %</w:t>
            </w:r>
          </w:p>
        </w:tc>
      </w:tr>
      <w:tr>
        <w:trPr>
          <w:trHeight w:val="212"/>
        </w:trPr>
        <w:tc>
          <w:tcPr>
            <w:tcW w:w="802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$4,997</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2.0 %</w:t>
            </w:r>
          </w:p>
        </w:tc>
      </w:tr>
      <w:tr>
        <w:trPr>
          <w:trHeight w:val="21"/>
        </w:trPr>
        <w:tc>
          <w:tcPr>
            <w:tcW w:w="80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31"/>
        </w:trPr>
        <w:tc>
          <w:tcPr>
            <w:tcW w:w="8020" w:type="dxa"/>
            <w:vAlign w:val="bottom"/>
          </w:tcPr>
          <w:p>
            <w:pPr>
              <w:spacing w:after="0"/>
              <w:rPr>
                <w:sz w:val="20"/>
                <w:szCs w:val="20"/>
                <w:color w:val="auto"/>
              </w:rPr>
            </w:pPr>
            <w:r>
              <w:rPr>
                <w:rFonts w:ascii="Arial" w:cs="Arial" w:eastAsia="Arial" w:hAnsi="Arial"/>
                <w:sz w:val="16"/>
                <w:szCs w:val="16"/>
                <w:b w:val="1"/>
                <w:bCs w:val="1"/>
                <w:color w:val="auto"/>
              </w:rPr>
              <w:t>Operating costs and expenses</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$4,633</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$4,298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7.8 %</w:t>
            </w:r>
          </w:p>
        </w:tc>
      </w:tr>
      <w:tr>
        <w:trPr>
          <w:trHeight w:val="270"/>
        </w:trPr>
        <w:tc>
          <w:tcPr>
            <w:tcW w:w="8020" w:type="dxa"/>
            <w:vAlign w:val="bottom"/>
          </w:tcPr>
          <w:p>
            <w:pPr>
              <w:spacing w:after="0"/>
              <w:rPr>
                <w:sz w:val="20"/>
                <w:szCs w:val="20"/>
                <w:color w:val="auto"/>
              </w:rPr>
            </w:pPr>
            <w:r>
              <w:rPr>
                <w:rFonts w:ascii="Arial" w:cs="Arial" w:eastAsia="Arial" w:hAnsi="Arial"/>
                <w:sz w:val="16"/>
                <w:szCs w:val="16"/>
                <w:b w:val="1"/>
                <w:bCs w:val="1"/>
                <w:color w:val="auto"/>
              </w:rPr>
              <w:t>Adjusted EBITDA</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$364</w:t>
            </w:r>
          </w:p>
        </w:tc>
        <w:tc>
          <w:tcPr>
            <w:tcW w:w="1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(39.6 %)</w:t>
            </w:r>
          </w:p>
        </w:tc>
      </w:tr>
    </w:tbl>
    <w:p>
      <w:pPr>
        <w:spacing w:after="0" w:line="392" w:lineRule="exact"/>
        <w:rPr>
          <w:sz w:val="20"/>
          <w:szCs w:val="20"/>
          <w:color w:val="auto"/>
        </w:rPr>
      </w:pPr>
    </w:p>
    <w:p>
      <w:pPr>
        <w:ind w:left="260" w:right="20" w:hanging="252"/>
        <w:spacing w:after="0" w:line="242" w:lineRule="auto"/>
        <w:tabs>
          <w:tab w:leader="none" w:pos="252" w:val="left"/>
        </w:tabs>
        <w:numPr>
          <w:ilvl w:val="0"/>
          <w:numId w:val="7"/>
        </w:numPr>
        <w:rPr>
          <w:rFonts w:ascii="Arial" w:cs="Arial" w:eastAsia="Arial" w:hAnsi="Arial"/>
          <w:sz w:val="13"/>
          <w:szCs w:val="13"/>
          <w:color w:val="auto"/>
        </w:rPr>
      </w:pPr>
      <w:r>
        <w:rPr>
          <w:rFonts w:ascii="Arial" w:cs="Arial" w:eastAsia="Arial" w:hAnsi="Arial"/>
          <w:sz w:val="13"/>
          <w:szCs w:val="13"/>
          <w:color w:val="auto"/>
        </w:rPr>
        <w:t>2020 results for entities reporting in currencies other than United States dollars are converted into United States dollars using the average exchange rates from the current period rather than the actual exchange rates in effect during the respective periods.</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Note: Minor differences may exist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40"/>
          </w:cols>
          <w:pgMar w:left="320" w:top="1108" w:right="339" w:bottom="1440" w:gutter="0" w:footer="0" w:header="0"/>
        </w:sectPr>
      </w:pPr>
    </w:p>
    <w:bookmarkStart w:id="16" w:name="page17"/>
    <w:bookmarkEnd w:id="16"/>
    <w:p>
      <w:pPr>
        <w:jc w:val="right"/>
        <w:spacing w:after="0"/>
        <w:rPr>
          <w:sz w:val="20"/>
          <w:szCs w:val="20"/>
          <w:color w:val="auto"/>
        </w:rPr>
      </w:pPr>
      <w:r>
        <w:rPr>
          <w:rFonts w:ascii="Arial" w:cs="Arial" w:eastAsia="Arial" w:hAnsi="Arial"/>
          <w:sz w:val="16"/>
          <w:szCs w:val="16"/>
          <w:b w:val="1"/>
          <w:bCs w:val="1"/>
          <w:color w:val="auto"/>
        </w:rPr>
        <w:t>Exhibit 99.2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99.2 - Explanation of Non-GAAP and Other Financial Measures</w:t>
      </w:r>
    </w:p>
    <w:p>
      <w:pPr>
        <w:spacing w:after="0" w:line="214"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This Exhibit 99.2 to the accompanying Current Report on Form 8-K for Comcast Corporation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results of operations and financial condition. To the extent material, this Exhibit also discloses the additional purposes, if any, for which our management uses these non-GAAP financial measures. Reconciliations between these non-GAAP financial measures and their most directly comparable GAAP financial measures are included in the earnings press release itself. Non-GAAP financial information should be considered in addition to, but not as a substitute for, operating income, net income, net income attributable to Comcast Corporation, earnings per common share attributable to Comcast Corporation shareholders, net cash provided by operating activities or other measures of performance or liquidity reported in accordance with GAAP.</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EBITDA</w:t>
      </w:r>
    </w:p>
    <w:p>
      <w:pPr>
        <w:spacing w:after="0" w:line="289"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233" w:lineRule="exact"/>
        <w:rPr>
          <w:sz w:val="20"/>
          <w:szCs w:val="20"/>
          <w:color w:val="auto"/>
        </w:rPr>
      </w:pPr>
    </w:p>
    <w:p>
      <w:pPr>
        <w:ind w:right="220"/>
        <w:spacing w:after="0" w:line="250" w:lineRule="auto"/>
        <w:rPr>
          <w:sz w:val="20"/>
          <w:szCs w:val="20"/>
          <w:color w:val="auto"/>
        </w:rPr>
      </w:pPr>
      <w:r>
        <w:rPr>
          <w:rFonts w:ascii="Arial" w:cs="Arial" w:eastAsia="Arial" w:hAnsi="Arial"/>
          <w:sz w:val="16"/>
          <w:szCs w:val="16"/>
          <w:color w:val="auto"/>
        </w:rPr>
        <w:t>We define Adjusted EBITDA as net income attributable to Comcast Corporation before net income (loss) attributable to noncontrolling interests and redeemable subsidiary preferred stock,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230"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We also use Adjusted EBITDA as the measure of profit or loss for our segments. Our measure of Adjusted EBITDA for our segments is not a non-GAAP financial measure under rules promulgated by the Securities and Exchange Commission.</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Net Income and Adjusted EPS</w:t>
      </w:r>
    </w:p>
    <w:p>
      <w:pPr>
        <w:spacing w:after="0" w:line="289"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 xml:space="preserve">Adjusted Net Income and Adjusted EPS are non-GAAP financial measures presenting the earnings generated by our ongoing operations that we believe is useful to investors in making meaningful comparisons to other companies, although these measures may not be directly comparable to similar measures used by other companies, and period-over-period comparisons. Adjusted Net Income and Adjusted EPS are defined as net income attributable to Comcast Corporation and diluted earnings per common share attributable to Comcast Corporation shareholders, respectively, adjusted to exclude the effects of the amortization of acquisition-related intangible assets, investments that investors may want to evaluate separately (such as based on fair value) and the impact of certain events, gains, losses or other charges that affect period-over-period comparisons. Acquisition-related intangible assets are recognized as a result of the application of Accounting Standards Codification Topic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(such as customer relationships), and their amortization is significantly affected by the size and timing of our acquisitions. Amortization of intangible assets not resulting from business combinations (such as software and acquired intellectual property rights used in our theme parks) is included in Adjusted Net Income and Adjusted EPS. Investments that investors may want to evaluate separately include all equity securities accounted for under ASC Topic 321, </w:t>
      </w:r>
      <w:r>
        <w:rPr>
          <w:rFonts w:ascii="Arial" w:cs="Arial" w:eastAsia="Arial" w:hAnsi="Arial"/>
          <w:sz w:val="16"/>
          <w:szCs w:val="16"/>
          <w:i w:val="1"/>
          <w:iCs w:val="1"/>
          <w:color w:val="auto"/>
        </w:rPr>
        <w:t>Investments-Equity Securities</w:t>
      </w:r>
      <w:r>
        <w:rPr>
          <w:rFonts w:ascii="Arial" w:cs="Arial" w:eastAsia="Arial" w:hAnsi="Arial"/>
          <w:sz w:val="16"/>
          <w:szCs w:val="16"/>
          <w:color w:val="auto"/>
        </w:rPr>
        <w:t xml:space="preserve">, as well as certain investments accounted for under ASC 323, </w:t>
      </w:r>
      <w:r>
        <w:rPr>
          <w:rFonts w:ascii="Arial" w:cs="Arial" w:eastAsia="Arial" w:hAnsi="Arial"/>
          <w:sz w:val="16"/>
          <w:szCs w:val="16"/>
          <w:i w:val="1"/>
          <w:iCs w:val="1"/>
          <w:color w:val="auto"/>
        </w:rPr>
        <w:t>Investments-Equity Method and Joint</w:t>
      </w:r>
      <w:r>
        <w:rPr>
          <w:rFonts w:ascii="Arial" w:cs="Arial" w:eastAsia="Arial" w:hAnsi="Arial"/>
          <w:sz w:val="16"/>
          <w:szCs w:val="16"/>
          <w:color w:val="auto"/>
        </w:rPr>
        <w:t xml:space="preserve"> Ventures.</w:t>
      </w:r>
    </w:p>
    <w:p>
      <w:pPr>
        <w:sectPr>
          <w:pgSz w:w="11900" w:h="16838" w:orient="portrait"/>
          <w:cols w:equalWidth="0" w:num="1">
            <w:col w:w="11240"/>
          </w:cols>
          <w:pgMar w:left="320" w:top="931"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color w:val="auto"/>
        </w:rPr>
        <w:t>Exhibit 99.2 - Explanation of Non-GAAP and Other Financial Measures, cont’d</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Free Cash Flow</w:t>
      </w:r>
    </w:p>
    <w:p>
      <w:pPr>
        <w:spacing w:after="0" w:line="289"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Free Cash Flow is a non-GAAP financial measure that we believe provides a meaningful measure of liquidity and a useful basis for assessing our ability to repay debt, make strategic acquisitions and investments, and return capital to investors through stock repurchases and dividends. It is also a significant performance measure in our annual incentive compensation programs. Additionally, we believe Free Cash Flow is useful to investors as a basis for comparing our performance and coverage ratios with other companies in our industries, although our measure of Free Cash Flow may not be directly comparable to similar measures used by other companies. Free Cash Flow has certain limitations, including that it does not represent the residual cash flow available for discretionary expenditures since other non-discretionary payments, such as mandatory debt repayments, are not deducted from the measure.</w:t>
      </w:r>
    </w:p>
    <w:p>
      <w:pPr>
        <w:spacing w:after="0" w:line="218"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Free Cash Flow is defined as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related to certain capital or intangible assets, such as the construction of Universal Beijing Resort, are presented separately in our Statement of Cash Flows and are therefore excluded from capital expenditures and cash paid for intangible assets for Free Cash Flow.</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Constant Currency</w:t>
      </w:r>
    </w:p>
    <w:p>
      <w:pPr>
        <w:spacing w:after="0" w:line="248"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Constant currency and constant currency growth rates are non-GAAP financial measures that present our results of operations excluding the estimated effects of foreign currency exchange rate fluctuations. Certain of our businesses, including Sky, have operations outside the United States that are conducted in local currencies. As a result, the comparability of the financial results reported in U.S. dollars is affected by changes in foreign currency exchange rates. In our Sky segment, we use constant currency and constant currency growth rates to evaluate the underlying performance of the business, and we believe it is helpful for investors to present operating results on a comparable basis period over period to evaluate its underlying performance.</w:t>
      </w:r>
    </w:p>
    <w:p>
      <w:pPr>
        <w:spacing w:after="0" w:line="230"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Constant currency and constant currency growth rates are calculated by comparing the comparative period results in the prior year adjusted to reflect the average exchange rates from the current year period rather than the actual exchange rates in effect during the respective prior year periods.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Adjustments</w:t>
      </w:r>
    </w:p>
    <w:p>
      <w:pPr>
        <w:spacing w:after="0" w:line="248" w:lineRule="exact"/>
        <w:rPr>
          <w:sz w:val="20"/>
          <w:szCs w:val="20"/>
          <w:color w:val="auto"/>
        </w:rPr>
      </w:pPr>
    </w:p>
    <w:p>
      <w:pPr>
        <w:jc w:val="both"/>
        <w:ind w:right="420"/>
        <w:spacing w:after="0" w:line="253" w:lineRule="auto"/>
        <w:rPr>
          <w:sz w:val="20"/>
          <w:szCs w:val="20"/>
          <w:color w:val="auto"/>
        </w:rPr>
      </w:pPr>
      <w:r>
        <w:rPr>
          <w:rFonts w:ascii="Arial" w:cs="Arial" w:eastAsia="Arial" w:hAnsi="Arial"/>
          <w:sz w:val="16"/>
          <w:szCs w:val="16"/>
          <w:color w:val="auto"/>
        </w:rPr>
        <w:t>We also present adjusted information (e.g., Adjusted Revenues), to exclude the impact of certain events, gains, losses or other charges. This adjusted information is a non-GAAP financial measure. We believe, among other things, that the adjusted information may help investors evaluate our ongoing operations and can assist in making meaningful period-over-period comparisons.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 Forma Information</w:t>
      </w:r>
    </w:p>
    <w:p>
      <w:pPr>
        <w:spacing w:after="0" w:line="289"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Pro forma information is used by management to evaluate performance when certain acquisitions or dispositions occur. Historical information reflects results of acquired businesses only after the acquisition dates while pro forma information enhances comparability of financial information between periods by adjusting the information as if the acquisitions or dispositions occurred at the beginning of a preceding year. Our pro forma information is adjusted for the timing of acquisitions or dispositions, the effects of acquisition accounting and the elimination of costs and expenses directly related to the transaction, but does not include adjustments for costs related to integration activities, cost savings or synergies that have been or may be achieved by the combined businesses. Pro forma information is not a non-GAAP financial measure under Securities and Exchange Commission rules. Our pro forma information is not necessarily indicative of future results or what our results would have been had the acquired businesses been operated by us during the pro forma period.</w:t>
      </w:r>
    </w:p>
    <w:sectPr>
      <w:pgSz w:w="11900" w:h="16838" w:orient="portrait"/>
      <w:cols w:equalWidth="0" w:num="1">
        <w:col w:w="11180"/>
      </w:cols>
      <w:pgMar w:left="320" w:top="1417"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2"/>
    </w:lvl>
  </w:abstractNum>
  <w:abstractNum w:abstractNumId="5">
    <w:nsid w:val="2EB141F2"/>
    <w:multiLevelType w:val="hybridMultilevel"/>
    <w:lvl w:ilvl="0">
      <w:lvlJc w:val="left"/>
      <w:lvlText w:val="(%1)"/>
      <w:numFmt w:val="decimal"/>
      <w:start w:val="3"/>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2021-04-29T06:16:07Z</dcterms:created>
  <dcterms:modified xsi:type="dcterms:W3CDTF">2021-04-29T06:16:07Z</dcterms:modified>
</cp:coreProperties>
</file>