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60"/>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8" w:lineRule="exact"/>
        <w:rPr>
          <w:sz w:val="24"/>
          <w:szCs w:val="24"/>
          <w:color w:val="auto"/>
        </w:rPr>
      </w:pPr>
    </w:p>
    <w:p>
      <w:pPr>
        <w:jc w:val="center"/>
        <w:ind w:right="4760"/>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jc w:val="center"/>
        <w:ind w:right="4680"/>
        <w:spacing w:after="0"/>
        <w:rPr>
          <w:sz w:val="20"/>
          <w:szCs w:val="20"/>
          <w:color w:val="auto"/>
        </w:rPr>
      </w:pPr>
      <w:r>
        <w:rPr>
          <w:rFonts w:ascii="Courier New" w:cs="Courier New" w:eastAsia="Courier New" w:hAnsi="Courier New"/>
          <w:sz w:val="14"/>
          <w:szCs w:val="14"/>
          <w:color w:val="auto"/>
        </w:rPr>
        <w:t>INITIAL STATEMENT OF BENEFICIAL OWNERSHIP OF SECURITIES</w:t>
      </w:r>
    </w:p>
    <w:p>
      <w:pPr>
        <w:spacing w:after="0" w:line="175"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3</w:t>
      </w:r>
    </w:p>
    <w:p>
      <w:pPr>
        <w:spacing w:after="0" w:line="175" w:lineRule="exact"/>
        <w:rPr>
          <w:sz w:val="24"/>
          <w:szCs w:val="24"/>
          <w:color w:val="auto"/>
        </w:rPr>
      </w:pPr>
    </w:p>
    <w:p>
      <w:pPr>
        <w:ind w:left="4340"/>
        <w:spacing w:after="0"/>
        <w:rPr>
          <w:sz w:val="20"/>
          <w:szCs w:val="20"/>
          <w:color w:val="auto"/>
        </w:rPr>
      </w:pPr>
      <w:r>
        <w:rPr>
          <w:rFonts w:ascii="Courier New" w:cs="Courier New" w:eastAsia="Courier New" w:hAnsi="Courier New"/>
          <w:sz w:val="14"/>
          <w:szCs w:val="14"/>
          <w:color w:val="auto"/>
        </w:rPr>
        <w:t>OMB APROVAL</w:t>
      </w:r>
    </w:p>
    <w:p>
      <w:pPr>
        <w:spacing w:after="0" w:line="8" w:lineRule="exact"/>
        <w:rPr>
          <w:sz w:val="24"/>
          <w:szCs w:val="24"/>
          <w:color w:val="auto"/>
        </w:rPr>
      </w:pPr>
    </w:p>
    <w:p>
      <w:pPr>
        <w:ind w:left="4340"/>
        <w:spacing w:after="0"/>
        <w:tabs>
          <w:tab w:leader="none" w:pos="5460" w:val="left"/>
        </w:tabs>
        <w:rPr>
          <w:sz w:val="20"/>
          <w:szCs w:val="20"/>
          <w:color w:val="auto"/>
        </w:rPr>
      </w:pPr>
      <w:r>
        <w:rPr>
          <w:rFonts w:ascii="Courier New" w:cs="Courier New" w:eastAsia="Courier New" w:hAnsi="Courier New"/>
          <w:sz w:val="14"/>
          <w:szCs w:val="14"/>
          <w:color w:val="auto"/>
        </w:rPr>
        <w:t>OMB NUMBER:</w:t>
        <w:tab/>
        <w:t>3235-0104</w:t>
      </w:r>
    </w:p>
    <w:p>
      <w:pPr>
        <w:spacing w:after="0" w:line="8" w:lineRule="exact"/>
        <w:rPr>
          <w:sz w:val="24"/>
          <w:szCs w:val="24"/>
          <w:color w:val="auto"/>
        </w:rPr>
      </w:pPr>
    </w:p>
    <w:p>
      <w:pPr>
        <w:ind w:left="4340"/>
        <w:spacing w:after="0"/>
        <w:rPr>
          <w:sz w:val="20"/>
          <w:szCs w:val="20"/>
          <w:color w:val="auto"/>
        </w:rPr>
      </w:pPr>
      <w:r>
        <w:rPr>
          <w:rFonts w:ascii="Courier New" w:cs="Courier New" w:eastAsia="Courier New" w:hAnsi="Courier New"/>
          <w:sz w:val="14"/>
          <w:szCs w:val="14"/>
          <w:color w:val="auto"/>
        </w:rPr>
        <w:t>Expires: September 30, 1998</w:t>
      </w:r>
    </w:p>
    <w:p>
      <w:pPr>
        <w:spacing w:after="0" w:line="8" w:lineRule="exact"/>
        <w:rPr>
          <w:sz w:val="24"/>
          <w:szCs w:val="24"/>
          <w:color w:val="auto"/>
        </w:rPr>
      </w:pPr>
    </w:p>
    <w:p>
      <w:pPr>
        <w:ind w:left="4340"/>
        <w:spacing w:after="0"/>
        <w:rPr>
          <w:sz w:val="20"/>
          <w:szCs w:val="20"/>
          <w:color w:val="auto"/>
        </w:rPr>
      </w:pPr>
      <w:r>
        <w:rPr>
          <w:rFonts w:ascii="Courier New" w:cs="Courier New" w:eastAsia="Courier New" w:hAnsi="Courier New"/>
          <w:sz w:val="14"/>
          <w:szCs w:val="14"/>
          <w:color w:val="auto"/>
        </w:rPr>
        <w:t>Estimated average burden</w:t>
      </w:r>
    </w:p>
    <w:p>
      <w:pPr>
        <w:spacing w:after="0" w:line="8" w:lineRule="exact"/>
        <w:rPr>
          <w:sz w:val="24"/>
          <w:szCs w:val="24"/>
          <w:color w:val="auto"/>
        </w:rPr>
      </w:pPr>
    </w:p>
    <w:p>
      <w:pPr>
        <w:ind w:left="4340"/>
        <w:spacing w:after="0"/>
        <w:rPr>
          <w:sz w:val="20"/>
          <w:szCs w:val="20"/>
          <w:color w:val="auto"/>
        </w:rPr>
      </w:pPr>
      <w:r>
        <w:rPr>
          <w:rFonts w:ascii="Courier New" w:cs="Courier New" w:eastAsia="Courier New" w:hAnsi="Courier New"/>
          <w:sz w:val="14"/>
          <w:szCs w:val="14"/>
          <w:color w:val="auto"/>
        </w:rPr>
        <w:t>hours per response........0.5</w:t>
      </w:r>
    </w:p>
    <w:p>
      <w:pPr>
        <w:spacing w:after="0" w:line="175" w:lineRule="exact"/>
        <w:rPr>
          <w:sz w:val="24"/>
          <w:szCs w:val="24"/>
          <w:color w:val="auto"/>
        </w:rPr>
      </w:pPr>
    </w:p>
    <w:p>
      <w:pPr>
        <w:ind w:right="4680"/>
        <w:spacing w:after="0" w:line="255" w:lineRule="auto"/>
        <w:rPr>
          <w:sz w:val="20"/>
          <w:szCs w:val="20"/>
          <w:color w:val="auto"/>
        </w:rPr>
      </w:pPr>
      <w:r>
        <w:rPr>
          <w:rFonts w:ascii="Courier New" w:cs="Courier New" w:eastAsia="Courier New" w:hAnsi="Courier New"/>
          <w:sz w:val="14"/>
          <w:szCs w:val="14"/>
          <w:color w:val="auto"/>
        </w:rPr>
        <w:t>Filed pursuant to Section 16(a) of the Securities Exchange Act of 1934, Section 17(a) of the Public Utility Holding Company Act of 1935 or Section 30(f) of the Investment Company Act of 1940</w:t>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(Print or Type Responses)</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 Name and Address of Reporting Person*</w:t>
      </w:r>
    </w:p>
    <w:p>
      <w:pPr>
        <w:spacing w:after="0" w:line="17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ind w:left="440"/>
        <w:spacing w:after="0"/>
        <w:tabs>
          <w:tab w:leader="none" w:pos="3120" w:val="left"/>
          <w:tab w:leader="none" w:pos="5640" w:val="left"/>
        </w:tabs>
        <w:rPr>
          <w:sz w:val="20"/>
          <w:szCs w:val="20"/>
          <w:color w:val="auto"/>
        </w:rPr>
      </w:pPr>
      <w:r>
        <w:rPr>
          <w:rFonts w:ascii="Courier New" w:cs="Courier New" w:eastAsia="Courier New" w:hAnsi="Courier New"/>
          <w:sz w:val="14"/>
          <w:szCs w:val="14"/>
          <w:color w:val="auto"/>
        </w:rPr>
        <w:t>(Last)</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(Middle)</w:t>
      </w:r>
    </w:p>
    <w:p>
      <w:pPr>
        <w:spacing w:after="0" w:line="17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tbl>
      <w:tblPr>
        <w:tblLayout w:type="fixed"/>
        <w:tblInd w:w="18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2780" w:type="dxa"/>
            <w:vAlign w:val="bottom"/>
          </w:tcPr>
          <w:p>
            <w:pPr>
              <w:ind w:left="900"/>
              <w:spacing w:after="0"/>
              <w:rPr>
                <w:sz w:val="20"/>
                <w:szCs w:val="20"/>
                <w:color w:val="auto"/>
              </w:rPr>
            </w:pPr>
            <w:r>
              <w:rPr>
                <w:rFonts w:ascii="Courier New" w:cs="Courier New" w:eastAsia="Courier New" w:hAnsi="Courier New"/>
                <w:sz w:val="14"/>
                <w:szCs w:val="14"/>
                <w:color w:val="auto"/>
              </w:rPr>
              <w:t>(Street)</w:t>
            </w:r>
          </w:p>
        </w:tc>
        <w:tc>
          <w:tcPr>
            <w:tcW w:w="1600" w:type="dxa"/>
            <w:vAlign w:val="bottom"/>
          </w:tcPr>
          <w:p>
            <w:pPr>
              <w:spacing w:after="0"/>
              <w:rPr>
                <w:sz w:val="14"/>
                <w:szCs w:val="14"/>
                <w:color w:val="auto"/>
              </w:rPr>
            </w:pP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2780" w:type="dxa"/>
            <w:vAlign w:val="bottom"/>
          </w:tcPr>
          <w:p>
            <w:pPr>
              <w:ind w:left="1260"/>
              <w:spacing w:after="0"/>
              <w:rPr>
                <w:sz w:val="20"/>
                <w:szCs w:val="20"/>
                <w:color w:val="auto"/>
              </w:rPr>
            </w:pPr>
            <w:r>
              <w:rPr>
                <w:rFonts w:ascii="Courier New" w:cs="Courier New" w:eastAsia="Courier New" w:hAnsi="Courier New"/>
                <w:sz w:val="14"/>
                <w:szCs w:val="14"/>
                <w:color w:val="auto"/>
              </w:rPr>
              <w:t>PA</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19102</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ind w:left="440"/>
        <w:spacing w:after="0"/>
        <w:tabs>
          <w:tab w:leader="none" w:pos="3120" w:val="left"/>
          <w:tab w:leader="none" w:pos="6060" w:val="left"/>
        </w:tabs>
        <w:rPr>
          <w:sz w:val="20"/>
          <w:szCs w:val="20"/>
          <w:color w:val="auto"/>
        </w:rPr>
      </w:pP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w:t>
      </w:r>
    </w:p>
    <w:p>
      <w:pPr>
        <w:spacing w:after="0" w:line="342"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w:t>
        <w:tab/>
        <w:t>Date of Event Requiring Statement (Month/Day/Year)</w:t>
      </w:r>
    </w:p>
    <w:p>
      <w:pPr>
        <w:spacing w:after="0" w:line="17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11/23/98</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440" w:hanging="431"/>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IRS or Social Security Number of Reporting Person (Voluntary)</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w:t>
        <w:tab/>
        <w:t>Issuer Name and Ticker or Trading Symbol</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Sprint Corporation (PCS)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397" w:right="139" w:bottom="0" w:gutter="0" w:footer="0" w:header="0"/>
        </w:sectPr>
      </w:pPr>
    </w:p>
    <w:p>
      <w:pPr>
        <w:spacing w:after="0" w:line="342"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5.</w:t>
        <w:tab/>
        <w:t>Relationship of Reporting Person to Issuer</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all applicable)</w:t>
      </w:r>
    </w:p>
    <w:p>
      <w:pPr>
        <w:spacing w:after="0" w:line="175" w:lineRule="exact"/>
        <w:rPr>
          <w:sz w:val="24"/>
          <w:szCs w:val="24"/>
          <w:color w:val="auto"/>
        </w:rPr>
      </w:pPr>
    </w:p>
    <w:p>
      <w:pPr>
        <w:sectPr>
          <w:pgSz w:w="11900" w:h="16838" w:orient="portrait"/>
          <w:cols w:equalWidth="0" w:num="2">
            <w:col w:w="4080" w:space="440"/>
            <w:col w:w="7020"/>
          </w:cols>
          <w:pgMar w:left="220" w:top="397" w:right="139" w:bottom="0" w:gutter="0" w:footer="0" w:header="0"/>
          <w:type w:val="continuous"/>
        </w:sectPr>
      </w:pPr>
    </w:p>
    <w:p>
      <w:pPr>
        <w:spacing w:after="0" w:line="16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Courier New" w:cs="Courier New" w:eastAsia="Courier New" w:hAnsi="Courier New"/>
          <w:sz w:val="14"/>
          <w:szCs w:val="14"/>
          <w:color w:val="auto"/>
        </w:rPr>
        <w:t>X 10% Owner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3">
            <w:col w:w="620" w:space="0"/>
            <w:col w:w="3360" w:space="720"/>
            <w:col w:w="6840"/>
          </w:cols>
          <w:pgMar w:left="220" w:top="397" w:right="139" w:bottom="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Officer (give title below)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Other (specify below)</w:t>
      </w:r>
    </w:p>
    <w:p>
      <w:pPr>
        <w:spacing w:after="0" w:line="8" w:lineRule="exact"/>
        <w:rPr>
          <w:sz w:val="24"/>
          <w:szCs w:val="24"/>
          <w:color w:val="auto"/>
        </w:rPr>
      </w:pPr>
    </w:p>
    <w:p>
      <w:pPr>
        <w:sectPr>
          <w:pgSz w:w="11900" w:h="16838" w:orient="portrait"/>
          <w:cols w:equalWidth="0" w:num="2">
            <w:col w:w="4240" w:space="720"/>
            <w:col w:w="6580"/>
          </w:cols>
          <w:pgMar w:left="220" w:top="397" w:right="139" w:bottom="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ectPr>
          <w:pgSz w:w="11900" w:h="16838" w:orient="portrait"/>
          <w:cols w:equalWidth="0" w:num="2">
            <w:col w:w="3980" w:space="720"/>
            <w:col w:w="6840"/>
          </w:cols>
          <w:pgMar w:left="220" w:top="397" w:right="139" w:bottom="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397" w:right="139" w:bottom="0"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440" w:hanging="431"/>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Amendment, Date of Original (Month/Day/Year)</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4"/>
          <w:szCs w:val="24"/>
          <w:color w:val="auto"/>
        </w:rPr>
      </w:pPr>
    </w:p>
    <w:p>
      <w:pPr>
        <w:spacing w:after="0" w:line="309" w:lineRule="exact"/>
        <w:rPr>
          <w:sz w:val="24"/>
          <w:szCs w:val="24"/>
          <w:color w:val="auto"/>
        </w:rPr>
      </w:pPr>
    </w:p>
    <w:p>
      <w:pPr>
        <w:ind w:left="360" w:hanging="351"/>
        <w:spacing w:after="0"/>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or Joint/Group Filing (Check Applicable Line)</w:t>
      </w:r>
    </w:p>
    <w:p>
      <w:pPr>
        <w:spacing w:after="0" w:line="17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x Form filed by One Reporting Person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Form filed by More than One Reporting Person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Table I -- Non-Derivative Securities Beneficially Owned</w:t>
      </w:r>
    </w:p>
    <w:p>
      <w:pPr>
        <w:sectPr>
          <w:pgSz w:w="11900" w:h="16838" w:orient="portrait"/>
          <w:cols w:equalWidth="0" w:num="1">
            <w:col w:w="11540"/>
          </w:cols>
          <w:pgMar w:left="220" w:top="397" w:right="1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w:t>
        <w:tab/>
        <w:t>Title of Security</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(Instr. 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tabs>
          <w:tab w:leader="none" w:pos="2420" w:val="left"/>
        </w:tabs>
        <w:rPr>
          <w:sz w:val="20"/>
          <w:szCs w:val="20"/>
          <w:color w:val="auto"/>
        </w:rPr>
      </w:pPr>
      <w:r>
        <w:rPr>
          <w:rFonts w:ascii="Courier New" w:cs="Courier New" w:eastAsia="Courier New" w:hAnsi="Courier New"/>
          <w:sz w:val="14"/>
          <w:szCs w:val="14"/>
          <w:color w:val="auto"/>
        </w:rPr>
        <w:t>2. Amount of Securities</w:t>
      </w:r>
      <w:r>
        <w:rPr>
          <w:sz w:val="20"/>
          <w:szCs w:val="20"/>
          <w:color w:val="auto"/>
        </w:rPr>
        <w:tab/>
      </w:r>
      <w:r>
        <w:rPr>
          <w:rFonts w:ascii="Courier New" w:cs="Courier New" w:eastAsia="Courier New" w:hAnsi="Courier New"/>
          <w:sz w:val="14"/>
          <w:szCs w:val="14"/>
          <w:color w:val="auto"/>
        </w:rPr>
        <w:t>3. Ownership</w:t>
      </w:r>
    </w:p>
    <w:p>
      <w:pPr>
        <w:spacing w:after="0" w:line="8" w:lineRule="exact"/>
        <w:rPr>
          <w:sz w:val="24"/>
          <w:szCs w:val="24"/>
          <w:color w:val="auto"/>
        </w:rPr>
      </w:pPr>
    </w:p>
    <w:p>
      <w:pPr>
        <w:ind w:left="260"/>
        <w:spacing w:after="0"/>
        <w:tabs>
          <w:tab w:leader="none" w:pos="2680" w:val="left"/>
        </w:tabs>
        <w:rPr>
          <w:sz w:val="20"/>
          <w:szCs w:val="20"/>
          <w:color w:val="auto"/>
        </w:rPr>
      </w:pPr>
      <w:r>
        <w:rPr>
          <w:rFonts w:ascii="Courier New" w:cs="Courier New" w:eastAsia="Courier New" w:hAnsi="Courier New"/>
          <w:sz w:val="14"/>
          <w:szCs w:val="14"/>
          <w:color w:val="auto"/>
        </w:rPr>
        <w:t>Beneficially Owned</w:t>
      </w:r>
      <w:r>
        <w:rPr>
          <w:sz w:val="20"/>
          <w:szCs w:val="20"/>
          <w:color w:val="auto"/>
        </w:rPr>
        <w:tab/>
      </w:r>
      <w:r>
        <w:rPr>
          <w:rFonts w:ascii="Courier New" w:cs="Courier New" w:eastAsia="Courier New" w:hAnsi="Courier New"/>
          <w:sz w:val="14"/>
          <w:szCs w:val="14"/>
          <w:color w:val="auto"/>
        </w:rPr>
        <w:t>Form: Direct</w:t>
      </w:r>
    </w:p>
    <w:p>
      <w:pPr>
        <w:spacing w:after="0" w:line="8" w:lineRule="exact"/>
        <w:rPr>
          <w:sz w:val="24"/>
          <w:szCs w:val="24"/>
          <w:color w:val="auto"/>
        </w:rPr>
      </w:pPr>
    </w:p>
    <w:p>
      <w:pPr>
        <w:ind w:left="260"/>
        <w:spacing w:after="0"/>
        <w:tabs>
          <w:tab w:leader="none" w:pos="2680" w:val="left"/>
        </w:tabs>
        <w:rPr>
          <w:sz w:val="20"/>
          <w:szCs w:val="20"/>
          <w:color w:val="auto"/>
        </w:rPr>
      </w:pPr>
      <w:r>
        <w:rPr>
          <w:rFonts w:ascii="Courier New" w:cs="Courier New" w:eastAsia="Courier New" w:hAnsi="Courier New"/>
          <w:sz w:val="14"/>
          <w:szCs w:val="14"/>
          <w:color w:val="auto"/>
        </w:rPr>
        <w:t>(Instr. 4)</w:t>
      </w:r>
      <w:r>
        <w:rPr>
          <w:sz w:val="20"/>
          <w:szCs w:val="20"/>
          <w:color w:val="auto"/>
        </w:rPr>
        <w:tab/>
      </w:r>
      <w:r>
        <w:rPr>
          <w:rFonts w:ascii="Courier New" w:cs="Courier New" w:eastAsia="Courier New" w:hAnsi="Courier New"/>
          <w:sz w:val="14"/>
          <w:szCs w:val="14"/>
          <w:color w:val="auto"/>
        </w:rPr>
        <w:t>(D) or Indirect</w:t>
      </w:r>
    </w:p>
    <w:p>
      <w:pPr>
        <w:spacing w:after="0" w:line="8"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(I)(Instr. 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w:t>
        <w:tab/>
        <w:t>Nature of Indirect</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Beneficial Ownership</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(Instr. 5)</w:t>
      </w:r>
    </w:p>
    <w:p>
      <w:pPr>
        <w:spacing w:after="0" w:line="174" w:lineRule="exact"/>
        <w:rPr>
          <w:sz w:val="24"/>
          <w:szCs w:val="24"/>
          <w:color w:val="auto"/>
        </w:rPr>
      </w:pPr>
    </w:p>
    <w:p>
      <w:pPr>
        <w:sectPr>
          <w:pgSz w:w="11900" w:h="16838" w:orient="portrait"/>
          <w:cols w:equalWidth="0" w:num="3">
            <w:col w:w="3620" w:space="720"/>
            <w:col w:w="4000" w:space="260"/>
            <w:col w:w="2940"/>
          </w:cols>
          <w:pgMar w:left="220" w:top="39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right"/>
        <w:ind w:right="4760"/>
        <w:spacing w:after="0"/>
        <w:rPr>
          <w:sz w:val="20"/>
          <w:szCs w:val="20"/>
          <w:color w:val="auto"/>
        </w:rPr>
      </w:pPr>
      <w:r>
        <w:rPr>
          <w:rFonts w:ascii="Courier New" w:cs="Courier New" w:eastAsia="Courier New" w:hAnsi="Courier New"/>
          <w:sz w:val="14"/>
          <w:szCs w:val="14"/>
          <w:color w:val="auto"/>
        </w:rPr>
        <w:t>(Over)</w:t>
      </w:r>
    </w:p>
    <w:p>
      <w:pPr>
        <w:spacing w:after="0" w:line="8" w:lineRule="exact"/>
        <w:rPr>
          <w:sz w:val="24"/>
          <w:szCs w:val="24"/>
          <w:color w:val="auto"/>
        </w:rPr>
      </w:pPr>
    </w:p>
    <w:p>
      <w:pPr>
        <w:jc w:val="right"/>
        <w:ind w:right="4760"/>
        <w:spacing w:after="0"/>
        <w:rPr>
          <w:sz w:val="20"/>
          <w:szCs w:val="20"/>
          <w:color w:val="auto"/>
        </w:rPr>
      </w:pPr>
      <w:r>
        <w:rPr>
          <w:rFonts w:ascii="Courier New" w:cs="Courier New" w:eastAsia="Courier New" w:hAnsi="Courier New"/>
          <w:sz w:val="14"/>
          <w:szCs w:val="14"/>
          <w:color w:val="auto"/>
        </w:rPr>
        <w:t>SEC 1473 (7-96)</w:t>
      </w:r>
    </w:p>
    <w:p>
      <w:pPr>
        <w:sectPr>
          <w:pgSz w:w="11900" w:h="16838" w:orient="portrait"/>
          <w:cols w:equalWidth="0" w:num="1">
            <w:col w:w="11540"/>
          </w:cols>
          <w:pgMar w:left="220" w:top="397" w:right="139" w:bottom="0" w:gutter="0" w:footer="0" w:header="0"/>
          <w:type w:val="continuous"/>
        </w:sectPr>
      </w:pPr>
    </w:p>
    <w:bookmarkStart w:id="1" w:name="page2"/>
    <w:bookmarkEnd w:id="1"/>
    <w:p>
      <w:pPr>
        <w:jc w:val="center"/>
        <w:ind w:right="5100"/>
        <w:spacing w:after="0"/>
        <w:rPr>
          <w:sz w:val="20"/>
          <w:szCs w:val="20"/>
          <w:color w:val="auto"/>
        </w:rPr>
      </w:pPr>
      <w:r>
        <w:rPr>
          <w:rFonts w:ascii="Courier New" w:cs="Courier New" w:eastAsia="Courier New" w:hAnsi="Courier New"/>
          <w:sz w:val="14"/>
          <w:szCs w:val="14"/>
          <w:color w:val="auto"/>
        </w:rPr>
        <w:t>Table II -- Derivative Securities Beneficially Owned</w:t>
      </w:r>
    </w:p>
    <w:p>
      <w:pPr>
        <w:spacing w:after="0" w:line="8" w:lineRule="exact"/>
        <w:rPr>
          <w:sz w:val="20"/>
          <w:szCs w:val="20"/>
          <w:color w:val="auto"/>
        </w:rPr>
      </w:pPr>
    </w:p>
    <w:p>
      <w:pPr>
        <w:jc w:val="center"/>
        <w:ind w:right="5100"/>
        <w:spacing w:after="0"/>
        <w:rPr>
          <w:sz w:val="20"/>
          <w:szCs w:val="20"/>
          <w:color w:val="auto"/>
        </w:rPr>
      </w:pPr>
      <w:r>
        <w:rPr>
          <w:rFonts w:ascii="Courier New" w:cs="Courier New" w:eastAsia="Courier New" w:hAnsi="Courier New"/>
          <w:sz w:val="14"/>
          <w:szCs w:val="14"/>
          <w:color w:val="auto"/>
        </w:rPr>
        <w:t>(e.g., puts, calls, warrants, options, convertible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   Title of Derivative</w:t>
            </w:r>
          </w:p>
        </w:tc>
        <w:tc>
          <w:tcPr>
            <w:tcW w:w="25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2. Date Exercisable</w:t>
            </w:r>
          </w:p>
        </w:tc>
        <w:tc>
          <w:tcPr>
            <w:tcW w:w="23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3. Title and Amount of</w:t>
            </w:r>
          </w:p>
        </w:tc>
        <w:tc>
          <w:tcPr>
            <w:tcW w:w="78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4. Conver-</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5. Owner-</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 Nature</w:t>
            </w:r>
          </w:p>
        </w:tc>
      </w:tr>
      <w:tr>
        <w:trPr>
          <w:trHeight w:val="167"/>
        </w:trPr>
        <w:tc>
          <w:tcPr>
            <w:tcW w:w="2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Security (Instr. 4)</w:t>
            </w:r>
          </w:p>
        </w:tc>
        <w:tc>
          <w:tcPr>
            <w:tcW w:w="252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and Expiration</w:t>
            </w:r>
          </w:p>
        </w:tc>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Securities Underlying</w:t>
            </w:r>
          </w:p>
        </w:tc>
        <w:tc>
          <w:tcPr>
            <w:tcW w:w="780" w:type="dxa"/>
            <w:vAlign w:val="bottom"/>
          </w:tcPr>
          <w:p>
            <w:pPr>
              <w:spacing w:after="0"/>
              <w:rPr>
                <w:sz w:val="14"/>
                <w:szCs w:val="14"/>
                <w:color w:val="auto"/>
              </w:rPr>
            </w:pP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sion or</w:t>
            </w: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ship</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w w:val="99"/>
              </w:rPr>
              <w:t>of In-</w:t>
            </w:r>
          </w:p>
        </w:tc>
      </w:tr>
      <w:tr>
        <w:trPr>
          <w:trHeight w:val="167"/>
        </w:trPr>
        <w:tc>
          <w:tcPr>
            <w:tcW w:w="2440" w:type="dxa"/>
            <w:vAlign w:val="bottom"/>
          </w:tcPr>
          <w:p>
            <w:pPr>
              <w:spacing w:after="0"/>
              <w:rPr>
                <w:sz w:val="14"/>
                <w:szCs w:val="14"/>
                <w:color w:val="auto"/>
              </w:rPr>
            </w:pPr>
          </w:p>
        </w:tc>
        <w:tc>
          <w:tcPr>
            <w:tcW w:w="252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Date (Month/Day/Year)</w:t>
            </w:r>
          </w:p>
        </w:tc>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Derivative Securities</w:t>
            </w:r>
          </w:p>
        </w:tc>
        <w:tc>
          <w:tcPr>
            <w:tcW w:w="780" w:type="dxa"/>
            <w:vAlign w:val="bottom"/>
          </w:tcPr>
          <w:p>
            <w:pPr>
              <w:spacing w:after="0"/>
              <w:rPr>
                <w:sz w:val="14"/>
                <w:szCs w:val="14"/>
                <w:color w:val="auto"/>
              </w:rPr>
            </w:pP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Exercise</w:t>
            </w: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Form of</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w w:val="99"/>
              </w:rPr>
              <w:t>direct</w:t>
            </w:r>
          </w:p>
        </w:tc>
      </w:tr>
      <w:tr>
        <w:trPr>
          <w:trHeight w:val="167"/>
        </w:trPr>
        <w:tc>
          <w:tcPr>
            <w:tcW w:w="2440" w:type="dxa"/>
            <w:vAlign w:val="bottom"/>
          </w:tcPr>
          <w:p>
            <w:pPr>
              <w:spacing w:after="0"/>
              <w:rPr>
                <w:sz w:val="14"/>
                <w:szCs w:val="14"/>
                <w:color w:val="auto"/>
              </w:rPr>
            </w:pPr>
          </w:p>
        </w:tc>
        <w:tc>
          <w:tcPr>
            <w:tcW w:w="252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(Instr. 4)</w:t>
            </w:r>
          </w:p>
        </w:tc>
        <w:tc>
          <w:tcPr>
            <w:tcW w:w="780" w:type="dxa"/>
            <w:vAlign w:val="bottom"/>
          </w:tcPr>
          <w:p>
            <w:pPr>
              <w:spacing w:after="0"/>
              <w:rPr>
                <w:sz w:val="14"/>
                <w:szCs w:val="14"/>
                <w:color w:val="auto"/>
              </w:rPr>
            </w:pP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Price of</w:t>
            </w: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Deriv-</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Bene-</w:t>
            </w:r>
          </w:p>
        </w:tc>
      </w:tr>
      <w:tr>
        <w:trPr>
          <w:trHeight w:val="167"/>
        </w:trPr>
        <w:tc>
          <w:tcPr>
            <w:tcW w:w="2440" w:type="dxa"/>
            <w:vAlign w:val="bottom"/>
          </w:tcPr>
          <w:p>
            <w:pPr>
              <w:spacing w:after="0"/>
              <w:rPr>
                <w:sz w:val="14"/>
                <w:szCs w:val="1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Date</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Expira-</w:t>
            </w:r>
          </w:p>
        </w:tc>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Derivative</w:t>
            </w: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ative</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w w:val="99"/>
              </w:rPr>
              <w:t>ficial</w:t>
            </w:r>
          </w:p>
        </w:tc>
      </w:tr>
      <w:tr>
        <w:trPr>
          <w:trHeight w:val="167"/>
        </w:trPr>
        <w:tc>
          <w:tcPr>
            <w:tcW w:w="2440" w:type="dxa"/>
            <w:vAlign w:val="bottom"/>
          </w:tcPr>
          <w:p>
            <w:pPr>
              <w:spacing w:after="0"/>
              <w:rPr>
                <w:sz w:val="14"/>
                <w:szCs w:val="1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Exer-</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tion</w:t>
            </w:r>
          </w:p>
        </w:tc>
        <w:tc>
          <w:tcPr>
            <w:tcW w:w="2380" w:type="dxa"/>
            <w:vAlign w:val="bottom"/>
          </w:tcPr>
          <w:p>
            <w:pPr>
              <w:ind w:left="520"/>
              <w:spacing w:after="0"/>
              <w:rPr>
                <w:sz w:val="20"/>
                <w:szCs w:val="20"/>
                <w:color w:val="auto"/>
              </w:rPr>
            </w:pPr>
            <w:r>
              <w:rPr>
                <w:rFonts w:ascii="Courier New" w:cs="Courier New" w:eastAsia="Courier New" w:hAnsi="Courier New"/>
                <w:sz w:val="14"/>
                <w:szCs w:val="14"/>
                <w:color w:val="auto"/>
              </w:rPr>
              <w:t>Title</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Amount</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Security</w:t>
            </w: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Security:</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w w:val="99"/>
              </w:rPr>
              <w:t>Owner-</w:t>
            </w:r>
          </w:p>
        </w:tc>
      </w:tr>
      <w:tr>
        <w:trPr>
          <w:trHeight w:val="167"/>
        </w:trPr>
        <w:tc>
          <w:tcPr>
            <w:tcW w:w="2440" w:type="dxa"/>
            <w:vAlign w:val="bottom"/>
          </w:tcPr>
          <w:p>
            <w:pPr>
              <w:spacing w:after="0"/>
              <w:rPr>
                <w:sz w:val="14"/>
                <w:szCs w:val="1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cisable</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Date</w:t>
            </w:r>
          </w:p>
        </w:tc>
        <w:tc>
          <w:tcPr>
            <w:tcW w:w="238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or</w:t>
            </w:r>
          </w:p>
        </w:tc>
        <w:tc>
          <w:tcPr>
            <w:tcW w:w="1220" w:type="dxa"/>
            <w:vAlign w:val="bottom"/>
          </w:tcPr>
          <w:p>
            <w:pPr>
              <w:spacing w:after="0"/>
              <w:rPr>
                <w:sz w:val="14"/>
                <w:szCs w:val="14"/>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Direct</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ship</w:t>
            </w:r>
          </w:p>
        </w:tc>
      </w:tr>
      <w:tr>
        <w:trPr>
          <w:trHeight w:val="167"/>
        </w:trPr>
        <w:tc>
          <w:tcPr>
            <w:tcW w:w="2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Number</w:t>
            </w:r>
          </w:p>
        </w:tc>
        <w:tc>
          <w:tcPr>
            <w:tcW w:w="1220" w:type="dxa"/>
            <w:vAlign w:val="bottom"/>
          </w:tcPr>
          <w:p>
            <w:pPr>
              <w:spacing w:after="0"/>
              <w:rPr>
                <w:sz w:val="14"/>
                <w:szCs w:val="14"/>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(D) or</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(Instr.</w:t>
            </w:r>
          </w:p>
        </w:tc>
      </w:tr>
      <w:tr>
        <w:trPr>
          <w:trHeight w:val="167"/>
        </w:trPr>
        <w:tc>
          <w:tcPr>
            <w:tcW w:w="2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of</w:t>
            </w:r>
          </w:p>
        </w:tc>
        <w:tc>
          <w:tcPr>
            <w:tcW w:w="1220" w:type="dxa"/>
            <w:vAlign w:val="bottom"/>
          </w:tcPr>
          <w:p>
            <w:pPr>
              <w:spacing w:after="0"/>
              <w:rPr>
                <w:sz w:val="14"/>
                <w:szCs w:val="14"/>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Indirect</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5)</w:t>
            </w:r>
          </w:p>
        </w:tc>
      </w:tr>
      <w:tr>
        <w:trPr>
          <w:trHeight w:val="167"/>
        </w:trPr>
        <w:tc>
          <w:tcPr>
            <w:tcW w:w="2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Shares</w:t>
            </w:r>
          </w:p>
        </w:tc>
        <w:tc>
          <w:tcPr>
            <w:tcW w:w="1220" w:type="dxa"/>
            <w:vAlign w:val="bottom"/>
          </w:tcPr>
          <w:p>
            <w:pPr>
              <w:spacing w:after="0"/>
              <w:rPr>
                <w:sz w:val="14"/>
                <w:szCs w:val="14"/>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(I)</w:t>
            </w:r>
          </w:p>
        </w:tc>
        <w:tc>
          <w:tcPr>
            <w:tcW w:w="860" w:type="dxa"/>
            <w:vAlign w:val="bottom"/>
          </w:tcPr>
          <w:p>
            <w:pPr>
              <w:spacing w:after="0"/>
              <w:rPr>
                <w:sz w:val="14"/>
                <w:szCs w:val="14"/>
                <w:color w:val="auto"/>
              </w:rPr>
            </w:pPr>
          </w:p>
        </w:tc>
      </w:tr>
      <w:tr>
        <w:trPr>
          <w:trHeight w:val="167"/>
        </w:trPr>
        <w:tc>
          <w:tcPr>
            <w:tcW w:w="2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(Instr.</w:t>
            </w:r>
          </w:p>
        </w:tc>
        <w:tc>
          <w:tcPr>
            <w:tcW w:w="860" w:type="dxa"/>
            <w:vAlign w:val="bottom"/>
          </w:tcPr>
          <w:p>
            <w:pPr>
              <w:spacing w:after="0"/>
              <w:rPr>
                <w:sz w:val="14"/>
                <w:szCs w:val="14"/>
                <w:color w:val="auto"/>
              </w:rPr>
            </w:pPr>
          </w:p>
        </w:tc>
      </w:tr>
      <w:tr>
        <w:trPr>
          <w:trHeight w:val="167"/>
        </w:trPr>
        <w:tc>
          <w:tcPr>
            <w:tcW w:w="2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5)</w:t>
            </w:r>
          </w:p>
        </w:tc>
        <w:tc>
          <w:tcPr>
            <w:tcW w:w="8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160"/>
        <w:spacing w:after="0" w:line="252" w:lineRule="auto"/>
        <w:rPr>
          <w:sz w:val="20"/>
          <w:szCs w:val="20"/>
          <w:color w:val="auto"/>
        </w:rPr>
      </w:pPr>
      <w:r>
        <w:rPr>
          <w:rFonts w:ascii="Courier New" w:cs="Courier New" w:eastAsia="Courier New" w:hAnsi="Courier New"/>
          <w:sz w:val="14"/>
          <w:szCs w:val="14"/>
          <w:color w:val="auto"/>
        </w:rPr>
        <w:t>PCS Common Stock Series 2, See Note See Note PCS Common Stock Series See Note See Note par value $1.00 per share 1 1 1, par value $1 per share 47,248,435 1 I 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20"/>
                <w:szCs w:val="20"/>
                <w:color w:val="auto"/>
              </w:rPr>
            </w:pPr>
            <w:r>
              <w:rPr>
                <w:rFonts w:ascii="Courier New" w:cs="Courier New" w:eastAsia="Courier New" w:hAnsi="Courier New"/>
                <w:sz w:val="14"/>
                <w:szCs w:val="14"/>
                <w:color w:val="auto"/>
              </w:rPr>
              <w:t>Series 7 PCS Preferred Stock,</w:t>
            </w:r>
          </w:p>
        </w:tc>
        <w:tc>
          <w:tcPr>
            <w:tcW w:w="1040" w:type="dxa"/>
            <w:vAlign w:val="bottom"/>
          </w:tcPr>
          <w:p>
            <w:pPr>
              <w:spacing w:after="0"/>
              <w:rPr>
                <w:sz w:val="14"/>
                <w:szCs w:val="14"/>
                <w:color w:val="auto"/>
              </w:rPr>
            </w:pP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See Note</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PCS Common Stock Series</w:t>
            </w:r>
          </w:p>
        </w:tc>
        <w:tc>
          <w:tcPr>
            <w:tcW w:w="92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See Note</w:t>
            </w:r>
          </w:p>
        </w:tc>
        <w:tc>
          <w:tcPr>
            <w:tcW w:w="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See Note</w:t>
            </w:r>
          </w:p>
        </w:tc>
      </w:tr>
      <w:tr>
        <w:trPr>
          <w:trHeight w:val="0"/>
        </w:trPr>
        <w:tc>
          <w:tcPr>
            <w:tcW w:w="2660" w:type="dxa"/>
            <w:vAlign w:val="bottom"/>
          </w:tcPr>
          <w:p>
            <w:pPr>
              <w:spacing w:after="0"/>
              <w:rPr>
                <w:sz w:val="20"/>
                <w:szCs w:val="20"/>
                <w:color w:val="auto"/>
              </w:rPr>
            </w:pPr>
            <w:r>
              <w:rPr>
                <w:rFonts w:ascii="Courier New" w:cs="Courier New" w:eastAsia="Courier New" w:hAnsi="Courier New"/>
                <w:sz w:val="14"/>
                <w:szCs w:val="14"/>
                <w:color w:val="auto"/>
              </w:rPr>
              <w:t>par value $1000 per share</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11/23/98</w:t>
            </w: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2, par value $1 per share</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61,726</w:t>
            </w: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w:t>
            </w:r>
          </w:p>
        </w:tc>
        <w:tc>
          <w:tcPr>
            <w:tcW w:w="700" w:type="dxa"/>
            <w:vAlign w:val="bottom"/>
          </w:tcPr>
          <w:p>
            <w:pPr>
              <w:ind w:left="320"/>
              <w:spacing w:after="0"/>
              <w:rPr>
                <w:sz w:val="20"/>
                <w:szCs w:val="20"/>
                <w:color w:val="auto"/>
              </w:rPr>
            </w:pPr>
            <w:r>
              <w:rPr>
                <w:rFonts w:ascii="Courier New" w:cs="Courier New" w:eastAsia="Courier New" w:hAnsi="Courier New"/>
                <w:sz w:val="14"/>
                <w:szCs w:val="14"/>
                <w:color w:val="auto"/>
              </w:rPr>
              <w:t>I</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220"/>
        <w:spacing w:after="0"/>
        <w:tabs>
          <w:tab w:leader="none" w:pos="8660" w:val="left"/>
          <w:tab w:leader="none" w:pos="10660" w:val="left"/>
        </w:tabs>
        <w:rPr>
          <w:sz w:val="20"/>
          <w:szCs w:val="20"/>
          <w:color w:val="auto"/>
        </w:rPr>
      </w:pPr>
      <w:r>
        <w:rPr>
          <w:rFonts w:ascii="Courier New" w:cs="Courier New" w:eastAsia="Courier New" w:hAnsi="Courier New"/>
          <w:sz w:val="14"/>
          <w:szCs w:val="14"/>
          <w:color w:val="auto"/>
        </w:rPr>
        <w:t>PCS Common Stock Series</w:t>
      </w:r>
      <w:r>
        <w:rPr>
          <w:sz w:val="20"/>
          <w:szCs w:val="20"/>
          <w:color w:val="auto"/>
        </w:rPr>
        <w:tab/>
      </w:r>
      <w:r>
        <w:rPr>
          <w:rFonts w:ascii="Courier New" w:cs="Courier New" w:eastAsia="Courier New" w:hAnsi="Courier New"/>
          <w:sz w:val="14"/>
          <w:szCs w:val="14"/>
          <w:color w:val="auto"/>
        </w:rPr>
        <w:t>See Note</w:t>
      </w:r>
      <w:r>
        <w:rPr>
          <w:sz w:val="20"/>
          <w:szCs w:val="20"/>
          <w:color w:val="auto"/>
        </w:rPr>
        <w:tab/>
      </w:r>
      <w:r>
        <w:rPr>
          <w:rFonts w:ascii="Courier New" w:cs="Courier New" w:eastAsia="Courier New" w:hAnsi="Courier New"/>
          <w:sz w:val="14"/>
          <w:szCs w:val="14"/>
          <w:color w:val="auto"/>
        </w:rPr>
        <w:t>See Note</w:t>
      </w:r>
    </w:p>
    <w:p>
      <w:pPr>
        <w:spacing w:after="0" w:line="8" w:lineRule="exact"/>
        <w:rPr>
          <w:sz w:val="20"/>
          <w:szCs w:val="20"/>
          <w:color w:val="auto"/>
        </w:rPr>
      </w:pPr>
    </w:p>
    <w:p>
      <w:pPr>
        <w:spacing w:after="0"/>
        <w:tabs>
          <w:tab w:leader="none" w:pos="2760" w:val="left"/>
          <w:tab w:leader="none" w:pos="3900" w:val="left"/>
          <w:tab w:leader="none" w:pos="5200" w:val="left"/>
          <w:tab w:leader="none" w:pos="7620" w:val="left"/>
          <w:tab w:leader="none" w:pos="8920" w:val="left"/>
          <w:tab w:leader="none" w:pos="9980" w:val="left"/>
          <w:tab w:leader="none" w:pos="10920" w:val="left"/>
        </w:tabs>
        <w:rPr>
          <w:sz w:val="20"/>
          <w:szCs w:val="20"/>
          <w:color w:val="auto"/>
        </w:rPr>
      </w:pPr>
      <w:r>
        <w:rPr>
          <w:rFonts w:ascii="Courier New" w:cs="Courier New" w:eastAsia="Courier New" w:hAnsi="Courier New"/>
          <w:sz w:val="14"/>
          <w:szCs w:val="14"/>
          <w:color w:val="auto"/>
        </w:rPr>
        <w:t>Warrants (Convertible)</w:t>
      </w:r>
      <w:r>
        <w:rPr>
          <w:sz w:val="20"/>
          <w:szCs w:val="20"/>
          <w:color w:val="auto"/>
        </w:rPr>
        <w:tab/>
      </w:r>
      <w:r>
        <w:rPr>
          <w:rFonts w:ascii="Courier New" w:cs="Courier New" w:eastAsia="Courier New" w:hAnsi="Courier New"/>
          <w:sz w:val="14"/>
          <w:szCs w:val="14"/>
          <w:color w:val="auto"/>
        </w:rPr>
        <w:t>11/23/98</w:t>
      </w:r>
      <w:r>
        <w:rPr>
          <w:sz w:val="20"/>
          <w:szCs w:val="20"/>
          <w:color w:val="auto"/>
        </w:rPr>
        <w:tab/>
      </w:r>
      <w:r>
        <w:rPr>
          <w:rFonts w:ascii="Courier New" w:cs="Courier New" w:eastAsia="Courier New" w:hAnsi="Courier New"/>
          <w:sz w:val="14"/>
          <w:szCs w:val="14"/>
          <w:color w:val="auto"/>
        </w:rPr>
        <w:t>11/23/98</w:t>
      </w:r>
      <w:r>
        <w:rPr>
          <w:sz w:val="20"/>
          <w:szCs w:val="20"/>
          <w:color w:val="auto"/>
        </w:rPr>
        <w:tab/>
      </w:r>
      <w:r>
        <w:rPr>
          <w:rFonts w:ascii="Courier New" w:cs="Courier New" w:eastAsia="Courier New" w:hAnsi="Courier New"/>
          <w:sz w:val="14"/>
          <w:szCs w:val="14"/>
          <w:color w:val="auto"/>
        </w:rPr>
        <w:t>2, par value $1 per share</w:t>
        <w:tab/>
        <w:t>3,015,858</w:t>
      </w:r>
      <w:r>
        <w:rPr>
          <w:sz w:val="20"/>
          <w:szCs w:val="20"/>
          <w:color w:val="auto"/>
        </w:rPr>
        <w:tab/>
      </w: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I</w:t>
      </w:r>
      <w:r>
        <w:rPr>
          <w:sz w:val="20"/>
          <w:szCs w:val="20"/>
          <w:color w:val="auto"/>
        </w:rPr>
        <w:tab/>
      </w:r>
      <w:r>
        <w:rPr>
          <w:rFonts w:ascii="Courier New" w:cs="Courier New" w:eastAsia="Courier New" w:hAnsi="Courier New"/>
          <w:sz w:val="14"/>
          <w:szCs w:val="14"/>
          <w:color w:val="auto"/>
        </w:rPr>
        <w:t>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Explanation of Responses:</w:t>
      </w:r>
    </w:p>
    <w:p>
      <w:pPr>
        <w:spacing w:after="0" w:line="175" w:lineRule="exact"/>
        <w:rPr>
          <w:sz w:val="20"/>
          <w:szCs w:val="20"/>
          <w:color w:val="auto"/>
        </w:rPr>
      </w:pPr>
    </w:p>
    <w:p>
      <w:pPr>
        <w:ind w:left="440" w:right="4680" w:hanging="431"/>
        <w:spacing w:after="0" w:line="253"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Series 2 PCS Stock automatically converts into one share of Sprint Corporation PCS Common Stock-Series 1, par value $1.00 per share (the "Series 1 PCS Stock"), under certain circumstances. Because the Reporting Person does not have the right to acquire any shares of Series 1 PCS Stock underlying the Series 2 PCS Stock, the Series 7 Preferred Stock or the Warrants, within sixty days of the date of the event requiring this statement, the Reporting Person disclaims beneficial ownership of all shares of Series 1 PCS Stock underlying the Series 2 PCS Stock, the Series 7 Preferred Stock and the Warrants, beneficially owned by the Reporting Person.</w:t>
      </w:r>
    </w:p>
    <w:p>
      <w:pPr>
        <w:spacing w:after="0" w:line="164" w:lineRule="exact"/>
        <w:rPr>
          <w:rFonts w:ascii="Courier New" w:cs="Courier New" w:eastAsia="Courier New" w:hAnsi="Courier New"/>
          <w:sz w:val="14"/>
          <w:szCs w:val="14"/>
          <w:color w:val="auto"/>
        </w:rPr>
      </w:pPr>
    </w:p>
    <w:p>
      <w:pPr>
        <w:ind w:left="440" w:right="4680" w:hanging="431"/>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Sprint may redeem any outstanding shares of Series 7 Preferred Stock after November 23, 2001, and must redeem all outstanding shares of Series 7 Preferred Stock on November 24, 2008.</w:t>
      </w:r>
    </w:p>
    <w:p>
      <w:pPr>
        <w:spacing w:after="0" w:line="162" w:lineRule="exact"/>
        <w:rPr>
          <w:rFonts w:ascii="Courier New" w:cs="Courier New" w:eastAsia="Courier New" w:hAnsi="Courier New"/>
          <w:sz w:val="14"/>
          <w:szCs w:val="14"/>
          <w:color w:val="auto"/>
        </w:rPr>
      </w:pPr>
    </w:p>
    <w:p>
      <w:pPr>
        <w:ind w:left="440" w:right="4580" w:hanging="431"/>
        <w:spacing w:after="0" w:line="252"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Seventh Series Preferred Stock, no par value per share (the "Seventh Series Preferred"), of Sprint Corporation may be converted at any time at the option of the holder into (i) shares of Series 2 Stock if such holder is a Cable Holder, or (ii) shares of Series 1 Stock if such holder is not a Cable Holder. Each share of Seventh Series Preferred is convertible into a number of shares of Series 2 Stock equal to the aggregate Liquidation Preference (as defined in the Certificate of Designations of the Seventh Series Preferred as filed with the Kansas Secretary of State on November 23, 1998 (the "Certificate of Designations")) of the Seventh Series Preferred shares surrendered for conversion divided by the Initial Conversion Price (as defined in the Certificate of Designations), subject to adjustment. The Certificate of Designations defines Liquidation Preference as $1,000 per share, plus any accumulated unpaid dividends, and Initial Conversion Price means 1.28 multiplied by the average of the daily closing prices of the Series 1 Stock for the 30 consecutive trading days ending as of the 45th trading day following the commencement of regular way trading in connection with the recapitalization of Sprint Corporation. See Note 4.</w:t>
      </w:r>
    </w:p>
    <w:p>
      <w:pPr>
        <w:spacing w:after="0" w:line="340" w:lineRule="exact"/>
        <w:rPr>
          <w:rFonts w:ascii="Courier New" w:cs="Courier New" w:eastAsia="Courier New" w:hAnsi="Courier New"/>
          <w:sz w:val="14"/>
          <w:szCs w:val="14"/>
          <w:color w:val="auto"/>
        </w:rPr>
      </w:pPr>
    </w:p>
    <w:p>
      <w:pPr>
        <w:ind w:left="440" w:right="4580" w:hanging="431"/>
        <w:spacing w:after="0" w:line="252"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with respect to each Warrant or Series 7 Preferred Stock shall be an amount equal to the average daily closing prices of a share of</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440" w:type="dxa"/>
            <w:vAlign w:val="bottom"/>
          </w:tcPr>
          <w:p>
            <w:pPr>
              <w:spacing w:after="0"/>
              <w:rPr>
                <w:sz w:val="20"/>
                <w:szCs w:val="20"/>
                <w:color w:val="auto"/>
              </w:rPr>
            </w:pPr>
            <w:r>
              <w:rPr>
                <w:rFonts w:ascii="Courier New" w:cs="Courier New" w:eastAsia="Courier New" w:hAnsi="Courier New"/>
                <w:sz w:val="14"/>
                <w:szCs w:val="14"/>
                <w:color w:val="auto"/>
              </w:rPr>
              <w:t>PCS Common Stock</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Series</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1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the period of 30</w:t>
            </w:r>
          </w:p>
        </w:tc>
        <w:tc>
          <w:tcPr>
            <w:tcW w:w="2080" w:type="dxa"/>
            <w:vAlign w:val="bottom"/>
          </w:tcPr>
          <w:p>
            <w:pPr>
              <w:spacing w:after="0"/>
              <w:rPr>
                <w:sz w:val="20"/>
                <w:szCs w:val="20"/>
                <w:color w:val="auto"/>
              </w:rPr>
            </w:pPr>
            <w:r>
              <w:rPr>
                <w:rFonts w:ascii="Courier New" w:cs="Courier New" w:eastAsia="Courier New" w:hAnsi="Courier New"/>
                <w:sz w:val="14"/>
                <w:szCs w:val="14"/>
                <w:color w:val="auto"/>
              </w:rPr>
              <w:t>consecutive trading days</w:t>
            </w:r>
          </w:p>
        </w:tc>
      </w:tr>
      <w:tr>
        <w:trPr>
          <w:trHeight w:val="167"/>
        </w:trPr>
        <w:tc>
          <w:tcPr>
            <w:tcW w:w="2300" w:type="dxa"/>
            <w:vAlign w:val="bottom"/>
            <w:gridSpan w:val="3"/>
          </w:tcPr>
          <w:p>
            <w:pPr>
              <w:spacing w:after="0"/>
              <w:rPr>
                <w:sz w:val="20"/>
                <w:szCs w:val="20"/>
                <w:color w:val="auto"/>
              </w:rPr>
            </w:pPr>
            <w:r>
              <w:rPr>
                <w:rFonts w:ascii="Courier New" w:cs="Courier New" w:eastAsia="Courier New" w:hAnsi="Courier New"/>
                <w:sz w:val="14"/>
                <w:szCs w:val="14"/>
                <w:color w:val="auto"/>
              </w:rPr>
              <w:t>ending on the 45th trading</w:t>
            </w:r>
          </w:p>
        </w:tc>
        <w:tc>
          <w:tcPr>
            <w:tcW w:w="2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day. Sprint Corporation</w:t>
            </w:r>
          </w:p>
        </w:tc>
        <w:tc>
          <w:tcPr>
            <w:tcW w:w="2080" w:type="dxa"/>
            <w:vAlign w:val="bottom"/>
          </w:tcPr>
          <w:p>
            <w:pPr>
              <w:ind w:left="80"/>
              <w:spacing w:after="0"/>
              <w:rPr>
                <w:sz w:val="20"/>
                <w:szCs w:val="20"/>
                <w:color w:val="auto"/>
              </w:rPr>
            </w:pPr>
            <w:r>
              <w:rPr>
                <w:rFonts w:ascii="Courier New" w:cs="Courier New" w:eastAsia="Courier New" w:hAnsi="Courier New"/>
                <w:sz w:val="14"/>
                <w:szCs w:val="14"/>
                <w:color w:val="auto"/>
              </w:rPr>
              <w:t>completed its</w:t>
            </w:r>
          </w:p>
        </w:tc>
      </w:tr>
      <w:tr>
        <w:trPr>
          <w:trHeight w:val="167"/>
        </w:trPr>
        <w:tc>
          <w:tcPr>
            <w:tcW w:w="1440" w:type="dxa"/>
            <w:vAlign w:val="bottom"/>
          </w:tcPr>
          <w:p>
            <w:pPr>
              <w:spacing w:after="0"/>
              <w:rPr>
                <w:sz w:val="20"/>
                <w:szCs w:val="20"/>
                <w:color w:val="auto"/>
              </w:rPr>
            </w:pPr>
            <w:r>
              <w:rPr>
                <w:rFonts w:ascii="Courier New" w:cs="Courier New" w:eastAsia="Courier New" w:hAnsi="Courier New"/>
                <w:sz w:val="14"/>
                <w:szCs w:val="14"/>
                <w:color w:val="auto"/>
              </w:rPr>
              <w:t>recapitalization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November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23, 1998 and</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regular</w:t>
            </w:r>
          </w:p>
        </w:tc>
        <w:tc>
          <w:tcPr>
            <w:tcW w:w="2080" w:type="dxa"/>
            <w:vAlign w:val="bottom"/>
          </w:tcPr>
          <w:p>
            <w:pPr>
              <w:spacing w:after="0"/>
              <w:rPr>
                <w:sz w:val="20"/>
                <w:szCs w:val="20"/>
                <w:color w:val="auto"/>
              </w:rPr>
            </w:pPr>
            <w:r>
              <w:rPr>
                <w:rFonts w:ascii="Courier New" w:cs="Courier New" w:eastAsia="Courier New" w:hAnsi="Courier New"/>
                <w:sz w:val="14"/>
                <w:szCs w:val="14"/>
                <w:color w:val="auto"/>
              </w:rPr>
              <w:t>way trading on the New</w:t>
            </w:r>
          </w:p>
        </w:tc>
      </w:tr>
      <w:tr>
        <w:trPr>
          <w:trHeight w:val="167"/>
        </w:trPr>
        <w:tc>
          <w:tcPr>
            <w:tcW w:w="1700" w:type="dxa"/>
            <w:vAlign w:val="bottom"/>
            <w:gridSpan w:val="2"/>
          </w:tcPr>
          <w:p>
            <w:pPr>
              <w:spacing w:after="0"/>
              <w:rPr>
                <w:sz w:val="20"/>
                <w:szCs w:val="20"/>
                <w:color w:val="auto"/>
              </w:rPr>
            </w:pPr>
            <w:r>
              <w:rPr>
                <w:rFonts w:ascii="Courier New" w:cs="Courier New" w:eastAsia="Courier New" w:hAnsi="Courier New"/>
                <w:sz w:val="14"/>
                <w:szCs w:val="14"/>
                <w:color w:val="auto"/>
              </w:rPr>
              <w:t>York Stock Exchange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of the</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Series 1 Stock</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began on</w:t>
            </w:r>
          </w:p>
        </w:tc>
        <w:tc>
          <w:tcPr>
            <w:tcW w:w="2080" w:type="dxa"/>
            <w:vAlign w:val="bottom"/>
          </w:tcPr>
          <w:p>
            <w:pPr>
              <w:ind w:left="80"/>
              <w:spacing w:after="0"/>
              <w:rPr>
                <w:sz w:val="20"/>
                <w:szCs w:val="20"/>
                <w:color w:val="auto"/>
              </w:rPr>
            </w:pPr>
            <w:r>
              <w:rPr>
                <w:rFonts w:ascii="Courier New" w:cs="Courier New" w:eastAsia="Courier New" w:hAnsi="Courier New"/>
                <w:sz w:val="14"/>
                <w:szCs w:val="14"/>
                <w:color w:val="auto"/>
              </w:rPr>
              <w:t>November 24, 1998.</w:t>
            </w:r>
          </w:p>
        </w:tc>
      </w:tr>
    </w:tbl>
    <w:p>
      <w:pPr>
        <w:spacing w:after="0" w:line="171" w:lineRule="exact"/>
        <w:rPr>
          <w:sz w:val="20"/>
          <w:szCs w:val="20"/>
          <w:color w:val="auto"/>
        </w:rPr>
      </w:pPr>
    </w:p>
    <w:p>
      <w:pPr>
        <w:ind w:left="440" w:right="4580" w:hanging="431"/>
        <w:spacing w:after="0" w:line="253"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Corporation, as the indirect holder of 100% of the capital stock of Comcast Telephony Services Holdings, Inc., which directly owns the securities reported, may be deemed to exercise beneficial ownership over the securities reported herein. However, the filing of this Form 3 shall not constitute an admission of beneficial ownership of the securities reported herein, and Comcast Corporation expressly disclaims such beneficial ownership.</w:t>
      </w:r>
    </w:p>
    <w:p>
      <w:pPr>
        <w:sectPr>
          <w:pgSz w:w="11900" w:h="16838" w:orient="portrait"/>
          <w:cols w:equalWidth="0" w:num="1">
            <w:col w:w="11540"/>
          </w:cols>
          <w:pgMar w:left="220" w:top="475" w:right="139" w:bottom="1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Arthur R. Block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December 10,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Date</w:t>
      </w:r>
    </w:p>
    <w:p>
      <w:pPr>
        <w:sectPr>
          <w:pgSz w:w="11900" w:h="16838" w:orient="portrait"/>
          <w:cols w:equalWidth="0" w:num="2">
            <w:col w:w="4240" w:space="720"/>
            <w:col w:w="6580"/>
          </w:cols>
          <w:pgMar w:left="220" w:top="475" w:right="139" w:bottom="117" w:gutter="0" w:footer="0" w:header="0"/>
          <w:type w:val="continuous"/>
        </w:sectPr>
      </w:pPr>
    </w:p>
    <w:bookmarkStart w:id="2" w:name="page3"/>
    <w:bookmarkEnd w:id="2"/>
    <w:p>
      <w:pPr>
        <w:ind w:left="180" w:right="3539" w:hanging="173"/>
        <w:spacing w:after="0" w:line="258" w:lineRule="auto"/>
        <w:rPr>
          <w:sz w:val="20"/>
          <w:szCs w:val="20"/>
          <w:color w:val="auto"/>
        </w:rPr>
      </w:pPr>
      <w:r>
        <w:rPr>
          <w:rFonts w:ascii="Courier New" w:cs="Courier New" w:eastAsia="Courier New" w:hAnsi="Courier New"/>
          <w:sz w:val="14"/>
          <w:szCs w:val="14"/>
          <w:color w:val="auto"/>
        </w:rPr>
        <w:t>**Intentional misstatements or omissions of facts constitute Federal Criminal Violations. See 18 U.S.C. 1001 and 15 U.S.C. 78ff(a).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File three copies of this Form, one of which must be manually signed.</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space is insufficient, see Instruction 6 for procedure.</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Number.</w:t>
      </w:r>
    </w:p>
    <w:p>
      <w:pPr>
        <w:spacing w:after="0" w:line="162"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Page 2</w:t>
      </w:r>
    </w:p>
    <w:p>
      <w:pPr>
        <w:spacing w:after="0" w:line="8"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SEC 1473 (7-96)</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3"/>
    </w:lvl>
  </w:abstractNum>
  <w:abstractNum w:abstractNumId="1">
    <w:nsid w:val="2AE8944A"/>
    <w:multiLevelType w:val="hybridMultilevel"/>
    <w:lvl w:ilvl="0">
      <w:lvlJc w:val="left"/>
      <w:lvlText w:val="%1."/>
      <w:numFmt w:val="decimal"/>
      <w:start w:val="6"/>
    </w:lvl>
  </w:abstractNum>
  <w:abstractNum w:abstractNumId="2">
    <w:nsid w:val="625558EC"/>
    <w:multiLevelType w:val="hybridMultilevel"/>
    <w:lvl w:ilvl="0">
      <w:lvlJc w:val="left"/>
      <w:lvlText w:val="%1."/>
      <w:numFmt w:val="decimal"/>
      <w:start w:val="7"/>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2019-12-16T13:49:03Z</dcterms:created>
  <dcterms:modified xsi:type="dcterms:W3CDTF">2019-12-16T13:49:03Z</dcterms:modified>
</cp:coreProperties>
</file>