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204470</wp:posOffset>
            </wp:positionV>
            <wp:extent cx="1646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720" w:type="dxa"/>
        <w:tblCellMar>
          <w:top w:w="0" w:type="dxa"/>
          <w:left w:w="0" w:type="dxa"/>
          <w:bottom w:w="0" w:type="dxa"/>
          <w:right w:w="0" w:type="dxa"/>
        </w:tblCellMar>
      </w:tblPr>
      <w:tr>
        <w:trPr>
          <w:trHeight w:val="351"/>
        </w:trPr>
        <w:tc>
          <w:tcPr>
            <w:tcW w:w="2560" w:type="dxa"/>
            <w:vAlign w:val="bottom"/>
          </w:tcPr>
          <w:p>
            <w:pPr>
              <w:spacing w:after="0"/>
              <w:rPr>
                <w:sz w:val="24"/>
                <w:szCs w:val="24"/>
                <w:color w:val="auto"/>
              </w:rPr>
            </w:pPr>
          </w:p>
        </w:tc>
        <w:tc>
          <w:tcPr>
            <w:tcW w:w="7260" w:type="dxa"/>
            <w:vAlign w:val="bottom"/>
          </w:tcPr>
          <w:p>
            <w:pPr>
              <w:jc w:val="center"/>
              <w:ind w:right="2283"/>
              <w:spacing w:after="0"/>
              <w:rPr>
                <w:sz w:val="20"/>
                <w:szCs w:val="20"/>
                <w:color w:val="auto"/>
              </w:rPr>
            </w:pPr>
            <w:r>
              <w:rPr>
                <w:rFonts w:ascii="Arial" w:cs="Arial" w:eastAsia="Arial" w:hAnsi="Arial"/>
                <w:sz w:val="27"/>
                <w:szCs w:val="27"/>
                <w:b w:val="1"/>
                <w:bCs w:val="1"/>
                <w:color w:val="auto"/>
              </w:rPr>
              <w:t>FORM 8-K</w:t>
            </w:r>
          </w:p>
        </w:tc>
      </w:tr>
      <w:tr>
        <w:trPr>
          <w:trHeight w:val="487"/>
        </w:trPr>
        <w:tc>
          <w:tcPr>
            <w:tcW w:w="2560" w:type="dxa"/>
            <w:vAlign w:val="bottom"/>
          </w:tcPr>
          <w:p>
            <w:pPr>
              <w:spacing w:after="0"/>
              <w:rPr>
                <w:sz w:val="24"/>
                <w:szCs w:val="24"/>
                <w:color w:val="auto"/>
              </w:rPr>
            </w:pPr>
          </w:p>
        </w:tc>
        <w:tc>
          <w:tcPr>
            <w:tcW w:w="7260" w:type="dxa"/>
            <w:vAlign w:val="bottom"/>
          </w:tcPr>
          <w:p>
            <w:pPr>
              <w:jc w:val="center"/>
              <w:ind w:right="2283"/>
              <w:spacing w:after="0"/>
              <w:rPr>
                <w:sz w:val="20"/>
                <w:szCs w:val="20"/>
                <w:color w:val="auto"/>
              </w:rPr>
            </w:pPr>
            <w:r>
              <w:rPr>
                <w:rFonts w:ascii="Arial" w:cs="Arial" w:eastAsia="Arial" w:hAnsi="Arial"/>
                <w:sz w:val="27"/>
                <w:szCs w:val="27"/>
                <w:b w:val="1"/>
                <w:bCs w:val="1"/>
                <w:color w:val="auto"/>
                <w:w w:val="99"/>
              </w:rPr>
              <w:t>CURRENT REPORT</w:t>
            </w:r>
          </w:p>
        </w:tc>
      </w:tr>
      <w:tr>
        <w:trPr>
          <w:trHeight w:val="311"/>
        </w:trPr>
        <w:tc>
          <w:tcPr>
            <w:tcW w:w="2560" w:type="dxa"/>
            <w:vAlign w:val="bottom"/>
          </w:tcPr>
          <w:p>
            <w:pPr>
              <w:spacing w:after="0"/>
              <w:rPr>
                <w:sz w:val="24"/>
                <w:szCs w:val="24"/>
                <w:color w:val="auto"/>
              </w:rPr>
            </w:pPr>
          </w:p>
        </w:tc>
        <w:tc>
          <w:tcPr>
            <w:tcW w:w="7260" w:type="dxa"/>
            <w:vAlign w:val="bottom"/>
          </w:tcPr>
          <w:p>
            <w:pPr>
              <w:jc w:val="center"/>
              <w:ind w:right="2283"/>
              <w:spacing w:after="0"/>
              <w:rPr>
                <w:sz w:val="20"/>
                <w:szCs w:val="20"/>
                <w:color w:val="auto"/>
              </w:rPr>
            </w:pPr>
            <w:r>
              <w:rPr>
                <w:rFonts w:ascii="Arial" w:cs="Arial" w:eastAsia="Arial" w:hAnsi="Arial"/>
                <w:sz w:val="27"/>
                <w:szCs w:val="27"/>
                <w:b w:val="1"/>
                <w:bCs w:val="1"/>
                <w:color w:val="auto"/>
                <w:w w:val="90"/>
              </w:rPr>
              <w:t>Pursuant to Section 13 OR 15(d) of</w:t>
            </w:r>
          </w:p>
        </w:tc>
      </w:tr>
      <w:tr>
        <w:trPr>
          <w:trHeight w:val="351"/>
        </w:trPr>
        <w:tc>
          <w:tcPr>
            <w:tcW w:w="2560" w:type="dxa"/>
            <w:vAlign w:val="bottom"/>
          </w:tcPr>
          <w:p>
            <w:pPr>
              <w:spacing w:after="0"/>
              <w:rPr>
                <w:sz w:val="24"/>
                <w:szCs w:val="24"/>
                <w:color w:val="auto"/>
              </w:rPr>
            </w:pPr>
          </w:p>
        </w:tc>
        <w:tc>
          <w:tcPr>
            <w:tcW w:w="7260" w:type="dxa"/>
            <w:vAlign w:val="bottom"/>
          </w:tcPr>
          <w:p>
            <w:pPr>
              <w:jc w:val="center"/>
              <w:ind w:right="2303"/>
              <w:spacing w:after="0"/>
              <w:rPr>
                <w:sz w:val="20"/>
                <w:szCs w:val="20"/>
                <w:color w:val="auto"/>
              </w:rPr>
            </w:pPr>
            <w:r>
              <w:rPr>
                <w:rFonts w:ascii="Arial" w:cs="Arial" w:eastAsia="Arial" w:hAnsi="Arial"/>
                <w:sz w:val="27"/>
                <w:szCs w:val="27"/>
                <w:b w:val="1"/>
                <w:bCs w:val="1"/>
                <w:color w:val="auto"/>
                <w:w w:val="89"/>
              </w:rPr>
              <w:t>The Securities Exchange Act of 1934</w:t>
            </w:r>
          </w:p>
        </w:tc>
      </w:tr>
      <w:tr>
        <w:trPr>
          <w:trHeight w:val="514"/>
        </w:trPr>
        <w:tc>
          <w:tcPr>
            <w:tcW w:w="2560" w:type="dxa"/>
            <w:vAlign w:val="bottom"/>
          </w:tcPr>
          <w:p>
            <w:pPr>
              <w:spacing w:after="0"/>
              <w:rPr>
                <w:sz w:val="24"/>
                <w:szCs w:val="24"/>
                <w:color w:val="auto"/>
              </w:rPr>
            </w:pPr>
          </w:p>
        </w:tc>
        <w:tc>
          <w:tcPr>
            <w:tcW w:w="7260" w:type="dxa"/>
            <w:vAlign w:val="bottom"/>
          </w:tcPr>
          <w:p>
            <w:pPr>
              <w:jc w:val="center"/>
              <w:ind w:right="2303"/>
              <w:spacing w:after="0"/>
              <w:rPr>
                <w:sz w:val="20"/>
                <w:szCs w:val="20"/>
                <w:color w:val="auto"/>
              </w:rPr>
            </w:pPr>
            <w:r>
              <w:rPr>
                <w:rFonts w:ascii="Arial" w:cs="Arial" w:eastAsia="Arial" w:hAnsi="Arial"/>
                <w:sz w:val="18"/>
                <w:szCs w:val="18"/>
                <w:color w:val="auto"/>
                <w:w w:val="91"/>
              </w:rPr>
              <w:t>Date of report (Date of earliest event reported): July 25, 2019</w:t>
            </w:r>
          </w:p>
        </w:tc>
      </w:tr>
      <w:tr>
        <w:trPr>
          <w:trHeight w:val="535"/>
        </w:trPr>
        <w:tc>
          <w:tcPr>
            <w:tcW w:w="2560" w:type="dxa"/>
            <w:vAlign w:val="bottom"/>
          </w:tcPr>
          <w:p>
            <w:pPr>
              <w:spacing w:after="0"/>
              <w:rPr>
                <w:sz w:val="24"/>
                <w:szCs w:val="24"/>
                <w:color w:val="auto"/>
              </w:rPr>
            </w:pPr>
          </w:p>
        </w:tc>
        <w:tc>
          <w:tcPr>
            <w:tcW w:w="7260" w:type="dxa"/>
            <w:vAlign w:val="bottom"/>
          </w:tcPr>
          <w:p>
            <w:pPr>
              <w:jc w:val="center"/>
              <w:ind w:right="2283"/>
              <w:spacing w:after="0"/>
              <w:rPr>
                <w:sz w:val="20"/>
                <w:szCs w:val="20"/>
                <w:color w:val="auto"/>
              </w:rPr>
            </w:pPr>
            <w:r>
              <w:rPr>
                <w:rFonts w:ascii="Arial" w:cs="Arial" w:eastAsia="Arial" w:hAnsi="Arial"/>
                <w:sz w:val="29"/>
                <w:szCs w:val="29"/>
                <w:b w:val="1"/>
                <w:bCs w:val="1"/>
                <w:color w:val="auto"/>
                <w:w w:val="90"/>
              </w:rPr>
              <w:t>Comcast Corporation</w:t>
            </w:r>
          </w:p>
        </w:tc>
      </w:tr>
      <w:tr>
        <w:trPr>
          <w:trHeight w:val="149"/>
        </w:trPr>
        <w:tc>
          <w:tcPr>
            <w:tcW w:w="2560" w:type="dxa"/>
            <w:vAlign w:val="bottom"/>
          </w:tcPr>
          <w:p>
            <w:pPr>
              <w:spacing w:after="0"/>
              <w:rPr>
                <w:sz w:val="12"/>
                <w:szCs w:val="12"/>
                <w:color w:val="auto"/>
              </w:rPr>
            </w:pPr>
          </w:p>
        </w:tc>
        <w:tc>
          <w:tcPr>
            <w:tcW w:w="7260" w:type="dxa"/>
            <w:vAlign w:val="bottom"/>
          </w:tcPr>
          <w:p>
            <w:pPr>
              <w:jc w:val="center"/>
              <w:ind w:right="2303"/>
              <w:spacing w:after="0" w:line="149"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60" w:type="dxa"/>
            <w:vAlign w:val="bottom"/>
          </w:tcPr>
          <w:p>
            <w:pPr>
              <w:spacing w:after="0"/>
              <w:rPr>
                <w:sz w:val="15"/>
                <w:szCs w:val="15"/>
                <w:color w:val="auto"/>
              </w:rPr>
            </w:pPr>
          </w:p>
        </w:tc>
        <w:tc>
          <w:tcPr>
            <w:tcW w:w="7260" w:type="dxa"/>
            <w:vAlign w:val="bottom"/>
          </w:tcPr>
          <w:p>
            <w:pPr>
              <w:jc w:val="center"/>
              <w:ind w:right="2303"/>
              <w:spacing w:after="0"/>
              <w:rPr>
                <w:sz w:val="20"/>
                <w:szCs w:val="20"/>
                <w:color w:val="auto"/>
              </w:rPr>
            </w:pPr>
            <w:r>
              <w:rPr>
                <w:rFonts w:ascii="Arial" w:cs="Arial" w:eastAsia="Arial" w:hAnsi="Arial"/>
                <w:sz w:val="14"/>
                <w:szCs w:val="14"/>
                <w:color w:val="auto"/>
                <w:w w:val="93"/>
              </w:rPr>
              <w:t>as Specified in its Charter)</w:t>
            </w:r>
          </w:p>
        </w:tc>
      </w:tr>
      <w:tr>
        <w:trPr>
          <w:trHeight w:val="398"/>
        </w:trPr>
        <w:tc>
          <w:tcPr>
            <w:tcW w:w="2560" w:type="dxa"/>
            <w:vAlign w:val="bottom"/>
          </w:tcPr>
          <w:p>
            <w:pPr>
              <w:spacing w:after="0"/>
              <w:rPr>
                <w:sz w:val="24"/>
                <w:szCs w:val="24"/>
                <w:color w:val="auto"/>
              </w:rPr>
            </w:pPr>
          </w:p>
        </w:tc>
        <w:tc>
          <w:tcPr>
            <w:tcW w:w="7260" w:type="dxa"/>
            <w:vAlign w:val="bottom"/>
          </w:tcPr>
          <w:p>
            <w:pPr>
              <w:jc w:val="center"/>
              <w:ind w:right="2263"/>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560" w:type="dxa"/>
            <w:vAlign w:val="bottom"/>
          </w:tcPr>
          <w:p>
            <w:pPr>
              <w:spacing w:after="0"/>
              <w:rPr>
                <w:sz w:val="15"/>
                <w:szCs w:val="15"/>
                <w:color w:val="auto"/>
              </w:rPr>
            </w:pPr>
          </w:p>
        </w:tc>
        <w:tc>
          <w:tcPr>
            <w:tcW w:w="7260" w:type="dxa"/>
            <w:vAlign w:val="bottom"/>
          </w:tcPr>
          <w:p>
            <w:pPr>
              <w:jc w:val="center"/>
              <w:ind w:right="2283"/>
              <w:spacing w:after="0"/>
              <w:rPr>
                <w:sz w:val="20"/>
                <w:szCs w:val="20"/>
                <w:color w:val="auto"/>
              </w:rPr>
            </w:pPr>
            <w:r>
              <w:rPr>
                <w:rFonts w:ascii="Arial" w:cs="Arial" w:eastAsia="Arial" w:hAnsi="Arial"/>
                <w:sz w:val="14"/>
                <w:szCs w:val="14"/>
                <w:color w:val="auto"/>
                <w:w w:val="95"/>
              </w:rPr>
              <w:t>(State or Other Jurisdiction of Incorporation)</w:t>
            </w:r>
          </w:p>
        </w:tc>
      </w:tr>
      <w:tr>
        <w:trPr>
          <w:trHeight w:val="466"/>
        </w:trPr>
        <w:tc>
          <w:tcPr>
            <w:tcW w:w="2560" w:type="dxa"/>
            <w:vAlign w:val="bottom"/>
          </w:tcPr>
          <w:p>
            <w:pPr>
              <w:jc w:val="center"/>
              <w:ind w:right="137"/>
              <w:spacing w:after="0"/>
              <w:rPr>
                <w:sz w:val="20"/>
                <w:szCs w:val="20"/>
                <w:color w:val="auto"/>
              </w:rPr>
            </w:pPr>
            <w:r>
              <w:rPr>
                <w:rFonts w:ascii="Arial" w:cs="Arial" w:eastAsia="Arial" w:hAnsi="Arial"/>
                <w:sz w:val="18"/>
                <w:szCs w:val="18"/>
                <w:b w:val="1"/>
                <w:bCs w:val="1"/>
                <w:color w:val="auto"/>
                <w:w w:val="90"/>
              </w:rPr>
              <w:t>001-32871</w:t>
            </w:r>
          </w:p>
        </w:tc>
        <w:tc>
          <w:tcPr>
            <w:tcW w:w="7260" w:type="dxa"/>
            <w:vAlign w:val="bottom"/>
          </w:tcPr>
          <w:p>
            <w:pPr>
              <w:jc w:val="center"/>
              <w:ind w:left="5163"/>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560" w:type="dxa"/>
            <w:vAlign w:val="bottom"/>
          </w:tcPr>
          <w:p>
            <w:pPr>
              <w:jc w:val="center"/>
              <w:ind w:right="137"/>
              <w:spacing w:after="0"/>
              <w:rPr>
                <w:sz w:val="20"/>
                <w:szCs w:val="20"/>
                <w:color w:val="auto"/>
              </w:rPr>
            </w:pPr>
            <w:r>
              <w:rPr>
                <w:rFonts w:ascii="Arial" w:cs="Arial" w:eastAsia="Arial" w:hAnsi="Arial"/>
                <w:sz w:val="14"/>
                <w:szCs w:val="14"/>
                <w:color w:val="auto"/>
                <w:w w:val="94"/>
              </w:rPr>
              <w:t>(Commission File Number)</w:t>
            </w:r>
          </w:p>
        </w:tc>
        <w:tc>
          <w:tcPr>
            <w:tcW w:w="7260" w:type="dxa"/>
            <w:vAlign w:val="bottom"/>
          </w:tcPr>
          <w:p>
            <w:pPr>
              <w:jc w:val="center"/>
              <w:ind w:left="5183"/>
              <w:spacing w:after="0"/>
              <w:rPr>
                <w:sz w:val="20"/>
                <w:szCs w:val="20"/>
                <w:color w:val="auto"/>
              </w:rPr>
            </w:pPr>
            <w:r>
              <w:rPr>
                <w:rFonts w:ascii="Arial" w:cs="Arial" w:eastAsia="Arial" w:hAnsi="Arial"/>
                <w:sz w:val="14"/>
                <w:szCs w:val="14"/>
                <w:color w:val="auto"/>
                <w:w w:val="97"/>
              </w:rPr>
              <w:t>(IRS Employer Identification No.)</w:t>
            </w:r>
          </w:p>
        </w:tc>
      </w:tr>
      <w:tr>
        <w:trPr>
          <w:trHeight w:val="466"/>
        </w:trPr>
        <w:tc>
          <w:tcPr>
            <w:tcW w:w="2560" w:type="dxa"/>
            <w:vAlign w:val="bottom"/>
          </w:tcPr>
          <w:p>
            <w:pPr>
              <w:jc w:val="center"/>
              <w:ind w:right="137"/>
              <w:spacing w:after="0"/>
              <w:rPr>
                <w:sz w:val="20"/>
                <w:szCs w:val="20"/>
                <w:color w:val="auto"/>
              </w:rPr>
            </w:pPr>
            <w:r>
              <w:rPr>
                <w:rFonts w:ascii="Arial" w:cs="Arial" w:eastAsia="Arial" w:hAnsi="Arial"/>
                <w:sz w:val="18"/>
                <w:szCs w:val="18"/>
                <w:b w:val="1"/>
                <w:bCs w:val="1"/>
                <w:color w:val="auto"/>
                <w:w w:val="90"/>
              </w:rPr>
              <w:t>One Comcast Center</w:t>
            </w:r>
          </w:p>
        </w:tc>
        <w:tc>
          <w:tcPr>
            <w:tcW w:w="7260" w:type="dxa"/>
            <w:vAlign w:val="bottom"/>
          </w:tcPr>
          <w:p>
            <w:pPr>
              <w:spacing w:after="0"/>
              <w:rPr>
                <w:sz w:val="24"/>
                <w:szCs w:val="24"/>
                <w:color w:val="auto"/>
              </w:rPr>
            </w:pPr>
          </w:p>
        </w:tc>
      </w:tr>
      <w:tr>
        <w:trPr>
          <w:trHeight w:val="216"/>
        </w:trPr>
        <w:tc>
          <w:tcPr>
            <w:tcW w:w="2560" w:type="dxa"/>
            <w:vAlign w:val="bottom"/>
          </w:tcPr>
          <w:p>
            <w:pPr>
              <w:jc w:val="center"/>
              <w:ind w:right="137"/>
              <w:spacing w:after="0"/>
              <w:rPr>
                <w:sz w:val="20"/>
                <w:szCs w:val="20"/>
                <w:color w:val="auto"/>
              </w:rPr>
            </w:pPr>
            <w:r>
              <w:rPr>
                <w:rFonts w:ascii="Arial" w:cs="Arial" w:eastAsia="Arial" w:hAnsi="Arial"/>
                <w:sz w:val="18"/>
                <w:szCs w:val="18"/>
                <w:b w:val="1"/>
                <w:bCs w:val="1"/>
                <w:color w:val="auto"/>
                <w:w w:val="92"/>
              </w:rPr>
              <w:t>Philadelphia, PA</w:t>
            </w:r>
          </w:p>
        </w:tc>
        <w:tc>
          <w:tcPr>
            <w:tcW w:w="7260" w:type="dxa"/>
            <w:vAlign w:val="bottom"/>
          </w:tcPr>
          <w:p>
            <w:pPr>
              <w:jc w:val="center"/>
              <w:ind w:left="5163"/>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560" w:type="dxa"/>
            <w:vAlign w:val="bottom"/>
          </w:tcPr>
          <w:p>
            <w:pPr>
              <w:jc w:val="center"/>
              <w:ind w:right="137"/>
              <w:spacing w:after="0"/>
              <w:rPr>
                <w:sz w:val="20"/>
                <w:szCs w:val="20"/>
                <w:color w:val="auto"/>
              </w:rPr>
            </w:pPr>
            <w:r>
              <w:rPr>
                <w:rFonts w:ascii="Arial" w:cs="Arial" w:eastAsia="Arial" w:hAnsi="Arial"/>
                <w:sz w:val="14"/>
                <w:szCs w:val="14"/>
                <w:color w:val="auto"/>
                <w:w w:val="95"/>
              </w:rPr>
              <w:t>(Address of Principal Executive Offices)</w:t>
            </w:r>
          </w:p>
        </w:tc>
        <w:tc>
          <w:tcPr>
            <w:tcW w:w="7260" w:type="dxa"/>
            <w:vAlign w:val="bottom"/>
          </w:tcPr>
          <w:p>
            <w:pPr>
              <w:jc w:val="center"/>
              <w:ind w:left="5163"/>
              <w:spacing w:after="0"/>
              <w:rPr>
                <w:sz w:val="20"/>
                <w:szCs w:val="20"/>
                <w:color w:val="auto"/>
              </w:rPr>
            </w:pPr>
            <w:r>
              <w:rPr>
                <w:rFonts w:ascii="Arial" w:cs="Arial" w:eastAsia="Arial" w:hAnsi="Arial"/>
                <w:sz w:val="14"/>
                <w:szCs w:val="14"/>
                <w:color w:val="auto"/>
                <w:w w:val="96"/>
              </w:rPr>
              <w:t>(Zip Code)</w:t>
            </w:r>
          </w:p>
        </w:tc>
      </w:tr>
      <w:tr>
        <w:trPr>
          <w:trHeight w:val="485"/>
        </w:trPr>
        <w:tc>
          <w:tcPr>
            <w:tcW w:w="2560" w:type="dxa"/>
            <w:vAlign w:val="bottom"/>
          </w:tcPr>
          <w:p>
            <w:pPr>
              <w:spacing w:after="0"/>
              <w:rPr>
                <w:sz w:val="24"/>
                <w:szCs w:val="24"/>
                <w:color w:val="auto"/>
              </w:rPr>
            </w:pPr>
          </w:p>
        </w:tc>
        <w:tc>
          <w:tcPr>
            <w:tcW w:w="7260" w:type="dxa"/>
            <w:vAlign w:val="bottom"/>
          </w:tcPr>
          <w:p>
            <w:pPr>
              <w:jc w:val="center"/>
              <w:ind w:right="2283"/>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8"/>
                <w:szCs w:val="18"/>
                <w:b w:val="1"/>
                <w:bCs w:val="1"/>
                <w:color w:val="auto"/>
                <w:w w:val="92"/>
              </w:rPr>
              <w:t>(215) 286-1700</w:t>
            </w:r>
          </w:p>
        </w:tc>
      </w:tr>
      <w:tr>
        <w:trPr>
          <w:trHeight w:val="596"/>
        </w:trPr>
        <w:tc>
          <w:tcPr>
            <w:tcW w:w="2560" w:type="dxa"/>
            <w:vAlign w:val="bottom"/>
          </w:tcPr>
          <w:p>
            <w:pPr>
              <w:spacing w:after="0"/>
              <w:rPr>
                <w:sz w:val="24"/>
                <w:szCs w:val="24"/>
                <w:color w:val="auto"/>
              </w:rPr>
            </w:pPr>
          </w:p>
        </w:tc>
        <w:tc>
          <w:tcPr>
            <w:tcW w:w="7260" w:type="dxa"/>
            <w:vAlign w:val="bottom"/>
          </w:tcPr>
          <w:p>
            <w:pPr>
              <w:jc w:val="center"/>
              <w:ind w:right="2283"/>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196215</wp:posOffset>
            </wp:positionV>
            <wp:extent cx="1646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243"/>
        </w:trPr>
        <w:tc>
          <w:tcPr>
            <w:tcW w:w="5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5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22"/>
        </w:trPr>
        <w:tc>
          <w:tcPr>
            <w:tcW w:w="51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Class A Common Stock, $0.01 par value</w:t>
            </w: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CMCSA</w:t>
            </w:r>
          </w:p>
        </w:tc>
        <w:tc>
          <w:tcPr>
            <w:tcW w:w="426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16"/>
        </w:trPr>
        <w:tc>
          <w:tcPr>
            <w:tcW w:w="51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2.0% Exchangeable Subordinated Debentures due 2029</w:t>
            </w: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CCZ</w:t>
            </w: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51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5.50% Notes due 2029</w:t>
            </w: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CCGBP29</w:t>
            </w: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51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9.455% Guaranteed Notes due 2022</w:t>
            </w: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CMCSA/22</w:t>
            </w: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6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25, 2019, Comcast Corporation (“Comcast”) issued a press release reporting the results of its operations for the three and six months ended June 30, 2019.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194"/>
        </w:trPr>
        <w:tc>
          <w:tcPr>
            <w:tcW w:w="90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94"/>
              </w:rPr>
              <w:t>Number</w:t>
            </w:r>
          </w:p>
        </w:tc>
        <w:tc>
          <w:tcPr>
            <w:tcW w:w="10520" w:type="dxa"/>
            <w:vAlign w:val="bottom"/>
            <w:gridSpan w:val="5"/>
          </w:tcPr>
          <w:p>
            <w:pPr>
              <w:ind w:left="360"/>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439"/>
        </w:trPr>
        <w:tc>
          <w:tcPr>
            <w:tcW w:w="620" w:type="dxa"/>
            <w:vAlign w:val="bottom"/>
            <w:gridSpan w:val="2"/>
          </w:tcPr>
          <w:p>
            <w:pPr>
              <w:jc w:val="center"/>
              <w:ind w:left="210"/>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1</w:t>
              </w:r>
            </w:hyperlink>
          </w:p>
        </w:tc>
        <w:tc>
          <w:tcPr>
            <w:tcW w:w="280" w:type="dxa"/>
            <w:vAlign w:val="bottom"/>
          </w:tcPr>
          <w:p>
            <w:pPr>
              <w:spacing w:after="0"/>
              <w:rPr>
                <w:sz w:val="24"/>
                <w:szCs w:val="24"/>
                <w:color w:val="auto"/>
              </w:rPr>
            </w:pPr>
          </w:p>
        </w:tc>
        <w:tc>
          <w:tcPr>
            <w:tcW w:w="10520" w:type="dxa"/>
            <w:vAlign w:val="bottom"/>
            <w:gridSpan w:val="5"/>
          </w:tcPr>
          <w:p>
            <w:pPr>
              <w:ind w:left="360"/>
              <w:spacing w:after="0"/>
              <w:rPr>
                <w:rFonts w:ascii="Arial" w:cs="Arial" w:eastAsia="Arial" w:hAnsi="Arial"/>
                <w:sz w:val="18"/>
                <w:szCs w:val="18"/>
                <w:color w:val="0000EE"/>
              </w:rPr>
            </w:pPr>
            <w:hyperlink w:anchor="page4">
              <w:r>
                <w:rPr>
                  <w:rFonts w:ascii="Arial" w:cs="Arial" w:eastAsia="Arial" w:hAnsi="Arial"/>
                  <w:sz w:val="18"/>
                  <w:szCs w:val="18"/>
                  <w:color w:val="0000EE"/>
                </w:rPr>
                <w:t>Comcast Corporation press release dated July 25, 2019.</w:t>
              </w:r>
            </w:hyperlink>
          </w:p>
        </w:tc>
      </w:tr>
      <w:tr>
        <w:trPr>
          <w:trHeight w:val="20"/>
        </w:trPr>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23"/>
        </w:trPr>
        <w:tc>
          <w:tcPr>
            <w:tcW w:w="620" w:type="dxa"/>
            <w:vAlign w:val="bottom"/>
            <w:gridSpan w:val="2"/>
          </w:tcPr>
          <w:p>
            <w:pPr>
              <w:jc w:val="center"/>
              <w:ind w:left="210"/>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2</w:t>
              </w:r>
            </w:hyperlink>
          </w:p>
        </w:tc>
        <w:tc>
          <w:tcPr>
            <w:tcW w:w="280" w:type="dxa"/>
            <w:vAlign w:val="bottom"/>
          </w:tcPr>
          <w:p>
            <w:pPr>
              <w:spacing w:after="0"/>
              <w:rPr>
                <w:sz w:val="19"/>
                <w:szCs w:val="19"/>
                <w:color w:val="auto"/>
              </w:rPr>
            </w:pPr>
          </w:p>
        </w:tc>
        <w:tc>
          <w:tcPr>
            <w:tcW w:w="10520" w:type="dxa"/>
            <w:vAlign w:val="bottom"/>
            <w:gridSpan w:val="5"/>
          </w:tcPr>
          <w:p>
            <w:pPr>
              <w:ind w:left="360"/>
              <w:spacing w:after="0"/>
              <w:rPr>
                <w:rFonts w:ascii="Arial" w:cs="Arial" w:eastAsia="Arial" w:hAnsi="Arial"/>
                <w:sz w:val="18"/>
                <w:szCs w:val="18"/>
                <w:color w:val="0000EE"/>
              </w:rPr>
            </w:pPr>
            <w:hyperlink w:anchor="page21">
              <w:r>
                <w:rPr>
                  <w:rFonts w:ascii="Arial" w:cs="Arial" w:eastAsia="Arial" w:hAnsi="Arial"/>
                  <w:sz w:val="18"/>
                  <w:szCs w:val="18"/>
                  <w:color w:val="0000EE"/>
                </w:rPr>
                <w:t>Explanation of Non-GAAP and Other Financial Measures.</w:t>
              </w:r>
            </w:hyperlink>
          </w:p>
        </w:tc>
      </w:tr>
      <w:tr>
        <w:trPr>
          <w:trHeight w:val="912"/>
        </w:trPr>
        <w:tc>
          <w:tcPr>
            <w:tcW w:w="30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31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2"/>
          </w:tcPr>
          <w:p>
            <w:pPr>
              <w:ind w:left="212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 July 25, 2019</w:t>
            </w:r>
          </w:p>
        </w:tc>
        <w:tc>
          <w:tcPr>
            <w:tcW w:w="7820" w:type="dxa"/>
            <w:vAlign w:val="bottom"/>
            <w:gridSpan w:val="2"/>
          </w:tcPr>
          <w:p>
            <w:pPr>
              <w:ind w:left="2120"/>
              <w:spacing w:after="0"/>
              <w:rPr>
                <w:sz w:val="20"/>
                <w:szCs w:val="20"/>
                <w:color w:val="auto"/>
              </w:rPr>
            </w:pPr>
            <w:r>
              <w:rPr>
                <w:rFonts w:ascii="Arial" w:cs="Arial" w:eastAsia="Arial" w:hAnsi="Arial"/>
                <w:sz w:val="18"/>
                <w:szCs w:val="18"/>
                <w:color w:val="auto"/>
              </w:rPr>
              <w:t>By:    /s/ Daniel C. Murdock</w:t>
            </w:r>
          </w:p>
        </w:tc>
      </w:tr>
      <w:tr>
        <w:trPr>
          <w:trHeight w:val="195"/>
        </w:trPr>
        <w:tc>
          <w:tcPr>
            <w:tcW w:w="3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C. Murdock</w:t>
            </w:r>
          </w:p>
        </w:tc>
      </w:tr>
      <w:tr>
        <w:trPr>
          <w:trHeight w:val="216"/>
        </w:trPr>
        <w:tc>
          <w:tcPr>
            <w:tcW w:w="3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Chief Accounting Officer and Controller</w:t>
            </w:r>
          </w:p>
        </w:tc>
      </w:tr>
      <w:tr>
        <w:trPr>
          <w:trHeight w:val="230"/>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2593"/>
        </w:trPr>
        <w:tc>
          <w:tcPr>
            <w:tcW w:w="36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165735</wp:posOffset>
            </wp:positionV>
            <wp:extent cx="152654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6540" cy="60007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8720"/>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2nd QUARTER 2019 RESULTS</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PHILADELPHIA - July 25, 2019… Comcast Corporation (NASDAQ: CMCSA) today reported results for the quarter ended June 30, 2019, including Cable Communications, NBCUniversal and Sky.</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Brian L. Roberts, Chairman and Chief Executive Officer of Comcast Corporation, said, “I am very pleased with our terrific second quarter results and the continued, successful execution of our strategy. Each of our businesses demonstrated healthy growth in adjusted EBITDA, contributing to a double-digit increase in adjusted earnings per share. Our company’s consistent, profitable growth is fueled by our leading scale in direct customer relationships and premier content. We now have nearly 55 million high-value direct customer relationships, including the 456,000 net additions in the second quarter, and a vast library of intellectual property and new productions that are extremely popular across generations and geographies. Our teams throughout the company continue to collaborate to make themselves and each other even stronger, and I’m excited about our growth opportunities ahead."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80" w:type="dxa"/>
            <w:vAlign w:val="bottom"/>
            <w:shd w:val="clear" w:color="auto" w:fill="D9D9D6"/>
          </w:tcPr>
          <w:p>
            <w:pPr>
              <w:ind w:left="60"/>
              <w:spacing w:after="0"/>
              <w:rPr>
                <w:sz w:val="20"/>
                <w:szCs w:val="20"/>
                <w:color w:val="auto"/>
              </w:rPr>
            </w:pPr>
            <w:r>
              <w:rPr>
                <w:rFonts w:ascii="Arial" w:cs="Arial" w:eastAsia="Arial" w:hAnsi="Arial"/>
                <w:sz w:val="14"/>
                <w:szCs w:val="14"/>
                <w:i w:val="1"/>
                <w:iCs w:val="1"/>
                <w:color w:val="auto"/>
              </w:rPr>
              <w:t>($ in millions, except per share data)</w:t>
            </w:r>
          </w:p>
        </w:tc>
        <w:tc>
          <w:tcPr>
            <w:tcW w:w="120" w:type="dxa"/>
            <w:vAlign w:val="bottom"/>
            <w:shd w:val="clear" w:color="auto" w:fill="D9D9D6"/>
          </w:tcPr>
          <w:p>
            <w:pPr>
              <w:spacing w:after="0"/>
              <w:rPr>
                <w:sz w:val="17"/>
                <w:szCs w:val="17"/>
                <w:color w:val="auto"/>
              </w:rPr>
            </w:pPr>
          </w:p>
        </w:tc>
        <w:tc>
          <w:tcPr>
            <w:tcW w:w="720" w:type="dxa"/>
            <w:vAlign w:val="bottom"/>
            <w:shd w:val="clear" w:color="auto" w:fill="D9D9D6"/>
          </w:tcPr>
          <w:p>
            <w:pPr>
              <w:spacing w:after="0"/>
              <w:rPr>
                <w:sz w:val="17"/>
                <w:szCs w:val="17"/>
                <w:color w:val="auto"/>
              </w:rPr>
            </w:pPr>
          </w:p>
        </w:tc>
        <w:tc>
          <w:tcPr>
            <w:tcW w:w="420" w:type="dxa"/>
            <w:vAlign w:val="bottom"/>
            <w:tcBorders>
              <w:right w:val="single" w:sz="8" w:color="D9D9D6"/>
            </w:tcBorders>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5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620" w:type="dxa"/>
            <w:vAlign w:val="bottom"/>
            <w:shd w:val="clear" w:color="auto" w:fill="D9D9D6"/>
          </w:tcPr>
          <w:p>
            <w:pPr>
              <w:spacing w:after="0"/>
              <w:rPr>
                <w:sz w:val="17"/>
                <w:szCs w:val="17"/>
                <w:color w:val="auto"/>
              </w:rPr>
            </w:pPr>
          </w:p>
        </w:tc>
        <w:tc>
          <w:tcPr>
            <w:tcW w:w="460" w:type="dxa"/>
            <w:vAlign w:val="bottom"/>
            <w:shd w:val="clear" w:color="auto" w:fill="D9D9D6"/>
          </w:tcPr>
          <w:p>
            <w:pPr>
              <w:spacing w:after="0"/>
              <w:rPr>
                <w:sz w:val="17"/>
                <w:szCs w:val="17"/>
                <w:color w:val="auto"/>
              </w:rPr>
            </w:pPr>
          </w:p>
        </w:tc>
        <w:tc>
          <w:tcPr>
            <w:tcW w:w="180" w:type="dxa"/>
            <w:vAlign w:val="bottom"/>
            <w:tcBorders>
              <w:right w:val="single" w:sz="8" w:color="D9D9D6"/>
            </w:tcBorders>
            <w:shd w:val="clear" w:color="auto" w:fill="D9D9D6"/>
          </w:tcPr>
          <w:p>
            <w:pPr>
              <w:spacing w:after="0"/>
              <w:rPr>
                <w:sz w:val="17"/>
                <w:szCs w:val="17"/>
                <w:color w:val="auto"/>
              </w:rPr>
            </w:pPr>
          </w:p>
        </w:tc>
        <w:tc>
          <w:tcPr>
            <w:tcW w:w="80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58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780" w:type="dxa"/>
            <w:vAlign w:val="bottom"/>
            <w:shd w:val="clear" w:color="auto" w:fill="D9D9D6"/>
          </w:tcPr>
          <w:p>
            <w:pPr>
              <w:spacing w:after="0"/>
              <w:rPr>
                <w:sz w:val="17"/>
                <w:szCs w:val="17"/>
                <w:color w:val="auto"/>
              </w:rPr>
            </w:pPr>
          </w:p>
        </w:tc>
        <w:tc>
          <w:tcPr>
            <w:tcW w:w="460" w:type="dxa"/>
            <w:vAlign w:val="bottom"/>
            <w:shd w:val="clear" w:color="auto" w:fill="D9D9D6"/>
          </w:tcPr>
          <w:p>
            <w:pPr>
              <w:spacing w:after="0"/>
              <w:rPr>
                <w:sz w:val="17"/>
                <w:szCs w:val="17"/>
                <w:color w:val="auto"/>
              </w:rPr>
            </w:pPr>
          </w:p>
        </w:tc>
        <w:tc>
          <w:tcPr>
            <w:tcW w:w="6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780" w:type="dxa"/>
            <w:vAlign w:val="bottom"/>
            <w:shd w:val="clear" w:color="auto" w:fill="D9D9D6"/>
          </w:tcPr>
          <w:p>
            <w:pPr>
              <w:spacing w:after="0"/>
              <w:rPr>
                <w:sz w:val="13"/>
                <w:szCs w:val="13"/>
                <w:color w:val="auto"/>
              </w:rPr>
            </w:pPr>
          </w:p>
        </w:tc>
        <w:tc>
          <w:tcPr>
            <w:tcW w:w="120" w:type="dxa"/>
            <w:vAlign w:val="bottom"/>
            <w:shd w:val="clear" w:color="auto" w:fill="D9D9D6"/>
          </w:tcPr>
          <w:p>
            <w:pPr>
              <w:spacing w:after="0"/>
              <w:rPr>
                <w:sz w:val="13"/>
                <w:szCs w:val="13"/>
                <w:color w:val="auto"/>
              </w:rPr>
            </w:pPr>
          </w:p>
        </w:tc>
        <w:tc>
          <w:tcPr>
            <w:tcW w:w="720" w:type="dxa"/>
            <w:vAlign w:val="bottom"/>
            <w:shd w:val="clear" w:color="auto" w:fill="D9D9D6"/>
          </w:tcPr>
          <w:p>
            <w:pPr>
              <w:spacing w:after="0"/>
              <w:rPr>
                <w:sz w:val="13"/>
                <w:szCs w:val="13"/>
                <w:color w:val="auto"/>
              </w:rPr>
            </w:pPr>
          </w:p>
        </w:tc>
        <w:tc>
          <w:tcPr>
            <w:tcW w:w="420" w:type="dxa"/>
            <w:vAlign w:val="bottom"/>
            <w:tcBorders>
              <w:right w:val="single" w:sz="8" w:color="D9D9D6"/>
            </w:tcBorders>
            <w:shd w:val="clear" w:color="auto" w:fill="D9D9D6"/>
          </w:tcPr>
          <w:p>
            <w:pPr>
              <w:spacing w:after="0"/>
              <w:rPr>
                <w:sz w:val="13"/>
                <w:szCs w:val="13"/>
                <w:color w:val="auto"/>
              </w:rPr>
            </w:pPr>
          </w:p>
        </w:tc>
        <w:tc>
          <w:tcPr>
            <w:tcW w:w="1400" w:type="dxa"/>
            <w:vAlign w:val="bottom"/>
            <w:gridSpan w:val="5"/>
            <w:shd w:val="clear" w:color="auto" w:fill="D9D9D6"/>
          </w:tcPr>
          <w:p>
            <w:pPr>
              <w:jc w:val="right"/>
              <w:ind w:right="320"/>
              <w:spacing w:after="0" w:line="159" w:lineRule="exact"/>
              <w:rPr>
                <w:sz w:val="20"/>
                <w:szCs w:val="20"/>
                <w:color w:val="auto"/>
              </w:rPr>
            </w:pPr>
            <w:r>
              <w:rPr>
                <w:rFonts w:ascii="Arial" w:cs="Arial" w:eastAsia="Arial" w:hAnsi="Arial"/>
                <w:sz w:val="14"/>
                <w:szCs w:val="14"/>
                <w:color w:val="auto"/>
              </w:rPr>
              <w:t>2nd Quarter</w:t>
            </w:r>
          </w:p>
        </w:tc>
        <w:tc>
          <w:tcPr>
            <w:tcW w:w="620" w:type="dxa"/>
            <w:vAlign w:val="bottom"/>
            <w:shd w:val="clear" w:color="auto" w:fill="D9D9D6"/>
          </w:tcPr>
          <w:p>
            <w:pPr>
              <w:spacing w:after="0"/>
              <w:rPr>
                <w:sz w:val="13"/>
                <w:szCs w:val="13"/>
                <w:color w:val="auto"/>
              </w:rPr>
            </w:pPr>
          </w:p>
        </w:tc>
        <w:tc>
          <w:tcPr>
            <w:tcW w:w="460" w:type="dxa"/>
            <w:vAlign w:val="bottom"/>
            <w:shd w:val="clear" w:color="auto" w:fill="D9D9D6"/>
          </w:tcPr>
          <w:p>
            <w:pPr>
              <w:spacing w:after="0"/>
              <w:rPr>
                <w:sz w:val="13"/>
                <w:szCs w:val="13"/>
                <w:color w:val="auto"/>
              </w:rPr>
            </w:pPr>
          </w:p>
        </w:tc>
        <w:tc>
          <w:tcPr>
            <w:tcW w:w="180" w:type="dxa"/>
            <w:vAlign w:val="bottom"/>
            <w:tcBorders>
              <w:right w:val="single" w:sz="8" w:color="54585A"/>
            </w:tcBorders>
            <w:shd w:val="clear" w:color="auto" w:fill="D9D9D6"/>
          </w:tcPr>
          <w:p>
            <w:pPr>
              <w:spacing w:after="0"/>
              <w:rPr>
                <w:sz w:val="13"/>
                <w:szCs w:val="13"/>
                <w:color w:val="auto"/>
              </w:rPr>
            </w:pPr>
          </w:p>
        </w:tc>
        <w:tc>
          <w:tcPr>
            <w:tcW w:w="800" w:type="dxa"/>
            <w:vAlign w:val="bottom"/>
            <w:shd w:val="clear" w:color="auto" w:fill="D9D9D6"/>
          </w:tcPr>
          <w:p>
            <w:pPr>
              <w:spacing w:after="0"/>
              <w:rPr>
                <w:sz w:val="13"/>
                <w:szCs w:val="13"/>
                <w:color w:val="auto"/>
              </w:rPr>
            </w:pPr>
          </w:p>
        </w:tc>
        <w:tc>
          <w:tcPr>
            <w:tcW w:w="360" w:type="dxa"/>
            <w:vAlign w:val="bottom"/>
            <w:shd w:val="clear" w:color="auto" w:fill="D9D9D6"/>
          </w:tcPr>
          <w:p>
            <w:pPr>
              <w:spacing w:after="0"/>
              <w:rPr>
                <w:sz w:val="13"/>
                <w:szCs w:val="13"/>
                <w:color w:val="auto"/>
              </w:rPr>
            </w:pPr>
          </w:p>
        </w:tc>
        <w:tc>
          <w:tcPr>
            <w:tcW w:w="360" w:type="dxa"/>
            <w:vAlign w:val="bottom"/>
            <w:shd w:val="clear" w:color="auto" w:fill="D9D9D6"/>
          </w:tcPr>
          <w:p>
            <w:pPr>
              <w:spacing w:after="0"/>
              <w:rPr>
                <w:sz w:val="13"/>
                <w:szCs w:val="13"/>
                <w:color w:val="auto"/>
              </w:rPr>
            </w:pPr>
          </w:p>
        </w:tc>
        <w:tc>
          <w:tcPr>
            <w:tcW w:w="1680" w:type="dxa"/>
            <w:vAlign w:val="bottom"/>
            <w:gridSpan w:val="4"/>
            <w:shd w:val="clear" w:color="auto" w:fill="D9D9D6"/>
          </w:tcPr>
          <w:p>
            <w:pPr>
              <w:jc w:val="right"/>
              <w:ind w:right="900"/>
              <w:spacing w:after="0" w:line="159" w:lineRule="exact"/>
              <w:rPr>
                <w:sz w:val="20"/>
                <w:szCs w:val="20"/>
                <w:color w:val="auto"/>
              </w:rPr>
            </w:pPr>
            <w:r>
              <w:rPr>
                <w:rFonts w:ascii="Arial" w:cs="Arial" w:eastAsia="Arial" w:hAnsi="Arial"/>
                <w:sz w:val="14"/>
                <w:szCs w:val="14"/>
                <w:color w:val="auto"/>
                <w:w w:val="96"/>
              </w:rPr>
              <w:t>Year to Date</w:t>
            </w:r>
          </w:p>
        </w:tc>
        <w:tc>
          <w:tcPr>
            <w:tcW w:w="460" w:type="dxa"/>
            <w:vAlign w:val="bottom"/>
            <w:shd w:val="clear" w:color="auto" w:fill="D9D9D6"/>
          </w:tcPr>
          <w:p>
            <w:pPr>
              <w:spacing w:after="0"/>
              <w:rPr>
                <w:sz w:val="13"/>
                <w:szCs w:val="13"/>
                <w:color w:val="auto"/>
              </w:rPr>
            </w:pPr>
          </w:p>
        </w:tc>
        <w:tc>
          <w:tcPr>
            <w:tcW w:w="60" w:type="dxa"/>
            <w:vAlign w:val="bottom"/>
            <w:shd w:val="clear" w:color="auto" w:fill="D9D9D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D9D9D6"/>
          </w:tcPr>
          <w:p>
            <w:pPr>
              <w:ind w:left="60"/>
              <w:spacing w:after="0"/>
              <w:rPr>
                <w:sz w:val="20"/>
                <w:szCs w:val="20"/>
                <w:color w:val="auto"/>
              </w:rPr>
            </w:pPr>
            <w:r>
              <w:rPr>
                <w:rFonts w:ascii="Arial" w:cs="Arial" w:eastAsia="Arial" w:hAnsi="Arial"/>
                <w:sz w:val="14"/>
                <w:szCs w:val="14"/>
                <w:b w:val="1"/>
                <w:bCs w:val="1"/>
                <w:color w:val="auto"/>
              </w:rPr>
              <w:t>Consolidated Results</w:t>
            </w:r>
          </w:p>
        </w:tc>
        <w:tc>
          <w:tcPr>
            <w:tcW w:w="120" w:type="dxa"/>
            <w:vAlign w:val="bottom"/>
            <w:shd w:val="clear" w:color="auto" w:fill="D9D9D6"/>
          </w:tcPr>
          <w:p>
            <w:pPr>
              <w:spacing w:after="0" w:line="20" w:lineRule="exact"/>
              <w:rPr>
                <w:sz w:val="1"/>
                <w:szCs w:val="1"/>
                <w:color w:val="auto"/>
              </w:rPr>
            </w:pPr>
          </w:p>
        </w:tc>
        <w:tc>
          <w:tcPr>
            <w:tcW w:w="1140" w:type="dxa"/>
            <w:vAlign w:val="bottom"/>
            <w:tcBorders>
              <w:right w:val="single" w:sz="8" w:color="D9D9D6"/>
            </w:tcBorders>
            <w:gridSpan w:val="2"/>
            <w:vMerge w:val="restart"/>
            <w:shd w:val="clear" w:color="auto" w:fill="D9D9D6"/>
          </w:tcPr>
          <w:p>
            <w:pPr>
              <w:jc w:val="right"/>
              <w:spacing w:after="0" w:line="210" w:lineRule="exact"/>
              <w:rPr>
                <w:sz w:val="20"/>
                <w:szCs w:val="20"/>
                <w:color w:val="auto"/>
              </w:rPr>
            </w:pPr>
            <w:r>
              <w:rPr>
                <w:rFonts w:ascii="Arial" w:cs="Arial" w:eastAsia="Arial" w:hAnsi="Arial"/>
                <w:sz w:val="14"/>
                <w:szCs w:val="14"/>
                <w:color w:val="auto"/>
              </w:rPr>
              <w:t xml:space="preserve">2018 </w:t>
            </w:r>
            <w:r>
              <w:rPr>
                <w:rFonts w:ascii="Arial" w:cs="Arial" w:eastAsia="Arial" w:hAnsi="Arial"/>
                <w:sz w:val="23"/>
                <w:szCs w:val="23"/>
                <w:color w:val="auto"/>
                <w:vertAlign w:val="superscript"/>
              </w:rPr>
              <w:t>5</w:t>
            </w:r>
          </w:p>
        </w:tc>
        <w:tc>
          <w:tcPr>
            <w:tcW w:w="320" w:type="dxa"/>
            <w:vAlign w:val="bottom"/>
            <w:shd w:val="clear" w:color="auto" w:fill="D9D9D6"/>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460" w:type="dxa"/>
            <w:vAlign w:val="bottom"/>
            <w:shd w:val="clear" w:color="auto" w:fill="D9D9D6"/>
          </w:tcPr>
          <w:p>
            <w:pPr>
              <w:spacing w:after="0" w:line="20" w:lineRule="exact"/>
              <w:rPr>
                <w:sz w:val="1"/>
                <w:szCs w:val="1"/>
                <w:color w:val="auto"/>
              </w:rPr>
            </w:pPr>
          </w:p>
        </w:tc>
        <w:tc>
          <w:tcPr>
            <w:tcW w:w="180" w:type="dxa"/>
            <w:vAlign w:val="bottom"/>
            <w:tcBorders>
              <w:right w:val="single" w:sz="8" w:color="54585A"/>
            </w:tcBorders>
            <w:shd w:val="clear" w:color="auto" w:fill="D9D9D6"/>
          </w:tcPr>
          <w:p>
            <w:pPr>
              <w:spacing w:after="0" w:line="20" w:lineRule="exact"/>
              <w:rPr>
                <w:sz w:val="1"/>
                <w:szCs w:val="1"/>
                <w:color w:val="auto"/>
              </w:rPr>
            </w:pPr>
          </w:p>
        </w:tc>
        <w:tc>
          <w:tcPr>
            <w:tcW w:w="1520" w:type="dxa"/>
            <w:vAlign w:val="bottom"/>
            <w:gridSpan w:val="3"/>
            <w:vMerge w:val="restart"/>
            <w:shd w:val="clear" w:color="auto" w:fill="D9D9D6"/>
          </w:tcPr>
          <w:p>
            <w:pPr>
              <w:jc w:val="right"/>
              <w:ind w:right="280"/>
              <w:spacing w:after="0" w:line="210" w:lineRule="exact"/>
              <w:rPr>
                <w:sz w:val="20"/>
                <w:szCs w:val="20"/>
                <w:color w:val="auto"/>
              </w:rPr>
            </w:pPr>
            <w:r>
              <w:rPr>
                <w:rFonts w:ascii="Arial" w:cs="Arial" w:eastAsia="Arial" w:hAnsi="Arial"/>
                <w:sz w:val="14"/>
                <w:szCs w:val="14"/>
                <w:color w:val="auto"/>
              </w:rPr>
              <w:t xml:space="preserve">2018 </w:t>
            </w:r>
            <w:r>
              <w:rPr>
                <w:rFonts w:ascii="Arial" w:cs="Arial" w:eastAsia="Arial" w:hAnsi="Arial"/>
                <w:sz w:val="23"/>
                <w:szCs w:val="23"/>
                <w:color w:val="auto"/>
                <w:vertAlign w:val="superscript"/>
              </w:rPr>
              <w:t>5</w:t>
            </w: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780" w:type="dxa"/>
            <w:vAlign w:val="bottom"/>
            <w:shd w:val="clear" w:color="auto" w:fill="D9D9D6"/>
          </w:tcPr>
          <w:p>
            <w:pPr>
              <w:spacing w:after="0" w:line="20" w:lineRule="exact"/>
              <w:rPr>
                <w:sz w:val="1"/>
                <w:szCs w:val="1"/>
                <w:color w:val="auto"/>
              </w:rPr>
            </w:pPr>
          </w:p>
        </w:tc>
        <w:tc>
          <w:tcPr>
            <w:tcW w:w="460" w:type="dxa"/>
            <w:vAlign w:val="bottom"/>
            <w:shd w:val="clear" w:color="auto" w:fill="D9D9D6"/>
          </w:tcPr>
          <w:p>
            <w:pPr>
              <w:spacing w:after="0" w:line="20" w:lineRule="exact"/>
              <w:rPr>
                <w:sz w:val="1"/>
                <w:szCs w:val="1"/>
                <w:color w:val="auto"/>
              </w:rPr>
            </w:pPr>
          </w:p>
        </w:tc>
        <w:tc>
          <w:tcPr>
            <w:tcW w:w="6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D9D9D6"/>
          </w:tcPr>
          <w:p>
            <w:pPr>
              <w:spacing w:after="0"/>
              <w:rPr>
                <w:sz w:val="18"/>
                <w:szCs w:val="18"/>
                <w:color w:val="auto"/>
              </w:rPr>
            </w:pPr>
          </w:p>
        </w:tc>
        <w:tc>
          <w:tcPr>
            <w:tcW w:w="120" w:type="dxa"/>
            <w:vAlign w:val="bottom"/>
            <w:shd w:val="clear" w:color="auto" w:fill="D9D9D6"/>
          </w:tcPr>
          <w:p>
            <w:pPr>
              <w:spacing w:after="0"/>
              <w:rPr>
                <w:sz w:val="18"/>
                <w:szCs w:val="18"/>
                <w:color w:val="auto"/>
              </w:rPr>
            </w:pPr>
          </w:p>
        </w:tc>
        <w:tc>
          <w:tcPr>
            <w:tcW w:w="1140" w:type="dxa"/>
            <w:vAlign w:val="bottom"/>
            <w:tcBorders>
              <w:right w:val="single" w:sz="8" w:color="D9D9D6"/>
            </w:tcBorders>
            <w:gridSpan w:val="2"/>
            <w:vMerge w:val="continue"/>
            <w:shd w:val="clear" w:color="auto" w:fill="D9D9D6"/>
          </w:tcPr>
          <w:p>
            <w:pPr>
              <w:spacing w:after="0"/>
              <w:rPr>
                <w:sz w:val="18"/>
                <w:szCs w:val="18"/>
                <w:color w:val="auto"/>
              </w:rPr>
            </w:pPr>
          </w:p>
        </w:tc>
        <w:tc>
          <w:tcPr>
            <w:tcW w:w="320" w:type="dxa"/>
            <w:vAlign w:val="bottom"/>
            <w:shd w:val="clear" w:color="auto" w:fill="D9D9D6"/>
          </w:tcPr>
          <w:p>
            <w:pPr>
              <w:spacing w:after="0"/>
              <w:rPr>
                <w:sz w:val="18"/>
                <w:szCs w:val="18"/>
                <w:color w:val="auto"/>
              </w:rPr>
            </w:pPr>
          </w:p>
        </w:tc>
        <w:tc>
          <w:tcPr>
            <w:tcW w:w="1080" w:type="dxa"/>
            <w:vAlign w:val="bottom"/>
            <w:gridSpan w:val="4"/>
            <w:shd w:val="clear" w:color="auto" w:fill="D9D9D6"/>
          </w:tcPr>
          <w:p>
            <w:pPr>
              <w:jc w:val="right"/>
              <w:ind w:right="180"/>
              <w:spacing w:after="0"/>
              <w:rPr>
                <w:sz w:val="20"/>
                <w:szCs w:val="20"/>
                <w:color w:val="auto"/>
              </w:rPr>
            </w:pPr>
            <w:r>
              <w:rPr>
                <w:rFonts w:ascii="Arial" w:cs="Arial" w:eastAsia="Arial" w:hAnsi="Arial"/>
                <w:sz w:val="14"/>
                <w:szCs w:val="14"/>
                <w:color w:val="auto"/>
              </w:rPr>
              <w:t>2019</w:t>
            </w:r>
          </w:p>
        </w:tc>
        <w:tc>
          <w:tcPr>
            <w:tcW w:w="620" w:type="dxa"/>
            <w:vAlign w:val="bottom"/>
            <w:shd w:val="clear" w:color="auto" w:fill="D9D9D6"/>
          </w:tcPr>
          <w:p>
            <w:pPr>
              <w:spacing w:after="0"/>
              <w:rPr>
                <w:sz w:val="18"/>
                <w:szCs w:val="18"/>
                <w:color w:val="auto"/>
              </w:rPr>
            </w:pPr>
          </w:p>
        </w:tc>
        <w:tc>
          <w:tcPr>
            <w:tcW w:w="640" w:type="dxa"/>
            <w:vAlign w:val="bottom"/>
            <w:tcBorders>
              <w:right w:val="single" w:sz="8" w:color="54585A"/>
            </w:tcBorders>
            <w:gridSpan w:val="2"/>
            <w:shd w:val="clear" w:color="auto" w:fill="D9D9D6"/>
          </w:tcPr>
          <w:p>
            <w:pPr>
              <w:jc w:val="right"/>
              <w:ind w:right="180"/>
              <w:spacing w:after="0"/>
              <w:rPr>
                <w:sz w:val="20"/>
                <w:szCs w:val="20"/>
                <w:color w:val="auto"/>
              </w:rPr>
            </w:pPr>
            <w:r>
              <w:rPr>
                <w:rFonts w:ascii="Arial" w:cs="Arial" w:eastAsia="Arial" w:hAnsi="Arial"/>
                <w:sz w:val="14"/>
                <w:szCs w:val="14"/>
                <w:color w:val="auto"/>
                <w:w w:val="97"/>
              </w:rPr>
              <w:t>Growth</w:t>
            </w:r>
          </w:p>
        </w:tc>
        <w:tc>
          <w:tcPr>
            <w:tcW w:w="1520" w:type="dxa"/>
            <w:vAlign w:val="bottom"/>
            <w:gridSpan w:val="3"/>
            <w:vMerge w:val="continue"/>
            <w:shd w:val="clear" w:color="auto" w:fill="D9D9D6"/>
          </w:tcPr>
          <w:p>
            <w:pPr>
              <w:spacing w:after="0"/>
              <w:rPr>
                <w:sz w:val="18"/>
                <w:szCs w:val="18"/>
                <w:color w:val="auto"/>
              </w:rPr>
            </w:pPr>
          </w:p>
        </w:tc>
        <w:tc>
          <w:tcPr>
            <w:tcW w:w="1680" w:type="dxa"/>
            <w:vAlign w:val="bottom"/>
            <w:gridSpan w:val="4"/>
            <w:shd w:val="clear" w:color="auto" w:fill="D9D9D6"/>
          </w:tcPr>
          <w:p>
            <w:pPr>
              <w:jc w:val="right"/>
              <w:ind w:right="780"/>
              <w:spacing w:after="0"/>
              <w:rPr>
                <w:sz w:val="20"/>
                <w:szCs w:val="20"/>
                <w:color w:val="auto"/>
              </w:rPr>
            </w:pPr>
            <w:r>
              <w:rPr>
                <w:rFonts w:ascii="Arial" w:cs="Arial" w:eastAsia="Arial" w:hAnsi="Arial"/>
                <w:sz w:val="14"/>
                <w:szCs w:val="14"/>
                <w:color w:val="auto"/>
              </w:rPr>
              <w:t>2019</w:t>
            </w:r>
          </w:p>
        </w:tc>
        <w:tc>
          <w:tcPr>
            <w:tcW w:w="5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w w:val="97"/>
              </w:rPr>
              <w:t>Growth</w:t>
            </w:r>
          </w:p>
        </w:tc>
        <w:tc>
          <w:tcPr>
            <w:tcW w:w="0" w:type="dxa"/>
            <w:vAlign w:val="bottom"/>
          </w:tcPr>
          <w:p>
            <w:pPr>
              <w:spacing w:after="0"/>
              <w:rPr>
                <w:sz w:val="1"/>
                <w:szCs w:val="1"/>
                <w:color w:val="auto"/>
              </w:rPr>
            </w:pPr>
          </w:p>
        </w:tc>
      </w:tr>
      <w:tr>
        <w:trPr>
          <w:trHeight w:val="20"/>
        </w:trPr>
        <w:tc>
          <w:tcPr>
            <w:tcW w:w="3780" w:type="dxa"/>
            <w:vAlign w:val="bottom"/>
            <w:tcBorders>
              <w:top w:val="single" w:sz="8" w:color="D9D9D6"/>
            </w:tcBorders>
            <w:shd w:val="clear" w:color="auto" w:fill="D9D9D6"/>
          </w:tcPr>
          <w:p>
            <w:pPr>
              <w:spacing w:after="0" w:line="20" w:lineRule="exact"/>
              <w:rPr>
                <w:sz w:val="1"/>
                <w:szCs w:val="1"/>
                <w:color w:val="auto"/>
              </w:rPr>
            </w:pPr>
          </w:p>
        </w:tc>
        <w:tc>
          <w:tcPr>
            <w:tcW w:w="120" w:type="dxa"/>
            <w:vAlign w:val="bottom"/>
            <w:tcBorders>
              <w:top w:val="single" w:sz="8" w:color="D9D9D6"/>
            </w:tcBorders>
            <w:shd w:val="clear" w:color="auto" w:fill="D9D9D6"/>
          </w:tcPr>
          <w:p>
            <w:pPr>
              <w:spacing w:after="0" w:line="20" w:lineRule="exact"/>
              <w:rPr>
                <w:sz w:val="1"/>
                <w:szCs w:val="1"/>
                <w:color w:val="auto"/>
              </w:rPr>
            </w:pPr>
          </w:p>
        </w:tc>
        <w:tc>
          <w:tcPr>
            <w:tcW w:w="720" w:type="dxa"/>
            <w:vAlign w:val="bottom"/>
            <w:tcBorders>
              <w:top w:val="single" w:sz="8" w:color="D9D9D6"/>
            </w:tcBorders>
            <w:shd w:val="clear" w:color="auto" w:fill="D9D9D6"/>
          </w:tcPr>
          <w:p>
            <w:pPr>
              <w:spacing w:after="0" w:line="20" w:lineRule="exact"/>
              <w:rPr>
                <w:sz w:val="1"/>
                <w:szCs w:val="1"/>
                <w:color w:val="auto"/>
              </w:rPr>
            </w:pPr>
          </w:p>
        </w:tc>
        <w:tc>
          <w:tcPr>
            <w:tcW w:w="42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320" w:type="dxa"/>
            <w:vAlign w:val="bottom"/>
            <w:tcBorders>
              <w:top w:val="single" w:sz="8" w:color="D9D9D6"/>
            </w:tcBorders>
            <w:shd w:val="clear" w:color="auto" w:fill="D9D9D6"/>
          </w:tcPr>
          <w:p>
            <w:pPr>
              <w:spacing w:after="0" w:line="20" w:lineRule="exact"/>
              <w:rPr>
                <w:sz w:val="1"/>
                <w:szCs w:val="1"/>
                <w:color w:val="auto"/>
              </w:rPr>
            </w:pPr>
          </w:p>
        </w:tc>
        <w:tc>
          <w:tcPr>
            <w:tcW w:w="58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auto"/>
            </w:tcBorders>
            <w:shd w:val="clear" w:color="auto" w:fill="D9D9D6"/>
          </w:tcPr>
          <w:p>
            <w:pPr>
              <w:spacing w:after="0" w:line="20" w:lineRule="exact"/>
              <w:rPr>
                <w:sz w:val="1"/>
                <w:szCs w:val="1"/>
                <w:color w:val="auto"/>
              </w:rPr>
            </w:pPr>
          </w:p>
        </w:tc>
        <w:tc>
          <w:tcPr>
            <w:tcW w:w="140" w:type="dxa"/>
            <w:vAlign w:val="bottom"/>
            <w:tcBorders>
              <w:top w:val="single" w:sz="8" w:color="auto"/>
            </w:tcBorders>
            <w:shd w:val="clear" w:color="auto" w:fill="D9D9D6"/>
          </w:tcPr>
          <w:p>
            <w:pPr>
              <w:spacing w:after="0" w:line="20" w:lineRule="exact"/>
              <w:rPr>
                <w:sz w:val="1"/>
                <w:szCs w:val="1"/>
                <w:color w:val="auto"/>
              </w:rPr>
            </w:pPr>
          </w:p>
        </w:tc>
        <w:tc>
          <w:tcPr>
            <w:tcW w:w="180" w:type="dxa"/>
            <w:vAlign w:val="bottom"/>
            <w:tcBorders>
              <w:top w:val="single" w:sz="8" w:color="D9D9D6"/>
            </w:tcBorders>
            <w:shd w:val="clear" w:color="auto" w:fill="D9D9D6"/>
          </w:tcPr>
          <w:p>
            <w:pPr>
              <w:spacing w:after="0" w:line="20" w:lineRule="exact"/>
              <w:rPr>
                <w:sz w:val="1"/>
                <w:szCs w:val="1"/>
                <w:color w:val="auto"/>
              </w:rPr>
            </w:pPr>
          </w:p>
        </w:tc>
        <w:tc>
          <w:tcPr>
            <w:tcW w:w="620" w:type="dxa"/>
            <w:vAlign w:val="bottom"/>
            <w:tcBorders>
              <w:top w:val="single" w:sz="8" w:color="D9D9D6"/>
            </w:tcBorders>
            <w:shd w:val="clear" w:color="auto" w:fill="D9D9D6"/>
          </w:tcPr>
          <w:p>
            <w:pPr>
              <w:spacing w:after="0" w:line="20" w:lineRule="exact"/>
              <w:rPr>
                <w:sz w:val="1"/>
                <w:szCs w:val="1"/>
                <w:color w:val="auto"/>
              </w:rPr>
            </w:pPr>
          </w:p>
        </w:tc>
        <w:tc>
          <w:tcPr>
            <w:tcW w:w="460" w:type="dxa"/>
            <w:vAlign w:val="bottom"/>
            <w:tcBorders>
              <w:top w:val="single" w:sz="8" w:color="auto"/>
            </w:tcBorders>
            <w:shd w:val="clear" w:color="auto" w:fill="D9D9D6"/>
          </w:tcPr>
          <w:p>
            <w:pPr>
              <w:spacing w:after="0" w:line="20" w:lineRule="exact"/>
              <w:rPr>
                <w:sz w:val="1"/>
                <w:szCs w:val="1"/>
                <w:color w:val="auto"/>
              </w:rPr>
            </w:pPr>
          </w:p>
        </w:tc>
        <w:tc>
          <w:tcPr>
            <w:tcW w:w="180" w:type="dxa"/>
            <w:vAlign w:val="bottom"/>
            <w:tcBorders>
              <w:top w:val="single" w:sz="8" w:color="D9D9D6"/>
              <w:right w:val="single" w:sz="8" w:color="54585A"/>
            </w:tcBorders>
            <w:shd w:val="clear" w:color="auto" w:fill="D9D9D6"/>
          </w:tcPr>
          <w:p>
            <w:pPr>
              <w:spacing w:after="0" w:line="20" w:lineRule="exact"/>
              <w:rPr>
                <w:sz w:val="1"/>
                <w:szCs w:val="1"/>
                <w:color w:val="auto"/>
              </w:rPr>
            </w:pPr>
          </w:p>
        </w:tc>
        <w:tc>
          <w:tcPr>
            <w:tcW w:w="800" w:type="dxa"/>
            <w:vAlign w:val="bottom"/>
            <w:tcBorders>
              <w:top w:val="single" w:sz="8" w:color="D9D9D6"/>
            </w:tcBorders>
            <w:shd w:val="clear" w:color="auto" w:fill="D9D9D6"/>
          </w:tcPr>
          <w:p>
            <w:pPr>
              <w:spacing w:after="0" w:line="20" w:lineRule="exact"/>
              <w:rPr>
                <w:sz w:val="1"/>
                <w:szCs w:val="1"/>
                <w:color w:val="auto"/>
              </w:rPr>
            </w:pPr>
          </w:p>
        </w:tc>
        <w:tc>
          <w:tcPr>
            <w:tcW w:w="360" w:type="dxa"/>
            <w:vAlign w:val="bottom"/>
            <w:tcBorders>
              <w:top w:val="single" w:sz="8" w:color="D9D9D6"/>
            </w:tcBorders>
            <w:shd w:val="clear" w:color="auto" w:fill="000000"/>
          </w:tcPr>
          <w:p>
            <w:pPr>
              <w:spacing w:after="0" w:line="20" w:lineRule="exact"/>
              <w:rPr>
                <w:sz w:val="1"/>
                <w:szCs w:val="1"/>
                <w:color w:val="auto"/>
              </w:rPr>
            </w:pPr>
          </w:p>
        </w:tc>
        <w:tc>
          <w:tcPr>
            <w:tcW w:w="360" w:type="dxa"/>
            <w:vAlign w:val="bottom"/>
            <w:tcBorders>
              <w:top w:val="single" w:sz="8" w:color="D9D9D6"/>
            </w:tcBorders>
            <w:shd w:val="clear" w:color="auto" w:fill="D9D9D6"/>
          </w:tcPr>
          <w:p>
            <w:pPr>
              <w:spacing w:after="0" w:line="20" w:lineRule="exact"/>
              <w:rPr>
                <w:sz w:val="1"/>
                <w:szCs w:val="1"/>
                <w:color w:val="auto"/>
              </w:rPr>
            </w:pPr>
          </w:p>
        </w:tc>
        <w:tc>
          <w:tcPr>
            <w:tcW w:w="580" w:type="dxa"/>
            <w:vAlign w:val="bottom"/>
            <w:tcBorders>
              <w:top w:val="single" w:sz="8" w:color="D9D9D6"/>
            </w:tcBorders>
            <w:shd w:val="clear" w:color="auto" w:fill="D9D9D6"/>
          </w:tcPr>
          <w:p>
            <w:pPr>
              <w:spacing w:after="0" w:line="20" w:lineRule="exact"/>
              <w:rPr>
                <w:sz w:val="1"/>
                <w:szCs w:val="1"/>
                <w:color w:val="auto"/>
              </w:rPr>
            </w:pPr>
          </w:p>
        </w:tc>
        <w:tc>
          <w:tcPr>
            <w:tcW w:w="200" w:type="dxa"/>
            <w:vAlign w:val="bottom"/>
            <w:tcBorders>
              <w:top w:val="single" w:sz="8" w:color="auto"/>
            </w:tcBorders>
            <w:shd w:val="clear" w:color="auto" w:fill="D9D9D6"/>
          </w:tcPr>
          <w:p>
            <w:pPr>
              <w:spacing w:after="0" w:line="20" w:lineRule="exact"/>
              <w:rPr>
                <w:sz w:val="1"/>
                <w:szCs w:val="1"/>
                <w:color w:val="auto"/>
              </w:rPr>
            </w:pPr>
          </w:p>
        </w:tc>
        <w:tc>
          <w:tcPr>
            <w:tcW w:w="120" w:type="dxa"/>
            <w:vAlign w:val="bottom"/>
            <w:tcBorders>
              <w:top w:val="single" w:sz="8" w:color="auto"/>
            </w:tcBorders>
            <w:shd w:val="clear" w:color="auto" w:fill="D9D9D6"/>
          </w:tcPr>
          <w:p>
            <w:pPr>
              <w:spacing w:after="0" w:line="20" w:lineRule="exact"/>
              <w:rPr>
                <w:sz w:val="1"/>
                <w:szCs w:val="1"/>
                <w:color w:val="auto"/>
              </w:rPr>
            </w:pPr>
          </w:p>
        </w:tc>
        <w:tc>
          <w:tcPr>
            <w:tcW w:w="780" w:type="dxa"/>
            <w:vAlign w:val="bottom"/>
            <w:tcBorders>
              <w:top w:val="single" w:sz="8" w:color="D9D9D6"/>
            </w:tcBorders>
            <w:shd w:val="clear" w:color="auto" w:fill="D9D9D6"/>
          </w:tcPr>
          <w:p>
            <w:pPr>
              <w:spacing w:after="0" w:line="20" w:lineRule="exact"/>
              <w:rPr>
                <w:sz w:val="1"/>
                <w:szCs w:val="1"/>
                <w:color w:val="auto"/>
              </w:rPr>
            </w:pPr>
          </w:p>
        </w:tc>
        <w:tc>
          <w:tcPr>
            <w:tcW w:w="460" w:type="dxa"/>
            <w:vAlign w:val="bottom"/>
            <w:tcBorders>
              <w:top w:val="single" w:sz="8" w:color="auto"/>
            </w:tcBorders>
            <w:shd w:val="clear" w:color="auto" w:fill="D9D9D6"/>
          </w:tcPr>
          <w:p>
            <w:pPr>
              <w:spacing w:after="0" w:line="20" w:lineRule="exact"/>
              <w:rPr>
                <w:sz w:val="1"/>
                <w:szCs w:val="1"/>
                <w:color w:val="auto"/>
              </w:rPr>
            </w:pPr>
          </w:p>
        </w:tc>
        <w:tc>
          <w:tcPr>
            <w:tcW w:w="6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3780" w:type="dxa"/>
            <w:vAlign w:val="bottom"/>
            <w:shd w:val="clear" w:color="auto" w:fill="D9D9D6"/>
          </w:tcPr>
          <w:p>
            <w:pPr>
              <w:ind w:left="6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D9D9D6"/>
          </w:tcPr>
          <w:p>
            <w:pPr>
              <w:spacing w:after="0"/>
              <w:rPr>
                <w:sz w:val="24"/>
                <w:szCs w:val="24"/>
                <w:color w:val="auto"/>
              </w:rPr>
            </w:pPr>
          </w:p>
        </w:tc>
        <w:tc>
          <w:tcPr>
            <w:tcW w:w="11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$21,735</w:t>
            </w:r>
          </w:p>
        </w:tc>
        <w:tc>
          <w:tcPr>
            <w:tcW w:w="1400" w:type="dxa"/>
            <w:vAlign w:val="bottom"/>
            <w:gridSpan w:val="5"/>
            <w:shd w:val="clear" w:color="auto" w:fill="D9D9D6"/>
          </w:tcPr>
          <w:p>
            <w:pPr>
              <w:jc w:val="right"/>
              <w:ind w:right="120"/>
              <w:spacing w:after="0"/>
              <w:rPr>
                <w:sz w:val="20"/>
                <w:szCs w:val="20"/>
                <w:color w:val="auto"/>
              </w:rPr>
            </w:pPr>
            <w:r>
              <w:rPr>
                <w:rFonts w:ascii="Arial" w:cs="Arial" w:eastAsia="Arial" w:hAnsi="Arial"/>
                <w:sz w:val="14"/>
                <w:szCs w:val="14"/>
                <w:color w:val="auto"/>
              </w:rPr>
              <w:t>$26,858</w:t>
            </w:r>
          </w:p>
        </w:tc>
        <w:tc>
          <w:tcPr>
            <w:tcW w:w="1260" w:type="dxa"/>
            <w:vAlign w:val="bottom"/>
            <w:tcBorders>
              <w:right w:val="single" w:sz="8" w:color="54585A"/>
            </w:tcBorders>
            <w:gridSpan w:val="3"/>
            <w:shd w:val="clear" w:color="auto" w:fill="D9D9D6"/>
          </w:tcPr>
          <w:p>
            <w:pPr>
              <w:jc w:val="right"/>
              <w:ind w:right="180"/>
              <w:spacing w:after="0"/>
              <w:rPr>
                <w:sz w:val="20"/>
                <w:szCs w:val="20"/>
                <w:color w:val="auto"/>
              </w:rPr>
            </w:pPr>
            <w:r>
              <w:rPr>
                <w:rFonts w:ascii="Arial" w:cs="Arial" w:eastAsia="Arial" w:hAnsi="Arial"/>
                <w:sz w:val="14"/>
                <w:szCs w:val="14"/>
                <w:color w:val="auto"/>
              </w:rPr>
              <w:t>23.6%</w:t>
            </w:r>
          </w:p>
        </w:tc>
        <w:tc>
          <w:tcPr>
            <w:tcW w:w="1520" w:type="dxa"/>
            <w:vAlign w:val="bottom"/>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$44,526</w:t>
            </w:r>
          </w:p>
        </w:tc>
        <w:tc>
          <w:tcPr>
            <w:tcW w:w="1680" w:type="dxa"/>
            <w:vAlign w:val="bottom"/>
            <w:gridSpan w:val="4"/>
            <w:shd w:val="clear" w:color="auto" w:fill="D9D9D6"/>
          </w:tcPr>
          <w:p>
            <w:pPr>
              <w:jc w:val="right"/>
              <w:ind w:right="720"/>
              <w:spacing w:after="0"/>
              <w:rPr>
                <w:sz w:val="20"/>
                <w:szCs w:val="20"/>
                <w:color w:val="auto"/>
              </w:rPr>
            </w:pPr>
            <w:r>
              <w:rPr>
                <w:rFonts w:ascii="Arial" w:cs="Arial" w:eastAsia="Arial" w:hAnsi="Arial"/>
                <w:sz w:val="14"/>
                <w:szCs w:val="14"/>
                <w:color w:val="auto"/>
              </w:rPr>
              <w:t>$53,717</w:t>
            </w: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16"/>
        </w:trPr>
        <w:tc>
          <w:tcPr>
            <w:tcW w:w="3780" w:type="dxa"/>
            <w:vAlign w:val="bottom"/>
            <w:shd w:val="clear" w:color="auto" w:fill="D9D9D6"/>
          </w:tcPr>
          <w:p>
            <w:pPr>
              <w:ind w:left="60"/>
              <w:spacing w:after="0"/>
              <w:rPr>
                <w:sz w:val="20"/>
                <w:szCs w:val="20"/>
                <w:color w:val="auto"/>
              </w:rPr>
            </w:pPr>
            <w:r>
              <w:rPr>
                <w:rFonts w:ascii="Arial" w:cs="Arial" w:eastAsia="Arial" w:hAnsi="Arial"/>
                <w:sz w:val="14"/>
                <w:szCs w:val="14"/>
                <w:color w:val="auto"/>
              </w:rPr>
              <w:t>Net Income Attributable to Comcast</w:t>
            </w:r>
          </w:p>
        </w:tc>
        <w:tc>
          <w:tcPr>
            <w:tcW w:w="120" w:type="dxa"/>
            <w:vAlign w:val="bottom"/>
            <w:shd w:val="clear" w:color="auto" w:fill="D9D9D6"/>
          </w:tcPr>
          <w:p>
            <w:pPr>
              <w:spacing w:after="0"/>
              <w:rPr>
                <w:sz w:val="18"/>
                <w:szCs w:val="18"/>
                <w:color w:val="auto"/>
              </w:rPr>
            </w:pPr>
          </w:p>
        </w:tc>
        <w:tc>
          <w:tcPr>
            <w:tcW w:w="11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$3,216</w:t>
            </w:r>
          </w:p>
        </w:tc>
        <w:tc>
          <w:tcPr>
            <w:tcW w:w="1400" w:type="dxa"/>
            <w:vAlign w:val="bottom"/>
            <w:gridSpan w:val="5"/>
            <w:shd w:val="clear" w:color="auto" w:fill="D9D9D6"/>
          </w:tcPr>
          <w:p>
            <w:pPr>
              <w:jc w:val="right"/>
              <w:ind w:right="120"/>
              <w:spacing w:after="0"/>
              <w:rPr>
                <w:sz w:val="20"/>
                <w:szCs w:val="20"/>
                <w:color w:val="auto"/>
              </w:rPr>
            </w:pPr>
            <w:r>
              <w:rPr>
                <w:rFonts w:ascii="Arial" w:cs="Arial" w:eastAsia="Arial" w:hAnsi="Arial"/>
                <w:sz w:val="14"/>
                <w:szCs w:val="14"/>
                <w:color w:val="auto"/>
              </w:rPr>
              <w:t>$3,125</w:t>
            </w:r>
          </w:p>
        </w:tc>
        <w:tc>
          <w:tcPr>
            <w:tcW w:w="1260" w:type="dxa"/>
            <w:vAlign w:val="bottom"/>
            <w:tcBorders>
              <w:right w:val="single" w:sz="8" w:color="54585A"/>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(2.8%)</w:t>
            </w:r>
          </w:p>
        </w:tc>
        <w:tc>
          <w:tcPr>
            <w:tcW w:w="1520" w:type="dxa"/>
            <w:vAlign w:val="bottom"/>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$6,334</w:t>
            </w:r>
          </w:p>
        </w:tc>
        <w:tc>
          <w:tcPr>
            <w:tcW w:w="1680" w:type="dxa"/>
            <w:vAlign w:val="bottom"/>
            <w:gridSpan w:val="4"/>
            <w:shd w:val="clear" w:color="auto" w:fill="D9D9D6"/>
          </w:tcPr>
          <w:p>
            <w:pPr>
              <w:jc w:val="right"/>
              <w:ind w:right="720"/>
              <w:spacing w:after="0"/>
              <w:rPr>
                <w:sz w:val="20"/>
                <w:szCs w:val="20"/>
                <w:color w:val="auto"/>
              </w:rPr>
            </w:pPr>
            <w:r>
              <w:rPr>
                <w:rFonts w:ascii="Arial" w:cs="Arial" w:eastAsia="Arial" w:hAnsi="Arial"/>
                <w:sz w:val="14"/>
                <w:szCs w:val="14"/>
                <w:color w:val="auto"/>
              </w:rPr>
              <w:t>$6,678</w:t>
            </w: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82"/>
        </w:trPr>
        <w:tc>
          <w:tcPr>
            <w:tcW w:w="3780" w:type="dxa"/>
            <w:vAlign w:val="bottom"/>
            <w:shd w:val="clear" w:color="auto" w:fill="D9D9D6"/>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23"/>
                <w:szCs w:val="23"/>
                <w:color w:val="auto"/>
                <w:vertAlign w:val="superscript"/>
              </w:rPr>
              <w:t>1</w:t>
            </w:r>
          </w:p>
        </w:tc>
        <w:tc>
          <w:tcPr>
            <w:tcW w:w="120" w:type="dxa"/>
            <w:vAlign w:val="bottom"/>
            <w:shd w:val="clear" w:color="auto" w:fill="D9D9D6"/>
          </w:tcPr>
          <w:p>
            <w:pPr>
              <w:spacing w:after="0"/>
              <w:rPr>
                <w:sz w:val="24"/>
                <w:szCs w:val="24"/>
                <w:color w:val="auto"/>
              </w:rPr>
            </w:pPr>
          </w:p>
        </w:tc>
        <w:tc>
          <w:tcPr>
            <w:tcW w:w="11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$7,417</w:t>
            </w:r>
          </w:p>
        </w:tc>
        <w:tc>
          <w:tcPr>
            <w:tcW w:w="1400" w:type="dxa"/>
            <w:vAlign w:val="bottom"/>
            <w:gridSpan w:val="5"/>
            <w:shd w:val="clear" w:color="auto" w:fill="D9D9D6"/>
          </w:tcPr>
          <w:p>
            <w:pPr>
              <w:jc w:val="right"/>
              <w:ind w:right="120"/>
              <w:spacing w:after="0"/>
              <w:rPr>
                <w:sz w:val="20"/>
                <w:szCs w:val="20"/>
                <w:color w:val="auto"/>
              </w:rPr>
            </w:pPr>
            <w:r>
              <w:rPr>
                <w:rFonts w:ascii="Arial" w:cs="Arial" w:eastAsia="Arial" w:hAnsi="Arial"/>
                <w:sz w:val="14"/>
                <w:szCs w:val="14"/>
                <w:color w:val="auto"/>
              </w:rPr>
              <w:t>$8,716</w:t>
            </w:r>
          </w:p>
        </w:tc>
        <w:tc>
          <w:tcPr>
            <w:tcW w:w="1260" w:type="dxa"/>
            <w:vAlign w:val="bottom"/>
            <w:tcBorders>
              <w:right w:val="single" w:sz="8" w:color="54585A"/>
            </w:tcBorders>
            <w:gridSpan w:val="3"/>
            <w:shd w:val="clear" w:color="auto" w:fill="D9D9D6"/>
          </w:tcPr>
          <w:p>
            <w:pPr>
              <w:jc w:val="right"/>
              <w:ind w:right="180"/>
              <w:spacing w:after="0"/>
              <w:rPr>
                <w:sz w:val="20"/>
                <w:szCs w:val="20"/>
                <w:color w:val="auto"/>
              </w:rPr>
            </w:pPr>
            <w:r>
              <w:rPr>
                <w:rFonts w:ascii="Arial" w:cs="Arial" w:eastAsia="Arial" w:hAnsi="Arial"/>
                <w:sz w:val="14"/>
                <w:szCs w:val="14"/>
                <w:color w:val="auto"/>
              </w:rPr>
              <w:t>17.5%</w:t>
            </w:r>
          </w:p>
        </w:tc>
        <w:tc>
          <w:tcPr>
            <w:tcW w:w="1520" w:type="dxa"/>
            <w:vAlign w:val="bottom"/>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$14,661</w:t>
            </w:r>
          </w:p>
        </w:tc>
        <w:tc>
          <w:tcPr>
            <w:tcW w:w="1680" w:type="dxa"/>
            <w:vAlign w:val="bottom"/>
            <w:gridSpan w:val="4"/>
            <w:shd w:val="clear" w:color="auto" w:fill="D9D9D6"/>
          </w:tcPr>
          <w:p>
            <w:pPr>
              <w:jc w:val="right"/>
              <w:ind w:right="720"/>
              <w:spacing w:after="0"/>
              <w:rPr>
                <w:sz w:val="20"/>
                <w:szCs w:val="20"/>
                <w:color w:val="auto"/>
              </w:rPr>
            </w:pPr>
            <w:r>
              <w:rPr>
                <w:rFonts w:ascii="Arial" w:cs="Arial" w:eastAsia="Arial" w:hAnsi="Arial"/>
                <w:sz w:val="14"/>
                <w:szCs w:val="14"/>
                <w:color w:val="auto"/>
              </w:rPr>
              <w:t>$17,269</w:t>
            </w: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43"/>
        </w:trPr>
        <w:tc>
          <w:tcPr>
            <w:tcW w:w="3780" w:type="dxa"/>
            <w:vAlign w:val="bottom"/>
            <w:shd w:val="clear" w:color="auto" w:fill="D9D9D6"/>
          </w:tcPr>
          <w:p>
            <w:pPr>
              <w:ind w:left="60"/>
              <w:spacing w:after="0" w:line="243" w:lineRule="exact"/>
              <w:rPr>
                <w:sz w:val="20"/>
                <w:szCs w:val="20"/>
                <w:color w:val="auto"/>
              </w:rPr>
            </w:pPr>
            <w:r>
              <w:rPr>
                <w:rFonts w:ascii="Arial" w:cs="Arial" w:eastAsia="Arial" w:hAnsi="Arial"/>
                <w:sz w:val="14"/>
                <w:szCs w:val="14"/>
                <w:color w:val="auto"/>
              </w:rPr>
              <w:t>Earnings per Share</w:t>
            </w:r>
            <w:r>
              <w:rPr>
                <w:rFonts w:ascii="Arial" w:cs="Arial" w:eastAsia="Arial" w:hAnsi="Arial"/>
                <w:sz w:val="23"/>
                <w:szCs w:val="23"/>
                <w:color w:val="auto"/>
                <w:vertAlign w:val="superscript"/>
              </w:rPr>
              <w:t>2</w:t>
            </w:r>
          </w:p>
        </w:tc>
        <w:tc>
          <w:tcPr>
            <w:tcW w:w="120" w:type="dxa"/>
            <w:vAlign w:val="bottom"/>
            <w:shd w:val="clear" w:color="auto" w:fill="D9D9D6"/>
          </w:tcPr>
          <w:p>
            <w:pPr>
              <w:spacing w:after="0"/>
              <w:rPr>
                <w:sz w:val="21"/>
                <w:szCs w:val="21"/>
                <w:color w:val="auto"/>
              </w:rPr>
            </w:pPr>
          </w:p>
        </w:tc>
        <w:tc>
          <w:tcPr>
            <w:tcW w:w="11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$0.69</w:t>
            </w:r>
          </w:p>
        </w:tc>
        <w:tc>
          <w:tcPr>
            <w:tcW w:w="1400" w:type="dxa"/>
            <w:vAlign w:val="bottom"/>
            <w:gridSpan w:val="5"/>
            <w:shd w:val="clear" w:color="auto" w:fill="D9D9D6"/>
          </w:tcPr>
          <w:p>
            <w:pPr>
              <w:jc w:val="right"/>
              <w:ind w:right="120"/>
              <w:spacing w:after="0"/>
              <w:rPr>
                <w:sz w:val="20"/>
                <w:szCs w:val="20"/>
                <w:color w:val="auto"/>
              </w:rPr>
            </w:pPr>
            <w:r>
              <w:rPr>
                <w:rFonts w:ascii="Arial" w:cs="Arial" w:eastAsia="Arial" w:hAnsi="Arial"/>
                <w:sz w:val="14"/>
                <w:szCs w:val="14"/>
                <w:color w:val="auto"/>
              </w:rPr>
              <w:t>$0.68</w:t>
            </w:r>
          </w:p>
        </w:tc>
        <w:tc>
          <w:tcPr>
            <w:tcW w:w="1260" w:type="dxa"/>
            <w:vAlign w:val="bottom"/>
            <w:tcBorders>
              <w:right w:val="single" w:sz="8" w:color="54585A"/>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(1.4%)</w:t>
            </w:r>
          </w:p>
        </w:tc>
        <w:tc>
          <w:tcPr>
            <w:tcW w:w="1520" w:type="dxa"/>
            <w:vAlign w:val="bottom"/>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$1.36</w:t>
            </w:r>
          </w:p>
        </w:tc>
        <w:tc>
          <w:tcPr>
            <w:tcW w:w="1680" w:type="dxa"/>
            <w:vAlign w:val="bottom"/>
            <w:gridSpan w:val="4"/>
            <w:shd w:val="clear" w:color="auto" w:fill="D9D9D6"/>
          </w:tcPr>
          <w:p>
            <w:pPr>
              <w:jc w:val="right"/>
              <w:ind w:right="720"/>
              <w:spacing w:after="0"/>
              <w:rPr>
                <w:sz w:val="20"/>
                <w:szCs w:val="20"/>
                <w:color w:val="auto"/>
              </w:rPr>
            </w:pPr>
            <w:r>
              <w:rPr>
                <w:rFonts w:ascii="Arial" w:cs="Arial" w:eastAsia="Arial" w:hAnsi="Arial"/>
                <w:sz w:val="14"/>
                <w:szCs w:val="14"/>
                <w:color w:val="auto"/>
              </w:rPr>
              <w:t>$1.45</w:t>
            </w: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44"/>
        </w:trPr>
        <w:tc>
          <w:tcPr>
            <w:tcW w:w="3780" w:type="dxa"/>
            <w:vAlign w:val="bottom"/>
            <w:shd w:val="clear" w:color="auto" w:fill="D9D9D6"/>
          </w:tcPr>
          <w:p>
            <w:pPr>
              <w:ind w:left="60"/>
              <w:spacing w:after="0" w:line="244" w:lineRule="exact"/>
              <w:rPr>
                <w:sz w:val="20"/>
                <w:szCs w:val="20"/>
                <w:color w:val="auto"/>
              </w:rPr>
            </w:pPr>
            <w:r>
              <w:rPr>
                <w:rFonts w:ascii="Arial" w:cs="Arial" w:eastAsia="Arial" w:hAnsi="Arial"/>
                <w:sz w:val="14"/>
                <w:szCs w:val="14"/>
                <w:color w:val="auto"/>
              </w:rPr>
              <w:t>Earnings per Share, Adjusted Basis</w:t>
            </w:r>
            <w:r>
              <w:rPr>
                <w:rFonts w:ascii="Arial" w:cs="Arial" w:eastAsia="Arial" w:hAnsi="Arial"/>
                <w:sz w:val="23"/>
                <w:szCs w:val="23"/>
                <w:color w:val="auto"/>
                <w:vertAlign w:val="superscript"/>
              </w:rPr>
              <w:t>3</w:t>
            </w:r>
            <w:r>
              <w:rPr>
                <w:rFonts w:ascii="Arial" w:cs="Arial" w:eastAsia="Arial" w:hAnsi="Arial"/>
                <w:sz w:val="14"/>
                <w:szCs w:val="14"/>
                <w:color w:val="auto"/>
              </w:rPr>
              <w:t xml:space="preserve"> (see Table 5)</w:t>
            </w:r>
          </w:p>
        </w:tc>
        <w:tc>
          <w:tcPr>
            <w:tcW w:w="120" w:type="dxa"/>
            <w:vAlign w:val="bottom"/>
            <w:shd w:val="clear" w:color="auto" w:fill="D9D9D6"/>
          </w:tcPr>
          <w:p>
            <w:pPr>
              <w:spacing w:after="0"/>
              <w:rPr>
                <w:sz w:val="21"/>
                <w:szCs w:val="21"/>
                <w:color w:val="auto"/>
              </w:rPr>
            </w:pPr>
          </w:p>
        </w:tc>
        <w:tc>
          <w:tcPr>
            <w:tcW w:w="11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$0.69</w:t>
            </w:r>
          </w:p>
        </w:tc>
        <w:tc>
          <w:tcPr>
            <w:tcW w:w="1400" w:type="dxa"/>
            <w:vAlign w:val="bottom"/>
            <w:gridSpan w:val="5"/>
            <w:shd w:val="clear" w:color="auto" w:fill="D9D9D6"/>
          </w:tcPr>
          <w:p>
            <w:pPr>
              <w:jc w:val="right"/>
              <w:ind w:right="120"/>
              <w:spacing w:after="0"/>
              <w:rPr>
                <w:sz w:val="20"/>
                <w:szCs w:val="20"/>
                <w:color w:val="auto"/>
              </w:rPr>
            </w:pPr>
            <w:r>
              <w:rPr>
                <w:rFonts w:ascii="Arial" w:cs="Arial" w:eastAsia="Arial" w:hAnsi="Arial"/>
                <w:sz w:val="14"/>
                <w:szCs w:val="14"/>
                <w:color w:val="auto"/>
              </w:rPr>
              <w:t>$0.78</w:t>
            </w:r>
          </w:p>
        </w:tc>
        <w:tc>
          <w:tcPr>
            <w:tcW w:w="1260" w:type="dxa"/>
            <w:vAlign w:val="bottom"/>
            <w:tcBorders>
              <w:right w:val="single" w:sz="8" w:color="54585A"/>
            </w:tcBorders>
            <w:gridSpan w:val="3"/>
            <w:shd w:val="clear" w:color="auto" w:fill="D9D9D6"/>
          </w:tcPr>
          <w:p>
            <w:pPr>
              <w:jc w:val="right"/>
              <w:ind w:right="180"/>
              <w:spacing w:after="0"/>
              <w:rPr>
                <w:sz w:val="20"/>
                <w:szCs w:val="20"/>
                <w:color w:val="auto"/>
              </w:rPr>
            </w:pPr>
            <w:r>
              <w:rPr>
                <w:rFonts w:ascii="Arial" w:cs="Arial" w:eastAsia="Arial" w:hAnsi="Arial"/>
                <w:sz w:val="14"/>
                <w:szCs w:val="14"/>
                <w:color w:val="auto"/>
              </w:rPr>
              <w:t>13.0%</w:t>
            </w:r>
          </w:p>
        </w:tc>
        <w:tc>
          <w:tcPr>
            <w:tcW w:w="1520" w:type="dxa"/>
            <w:vAlign w:val="bottom"/>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$1.33</w:t>
            </w:r>
          </w:p>
        </w:tc>
        <w:tc>
          <w:tcPr>
            <w:tcW w:w="1680" w:type="dxa"/>
            <w:vAlign w:val="bottom"/>
            <w:gridSpan w:val="4"/>
            <w:shd w:val="clear" w:color="auto" w:fill="D9D9D6"/>
          </w:tcPr>
          <w:p>
            <w:pPr>
              <w:jc w:val="right"/>
              <w:ind w:right="720"/>
              <w:spacing w:after="0"/>
              <w:rPr>
                <w:sz w:val="20"/>
                <w:szCs w:val="20"/>
                <w:color w:val="auto"/>
              </w:rPr>
            </w:pPr>
            <w:r>
              <w:rPr>
                <w:rFonts w:ascii="Arial" w:cs="Arial" w:eastAsia="Arial" w:hAnsi="Arial"/>
                <w:sz w:val="14"/>
                <w:szCs w:val="14"/>
                <w:color w:val="auto"/>
              </w:rPr>
              <w:t>$1.54</w:t>
            </w: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77"/>
        </w:trPr>
        <w:tc>
          <w:tcPr>
            <w:tcW w:w="3780" w:type="dxa"/>
            <w:vAlign w:val="bottom"/>
            <w:shd w:val="clear" w:color="auto" w:fill="D9D9D6"/>
          </w:tcPr>
          <w:p>
            <w:pPr>
              <w:ind w:left="60"/>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shd w:val="clear" w:color="auto" w:fill="D9D9D6"/>
          </w:tcPr>
          <w:p>
            <w:pPr>
              <w:spacing w:after="0"/>
              <w:rPr>
                <w:sz w:val="15"/>
                <w:szCs w:val="15"/>
                <w:color w:val="auto"/>
              </w:rPr>
            </w:pPr>
          </w:p>
        </w:tc>
        <w:tc>
          <w:tcPr>
            <w:tcW w:w="11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$7,063</w:t>
            </w:r>
          </w:p>
        </w:tc>
        <w:tc>
          <w:tcPr>
            <w:tcW w:w="1400" w:type="dxa"/>
            <w:vAlign w:val="bottom"/>
            <w:gridSpan w:val="5"/>
            <w:shd w:val="clear" w:color="auto" w:fill="D9D9D6"/>
          </w:tcPr>
          <w:p>
            <w:pPr>
              <w:jc w:val="right"/>
              <w:ind w:right="120"/>
              <w:spacing w:after="0"/>
              <w:rPr>
                <w:sz w:val="20"/>
                <w:szCs w:val="20"/>
                <w:color w:val="auto"/>
              </w:rPr>
            </w:pPr>
            <w:r>
              <w:rPr>
                <w:rFonts w:ascii="Arial" w:cs="Arial" w:eastAsia="Arial" w:hAnsi="Arial"/>
                <w:sz w:val="14"/>
                <w:szCs w:val="14"/>
                <w:color w:val="auto"/>
              </w:rPr>
              <w:t>$7,040</w:t>
            </w:r>
          </w:p>
        </w:tc>
        <w:tc>
          <w:tcPr>
            <w:tcW w:w="1260" w:type="dxa"/>
            <w:vAlign w:val="bottom"/>
            <w:tcBorders>
              <w:right w:val="single" w:sz="8" w:color="54585A"/>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(0.3%)</w:t>
            </w:r>
          </w:p>
        </w:tc>
        <w:tc>
          <w:tcPr>
            <w:tcW w:w="1520" w:type="dxa"/>
            <w:vAlign w:val="bottom"/>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$12,537</w:t>
            </w:r>
          </w:p>
        </w:tc>
        <w:tc>
          <w:tcPr>
            <w:tcW w:w="1680" w:type="dxa"/>
            <w:vAlign w:val="bottom"/>
            <w:gridSpan w:val="4"/>
            <w:shd w:val="clear" w:color="auto" w:fill="D9D9D6"/>
          </w:tcPr>
          <w:p>
            <w:pPr>
              <w:jc w:val="right"/>
              <w:ind w:right="720"/>
              <w:spacing w:after="0"/>
              <w:rPr>
                <w:sz w:val="20"/>
                <w:szCs w:val="20"/>
                <w:color w:val="auto"/>
              </w:rPr>
            </w:pPr>
            <w:r>
              <w:rPr>
                <w:rFonts w:ascii="Arial" w:cs="Arial" w:eastAsia="Arial" w:hAnsi="Arial"/>
                <w:sz w:val="14"/>
                <w:szCs w:val="14"/>
                <w:color w:val="auto"/>
              </w:rPr>
              <w:t>$14,271</w:t>
            </w: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82"/>
        </w:trPr>
        <w:tc>
          <w:tcPr>
            <w:tcW w:w="3780" w:type="dxa"/>
            <w:vAlign w:val="bottom"/>
            <w:shd w:val="clear" w:color="auto" w:fill="D9D9D6"/>
          </w:tcPr>
          <w:p>
            <w:pPr>
              <w:ind w:left="60"/>
              <w:spacing w:after="0"/>
              <w:rPr>
                <w:sz w:val="20"/>
                <w:szCs w:val="20"/>
                <w:color w:val="auto"/>
              </w:rPr>
            </w:pPr>
            <w:r>
              <w:rPr>
                <w:rFonts w:ascii="Arial" w:cs="Arial" w:eastAsia="Arial" w:hAnsi="Arial"/>
                <w:sz w:val="14"/>
                <w:szCs w:val="14"/>
                <w:color w:val="auto"/>
              </w:rPr>
              <w:t>Free Cash Flow</w:t>
            </w:r>
            <w:r>
              <w:rPr>
                <w:rFonts w:ascii="Arial" w:cs="Arial" w:eastAsia="Arial" w:hAnsi="Arial"/>
                <w:sz w:val="23"/>
                <w:szCs w:val="23"/>
                <w:color w:val="auto"/>
                <w:vertAlign w:val="superscript"/>
              </w:rPr>
              <w:t>4</w:t>
            </w:r>
          </w:p>
        </w:tc>
        <w:tc>
          <w:tcPr>
            <w:tcW w:w="120" w:type="dxa"/>
            <w:vAlign w:val="bottom"/>
            <w:shd w:val="clear" w:color="auto" w:fill="D9D9D6"/>
          </w:tcPr>
          <w:p>
            <w:pPr>
              <w:spacing w:after="0"/>
              <w:rPr>
                <w:sz w:val="24"/>
                <w:szCs w:val="24"/>
                <w:color w:val="auto"/>
              </w:rPr>
            </w:pPr>
          </w:p>
        </w:tc>
        <w:tc>
          <w:tcPr>
            <w:tcW w:w="11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$4,302</w:t>
            </w:r>
          </w:p>
        </w:tc>
        <w:tc>
          <w:tcPr>
            <w:tcW w:w="1400" w:type="dxa"/>
            <w:vAlign w:val="bottom"/>
            <w:gridSpan w:val="5"/>
            <w:shd w:val="clear" w:color="auto" w:fill="D9D9D6"/>
          </w:tcPr>
          <w:p>
            <w:pPr>
              <w:jc w:val="right"/>
              <w:ind w:right="120"/>
              <w:spacing w:after="0"/>
              <w:rPr>
                <w:sz w:val="20"/>
                <w:szCs w:val="20"/>
                <w:color w:val="auto"/>
              </w:rPr>
            </w:pPr>
            <w:r>
              <w:rPr>
                <w:rFonts w:ascii="Arial" w:cs="Arial" w:eastAsia="Arial" w:hAnsi="Arial"/>
                <w:sz w:val="14"/>
                <w:szCs w:val="14"/>
                <w:color w:val="auto"/>
              </w:rPr>
              <w:t>$4,246</w:t>
            </w:r>
          </w:p>
        </w:tc>
        <w:tc>
          <w:tcPr>
            <w:tcW w:w="1260" w:type="dxa"/>
            <w:vAlign w:val="bottom"/>
            <w:tcBorders>
              <w:right w:val="single" w:sz="8" w:color="54585A"/>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(1.3%)</w:t>
            </w:r>
          </w:p>
        </w:tc>
        <w:tc>
          <w:tcPr>
            <w:tcW w:w="1520" w:type="dxa"/>
            <w:vAlign w:val="bottom"/>
            <w:gridSpan w:val="3"/>
            <w:shd w:val="clear" w:color="auto" w:fill="D9D9D6"/>
          </w:tcPr>
          <w:p>
            <w:pPr>
              <w:jc w:val="right"/>
              <w:ind w:right="280"/>
              <w:spacing w:after="0"/>
              <w:rPr>
                <w:sz w:val="20"/>
                <w:szCs w:val="20"/>
                <w:color w:val="auto"/>
              </w:rPr>
            </w:pPr>
            <w:r>
              <w:rPr>
                <w:rFonts w:ascii="Arial" w:cs="Arial" w:eastAsia="Arial" w:hAnsi="Arial"/>
                <w:sz w:val="14"/>
                <w:szCs w:val="14"/>
                <w:color w:val="auto"/>
              </w:rPr>
              <w:t>$7,384</w:t>
            </w:r>
          </w:p>
        </w:tc>
        <w:tc>
          <w:tcPr>
            <w:tcW w:w="1680" w:type="dxa"/>
            <w:vAlign w:val="bottom"/>
            <w:gridSpan w:val="4"/>
            <w:shd w:val="clear" w:color="auto" w:fill="D9D9D6"/>
          </w:tcPr>
          <w:p>
            <w:pPr>
              <w:jc w:val="right"/>
              <w:ind w:right="720"/>
              <w:spacing w:after="0"/>
              <w:rPr>
                <w:sz w:val="20"/>
                <w:szCs w:val="20"/>
                <w:color w:val="auto"/>
              </w:rPr>
            </w:pPr>
            <w:r>
              <w:rPr>
                <w:rFonts w:ascii="Arial" w:cs="Arial" w:eastAsia="Arial" w:hAnsi="Arial"/>
                <w:sz w:val="14"/>
                <w:szCs w:val="14"/>
                <w:color w:val="auto"/>
              </w:rPr>
              <w:t>$8,838</w:t>
            </w: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2nd Quarter 2019 Highlights:</w:t>
      </w:r>
    </w:p>
    <w:p>
      <w:pPr>
        <w:spacing w:after="0" w:line="22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Adjusted EBITDA Increased 17.5%</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Share Increased 13.0% to $0.78, on an Adjusted Basis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Free Cash Flow of $4.2 Billion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2nd Quarter 2019 Highlights:</w:t>
      </w:r>
    </w:p>
    <w:p>
      <w:pPr>
        <w:spacing w:after="0" w:line="22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Communications Adjusted EBITDA Increased 7.4% and Adjusted EBITDA per Customer Relationship Increased 3.8%</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Customer Relationships Increased 3.4% Year-Over-Year to 30.9 Million, Including Net Additions of 152,000 in the Quarter</w:t>
      </w:r>
    </w:p>
    <w:p>
      <w:pPr>
        <w:spacing w:after="0" w:line="211"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High-Speed Internet Residential Revenue Increased 9.4%; Business Services Revenue Increased 9.8%; Total High-Speed Internet Customers Increased by 209,000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2nd Quarter 2019 Highlights:</w:t>
      </w:r>
    </w:p>
    <w:p>
      <w:pPr>
        <w:spacing w:after="0" w:line="22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 Adjusted EBITDA Increased 8.1%</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Cable Networks and Broadcast Television Adjusted EBITDA Collectively Increased 9.0%</w:t>
      </w:r>
    </w:p>
    <w:p>
      <w:pPr>
        <w:spacing w:after="0" w:line="211" w:lineRule="exact"/>
        <w:rPr>
          <w:rFonts w:ascii="Arial" w:cs="Arial" w:eastAsia="Arial" w:hAnsi="Arial"/>
          <w:sz w:val="18"/>
          <w:szCs w:val="18"/>
          <w:color w:val="auto"/>
        </w:rPr>
      </w:pPr>
    </w:p>
    <w:p>
      <w:pPr>
        <w:ind w:left="660" w:right="20" w:hanging="328"/>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 Successfully Completed Another Record Upfront, Highlighted by Overall Volume Up 10% to Nearly $7 Billion and a Double-Digit Price Increase at NBC Prime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2nd Quarter 2019 Highlights:</w:t>
      </w:r>
    </w:p>
    <w:p>
      <w:pPr>
        <w:spacing w:after="0" w:line="220" w:lineRule="exact"/>
        <w:rPr>
          <w:sz w:val="20"/>
          <w:szCs w:val="20"/>
          <w:color w:val="auto"/>
        </w:rPr>
      </w:pPr>
    </w:p>
    <w:p>
      <w:pPr>
        <w:ind w:left="660" w:hanging="328"/>
        <w:spacing w:after="0" w:line="24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Sky Adjusted EBITDA Increased 13.4% on a Pro Forma Basis; Excluding the Impact of Currency, Adjusted EBITDA Increased 19.9% on a Pro Forma Basis</w:t>
      </w:r>
    </w:p>
    <w:p>
      <w:pPr>
        <w:spacing w:after="0" w:line="18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Customer Relationships Increased 4.4% Year-Over-Year to 24.0 Million, Including Net Additions of 304,000 in the Quarter, a 197,000 Improvement from the Second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comparability of our consolidated results was impacted by the fourth quarter 2018 Sky transaction. Sky’s results of operations are included in our consolidated financial statements following the acquisition date.</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second quarter of 2019 increased 23.6% to $26.9 billion.</w:t>
      </w:r>
      <w:r>
        <w:rPr>
          <w:rFonts w:ascii="Arial" w:cs="Arial" w:eastAsia="Arial" w:hAnsi="Arial"/>
          <w:sz w:val="18"/>
          <w:szCs w:val="18"/>
          <w:b w:val="1"/>
          <w:bCs w:val="1"/>
          <w:i w:val="1"/>
          <w:iCs w:val="1"/>
          <w:color w:val="auto"/>
        </w:rPr>
        <w:t xml:space="preserve"> Consolidated Net Income Attributable to Comcast </w:t>
      </w:r>
      <w:r>
        <w:rPr>
          <w:rFonts w:ascii="Arial" w:cs="Arial" w:eastAsia="Arial" w:hAnsi="Arial"/>
          <w:sz w:val="18"/>
          <w:szCs w:val="18"/>
          <w:color w:val="auto"/>
        </w:rPr>
        <w:t xml:space="preserve">decreased 2.8% to $3.1 billion. </w:t>
      </w:r>
      <w:r>
        <w:rPr>
          <w:rFonts w:ascii="Arial" w:cs="Arial" w:eastAsia="Arial" w:hAnsi="Arial"/>
          <w:sz w:val="18"/>
          <w:szCs w:val="18"/>
          <w:b w:val="1"/>
          <w:bCs w:val="1"/>
          <w:i w:val="1"/>
          <w:iCs w:val="1"/>
          <w:color w:val="auto"/>
        </w:rPr>
        <w:t>Consolidated Adjusted EBITDA</w:t>
      </w:r>
      <w:r>
        <w:rPr>
          <w:rFonts w:ascii="Arial" w:cs="Arial" w:eastAsia="Arial" w:hAnsi="Arial"/>
          <w:sz w:val="18"/>
          <w:szCs w:val="18"/>
          <w:color w:val="auto"/>
        </w:rPr>
        <w:t xml:space="preserve"> increased 17.5% to $8.7 billion.</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2019, consolidated revenue increased 20.6% to $ 53.7 billion compared to 2018. Consolidated net income attributable to Comcast increased 5.4% to $6.7 billion. Consolidated Adjusted EBITDA increased 17.8% to $17.3 billion.</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second quarter of 2019 was $0.68, a decrease of 1.4% compared to the second quarter of 2018.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basis, EPS increased 13.0% to $0.78 (see Table 5).</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2019, EPS was $1.45, a 6.6% increase compared to the prior year. On an adjusted basis, EPS increased 15.8% to $1.54 (see Table 5).</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0.6% to $2.3 billion in the second quarter of 2019. Cable Communications’ capital expenditures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9.8% to $1.6 billion. NBCUniversal’s capital expenditures increased 2.7% to $473 million. Sky had capital expenditures of $177 million.</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2019, capital expenditures increased 3.1% to $4.4 billion compared to 2018. Cable Communications' capital expenditures decreased 14.5% to $3.0 billion. NBCUniversal's capital expenditures increased 26.9% to $926 million. Sky had capital expenditures of $436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$7.0 billion in the second quarter of 2019.</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$4.2 billion (see Table 4).</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2019, net cash provided by operating activities was $14.3 billion. Free cash flow was $8.8 billion (see Table 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paid during the second quarter of 2019 totaled $954 million.</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Pro Forma Financial Results</w:t>
      </w:r>
    </w:p>
    <w:p>
      <w:pPr>
        <w:spacing w:after="0" w:line="2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 forma results are presented as if the Sky transaction occurred on January 1, 2017. The pro forma amounts are based on historical results of operations and are primarily adjusted for the allocation of purchase price and excluding costs directly related to the transaction. These amounts are not necessarily indicative of what our results would have been had we operated Sky since January 1, 2017, (see Table 7 for reconciliations of pro forma financial data).</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Consolidated Pro Forma Revenue </w:t>
      </w:r>
      <w:r>
        <w:rPr>
          <w:rFonts w:ascii="Arial" w:cs="Arial" w:eastAsia="Arial" w:hAnsi="Arial"/>
          <w:sz w:val="18"/>
          <w:szCs w:val="18"/>
          <w:color w:val="auto"/>
        </w:rPr>
        <w:t>for the second quarter of 2019 increased 0.8% to $26.9 billion.</w:t>
      </w:r>
      <w:r>
        <w:rPr>
          <w:rFonts w:ascii="Arial" w:cs="Arial" w:eastAsia="Arial" w:hAnsi="Arial"/>
          <w:sz w:val="18"/>
          <w:szCs w:val="18"/>
          <w:b w:val="1"/>
          <w:bCs w:val="1"/>
          <w:i w:val="1"/>
          <w:iCs w:val="1"/>
          <w:color w:val="auto"/>
        </w:rPr>
        <w:t xml:space="preserve"> Consolidated Pro Forma Adjusted EBITDA </w:t>
      </w:r>
      <w:r>
        <w:rPr>
          <w:rFonts w:ascii="Arial" w:cs="Arial" w:eastAsia="Arial" w:hAnsi="Arial"/>
          <w:sz w:val="18"/>
          <w:szCs w:val="18"/>
          <w:color w:val="auto"/>
        </w:rPr>
        <w:t>increased 7.6% to $8.7 billion.</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2019, consolidated pro forma revenue decreased 1.3% to $53.7 billion compared to 2018. Consolidated Pro Forma Adjusted EBITDA increased 7.0% to $17.3 billion.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shd w:val="clear" w:color="auto" w:fill="D9D9D6"/>
          </w:tcPr>
          <w:p>
            <w:pPr>
              <w:ind w:left="60"/>
              <w:spacing w:after="0"/>
              <w:rPr>
                <w:sz w:val="20"/>
                <w:szCs w:val="20"/>
                <w:color w:val="auto"/>
              </w:rPr>
            </w:pPr>
            <w:r>
              <w:rPr>
                <w:rFonts w:ascii="Arial" w:cs="Arial" w:eastAsia="Arial" w:hAnsi="Arial"/>
                <w:sz w:val="11"/>
                <w:szCs w:val="11"/>
                <w:i w:val="1"/>
                <w:iCs w:val="1"/>
                <w:color w:val="auto"/>
              </w:rPr>
              <w:t>($ in millions)</w:t>
            </w:r>
          </w:p>
        </w:tc>
        <w:tc>
          <w:tcPr>
            <w:tcW w:w="120" w:type="dxa"/>
            <w:vAlign w:val="bottom"/>
            <w:shd w:val="clear" w:color="auto" w:fill="D9D9D6"/>
          </w:tcPr>
          <w:p>
            <w:pPr>
              <w:spacing w:after="0"/>
              <w:rPr>
                <w:sz w:val="16"/>
                <w:szCs w:val="16"/>
                <w:color w:val="auto"/>
              </w:rPr>
            </w:pPr>
          </w:p>
        </w:tc>
        <w:tc>
          <w:tcPr>
            <w:tcW w:w="1360" w:type="dxa"/>
            <w:vAlign w:val="bottom"/>
            <w:gridSpan w:val="3"/>
            <w:vMerge w:val="restart"/>
            <w:shd w:val="clear" w:color="auto" w:fill="D9D9D6"/>
          </w:tcPr>
          <w:p>
            <w:pPr>
              <w:jc w:val="right"/>
              <w:ind w:right="100"/>
              <w:spacing w:after="0"/>
              <w:rPr>
                <w:sz w:val="20"/>
                <w:szCs w:val="20"/>
                <w:color w:val="auto"/>
              </w:rPr>
            </w:pPr>
            <w:r>
              <w:rPr>
                <w:rFonts w:ascii="Arial" w:cs="Arial" w:eastAsia="Arial" w:hAnsi="Arial"/>
                <w:sz w:val="14"/>
                <w:szCs w:val="14"/>
                <w:color w:val="auto"/>
              </w:rPr>
              <w:t xml:space="preserve">2018 </w:t>
            </w:r>
            <w:r>
              <w:rPr>
                <w:rFonts w:ascii="Arial" w:cs="Arial" w:eastAsia="Arial" w:hAnsi="Arial"/>
                <w:sz w:val="23"/>
                <w:szCs w:val="23"/>
                <w:color w:val="auto"/>
                <w:vertAlign w:val="superscript"/>
              </w:rPr>
              <w:t>6</w:t>
            </w:r>
          </w:p>
        </w:tc>
        <w:tc>
          <w:tcPr>
            <w:tcW w:w="1800" w:type="dxa"/>
            <w:vAlign w:val="bottom"/>
            <w:gridSpan w:val="4"/>
            <w:shd w:val="clear" w:color="auto" w:fill="D9D9D6"/>
          </w:tcPr>
          <w:p>
            <w:pPr>
              <w:ind w:left="100"/>
              <w:spacing w:after="0"/>
              <w:rPr>
                <w:sz w:val="20"/>
                <w:szCs w:val="20"/>
                <w:color w:val="auto"/>
              </w:rPr>
            </w:pPr>
            <w:r>
              <w:rPr>
                <w:rFonts w:ascii="Arial" w:cs="Arial" w:eastAsia="Arial" w:hAnsi="Arial"/>
                <w:sz w:val="14"/>
                <w:szCs w:val="14"/>
                <w:color w:val="auto"/>
              </w:rPr>
              <w:t>2nd Quarter</w:t>
            </w:r>
          </w:p>
        </w:tc>
        <w:tc>
          <w:tcPr>
            <w:tcW w:w="46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120" w:type="dxa"/>
            <w:vAlign w:val="bottom"/>
            <w:tcBorders>
              <w:right w:val="single" w:sz="8" w:color="54585A"/>
            </w:tcBorders>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82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240" w:type="dxa"/>
            <w:vAlign w:val="bottom"/>
            <w:vMerge w:val="restart"/>
            <w:shd w:val="clear" w:color="auto" w:fill="D9D9D6"/>
          </w:tcPr>
          <w:p>
            <w:pPr>
              <w:jc w:val="right"/>
              <w:ind w:right="132"/>
              <w:spacing w:after="0"/>
              <w:rPr>
                <w:sz w:val="20"/>
                <w:szCs w:val="20"/>
                <w:color w:val="auto"/>
              </w:rPr>
            </w:pPr>
            <w:r>
              <w:rPr>
                <w:rFonts w:ascii="Arial" w:cs="Arial" w:eastAsia="Arial" w:hAnsi="Arial"/>
                <w:sz w:val="10"/>
                <w:szCs w:val="10"/>
                <w:color w:val="auto"/>
                <w:w w:val="71"/>
              </w:rPr>
              <w:t>6</w:t>
            </w:r>
          </w:p>
        </w:tc>
        <w:tc>
          <w:tcPr>
            <w:tcW w:w="1680" w:type="dxa"/>
            <w:vAlign w:val="bottom"/>
            <w:gridSpan w:val="3"/>
            <w:shd w:val="clear" w:color="auto" w:fill="D9D9D6"/>
          </w:tcPr>
          <w:p>
            <w:pPr>
              <w:jc w:val="right"/>
              <w:ind w:right="900"/>
              <w:spacing w:after="0"/>
              <w:rPr>
                <w:sz w:val="20"/>
                <w:szCs w:val="20"/>
                <w:color w:val="auto"/>
              </w:rPr>
            </w:pPr>
            <w:r>
              <w:rPr>
                <w:rFonts w:ascii="Arial" w:cs="Arial" w:eastAsia="Arial" w:hAnsi="Arial"/>
                <w:sz w:val="14"/>
                <w:szCs w:val="14"/>
                <w:color w:val="auto"/>
                <w:w w:val="96"/>
              </w:rPr>
              <w:t>Year to Date</w:t>
            </w:r>
          </w:p>
        </w:tc>
        <w:tc>
          <w:tcPr>
            <w:tcW w:w="46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1360" w:type="dxa"/>
            <w:vAlign w:val="bottom"/>
            <w:gridSpan w:val="3"/>
            <w:vMerge w:val="continue"/>
            <w:shd w:val="clear" w:color="auto" w:fill="D9D9D6"/>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D9D9D6"/>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460" w:type="dxa"/>
            <w:vAlign w:val="bottom"/>
            <w:shd w:val="clear" w:color="auto" w:fill="D9D9D6"/>
          </w:tcPr>
          <w:p>
            <w:pPr>
              <w:spacing w:after="0" w:line="20" w:lineRule="exact"/>
              <w:rPr>
                <w:sz w:val="1"/>
                <w:szCs w:val="1"/>
                <w:color w:val="auto"/>
              </w:rPr>
            </w:pPr>
          </w:p>
        </w:tc>
        <w:tc>
          <w:tcPr>
            <w:tcW w:w="60" w:type="dxa"/>
            <w:vAlign w:val="bottom"/>
            <w:shd w:val="clear" w:color="auto" w:fill="D9D9D6"/>
          </w:tcPr>
          <w:p>
            <w:pPr>
              <w:spacing w:after="0" w:line="20" w:lineRule="exact"/>
              <w:rPr>
                <w:sz w:val="1"/>
                <w:szCs w:val="1"/>
                <w:color w:val="auto"/>
              </w:rPr>
            </w:pPr>
          </w:p>
        </w:tc>
        <w:tc>
          <w:tcPr>
            <w:tcW w:w="120" w:type="dxa"/>
            <w:vAlign w:val="bottom"/>
            <w:tcBorders>
              <w:right w:val="single" w:sz="8" w:color="54585A"/>
            </w:tcBorders>
            <w:shd w:val="clear" w:color="auto" w:fill="D9D9D6"/>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82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240" w:type="dxa"/>
            <w:vAlign w:val="bottom"/>
            <w:vMerge w:val="continue"/>
            <w:shd w:val="clear" w:color="auto" w:fill="D9D9D6"/>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460" w:type="dxa"/>
            <w:vAlign w:val="bottom"/>
            <w:shd w:val="clear" w:color="auto" w:fill="D9D9D6"/>
          </w:tcPr>
          <w:p>
            <w:pPr>
              <w:spacing w:after="0" w:line="20" w:lineRule="exact"/>
              <w:rPr>
                <w:sz w:val="1"/>
                <w:szCs w:val="1"/>
                <w:color w:val="auto"/>
              </w:rPr>
            </w:pPr>
          </w:p>
        </w:tc>
        <w:tc>
          <w:tcPr>
            <w:tcW w:w="6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8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1360" w:type="dxa"/>
            <w:vAlign w:val="bottom"/>
            <w:gridSpan w:val="3"/>
            <w:vMerge w:val="continue"/>
            <w:shd w:val="clear" w:color="auto" w:fill="D9D9D6"/>
          </w:tcPr>
          <w:p>
            <w:pPr>
              <w:spacing w:after="0"/>
              <w:rPr>
                <w:sz w:val="15"/>
                <w:szCs w:val="15"/>
                <w:color w:val="auto"/>
              </w:rPr>
            </w:pPr>
          </w:p>
        </w:tc>
        <w:tc>
          <w:tcPr>
            <w:tcW w:w="100" w:type="dxa"/>
            <w:vAlign w:val="bottom"/>
            <w:shd w:val="clear" w:color="auto" w:fill="D9D9D6"/>
          </w:tcPr>
          <w:p>
            <w:pPr>
              <w:spacing w:after="0"/>
              <w:rPr>
                <w:sz w:val="15"/>
                <w:szCs w:val="15"/>
                <w:color w:val="auto"/>
              </w:rPr>
            </w:pPr>
          </w:p>
        </w:tc>
        <w:tc>
          <w:tcPr>
            <w:tcW w:w="1700" w:type="dxa"/>
            <w:vAlign w:val="bottom"/>
            <w:gridSpan w:val="3"/>
            <w:shd w:val="clear" w:color="auto" w:fill="D9D9D6"/>
          </w:tcPr>
          <w:p>
            <w:pPr>
              <w:jc w:val="right"/>
              <w:ind w:right="620"/>
              <w:spacing w:after="0" w:line="142" w:lineRule="exact"/>
              <w:rPr>
                <w:sz w:val="20"/>
                <w:szCs w:val="20"/>
                <w:color w:val="auto"/>
              </w:rPr>
            </w:pPr>
            <w:r>
              <w:rPr>
                <w:rFonts w:ascii="Arial" w:cs="Arial" w:eastAsia="Arial" w:hAnsi="Arial"/>
                <w:sz w:val="14"/>
                <w:szCs w:val="14"/>
                <w:color w:val="auto"/>
              </w:rPr>
              <w:t>2019</w:t>
            </w:r>
          </w:p>
        </w:tc>
        <w:tc>
          <w:tcPr>
            <w:tcW w:w="640" w:type="dxa"/>
            <w:vAlign w:val="bottom"/>
            <w:tcBorders>
              <w:right w:val="single" w:sz="8" w:color="54585A"/>
            </w:tcBorders>
            <w:gridSpan w:val="3"/>
            <w:shd w:val="clear" w:color="auto" w:fill="D9D9D6"/>
          </w:tcPr>
          <w:p>
            <w:pPr>
              <w:spacing w:after="0" w:line="142" w:lineRule="exact"/>
              <w:rPr>
                <w:sz w:val="20"/>
                <w:szCs w:val="20"/>
                <w:color w:val="auto"/>
              </w:rPr>
            </w:pPr>
            <w:r>
              <w:rPr>
                <w:rFonts w:ascii="Arial" w:cs="Arial" w:eastAsia="Arial" w:hAnsi="Arial"/>
                <w:sz w:val="14"/>
                <w:szCs w:val="14"/>
                <w:color w:val="auto"/>
              </w:rPr>
              <w:t>Growth</w:t>
            </w:r>
          </w:p>
        </w:tc>
        <w:tc>
          <w:tcPr>
            <w:tcW w:w="1280" w:type="dxa"/>
            <w:vAlign w:val="bottom"/>
            <w:gridSpan w:val="3"/>
            <w:shd w:val="clear" w:color="auto" w:fill="D9D9D6"/>
          </w:tcPr>
          <w:p>
            <w:pPr>
              <w:jc w:val="right"/>
              <w:ind w:right="40"/>
              <w:spacing w:after="0" w:line="142" w:lineRule="exact"/>
              <w:rPr>
                <w:sz w:val="20"/>
                <w:szCs w:val="20"/>
                <w:color w:val="auto"/>
              </w:rPr>
            </w:pPr>
            <w:r>
              <w:rPr>
                <w:rFonts w:ascii="Arial" w:cs="Arial" w:eastAsia="Arial" w:hAnsi="Arial"/>
                <w:sz w:val="14"/>
                <w:szCs w:val="14"/>
                <w:color w:val="auto"/>
              </w:rPr>
              <w:t>2018</w:t>
            </w:r>
          </w:p>
        </w:tc>
        <w:tc>
          <w:tcPr>
            <w:tcW w:w="240" w:type="dxa"/>
            <w:vAlign w:val="bottom"/>
            <w:vMerge w:val="continue"/>
            <w:shd w:val="clear" w:color="auto" w:fill="D9D9D6"/>
          </w:tcPr>
          <w:p>
            <w:pPr>
              <w:spacing w:after="0"/>
              <w:rPr>
                <w:sz w:val="15"/>
                <w:szCs w:val="15"/>
                <w:color w:val="auto"/>
              </w:rPr>
            </w:pPr>
          </w:p>
        </w:tc>
        <w:tc>
          <w:tcPr>
            <w:tcW w:w="1680" w:type="dxa"/>
            <w:vAlign w:val="bottom"/>
            <w:gridSpan w:val="3"/>
            <w:shd w:val="clear" w:color="auto" w:fill="D9D9D6"/>
          </w:tcPr>
          <w:p>
            <w:pPr>
              <w:jc w:val="right"/>
              <w:ind w:right="620"/>
              <w:spacing w:after="0" w:line="142" w:lineRule="exact"/>
              <w:rPr>
                <w:sz w:val="20"/>
                <w:szCs w:val="20"/>
                <w:color w:val="auto"/>
              </w:rPr>
            </w:pPr>
            <w:r>
              <w:rPr>
                <w:rFonts w:ascii="Arial" w:cs="Arial" w:eastAsia="Arial" w:hAnsi="Arial"/>
                <w:sz w:val="14"/>
                <w:szCs w:val="14"/>
                <w:color w:val="auto"/>
              </w:rPr>
              <w:t>2019</w:t>
            </w:r>
          </w:p>
        </w:tc>
        <w:tc>
          <w:tcPr>
            <w:tcW w:w="520" w:type="dxa"/>
            <w:vAlign w:val="bottom"/>
            <w:gridSpan w:val="2"/>
            <w:shd w:val="clear" w:color="auto" w:fill="D9D9D6"/>
          </w:tcPr>
          <w:p>
            <w:pPr>
              <w:jc w:val="right"/>
              <w:ind w:right="60"/>
              <w:spacing w:after="0" w:line="142" w:lineRule="exact"/>
              <w:rPr>
                <w:sz w:val="20"/>
                <w:szCs w:val="20"/>
                <w:color w:val="auto"/>
              </w:rPr>
            </w:pPr>
            <w:r>
              <w:rPr>
                <w:rFonts w:ascii="Arial" w:cs="Arial" w:eastAsia="Arial" w:hAnsi="Arial"/>
                <w:sz w:val="14"/>
                <w:szCs w:val="14"/>
                <w:color w:val="auto"/>
                <w:w w:val="97"/>
              </w:rPr>
              <w:t>Growth</w:t>
            </w:r>
          </w:p>
        </w:tc>
        <w:tc>
          <w:tcPr>
            <w:tcW w:w="0" w:type="dxa"/>
            <w:vAlign w:val="bottom"/>
          </w:tcPr>
          <w:p>
            <w:pPr>
              <w:spacing w:after="0"/>
              <w:rPr>
                <w:sz w:val="1"/>
                <w:szCs w:val="1"/>
                <w:color w:val="auto"/>
              </w:rPr>
            </w:pPr>
          </w:p>
        </w:tc>
      </w:tr>
      <w:tr>
        <w:trPr>
          <w:trHeight w:val="203"/>
        </w:trPr>
        <w:tc>
          <w:tcPr>
            <w:tcW w:w="3780" w:type="dxa"/>
            <w:vAlign w:val="bottom"/>
            <w:tcBorders>
              <w:top w:val="single" w:sz="8" w:color="D9D9D6"/>
            </w:tcBorders>
            <w:shd w:val="clear" w:color="auto" w:fill="D9D9D6"/>
          </w:tcPr>
          <w:p>
            <w:pPr>
              <w:ind w:left="60"/>
              <w:spacing w:after="0"/>
              <w:rPr>
                <w:sz w:val="20"/>
                <w:szCs w:val="20"/>
                <w:color w:val="auto"/>
              </w:rPr>
            </w:pPr>
            <w:r>
              <w:rPr>
                <w:rFonts w:ascii="Arial" w:cs="Arial" w:eastAsia="Arial" w:hAnsi="Arial"/>
                <w:sz w:val="14"/>
                <w:szCs w:val="14"/>
                <w:b w:val="1"/>
                <w:bCs w:val="1"/>
                <w:color w:val="auto"/>
              </w:rPr>
              <w:t>Cable Communications Revenue</w:t>
            </w:r>
          </w:p>
        </w:tc>
        <w:tc>
          <w:tcPr>
            <w:tcW w:w="120" w:type="dxa"/>
            <w:vAlign w:val="bottom"/>
            <w:tcBorders>
              <w:top w:val="single" w:sz="8" w:color="D9D9D6"/>
            </w:tcBorders>
            <w:shd w:val="clear" w:color="auto" w:fill="D9D9D6"/>
          </w:tcPr>
          <w:p>
            <w:pPr>
              <w:spacing w:after="0"/>
              <w:rPr>
                <w:sz w:val="17"/>
                <w:szCs w:val="17"/>
                <w:color w:val="auto"/>
              </w:rPr>
            </w:pPr>
          </w:p>
        </w:tc>
        <w:tc>
          <w:tcPr>
            <w:tcW w:w="84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160" w:type="dxa"/>
            <w:vAlign w:val="bottom"/>
            <w:tcBorders>
              <w:top w:val="single" w:sz="8" w:color="D9D9D6"/>
            </w:tcBorders>
            <w:shd w:val="clear" w:color="auto" w:fill="D9D9D6"/>
          </w:tcPr>
          <w:p>
            <w:pPr>
              <w:spacing w:after="0"/>
              <w:rPr>
                <w:sz w:val="17"/>
                <w:szCs w:val="17"/>
                <w:color w:val="auto"/>
              </w:rPr>
            </w:pPr>
          </w:p>
        </w:tc>
        <w:tc>
          <w:tcPr>
            <w:tcW w:w="100" w:type="dxa"/>
            <w:vAlign w:val="bottom"/>
            <w:tcBorders>
              <w:top w:val="single" w:sz="8" w:color="D9D9D6"/>
            </w:tcBorders>
            <w:shd w:val="clear" w:color="auto" w:fill="D9D9D6"/>
          </w:tcPr>
          <w:p>
            <w:pPr>
              <w:spacing w:after="0"/>
              <w:rPr>
                <w:sz w:val="17"/>
                <w:szCs w:val="17"/>
                <w:color w:val="auto"/>
              </w:rPr>
            </w:pPr>
          </w:p>
        </w:tc>
        <w:tc>
          <w:tcPr>
            <w:tcW w:w="780" w:type="dxa"/>
            <w:vAlign w:val="bottom"/>
            <w:tcBorders>
              <w:top w:val="single" w:sz="8" w:color="D9D9D6"/>
              <w:right w:val="single" w:sz="8" w:color="D9D9D6"/>
            </w:tcBorders>
            <w:shd w:val="clear" w:color="auto" w:fill="D9D9D6"/>
          </w:tcPr>
          <w:p>
            <w:pPr>
              <w:spacing w:after="0"/>
              <w:rPr>
                <w:sz w:val="17"/>
                <w:szCs w:val="17"/>
                <w:color w:val="auto"/>
              </w:rPr>
            </w:pPr>
          </w:p>
        </w:tc>
        <w:tc>
          <w:tcPr>
            <w:tcW w:w="300" w:type="dxa"/>
            <w:vAlign w:val="bottom"/>
            <w:tcBorders>
              <w:top w:val="single" w:sz="8" w:color="auto"/>
            </w:tcBorders>
            <w:shd w:val="clear" w:color="auto" w:fill="D9D9D6"/>
          </w:tcPr>
          <w:p>
            <w:pPr>
              <w:spacing w:after="0"/>
              <w:rPr>
                <w:sz w:val="17"/>
                <w:szCs w:val="17"/>
                <w:color w:val="auto"/>
              </w:rPr>
            </w:pPr>
          </w:p>
        </w:tc>
        <w:tc>
          <w:tcPr>
            <w:tcW w:w="620" w:type="dxa"/>
            <w:vAlign w:val="bottom"/>
            <w:tcBorders>
              <w:top w:val="single" w:sz="8" w:color="D9D9D6"/>
            </w:tcBorders>
            <w:shd w:val="clear" w:color="auto" w:fill="D9D9D6"/>
          </w:tcPr>
          <w:p>
            <w:pPr>
              <w:spacing w:after="0"/>
              <w:rPr>
                <w:sz w:val="17"/>
                <w:szCs w:val="17"/>
                <w:color w:val="auto"/>
              </w:rPr>
            </w:pPr>
          </w:p>
        </w:tc>
        <w:tc>
          <w:tcPr>
            <w:tcW w:w="460" w:type="dxa"/>
            <w:vAlign w:val="bottom"/>
            <w:tcBorders>
              <w:top w:val="single" w:sz="8" w:color="auto"/>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right w:val="single" w:sz="8" w:color="54585A"/>
            </w:tcBorders>
            <w:shd w:val="clear" w:color="auto" w:fill="D9D9D6"/>
          </w:tcPr>
          <w:p>
            <w:pPr>
              <w:spacing w:after="0"/>
              <w:rPr>
                <w:sz w:val="17"/>
                <w:szCs w:val="17"/>
                <w:color w:val="auto"/>
              </w:rPr>
            </w:pPr>
          </w:p>
        </w:tc>
        <w:tc>
          <w:tcPr>
            <w:tcW w:w="100" w:type="dxa"/>
            <w:vAlign w:val="bottom"/>
            <w:tcBorders>
              <w:top w:val="single" w:sz="8" w:color="D9D9D6"/>
            </w:tcBorders>
            <w:shd w:val="clear" w:color="auto" w:fill="D9D9D6"/>
          </w:tcPr>
          <w:p>
            <w:pPr>
              <w:spacing w:after="0"/>
              <w:rPr>
                <w:sz w:val="17"/>
                <w:szCs w:val="17"/>
                <w:color w:val="auto"/>
              </w:rPr>
            </w:pPr>
          </w:p>
        </w:tc>
        <w:tc>
          <w:tcPr>
            <w:tcW w:w="82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240" w:type="dxa"/>
            <w:vAlign w:val="bottom"/>
            <w:tcBorders>
              <w:top w:val="single" w:sz="8" w:color="D9D9D6"/>
            </w:tcBorders>
            <w:shd w:val="clear" w:color="auto" w:fill="D9D9D6"/>
          </w:tcPr>
          <w:p>
            <w:pPr>
              <w:spacing w:after="0"/>
              <w:rPr>
                <w:sz w:val="17"/>
                <w:szCs w:val="17"/>
                <w:color w:val="auto"/>
              </w:rPr>
            </w:pPr>
          </w:p>
        </w:tc>
        <w:tc>
          <w:tcPr>
            <w:tcW w:w="780" w:type="dxa"/>
            <w:vAlign w:val="bottom"/>
            <w:tcBorders>
              <w:top w:val="single" w:sz="8" w:color="D9D9D6"/>
              <w:right w:val="single" w:sz="8" w:color="D9D9D6"/>
            </w:tcBorders>
            <w:shd w:val="clear" w:color="auto" w:fill="D9D9D6"/>
          </w:tcPr>
          <w:p>
            <w:pPr>
              <w:spacing w:after="0"/>
              <w:rPr>
                <w:sz w:val="17"/>
                <w:szCs w:val="17"/>
                <w:color w:val="auto"/>
              </w:rPr>
            </w:pPr>
          </w:p>
        </w:tc>
        <w:tc>
          <w:tcPr>
            <w:tcW w:w="280" w:type="dxa"/>
            <w:vAlign w:val="bottom"/>
            <w:tcBorders>
              <w:top w:val="single" w:sz="8" w:color="auto"/>
            </w:tcBorders>
            <w:shd w:val="clear" w:color="auto" w:fill="D9D9D6"/>
          </w:tcPr>
          <w:p>
            <w:pPr>
              <w:spacing w:after="0"/>
              <w:rPr>
                <w:sz w:val="17"/>
                <w:szCs w:val="17"/>
                <w:color w:val="auto"/>
              </w:rPr>
            </w:pPr>
          </w:p>
        </w:tc>
        <w:tc>
          <w:tcPr>
            <w:tcW w:w="620" w:type="dxa"/>
            <w:vAlign w:val="bottom"/>
            <w:tcBorders>
              <w:top w:val="single" w:sz="8" w:color="D9D9D6"/>
            </w:tcBorders>
            <w:shd w:val="clear" w:color="auto" w:fill="D9D9D6"/>
          </w:tcPr>
          <w:p>
            <w:pPr>
              <w:spacing w:after="0"/>
              <w:rPr>
                <w:sz w:val="17"/>
                <w:szCs w:val="17"/>
                <w:color w:val="auto"/>
              </w:rPr>
            </w:pPr>
          </w:p>
        </w:tc>
        <w:tc>
          <w:tcPr>
            <w:tcW w:w="460" w:type="dxa"/>
            <w:vAlign w:val="bottom"/>
            <w:tcBorders>
              <w:top w:val="single" w:sz="8" w:color="auto"/>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D9D9D6"/>
          </w:tcPr>
          <w:p>
            <w:pPr>
              <w:ind w:left="180"/>
              <w:spacing w:after="0"/>
              <w:rPr>
                <w:sz w:val="20"/>
                <w:szCs w:val="20"/>
                <w:color w:val="auto"/>
              </w:rPr>
            </w:pPr>
            <w:r>
              <w:rPr>
                <w:rFonts w:ascii="Arial" w:cs="Arial" w:eastAsia="Arial" w:hAnsi="Arial"/>
                <w:sz w:val="14"/>
                <w:szCs w:val="14"/>
                <w:color w:val="auto"/>
              </w:rPr>
              <w:t>High-Speed Internet</w:t>
            </w:r>
          </w:p>
        </w:tc>
        <w:tc>
          <w:tcPr>
            <w:tcW w:w="120" w:type="dxa"/>
            <w:vAlign w:val="bottom"/>
            <w:shd w:val="clear" w:color="auto" w:fill="D9D9D6"/>
          </w:tcPr>
          <w:p>
            <w:pPr>
              <w:spacing w:after="0"/>
              <w:rPr>
                <w:sz w:val="17"/>
                <w:szCs w:val="17"/>
                <w:color w:val="auto"/>
              </w:rPr>
            </w:pPr>
          </w:p>
        </w:tc>
        <w:tc>
          <w:tcPr>
            <w:tcW w:w="12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$4,262</w:t>
            </w:r>
          </w:p>
        </w:tc>
        <w:tc>
          <w:tcPr>
            <w:tcW w:w="160" w:type="dxa"/>
            <w:vAlign w:val="bottom"/>
            <w:shd w:val="clear" w:color="auto" w:fill="D9D9D6"/>
          </w:tcPr>
          <w:p>
            <w:pPr>
              <w:spacing w:after="0"/>
              <w:rPr>
                <w:sz w:val="17"/>
                <w:szCs w:val="17"/>
                <w:color w:val="auto"/>
              </w:rPr>
            </w:pPr>
          </w:p>
        </w:tc>
        <w:tc>
          <w:tcPr>
            <w:tcW w:w="118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$4,663</w:t>
            </w:r>
          </w:p>
        </w:tc>
        <w:tc>
          <w:tcPr>
            <w:tcW w:w="62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9.4%</w:t>
            </w:r>
          </w:p>
        </w:tc>
        <w:tc>
          <w:tcPr>
            <w:tcW w:w="120" w:type="dxa"/>
            <w:vAlign w:val="bottom"/>
            <w:tcBorders>
              <w:right w:val="single" w:sz="8" w:color="54585A"/>
            </w:tcBorders>
            <w:shd w:val="clear" w:color="auto" w:fill="D9D9D6"/>
          </w:tcPr>
          <w:p>
            <w:pPr>
              <w:spacing w:after="0"/>
              <w:rPr>
                <w:sz w:val="17"/>
                <w:szCs w:val="17"/>
                <w:color w:val="auto"/>
              </w:rPr>
            </w:pPr>
          </w:p>
        </w:tc>
        <w:tc>
          <w:tcPr>
            <w:tcW w:w="12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$8,419</w:t>
            </w:r>
          </w:p>
        </w:tc>
        <w:tc>
          <w:tcPr>
            <w:tcW w:w="240" w:type="dxa"/>
            <w:vAlign w:val="bottom"/>
            <w:shd w:val="clear" w:color="auto" w:fill="D9D9D6"/>
          </w:tcPr>
          <w:p>
            <w:pPr>
              <w:spacing w:after="0"/>
              <w:rPr>
                <w:sz w:val="17"/>
                <w:szCs w:val="17"/>
                <w:color w:val="auto"/>
              </w:rPr>
            </w:pPr>
          </w:p>
        </w:tc>
        <w:tc>
          <w:tcPr>
            <w:tcW w:w="10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$9,240</w:t>
            </w:r>
          </w:p>
        </w:tc>
        <w:tc>
          <w:tcPr>
            <w:tcW w:w="62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3"/>
        </w:trPr>
        <w:tc>
          <w:tcPr>
            <w:tcW w:w="3780" w:type="dxa"/>
            <w:vAlign w:val="bottom"/>
            <w:shd w:val="clear" w:color="auto" w:fill="D9D9D6"/>
          </w:tcPr>
          <w:p>
            <w:pPr>
              <w:ind w:left="180"/>
              <w:spacing w:after="0"/>
              <w:rPr>
                <w:sz w:val="20"/>
                <w:szCs w:val="20"/>
                <w:color w:val="auto"/>
              </w:rPr>
            </w:pPr>
            <w:r>
              <w:rPr>
                <w:rFonts w:ascii="Arial" w:cs="Arial" w:eastAsia="Arial" w:hAnsi="Arial"/>
                <w:sz w:val="14"/>
                <w:szCs w:val="14"/>
                <w:color w:val="auto"/>
              </w:rPr>
              <w:t>Video</w:t>
            </w:r>
          </w:p>
        </w:tc>
        <w:tc>
          <w:tcPr>
            <w:tcW w:w="120" w:type="dxa"/>
            <w:vAlign w:val="bottom"/>
            <w:shd w:val="clear" w:color="auto" w:fill="D9D9D6"/>
          </w:tcPr>
          <w:p>
            <w:pPr>
              <w:spacing w:after="0"/>
              <w:rPr>
                <w:sz w:val="17"/>
                <w:szCs w:val="17"/>
                <w:color w:val="auto"/>
              </w:rPr>
            </w:pPr>
          </w:p>
        </w:tc>
        <w:tc>
          <w:tcPr>
            <w:tcW w:w="12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5,628</w:t>
            </w:r>
          </w:p>
        </w:tc>
        <w:tc>
          <w:tcPr>
            <w:tcW w:w="160" w:type="dxa"/>
            <w:vAlign w:val="bottom"/>
            <w:shd w:val="clear" w:color="auto" w:fill="D9D9D6"/>
          </w:tcPr>
          <w:p>
            <w:pPr>
              <w:spacing w:after="0"/>
              <w:rPr>
                <w:sz w:val="17"/>
                <w:szCs w:val="17"/>
                <w:color w:val="auto"/>
              </w:rPr>
            </w:pPr>
          </w:p>
        </w:tc>
        <w:tc>
          <w:tcPr>
            <w:tcW w:w="118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5,594</w:t>
            </w:r>
          </w:p>
        </w:tc>
        <w:tc>
          <w:tcPr>
            <w:tcW w:w="620" w:type="dxa"/>
            <w:vAlign w:val="bottom"/>
            <w:shd w:val="clear" w:color="auto" w:fill="D9D9D6"/>
          </w:tcPr>
          <w:p>
            <w:pPr>
              <w:spacing w:after="0"/>
              <w:rPr>
                <w:sz w:val="17"/>
                <w:szCs w:val="17"/>
                <w:color w:val="auto"/>
              </w:rPr>
            </w:pPr>
          </w:p>
        </w:tc>
        <w:tc>
          <w:tcPr>
            <w:tcW w:w="640" w:type="dxa"/>
            <w:vAlign w:val="bottom"/>
            <w:tcBorders>
              <w:right w:val="single" w:sz="8" w:color="54585A"/>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(0.6%)</w:t>
            </w:r>
          </w:p>
        </w:tc>
        <w:tc>
          <w:tcPr>
            <w:tcW w:w="12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11,287</w:t>
            </w:r>
          </w:p>
        </w:tc>
        <w:tc>
          <w:tcPr>
            <w:tcW w:w="240" w:type="dxa"/>
            <w:vAlign w:val="bottom"/>
            <w:shd w:val="clear" w:color="auto" w:fill="D9D9D6"/>
          </w:tcPr>
          <w:p>
            <w:pPr>
              <w:spacing w:after="0"/>
              <w:rPr>
                <w:sz w:val="17"/>
                <w:szCs w:val="17"/>
                <w:color w:val="auto"/>
              </w:rPr>
            </w:pPr>
          </w:p>
        </w:tc>
        <w:tc>
          <w:tcPr>
            <w:tcW w:w="10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11,222</w:t>
            </w:r>
          </w:p>
        </w:tc>
        <w:tc>
          <w:tcPr>
            <w:tcW w:w="62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3"/>
        </w:trPr>
        <w:tc>
          <w:tcPr>
            <w:tcW w:w="3780" w:type="dxa"/>
            <w:vAlign w:val="bottom"/>
            <w:shd w:val="clear" w:color="auto" w:fill="D9D9D6"/>
          </w:tcPr>
          <w:p>
            <w:pPr>
              <w:ind w:left="180"/>
              <w:spacing w:after="0"/>
              <w:rPr>
                <w:sz w:val="20"/>
                <w:szCs w:val="20"/>
                <w:color w:val="auto"/>
              </w:rPr>
            </w:pPr>
            <w:r>
              <w:rPr>
                <w:rFonts w:ascii="Arial" w:cs="Arial" w:eastAsia="Arial" w:hAnsi="Arial"/>
                <w:sz w:val="14"/>
                <w:szCs w:val="14"/>
                <w:color w:val="auto"/>
              </w:rPr>
              <w:t>Voice</w:t>
            </w:r>
          </w:p>
        </w:tc>
        <w:tc>
          <w:tcPr>
            <w:tcW w:w="120" w:type="dxa"/>
            <w:vAlign w:val="bottom"/>
            <w:shd w:val="clear" w:color="auto" w:fill="D9D9D6"/>
          </w:tcPr>
          <w:p>
            <w:pPr>
              <w:spacing w:after="0"/>
              <w:rPr>
                <w:sz w:val="17"/>
                <w:szCs w:val="17"/>
                <w:color w:val="auto"/>
              </w:rPr>
            </w:pPr>
          </w:p>
        </w:tc>
        <w:tc>
          <w:tcPr>
            <w:tcW w:w="12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994</w:t>
            </w:r>
          </w:p>
        </w:tc>
        <w:tc>
          <w:tcPr>
            <w:tcW w:w="160" w:type="dxa"/>
            <w:vAlign w:val="bottom"/>
            <w:shd w:val="clear" w:color="auto" w:fill="D9D9D6"/>
          </w:tcPr>
          <w:p>
            <w:pPr>
              <w:spacing w:after="0"/>
              <w:rPr>
                <w:sz w:val="17"/>
                <w:szCs w:val="17"/>
                <w:color w:val="auto"/>
              </w:rPr>
            </w:pPr>
          </w:p>
        </w:tc>
        <w:tc>
          <w:tcPr>
            <w:tcW w:w="118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982</w:t>
            </w:r>
          </w:p>
        </w:tc>
        <w:tc>
          <w:tcPr>
            <w:tcW w:w="620" w:type="dxa"/>
            <w:vAlign w:val="bottom"/>
            <w:shd w:val="clear" w:color="auto" w:fill="D9D9D6"/>
          </w:tcPr>
          <w:p>
            <w:pPr>
              <w:spacing w:after="0"/>
              <w:rPr>
                <w:sz w:val="17"/>
                <w:szCs w:val="17"/>
                <w:color w:val="auto"/>
              </w:rPr>
            </w:pPr>
          </w:p>
        </w:tc>
        <w:tc>
          <w:tcPr>
            <w:tcW w:w="640" w:type="dxa"/>
            <w:vAlign w:val="bottom"/>
            <w:tcBorders>
              <w:right w:val="single" w:sz="8" w:color="54585A"/>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(1.1%)</w:t>
            </w:r>
          </w:p>
        </w:tc>
        <w:tc>
          <w:tcPr>
            <w:tcW w:w="12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2,000</w:t>
            </w:r>
          </w:p>
        </w:tc>
        <w:tc>
          <w:tcPr>
            <w:tcW w:w="240" w:type="dxa"/>
            <w:vAlign w:val="bottom"/>
            <w:shd w:val="clear" w:color="auto" w:fill="D9D9D6"/>
          </w:tcPr>
          <w:p>
            <w:pPr>
              <w:spacing w:after="0"/>
              <w:rPr>
                <w:sz w:val="17"/>
                <w:szCs w:val="17"/>
                <w:color w:val="auto"/>
              </w:rPr>
            </w:pPr>
          </w:p>
        </w:tc>
        <w:tc>
          <w:tcPr>
            <w:tcW w:w="10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1,972</w:t>
            </w:r>
          </w:p>
        </w:tc>
        <w:tc>
          <w:tcPr>
            <w:tcW w:w="62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3"/>
        </w:trPr>
        <w:tc>
          <w:tcPr>
            <w:tcW w:w="3780" w:type="dxa"/>
            <w:vAlign w:val="bottom"/>
            <w:shd w:val="clear" w:color="auto" w:fill="D9D9D6"/>
          </w:tcPr>
          <w:p>
            <w:pPr>
              <w:ind w:left="180"/>
              <w:spacing w:after="0"/>
              <w:rPr>
                <w:sz w:val="20"/>
                <w:szCs w:val="20"/>
                <w:color w:val="auto"/>
              </w:rPr>
            </w:pPr>
            <w:r>
              <w:rPr>
                <w:rFonts w:ascii="Arial" w:cs="Arial" w:eastAsia="Arial" w:hAnsi="Arial"/>
                <w:sz w:val="14"/>
                <w:szCs w:val="14"/>
                <w:color w:val="auto"/>
              </w:rPr>
              <w:t>Wireless</w:t>
            </w:r>
          </w:p>
        </w:tc>
        <w:tc>
          <w:tcPr>
            <w:tcW w:w="120" w:type="dxa"/>
            <w:vAlign w:val="bottom"/>
            <w:shd w:val="clear" w:color="auto" w:fill="D9D9D6"/>
          </w:tcPr>
          <w:p>
            <w:pPr>
              <w:spacing w:after="0"/>
              <w:rPr>
                <w:sz w:val="17"/>
                <w:szCs w:val="17"/>
                <w:color w:val="auto"/>
              </w:rPr>
            </w:pPr>
          </w:p>
        </w:tc>
        <w:tc>
          <w:tcPr>
            <w:tcW w:w="12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202</w:t>
            </w:r>
          </w:p>
        </w:tc>
        <w:tc>
          <w:tcPr>
            <w:tcW w:w="160" w:type="dxa"/>
            <w:vAlign w:val="bottom"/>
            <w:shd w:val="clear" w:color="auto" w:fill="D9D9D6"/>
          </w:tcPr>
          <w:p>
            <w:pPr>
              <w:spacing w:after="0"/>
              <w:rPr>
                <w:sz w:val="17"/>
                <w:szCs w:val="17"/>
                <w:color w:val="auto"/>
              </w:rPr>
            </w:pPr>
          </w:p>
        </w:tc>
        <w:tc>
          <w:tcPr>
            <w:tcW w:w="118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244</w:t>
            </w:r>
          </w:p>
        </w:tc>
        <w:tc>
          <w:tcPr>
            <w:tcW w:w="62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21.0%</w:t>
            </w:r>
          </w:p>
        </w:tc>
        <w:tc>
          <w:tcPr>
            <w:tcW w:w="120" w:type="dxa"/>
            <w:vAlign w:val="bottom"/>
            <w:tcBorders>
              <w:right w:val="single" w:sz="8" w:color="54585A"/>
            </w:tcBorders>
            <w:shd w:val="clear" w:color="auto" w:fill="D9D9D6"/>
          </w:tcPr>
          <w:p>
            <w:pPr>
              <w:spacing w:after="0"/>
              <w:rPr>
                <w:sz w:val="17"/>
                <w:szCs w:val="17"/>
                <w:color w:val="auto"/>
              </w:rPr>
            </w:pPr>
          </w:p>
        </w:tc>
        <w:tc>
          <w:tcPr>
            <w:tcW w:w="12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387</w:t>
            </w:r>
          </w:p>
        </w:tc>
        <w:tc>
          <w:tcPr>
            <w:tcW w:w="240" w:type="dxa"/>
            <w:vAlign w:val="bottom"/>
            <w:shd w:val="clear" w:color="auto" w:fill="D9D9D6"/>
          </w:tcPr>
          <w:p>
            <w:pPr>
              <w:spacing w:after="0"/>
              <w:rPr>
                <w:sz w:val="17"/>
                <w:szCs w:val="17"/>
                <w:color w:val="auto"/>
              </w:rPr>
            </w:pPr>
          </w:p>
        </w:tc>
        <w:tc>
          <w:tcPr>
            <w:tcW w:w="10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469</w:t>
            </w:r>
          </w:p>
        </w:tc>
        <w:tc>
          <w:tcPr>
            <w:tcW w:w="62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3"/>
        </w:trPr>
        <w:tc>
          <w:tcPr>
            <w:tcW w:w="3780" w:type="dxa"/>
            <w:vAlign w:val="bottom"/>
            <w:shd w:val="clear" w:color="auto" w:fill="D9D9D6"/>
          </w:tcPr>
          <w:p>
            <w:pPr>
              <w:ind w:left="180"/>
              <w:spacing w:after="0"/>
              <w:rPr>
                <w:sz w:val="20"/>
                <w:szCs w:val="20"/>
                <w:color w:val="auto"/>
              </w:rPr>
            </w:pPr>
            <w:r>
              <w:rPr>
                <w:rFonts w:ascii="Arial" w:cs="Arial" w:eastAsia="Arial" w:hAnsi="Arial"/>
                <w:sz w:val="14"/>
                <w:szCs w:val="14"/>
                <w:color w:val="auto"/>
              </w:rPr>
              <w:t>Business Services</w:t>
            </w:r>
          </w:p>
        </w:tc>
        <w:tc>
          <w:tcPr>
            <w:tcW w:w="120" w:type="dxa"/>
            <w:vAlign w:val="bottom"/>
            <w:shd w:val="clear" w:color="auto" w:fill="D9D9D6"/>
          </w:tcPr>
          <w:p>
            <w:pPr>
              <w:spacing w:after="0"/>
              <w:rPr>
                <w:sz w:val="17"/>
                <w:szCs w:val="17"/>
                <w:color w:val="auto"/>
              </w:rPr>
            </w:pPr>
          </w:p>
        </w:tc>
        <w:tc>
          <w:tcPr>
            <w:tcW w:w="12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1,761</w:t>
            </w:r>
          </w:p>
        </w:tc>
        <w:tc>
          <w:tcPr>
            <w:tcW w:w="160" w:type="dxa"/>
            <w:vAlign w:val="bottom"/>
            <w:shd w:val="clear" w:color="auto" w:fill="D9D9D6"/>
          </w:tcPr>
          <w:p>
            <w:pPr>
              <w:spacing w:after="0"/>
              <w:rPr>
                <w:sz w:val="17"/>
                <w:szCs w:val="17"/>
                <w:color w:val="auto"/>
              </w:rPr>
            </w:pPr>
          </w:p>
        </w:tc>
        <w:tc>
          <w:tcPr>
            <w:tcW w:w="118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1,933</w:t>
            </w:r>
          </w:p>
        </w:tc>
        <w:tc>
          <w:tcPr>
            <w:tcW w:w="62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9.8%</w:t>
            </w:r>
          </w:p>
        </w:tc>
        <w:tc>
          <w:tcPr>
            <w:tcW w:w="120" w:type="dxa"/>
            <w:vAlign w:val="bottom"/>
            <w:tcBorders>
              <w:right w:val="single" w:sz="8" w:color="54585A"/>
            </w:tcBorders>
            <w:shd w:val="clear" w:color="auto" w:fill="D9D9D6"/>
          </w:tcPr>
          <w:p>
            <w:pPr>
              <w:spacing w:after="0"/>
              <w:rPr>
                <w:sz w:val="17"/>
                <w:szCs w:val="17"/>
                <w:color w:val="auto"/>
              </w:rPr>
            </w:pPr>
          </w:p>
        </w:tc>
        <w:tc>
          <w:tcPr>
            <w:tcW w:w="12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3,487</w:t>
            </w:r>
          </w:p>
        </w:tc>
        <w:tc>
          <w:tcPr>
            <w:tcW w:w="240" w:type="dxa"/>
            <w:vAlign w:val="bottom"/>
            <w:shd w:val="clear" w:color="auto" w:fill="D9D9D6"/>
          </w:tcPr>
          <w:p>
            <w:pPr>
              <w:spacing w:after="0"/>
              <w:rPr>
                <w:sz w:val="17"/>
                <w:szCs w:val="17"/>
                <w:color w:val="auto"/>
              </w:rPr>
            </w:pPr>
          </w:p>
        </w:tc>
        <w:tc>
          <w:tcPr>
            <w:tcW w:w="10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3,824</w:t>
            </w:r>
          </w:p>
        </w:tc>
        <w:tc>
          <w:tcPr>
            <w:tcW w:w="62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3"/>
        </w:trPr>
        <w:tc>
          <w:tcPr>
            <w:tcW w:w="3780" w:type="dxa"/>
            <w:vAlign w:val="bottom"/>
            <w:shd w:val="clear" w:color="auto" w:fill="D9D9D6"/>
          </w:tcPr>
          <w:p>
            <w:pPr>
              <w:ind w:left="180"/>
              <w:spacing w:after="0"/>
              <w:rPr>
                <w:sz w:val="20"/>
                <w:szCs w:val="20"/>
                <w:color w:val="auto"/>
              </w:rPr>
            </w:pPr>
            <w:r>
              <w:rPr>
                <w:rFonts w:ascii="Arial" w:cs="Arial" w:eastAsia="Arial" w:hAnsi="Arial"/>
                <w:sz w:val="14"/>
                <w:szCs w:val="14"/>
                <w:color w:val="auto"/>
              </w:rPr>
              <w:t>Advertising</w:t>
            </w:r>
          </w:p>
        </w:tc>
        <w:tc>
          <w:tcPr>
            <w:tcW w:w="120" w:type="dxa"/>
            <w:vAlign w:val="bottom"/>
            <w:shd w:val="clear" w:color="auto" w:fill="D9D9D6"/>
          </w:tcPr>
          <w:p>
            <w:pPr>
              <w:spacing w:after="0"/>
              <w:rPr>
                <w:sz w:val="17"/>
                <w:szCs w:val="17"/>
                <w:color w:val="auto"/>
              </w:rPr>
            </w:pPr>
          </w:p>
        </w:tc>
        <w:tc>
          <w:tcPr>
            <w:tcW w:w="12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666</w:t>
            </w:r>
          </w:p>
        </w:tc>
        <w:tc>
          <w:tcPr>
            <w:tcW w:w="160" w:type="dxa"/>
            <w:vAlign w:val="bottom"/>
            <w:shd w:val="clear" w:color="auto" w:fill="D9D9D6"/>
          </w:tcPr>
          <w:p>
            <w:pPr>
              <w:spacing w:after="0"/>
              <w:rPr>
                <w:sz w:val="17"/>
                <w:szCs w:val="17"/>
                <w:color w:val="auto"/>
              </w:rPr>
            </w:pPr>
          </w:p>
        </w:tc>
        <w:tc>
          <w:tcPr>
            <w:tcW w:w="118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607</w:t>
            </w:r>
          </w:p>
        </w:tc>
        <w:tc>
          <w:tcPr>
            <w:tcW w:w="62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(8.7%)</w:t>
            </w:r>
          </w:p>
        </w:tc>
        <w:tc>
          <w:tcPr>
            <w:tcW w:w="120" w:type="dxa"/>
            <w:vAlign w:val="bottom"/>
            <w:tcBorders>
              <w:right w:val="single" w:sz="8" w:color="54585A"/>
            </w:tcBorders>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1,248</w:t>
            </w:r>
          </w:p>
        </w:tc>
        <w:tc>
          <w:tcPr>
            <w:tcW w:w="240" w:type="dxa"/>
            <w:vAlign w:val="bottom"/>
            <w:shd w:val="clear" w:color="auto" w:fill="D9D9D6"/>
          </w:tcPr>
          <w:p>
            <w:pPr>
              <w:spacing w:after="0"/>
              <w:rPr>
                <w:sz w:val="17"/>
                <w:szCs w:val="17"/>
                <w:color w:val="auto"/>
              </w:rPr>
            </w:pPr>
          </w:p>
        </w:tc>
        <w:tc>
          <w:tcPr>
            <w:tcW w:w="10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1,163</w:t>
            </w:r>
          </w:p>
        </w:tc>
        <w:tc>
          <w:tcPr>
            <w:tcW w:w="62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3"/>
        </w:trPr>
        <w:tc>
          <w:tcPr>
            <w:tcW w:w="3780" w:type="dxa"/>
            <w:vAlign w:val="bottom"/>
            <w:tcBorders>
              <w:bottom w:val="single" w:sz="8" w:color="D9D9D6"/>
            </w:tcBorders>
            <w:shd w:val="clear" w:color="auto" w:fill="D9D9D6"/>
          </w:tcPr>
          <w:p>
            <w:pPr>
              <w:ind w:left="18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D9D9D6"/>
            </w:tcBorders>
            <w:shd w:val="clear" w:color="auto" w:fill="D9D9D6"/>
          </w:tcPr>
          <w:p>
            <w:pPr>
              <w:spacing w:after="0"/>
              <w:rPr>
                <w:sz w:val="17"/>
                <w:szCs w:val="17"/>
                <w:color w:val="auto"/>
              </w:rPr>
            </w:pPr>
          </w:p>
        </w:tc>
        <w:tc>
          <w:tcPr>
            <w:tcW w:w="120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399</w:t>
            </w:r>
          </w:p>
        </w:tc>
        <w:tc>
          <w:tcPr>
            <w:tcW w:w="160" w:type="dxa"/>
            <w:vAlign w:val="bottom"/>
            <w:tcBorders>
              <w:bottom w:val="single" w:sz="8" w:color="auto"/>
            </w:tcBorders>
            <w:shd w:val="clear" w:color="auto" w:fill="D9D9D6"/>
          </w:tcPr>
          <w:p>
            <w:pPr>
              <w:spacing w:after="0"/>
              <w:rPr>
                <w:sz w:val="17"/>
                <w:szCs w:val="17"/>
                <w:color w:val="auto"/>
              </w:rPr>
            </w:pPr>
          </w:p>
        </w:tc>
        <w:tc>
          <w:tcPr>
            <w:tcW w:w="1180" w:type="dxa"/>
            <w:vAlign w:val="bottom"/>
            <w:tcBorders>
              <w:bottom w:val="single" w:sz="8" w:color="auto"/>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427</w:t>
            </w:r>
          </w:p>
        </w:tc>
        <w:tc>
          <w:tcPr>
            <w:tcW w:w="62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D9D9D6"/>
              <w:right w:val="single" w:sz="8" w:color="54585A"/>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11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787</w:t>
            </w:r>
          </w:p>
        </w:tc>
        <w:tc>
          <w:tcPr>
            <w:tcW w:w="240" w:type="dxa"/>
            <w:vAlign w:val="bottom"/>
            <w:tcBorders>
              <w:bottom w:val="single" w:sz="8" w:color="auto"/>
            </w:tcBorders>
            <w:shd w:val="clear" w:color="auto" w:fill="D9D9D6"/>
          </w:tcPr>
          <w:p>
            <w:pPr>
              <w:spacing w:after="0"/>
              <w:rPr>
                <w:sz w:val="17"/>
                <w:szCs w:val="17"/>
                <w:color w:val="auto"/>
              </w:rPr>
            </w:pPr>
          </w:p>
        </w:tc>
        <w:tc>
          <w:tcPr>
            <w:tcW w:w="1060" w:type="dxa"/>
            <w:vAlign w:val="bottom"/>
            <w:tcBorders>
              <w:bottom w:val="single" w:sz="8" w:color="auto"/>
            </w:tcBorders>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840</w:t>
            </w:r>
          </w:p>
        </w:tc>
        <w:tc>
          <w:tcPr>
            <w:tcW w:w="62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96"/>
        </w:trPr>
        <w:tc>
          <w:tcPr>
            <w:tcW w:w="3780" w:type="dxa"/>
            <w:vAlign w:val="bottom"/>
            <w:shd w:val="clear" w:color="auto" w:fill="D9D9D6"/>
          </w:tcPr>
          <w:p>
            <w:pPr>
              <w:ind w:left="60"/>
              <w:spacing w:after="0"/>
              <w:rPr>
                <w:sz w:val="20"/>
                <w:szCs w:val="20"/>
                <w:color w:val="auto"/>
              </w:rPr>
            </w:pPr>
            <w:r>
              <w:rPr>
                <w:rFonts w:ascii="Arial" w:cs="Arial" w:eastAsia="Arial" w:hAnsi="Arial"/>
                <w:sz w:val="14"/>
                <w:szCs w:val="14"/>
                <w:b w:val="1"/>
                <w:bCs w:val="1"/>
                <w:color w:val="auto"/>
              </w:rPr>
              <w:t>Cable Communications Revenue</w:t>
            </w:r>
          </w:p>
        </w:tc>
        <w:tc>
          <w:tcPr>
            <w:tcW w:w="120" w:type="dxa"/>
            <w:vAlign w:val="bottom"/>
            <w:shd w:val="clear" w:color="auto" w:fill="D9D9D6"/>
          </w:tcPr>
          <w:p>
            <w:pPr>
              <w:spacing w:after="0"/>
              <w:rPr>
                <w:sz w:val="17"/>
                <w:szCs w:val="17"/>
                <w:color w:val="auto"/>
              </w:rPr>
            </w:pPr>
          </w:p>
        </w:tc>
        <w:tc>
          <w:tcPr>
            <w:tcW w:w="12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$13,912</w:t>
            </w:r>
          </w:p>
        </w:tc>
        <w:tc>
          <w:tcPr>
            <w:tcW w:w="160" w:type="dxa"/>
            <w:vAlign w:val="bottom"/>
            <w:shd w:val="clear" w:color="auto" w:fill="D9D9D6"/>
          </w:tcPr>
          <w:p>
            <w:pPr>
              <w:spacing w:after="0"/>
              <w:rPr>
                <w:sz w:val="17"/>
                <w:szCs w:val="17"/>
                <w:color w:val="auto"/>
              </w:rPr>
            </w:pPr>
          </w:p>
        </w:tc>
        <w:tc>
          <w:tcPr>
            <w:tcW w:w="118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$14,450</w:t>
            </w:r>
          </w:p>
        </w:tc>
        <w:tc>
          <w:tcPr>
            <w:tcW w:w="62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3.9%</w:t>
            </w:r>
          </w:p>
        </w:tc>
        <w:tc>
          <w:tcPr>
            <w:tcW w:w="120" w:type="dxa"/>
            <w:vAlign w:val="bottom"/>
            <w:tcBorders>
              <w:right w:val="single" w:sz="8" w:color="54585A"/>
            </w:tcBorders>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$27,615</w:t>
            </w:r>
          </w:p>
        </w:tc>
        <w:tc>
          <w:tcPr>
            <w:tcW w:w="240" w:type="dxa"/>
            <w:vAlign w:val="bottom"/>
            <w:shd w:val="clear" w:color="auto" w:fill="D9D9D6"/>
          </w:tcPr>
          <w:p>
            <w:pPr>
              <w:spacing w:after="0"/>
              <w:rPr>
                <w:sz w:val="17"/>
                <w:szCs w:val="17"/>
                <w:color w:val="auto"/>
              </w:rPr>
            </w:pPr>
          </w:p>
        </w:tc>
        <w:tc>
          <w:tcPr>
            <w:tcW w:w="10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$28,730</w:t>
            </w:r>
          </w:p>
        </w:tc>
        <w:tc>
          <w:tcPr>
            <w:tcW w:w="62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405"/>
        </w:trPr>
        <w:tc>
          <w:tcPr>
            <w:tcW w:w="3780" w:type="dxa"/>
            <w:vAlign w:val="bottom"/>
            <w:shd w:val="clear" w:color="auto" w:fill="D9D9D6"/>
          </w:tcPr>
          <w:p>
            <w:pPr>
              <w:ind w:left="60"/>
              <w:spacing w:after="0"/>
              <w:rPr>
                <w:sz w:val="20"/>
                <w:szCs w:val="20"/>
                <w:color w:val="auto"/>
              </w:rPr>
            </w:pPr>
            <w:r>
              <w:rPr>
                <w:rFonts w:ascii="Arial" w:cs="Arial" w:eastAsia="Arial" w:hAnsi="Arial"/>
                <w:sz w:val="14"/>
                <w:szCs w:val="14"/>
                <w:b w:val="1"/>
                <w:bCs w:val="1"/>
                <w:color w:val="auto"/>
              </w:rPr>
              <w:t>Cable Communications Adjusted EBITDA</w:t>
            </w:r>
          </w:p>
        </w:tc>
        <w:tc>
          <w:tcPr>
            <w:tcW w:w="120" w:type="dxa"/>
            <w:vAlign w:val="bottom"/>
            <w:shd w:val="clear" w:color="auto" w:fill="D9D9D6"/>
          </w:tcPr>
          <w:p>
            <w:pPr>
              <w:spacing w:after="0"/>
              <w:rPr>
                <w:sz w:val="24"/>
                <w:szCs w:val="24"/>
                <w:color w:val="auto"/>
              </w:rPr>
            </w:pPr>
          </w:p>
        </w:tc>
        <w:tc>
          <w:tcPr>
            <w:tcW w:w="12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$5,449</w:t>
            </w:r>
          </w:p>
        </w:tc>
        <w:tc>
          <w:tcPr>
            <w:tcW w:w="160" w:type="dxa"/>
            <w:vAlign w:val="bottom"/>
            <w:shd w:val="clear" w:color="auto" w:fill="D9D9D6"/>
          </w:tcPr>
          <w:p>
            <w:pPr>
              <w:spacing w:after="0"/>
              <w:rPr>
                <w:sz w:val="24"/>
                <w:szCs w:val="24"/>
                <w:color w:val="auto"/>
              </w:rPr>
            </w:pPr>
          </w:p>
        </w:tc>
        <w:tc>
          <w:tcPr>
            <w:tcW w:w="118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$5,854</w:t>
            </w:r>
          </w:p>
        </w:tc>
        <w:tc>
          <w:tcPr>
            <w:tcW w:w="620" w:type="dxa"/>
            <w:vAlign w:val="bottom"/>
            <w:shd w:val="clear" w:color="auto" w:fill="D9D9D6"/>
          </w:tcPr>
          <w:p>
            <w:pPr>
              <w:spacing w:after="0"/>
              <w:rPr>
                <w:sz w:val="24"/>
                <w:szCs w:val="24"/>
                <w:color w:val="auto"/>
              </w:rPr>
            </w:pPr>
          </w:p>
        </w:tc>
        <w:tc>
          <w:tcPr>
            <w:tcW w:w="5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7.4%</w:t>
            </w:r>
          </w:p>
        </w:tc>
        <w:tc>
          <w:tcPr>
            <w:tcW w:w="120" w:type="dxa"/>
            <w:vAlign w:val="bottom"/>
            <w:tcBorders>
              <w:right w:val="single" w:sz="8" w:color="54585A"/>
            </w:tcBorders>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$10,666</w:t>
            </w:r>
          </w:p>
        </w:tc>
        <w:tc>
          <w:tcPr>
            <w:tcW w:w="240" w:type="dxa"/>
            <w:vAlign w:val="bottom"/>
            <w:shd w:val="clear" w:color="auto" w:fill="D9D9D6"/>
          </w:tcPr>
          <w:p>
            <w:pPr>
              <w:spacing w:after="0"/>
              <w:rPr>
                <w:sz w:val="24"/>
                <w:szCs w:val="24"/>
                <w:color w:val="auto"/>
              </w:rPr>
            </w:pPr>
          </w:p>
        </w:tc>
        <w:tc>
          <w:tcPr>
            <w:tcW w:w="10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$11,582</w:t>
            </w:r>
          </w:p>
        </w:tc>
        <w:tc>
          <w:tcPr>
            <w:tcW w:w="620" w:type="dxa"/>
            <w:vAlign w:val="bottom"/>
            <w:shd w:val="clear" w:color="auto" w:fill="D9D9D6"/>
          </w:tcPr>
          <w:p>
            <w:pPr>
              <w:spacing w:after="0"/>
              <w:rPr>
                <w:sz w:val="24"/>
                <w:szCs w:val="24"/>
                <w:color w:val="auto"/>
              </w:rPr>
            </w:pPr>
          </w:p>
        </w:tc>
        <w:tc>
          <w:tcPr>
            <w:tcW w:w="5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218"/>
        </w:trPr>
        <w:tc>
          <w:tcPr>
            <w:tcW w:w="3780" w:type="dxa"/>
            <w:vAlign w:val="bottom"/>
            <w:shd w:val="clear" w:color="auto" w:fill="D9D9D6"/>
          </w:tcPr>
          <w:p>
            <w:pPr>
              <w:ind w:left="180"/>
              <w:spacing w:after="0"/>
              <w:rPr>
                <w:sz w:val="20"/>
                <w:szCs w:val="20"/>
                <w:color w:val="auto"/>
              </w:rPr>
            </w:pPr>
            <w:r>
              <w:rPr>
                <w:rFonts w:ascii="Arial" w:cs="Arial" w:eastAsia="Arial" w:hAnsi="Arial"/>
                <w:sz w:val="14"/>
                <w:szCs w:val="14"/>
                <w:i w:val="1"/>
                <w:iCs w:val="1"/>
                <w:color w:val="auto"/>
              </w:rPr>
              <w:t>Adjusted EBITDA Margin</w:t>
            </w:r>
          </w:p>
        </w:tc>
        <w:tc>
          <w:tcPr>
            <w:tcW w:w="120" w:type="dxa"/>
            <w:vAlign w:val="bottom"/>
            <w:shd w:val="clear" w:color="auto" w:fill="D9D9D6"/>
          </w:tcPr>
          <w:p>
            <w:pPr>
              <w:spacing w:after="0"/>
              <w:rPr>
                <w:sz w:val="18"/>
                <w:szCs w:val="18"/>
                <w:color w:val="auto"/>
              </w:rPr>
            </w:pPr>
          </w:p>
        </w:tc>
        <w:tc>
          <w:tcPr>
            <w:tcW w:w="12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39.2%</w:t>
            </w:r>
          </w:p>
        </w:tc>
        <w:tc>
          <w:tcPr>
            <w:tcW w:w="160" w:type="dxa"/>
            <w:vAlign w:val="bottom"/>
            <w:shd w:val="clear" w:color="auto" w:fill="D9D9D6"/>
          </w:tcPr>
          <w:p>
            <w:pPr>
              <w:spacing w:after="0"/>
              <w:rPr>
                <w:sz w:val="18"/>
                <w:szCs w:val="18"/>
                <w:color w:val="auto"/>
              </w:rPr>
            </w:pPr>
          </w:p>
        </w:tc>
        <w:tc>
          <w:tcPr>
            <w:tcW w:w="118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i w:val="1"/>
                <w:iCs w:val="1"/>
                <w:color w:val="auto"/>
              </w:rPr>
              <w:t>40.5%</w:t>
            </w:r>
          </w:p>
        </w:tc>
        <w:tc>
          <w:tcPr>
            <w:tcW w:w="620" w:type="dxa"/>
            <w:vAlign w:val="bottom"/>
            <w:shd w:val="clear" w:color="auto" w:fill="D9D9D6"/>
          </w:tcPr>
          <w:p>
            <w:pPr>
              <w:spacing w:after="0"/>
              <w:rPr>
                <w:sz w:val="18"/>
                <w:szCs w:val="18"/>
                <w:color w:val="auto"/>
              </w:rPr>
            </w:pPr>
          </w:p>
        </w:tc>
        <w:tc>
          <w:tcPr>
            <w:tcW w:w="460" w:type="dxa"/>
            <w:vAlign w:val="bottom"/>
            <w:shd w:val="clear" w:color="auto" w:fill="D9D9D6"/>
          </w:tcPr>
          <w:p>
            <w:pPr>
              <w:spacing w:after="0"/>
              <w:rPr>
                <w:sz w:val="18"/>
                <w:szCs w:val="18"/>
                <w:color w:val="auto"/>
              </w:rPr>
            </w:pPr>
          </w:p>
        </w:tc>
        <w:tc>
          <w:tcPr>
            <w:tcW w:w="60" w:type="dxa"/>
            <w:vAlign w:val="bottom"/>
            <w:shd w:val="clear" w:color="auto" w:fill="D9D9D6"/>
          </w:tcPr>
          <w:p>
            <w:pPr>
              <w:spacing w:after="0"/>
              <w:rPr>
                <w:sz w:val="18"/>
                <w:szCs w:val="18"/>
                <w:color w:val="auto"/>
              </w:rPr>
            </w:pPr>
          </w:p>
        </w:tc>
        <w:tc>
          <w:tcPr>
            <w:tcW w:w="120" w:type="dxa"/>
            <w:vAlign w:val="bottom"/>
            <w:tcBorders>
              <w:right w:val="single" w:sz="8" w:color="54585A"/>
            </w:tcBorders>
            <w:shd w:val="clear" w:color="auto" w:fill="D9D9D6"/>
          </w:tcPr>
          <w:p>
            <w:pPr>
              <w:spacing w:after="0"/>
              <w:rPr>
                <w:sz w:val="18"/>
                <w:szCs w:val="18"/>
                <w:color w:val="auto"/>
              </w:rPr>
            </w:pPr>
          </w:p>
        </w:tc>
        <w:tc>
          <w:tcPr>
            <w:tcW w:w="100" w:type="dxa"/>
            <w:vAlign w:val="bottom"/>
            <w:shd w:val="clear" w:color="auto" w:fill="D9D9D6"/>
          </w:tcPr>
          <w:p>
            <w:pPr>
              <w:spacing w:after="0"/>
              <w:rPr>
                <w:sz w:val="18"/>
                <w:szCs w:val="18"/>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38.6%</w:t>
            </w:r>
          </w:p>
        </w:tc>
        <w:tc>
          <w:tcPr>
            <w:tcW w:w="240" w:type="dxa"/>
            <w:vAlign w:val="bottom"/>
            <w:shd w:val="clear" w:color="auto" w:fill="D9D9D6"/>
          </w:tcPr>
          <w:p>
            <w:pPr>
              <w:spacing w:after="0"/>
              <w:rPr>
                <w:sz w:val="18"/>
                <w:szCs w:val="18"/>
                <w:color w:val="auto"/>
              </w:rPr>
            </w:pPr>
          </w:p>
        </w:tc>
        <w:tc>
          <w:tcPr>
            <w:tcW w:w="10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i w:val="1"/>
                <w:iCs w:val="1"/>
                <w:color w:val="auto"/>
              </w:rPr>
              <w:t>40.3%</w:t>
            </w:r>
          </w:p>
        </w:tc>
        <w:tc>
          <w:tcPr>
            <w:tcW w:w="620" w:type="dxa"/>
            <w:vAlign w:val="bottom"/>
            <w:shd w:val="clear" w:color="auto" w:fill="D9D9D6"/>
          </w:tcPr>
          <w:p>
            <w:pPr>
              <w:spacing w:after="0"/>
              <w:rPr>
                <w:sz w:val="18"/>
                <w:szCs w:val="18"/>
                <w:color w:val="auto"/>
              </w:rPr>
            </w:pPr>
          </w:p>
        </w:tc>
        <w:tc>
          <w:tcPr>
            <w:tcW w:w="460" w:type="dxa"/>
            <w:vAlign w:val="bottom"/>
            <w:shd w:val="clear" w:color="auto" w:fill="D9D9D6"/>
          </w:tcPr>
          <w:p>
            <w:pPr>
              <w:spacing w:after="0"/>
              <w:rPr>
                <w:sz w:val="18"/>
                <w:szCs w:val="18"/>
                <w:color w:val="auto"/>
              </w:rPr>
            </w:pPr>
          </w:p>
        </w:tc>
        <w:tc>
          <w:tcPr>
            <w:tcW w:w="6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3780" w:type="dxa"/>
            <w:vAlign w:val="bottom"/>
            <w:shd w:val="clear" w:color="auto" w:fill="D9D9D6"/>
          </w:tcPr>
          <w:p>
            <w:pPr>
              <w:ind w:left="60"/>
              <w:spacing w:after="0"/>
              <w:rPr>
                <w:sz w:val="20"/>
                <w:szCs w:val="20"/>
                <w:color w:val="auto"/>
              </w:rPr>
            </w:pPr>
            <w:r>
              <w:rPr>
                <w:rFonts w:ascii="Arial" w:cs="Arial" w:eastAsia="Arial" w:hAnsi="Arial"/>
                <w:sz w:val="14"/>
                <w:szCs w:val="14"/>
                <w:b w:val="1"/>
                <w:bCs w:val="1"/>
                <w:color w:val="auto"/>
              </w:rPr>
              <w:t>Cable Communications Capital Expenditures</w:t>
            </w:r>
          </w:p>
        </w:tc>
        <w:tc>
          <w:tcPr>
            <w:tcW w:w="120" w:type="dxa"/>
            <w:vAlign w:val="bottom"/>
            <w:shd w:val="clear" w:color="auto" w:fill="D9D9D6"/>
          </w:tcPr>
          <w:p>
            <w:pPr>
              <w:spacing w:after="0"/>
              <w:rPr>
                <w:sz w:val="24"/>
                <w:szCs w:val="24"/>
                <w:color w:val="auto"/>
              </w:rPr>
            </w:pPr>
          </w:p>
        </w:tc>
        <w:tc>
          <w:tcPr>
            <w:tcW w:w="12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$1,767</w:t>
            </w:r>
          </w:p>
        </w:tc>
        <w:tc>
          <w:tcPr>
            <w:tcW w:w="160" w:type="dxa"/>
            <w:vAlign w:val="bottom"/>
            <w:shd w:val="clear" w:color="auto" w:fill="D9D9D6"/>
          </w:tcPr>
          <w:p>
            <w:pPr>
              <w:spacing w:after="0"/>
              <w:rPr>
                <w:sz w:val="24"/>
                <w:szCs w:val="24"/>
                <w:color w:val="auto"/>
              </w:rPr>
            </w:pPr>
          </w:p>
        </w:tc>
        <w:tc>
          <w:tcPr>
            <w:tcW w:w="118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$1,594</w:t>
            </w:r>
          </w:p>
        </w:tc>
        <w:tc>
          <w:tcPr>
            <w:tcW w:w="620" w:type="dxa"/>
            <w:vAlign w:val="bottom"/>
            <w:shd w:val="clear" w:color="auto" w:fill="D9D9D6"/>
          </w:tcPr>
          <w:p>
            <w:pPr>
              <w:spacing w:after="0"/>
              <w:rPr>
                <w:sz w:val="24"/>
                <w:szCs w:val="24"/>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(9.8%)</w:t>
            </w:r>
          </w:p>
        </w:tc>
        <w:tc>
          <w:tcPr>
            <w:tcW w:w="120" w:type="dxa"/>
            <w:vAlign w:val="bottom"/>
            <w:tcBorders>
              <w:right w:val="single" w:sz="8" w:color="54585A"/>
            </w:tcBorders>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$3,458</w:t>
            </w:r>
          </w:p>
        </w:tc>
        <w:tc>
          <w:tcPr>
            <w:tcW w:w="240" w:type="dxa"/>
            <w:vAlign w:val="bottom"/>
            <w:shd w:val="clear" w:color="auto" w:fill="D9D9D6"/>
          </w:tcPr>
          <w:p>
            <w:pPr>
              <w:spacing w:after="0"/>
              <w:rPr>
                <w:sz w:val="24"/>
                <w:szCs w:val="24"/>
                <w:color w:val="auto"/>
              </w:rPr>
            </w:pPr>
          </w:p>
        </w:tc>
        <w:tc>
          <w:tcPr>
            <w:tcW w:w="10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$2,957</w:t>
            </w:r>
          </w:p>
        </w:tc>
        <w:tc>
          <w:tcPr>
            <w:tcW w:w="620" w:type="dxa"/>
            <w:vAlign w:val="bottom"/>
            <w:shd w:val="clear" w:color="auto" w:fill="D9D9D6"/>
          </w:tcPr>
          <w:p>
            <w:pPr>
              <w:spacing w:after="0"/>
              <w:rPr>
                <w:sz w:val="24"/>
                <w:szCs w:val="24"/>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(14.5%)</w:t>
            </w:r>
          </w:p>
        </w:tc>
        <w:tc>
          <w:tcPr>
            <w:tcW w:w="0" w:type="dxa"/>
            <w:vAlign w:val="bottom"/>
          </w:tcPr>
          <w:p>
            <w:pPr>
              <w:spacing w:after="0"/>
              <w:rPr>
                <w:sz w:val="1"/>
                <w:szCs w:val="1"/>
                <w:color w:val="auto"/>
              </w:rPr>
            </w:pPr>
          </w:p>
        </w:tc>
      </w:tr>
      <w:tr>
        <w:trPr>
          <w:trHeight w:val="171"/>
        </w:trPr>
        <w:tc>
          <w:tcPr>
            <w:tcW w:w="3780" w:type="dxa"/>
            <w:vAlign w:val="bottom"/>
            <w:shd w:val="clear" w:color="auto" w:fill="D9D9D6"/>
          </w:tcPr>
          <w:p>
            <w:pPr>
              <w:ind w:left="180"/>
              <w:spacing w:after="0"/>
              <w:rPr>
                <w:sz w:val="20"/>
                <w:szCs w:val="20"/>
                <w:color w:val="auto"/>
              </w:rPr>
            </w:pPr>
            <w:r>
              <w:rPr>
                <w:rFonts w:ascii="Arial" w:cs="Arial" w:eastAsia="Arial" w:hAnsi="Arial"/>
                <w:sz w:val="14"/>
                <w:szCs w:val="14"/>
                <w:i w:val="1"/>
                <w:iCs w:val="1"/>
                <w:color w:val="auto"/>
              </w:rPr>
              <w:t>Percent of Cable Communications Revenue</w:t>
            </w:r>
          </w:p>
        </w:tc>
        <w:tc>
          <w:tcPr>
            <w:tcW w:w="120" w:type="dxa"/>
            <w:vAlign w:val="bottom"/>
            <w:shd w:val="clear" w:color="auto" w:fill="D9D9D6"/>
          </w:tcPr>
          <w:p>
            <w:pPr>
              <w:spacing w:after="0"/>
              <w:rPr>
                <w:sz w:val="14"/>
                <w:szCs w:val="14"/>
                <w:color w:val="auto"/>
              </w:rPr>
            </w:pPr>
          </w:p>
        </w:tc>
        <w:tc>
          <w:tcPr>
            <w:tcW w:w="12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12.7%</w:t>
            </w:r>
          </w:p>
        </w:tc>
        <w:tc>
          <w:tcPr>
            <w:tcW w:w="160" w:type="dxa"/>
            <w:vAlign w:val="bottom"/>
            <w:shd w:val="clear" w:color="auto" w:fill="D9D9D6"/>
          </w:tcPr>
          <w:p>
            <w:pPr>
              <w:spacing w:after="0"/>
              <w:rPr>
                <w:sz w:val="14"/>
                <w:szCs w:val="14"/>
                <w:color w:val="auto"/>
              </w:rPr>
            </w:pPr>
          </w:p>
        </w:tc>
        <w:tc>
          <w:tcPr>
            <w:tcW w:w="118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i w:val="1"/>
                <w:iCs w:val="1"/>
                <w:color w:val="auto"/>
              </w:rPr>
              <w:t>11.0%</w:t>
            </w:r>
          </w:p>
        </w:tc>
        <w:tc>
          <w:tcPr>
            <w:tcW w:w="620" w:type="dxa"/>
            <w:vAlign w:val="bottom"/>
            <w:shd w:val="clear" w:color="auto" w:fill="D9D9D6"/>
          </w:tcPr>
          <w:p>
            <w:pPr>
              <w:spacing w:after="0"/>
              <w:rPr>
                <w:sz w:val="14"/>
                <w:szCs w:val="14"/>
                <w:color w:val="auto"/>
              </w:rPr>
            </w:pPr>
          </w:p>
        </w:tc>
        <w:tc>
          <w:tcPr>
            <w:tcW w:w="460" w:type="dxa"/>
            <w:vAlign w:val="bottom"/>
            <w:shd w:val="clear" w:color="auto" w:fill="D9D9D6"/>
          </w:tcPr>
          <w:p>
            <w:pPr>
              <w:spacing w:after="0"/>
              <w:rPr>
                <w:sz w:val="14"/>
                <w:szCs w:val="14"/>
                <w:color w:val="auto"/>
              </w:rPr>
            </w:pPr>
          </w:p>
        </w:tc>
        <w:tc>
          <w:tcPr>
            <w:tcW w:w="60" w:type="dxa"/>
            <w:vAlign w:val="bottom"/>
            <w:shd w:val="clear" w:color="auto" w:fill="D9D9D6"/>
          </w:tcPr>
          <w:p>
            <w:pPr>
              <w:spacing w:after="0"/>
              <w:rPr>
                <w:sz w:val="14"/>
                <w:szCs w:val="14"/>
                <w:color w:val="auto"/>
              </w:rPr>
            </w:pPr>
          </w:p>
        </w:tc>
        <w:tc>
          <w:tcPr>
            <w:tcW w:w="120" w:type="dxa"/>
            <w:vAlign w:val="bottom"/>
            <w:tcBorders>
              <w:right w:val="single" w:sz="8" w:color="54585A"/>
            </w:tcBorders>
            <w:shd w:val="clear" w:color="auto" w:fill="D9D9D6"/>
          </w:tcPr>
          <w:p>
            <w:pPr>
              <w:spacing w:after="0"/>
              <w:rPr>
                <w:sz w:val="14"/>
                <w:szCs w:val="14"/>
                <w:color w:val="auto"/>
              </w:rPr>
            </w:pPr>
          </w:p>
        </w:tc>
        <w:tc>
          <w:tcPr>
            <w:tcW w:w="100" w:type="dxa"/>
            <w:vAlign w:val="bottom"/>
            <w:shd w:val="clear" w:color="auto" w:fill="D9D9D6"/>
          </w:tcPr>
          <w:p>
            <w:pPr>
              <w:spacing w:after="0"/>
              <w:rPr>
                <w:sz w:val="14"/>
                <w:szCs w:val="14"/>
                <w:color w:val="auto"/>
              </w:rPr>
            </w:pPr>
          </w:p>
        </w:tc>
        <w:tc>
          <w:tcPr>
            <w:tcW w:w="11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12.5%</w:t>
            </w:r>
          </w:p>
        </w:tc>
        <w:tc>
          <w:tcPr>
            <w:tcW w:w="240" w:type="dxa"/>
            <w:vAlign w:val="bottom"/>
            <w:shd w:val="clear" w:color="auto" w:fill="D9D9D6"/>
          </w:tcPr>
          <w:p>
            <w:pPr>
              <w:spacing w:after="0"/>
              <w:rPr>
                <w:sz w:val="14"/>
                <w:szCs w:val="14"/>
                <w:color w:val="auto"/>
              </w:rPr>
            </w:pPr>
          </w:p>
        </w:tc>
        <w:tc>
          <w:tcPr>
            <w:tcW w:w="10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i w:val="1"/>
                <w:iCs w:val="1"/>
                <w:color w:val="auto"/>
              </w:rPr>
              <w:t>10.3%</w:t>
            </w:r>
          </w:p>
        </w:tc>
        <w:tc>
          <w:tcPr>
            <w:tcW w:w="620" w:type="dxa"/>
            <w:vAlign w:val="bottom"/>
            <w:shd w:val="clear" w:color="auto" w:fill="D9D9D6"/>
          </w:tcPr>
          <w:p>
            <w:pPr>
              <w:spacing w:after="0"/>
              <w:rPr>
                <w:sz w:val="14"/>
                <w:szCs w:val="14"/>
                <w:color w:val="auto"/>
              </w:rPr>
            </w:pPr>
          </w:p>
        </w:tc>
        <w:tc>
          <w:tcPr>
            <w:tcW w:w="460" w:type="dxa"/>
            <w:vAlign w:val="bottom"/>
            <w:shd w:val="clear" w:color="auto" w:fill="D9D9D6"/>
          </w:tcPr>
          <w:p>
            <w:pPr>
              <w:spacing w:after="0"/>
              <w:rPr>
                <w:sz w:val="14"/>
                <w:szCs w:val="14"/>
                <w:color w:val="auto"/>
              </w:rPr>
            </w:pPr>
          </w:p>
        </w:tc>
        <w:tc>
          <w:tcPr>
            <w:tcW w:w="6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Beginning in the first quarter of 2019, Cable Communications results include our wireless phone service and certain other business development initiatives which were previously presented in Corporate and Other. Prior periods have been adjusted to reflect this presentation.</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3.9% to $14.5 billion in the second quarter of 2019, driven primarily by increases in high-speed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business services and wireless revenue. High-speed internet revenue increased 9.4%, driven by an increase in the number of residential high-speed internet customers and rate adjustments. Business services revenue increased 9.8%, due to increases in the number of customers receiving our services and rate adjustments. Wireless revenue increased 21.0%, reflecting an increase in the number of customer lines, partially offset by lower device sales as more customers bring their own device. Other revenue increased 6.0%, primarily due to increases in revenue from our security and automation services. Advertising revenue decreased 8.7%, primarily reflecting a decrease in political advertising revenue. Excluding political advertising revenue, advertising revenue decreased 2.5%. Video revenue decreased 0.6%, reflecting a decrease in the number of residential video customers, partially offset by rate adjustments. Voice revenue decreased 1.1%, primarily due to a decrease in the number of residential voice customers.</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2019, Cable revenue increased 4.0% to $28.7 billion compared to 2018, driven by growth in high-speed internet, business services, wireless and other revenue, partially offset by a decrease in advertising, video and voice revenue.</w:t>
      </w:r>
    </w:p>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152,000 to 30.9 million in the second quarter of 2019. Residential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123,000 and business customer relationships increased by 29,000. At the end of the second quarter, 66.6% of our residential customers received at least two Xfinity products. Total high-speed internet customer net additions were 209,000, total video customer net losses were 224,000, total voice customer net losses were 65,000 and total security and automation customer net additions were 23,000. In addition, Cable Communications added 181,000 wireless lines in the quarter.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7320" w:type="dxa"/>
            <w:vAlign w:val="bottom"/>
            <w:tcBorders>
              <w:bottom w:val="single" w:sz="8" w:color="D9D9D6"/>
            </w:tcBorders>
            <w:shd w:val="clear" w:color="auto" w:fill="D9D9D6"/>
          </w:tcPr>
          <w:p>
            <w:pPr>
              <w:ind w:left="60"/>
              <w:spacing w:after="0"/>
              <w:rPr>
                <w:sz w:val="20"/>
                <w:szCs w:val="20"/>
                <w:color w:val="auto"/>
              </w:rPr>
            </w:pPr>
            <w:r>
              <w:rPr>
                <w:rFonts w:ascii="Arial" w:cs="Arial" w:eastAsia="Arial" w:hAnsi="Arial"/>
                <w:sz w:val="11"/>
                <w:szCs w:val="11"/>
                <w:i w:val="1"/>
                <w:iCs w:val="1"/>
                <w:color w:val="auto"/>
              </w:rPr>
              <w:t>(in thousands)</w:t>
            </w:r>
          </w:p>
        </w:tc>
        <w:tc>
          <w:tcPr>
            <w:tcW w:w="100" w:type="dxa"/>
            <w:vAlign w:val="bottom"/>
            <w:tcBorders>
              <w:bottom w:val="single" w:sz="8" w:color="D9D9D6"/>
            </w:tcBorders>
            <w:shd w:val="clear" w:color="auto" w:fill="D9D9D6"/>
          </w:tcPr>
          <w:p>
            <w:pPr>
              <w:spacing w:after="0"/>
              <w:rPr>
                <w:sz w:val="14"/>
                <w:szCs w:val="14"/>
                <w:color w:val="auto"/>
              </w:rPr>
            </w:pPr>
          </w:p>
        </w:tc>
        <w:tc>
          <w:tcPr>
            <w:tcW w:w="860" w:type="dxa"/>
            <w:vAlign w:val="bottom"/>
            <w:tcBorders>
              <w:bottom w:val="single" w:sz="8" w:color="D9D9D6"/>
            </w:tcBorders>
            <w:gridSpan w:val="3"/>
            <w:vMerge w:val="restart"/>
            <w:shd w:val="clear" w:color="auto" w:fill="D9D9D6"/>
          </w:tcPr>
          <w:p>
            <w:pPr>
              <w:jc w:val="right"/>
              <w:ind w:right="120"/>
              <w:spacing w:after="0"/>
              <w:rPr>
                <w:sz w:val="20"/>
                <w:szCs w:val="20"/>
                <w:color w:val="auto"/>
              </w:rPr>
            </w:pPr>
            <w:r>
              <w:rPr>
                <w:rFonts w:ascii="Arial" w:cs="Arial" w:eastAsia="Arial" w:hAnsi="Arial"/>
                <w:sz w:val="14"/>
                <w:szCs w:val="14"/>
                <w:color w:val="auto"/>
              </w:rPr>
              <w:t xml:space="preserve">2Q18 </w:t>
            </w:r>
            <w:r>
              <w:rPr>
                <w:rFonts w:ascii="Arial" w:cs="Arial" w:eastAsia="Arial" w:hAnsi="Arial"/>
                <w:sz w:val="23"/>
                <w:szCs w:val="23"/>
                <w:color w:val="auto"/>
                <w:vertAlign w:val="superscript"/>
              </w:rPr>
              <w:t>6</w:t>
            </w:r>
          </w:p>
        </w:tc>
        <w:tc>
          <w:tcPr>
            <w:tcW w:w="400" w:type="dxa"/>
            <w:vAlign w:val="bottom"/>
            <w:tcBorders>
              <w:bottom w:val="single" w:sz="8" w:color="D9D9D6"/>
            </w:tcBorders>
            <w:shd w:val="clear" w:color="auto" w:fill="D9D9D6"/>
          </w:tcPr>
          <w:p>
            <w:pPr>
              <w:spacing w:after="0"/>
              <w:rPr>
                <w:sz w:val="14"/>
                <w:szCs w:val="14"/>
                <w:color w:val="auto"/>
              </w:rPr>
            </w:pPr>
          </w:p>
        </w:tc>
        <w:tc>
          <w:tcPr>
            <w:tcW w:w="340" w:type="dxa"/>
            <w:vAlign w:val="bottom"/>
            <w:tcBorders>
              <w:bottom w:val="single" w:sz="8" w:color="D9D9D6"/>
            </w:tcBorders>
            <w:shd w:val="clear" w:color="auto" w:fill="D9D9D6"/>
          </w:tcPr>
          <w:p>
            <w:pPr>
              <w:spacing w:after="0"/>
              <w:rPr>
                <w:sz w:val="14"/>
                <w:szCs w:val="14"/>
                <w:color w:val="auto"/>
              </w:rPr>
            </w:pPr>
          </w:p>
        </w:tc>
        <w:tc>
          <w:tcPr>
            <w:tcW w:w="760" w:type="dxa"/>
            <w:vAlign w:val="bottom"/>
            <w:tcBorders>
              <w:bottom w:val="single" w:sz="8" w:color="D9D9D6"/>
            </w:tcBorders>
            <w:shd w:val="clear" w:color="auto" w:fill="D9D9D6"/>
          </w:tcPr>
          <w:p>
            <w:pPr>
              <w:spacing w:after="0"/>
              <w:rPr>
                <w:sz w:val="14"/>
                <w:szCs w:val="14"/>
                <w:color w:val="auto"/>
              </w:rPr>
            </w:pPr>
          </w:p>
        </w:tc>
        <w:tc>
          <w:tcPr>
            <w:tcW w:w="300" w:type="dxa"/>
            <w:vAlign w:val="bottom"/>
            <w:tcBorders>
              <w:bottom w:val="single" w:sz="8" w:color="D9D9D6"/>
            </w:tcBorders>
            <w:shd w:val="clear" w:color="auto" w:fill="D9D9D6"/>
          </w:tcPr>
          <w:p>
            <w:pPr>
              <w:spacing w:after="0"/>
              <w:rPr>
                <w:sz w:val="14"/>
                <w:szCs w:val="14"/>
                <w:color w:val="auto"/>
              </w:rPr>
            </w:pPr>
          </w:p>
        </w:tc>
        <w:tc>
          <w:tcPr>
            <w:tcW w:w="100" w:type="dxa"/>
            <w:vAlign w:val="bottom"/>
            <w:tcBorders>
              <w:bottom w:val="single" w:sz="8" w:color="D9D9D6"/>
            </w:tcBorders>
            <w:shd w:val="clear" w:color="auto" w:fill="D9D9D6"/>
          </w:tcPr>
          <w:p>
            <w:pPr>
              <w:spacing w:after="0"/>
              <w:rPr>
                <w:sz w:val="14"/>
                <w:szCs w:val="14"/>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Net Additions</w:t>
            </w:r>
          </w:p>
        </w:tc>
        <w:tc>
          <w:tcPr>
            <w:tcW w:w="20" w:type="dxa"/>
            <w:vAlign w:val="bottom"/>
            <w:tcBorders>
              <w:bottom w:val="single" w:sz="8" w:color="D9D9D6"/>
            </w:tcBorders>
            <w:shd w:val="clear" w:color="auto" w:fill="D9D9D6"/>
          </w:tcPr>
          <w:p>
            <w:pPr>
              <w:spacing w:after="0"/>
              <w:rPr>
                <w:sz w:val="14"/>
                <w:szCs w:val="14"/>
                <w:color w:val="auto"/>
              </w:rPr>
            </w:pPr>
          </w:p>
        </w:tc>
        <w:tc>
          <w:tcPr>
            <w:tcW w:w="360" w:type="dxa"/>
            <w:vAlign w:val="bottom"/>
            <w:tcBorders>
              <w:bottom w:val="single" w:sz="8" w:color="D9D9D6"/>
            </w:tcBorders>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320" w:type="dxa"/>
            <w:vAlign w:val="bottom"/>
            <w:shd w:val="clear" w:color="auto" w:fill="D9D9D6"/>
          </w:tcPr>
          <w:p>
            <w:pPr>
              <w:spacing w:after="0"/>
              <w:rPr>
                <w:sz w:val="14"/>
                <w:szCs w:val="14"/>
                <w:color w:val="auto"/>
              </w:rPr>
            </w:pPr>
          </w:p>
        </w:tc>
        <w:tc>
          <w:tcPr>
            <w:tcW w:w="100" w:type="dxa"/>
            <w:vAlign w:val="bottom"/>
            <w:shd w:val="clear" w:color="auto" w:fill="D9D9D6"/>
          </w:tcPr>
          <w:p>
            <w:pPr>
              <w:spacing w:after="0"/>
              <w:rPr>
                <w:sz w:val="14"/>
                <w:szCs w:val="14"/>
                <w:color w:val="auto"/>
              </w:rPr>
            </w:pPr>
          </w:p>
        </w:tc>
        <w:tc>
          <w:tcPr>
            <w:tcW w:w="860" w:type="dxa"/>
            <w:vAlign w:val="bottom"/>
            <w:gridSpan w:val="3"/>
            <w:vMerge w:val="continue"/>
            <w:shd w:val="clear" w:color="auto" w:fill="D9D9D6"/>
          </w:tcPr>
          <w:p>
            <w:pPr>
              <w:spacing w:after="0"/>
              <w:rPr>
                <w:sz w:val="14"/>
                <w:szCs w:val="14"/>
                <w:color w:val="auto"/>
              </w:rPr>
            </w:pPr>
          </w:p>
        </w:tc>
        <w:tc>
          <w:tcPr>
            <w:tcW w:w="400" w:type="dxa"/>
            <w:vAlign w:val="bottom"/>
            <w:shd w:val="clear" w:color="auto" w:fill="D9D9D6"/>
          </w:tcPr>
          <w:p>
            <w:pPr>
              <w:spacing w:after="0"/>
              <w:rPr>
                <w:sz w:val="14"/>
                <w:szCs w:val="14"/>
                <w:color w:val="auto"/>
              </w:rPr>
            </w:pPr>
          </w:p>
        </w:tc>
        <w:tc>
          <w:tcPr>
            <w:tcW w:w="1100" w:type="dxa"/>
            <w:vAlign w:val="bottom"/>
            <w:gridSpan w:val="2"/>
            <w:shd w:val="clear" w:color="auto" w:fill="D9D9D6"/>
          </w:tcPr>
          <w:p>
            <w:pPr>
              <w:jc w:val="right"/>
              <w:ind w:right="760"/>
              <w:spacing w:after="0" w:line="142" w:lineRule="exact"/>
              <w:rPr>
                <w:sz w:val="20"/>
                <w:szCs w:val="20"/>
                <w:color w:val="auto"/>
              </w:rPr>
            </w:pPr>
            <w:r>
              <w:rPr>
                <w:rFonts w:ascii="Arial" w:cs="Arial" w:eastAsia="Arial" w:hAnsi="Arial"/>
                <w:sz w:val="14"/>
                <w:szCs w:val="14"/>
                <w:color w:val="auto"/>
                <w:w w:val="93"/>
              </w:rPr>
              <w:t>2Q19</w:t>
            </w:r>
          </w:p>
        </w:tc>
        <w:tc>
          <w:tcPr>
            <w:tcW w:w="300" w:type="dxa"/>
            <w:vAlign w:val="bottom"/>
            <w:shd w:val="clear" w:color="auto" w:fill="D9D9D6"/>
          </w:tcPr>
          <w:p>
            <w:pPr>
              <w:spacing w:after="0"/>
              <w:rPr>
                <w:sz w:val="14"/>
                <w:szCs w:val="14"/>
                <w:color w:val="auto"/>
              </w:rPr>
            </w:pPr>
          </w:p>
        </w:tc>
        <w:tc>
          <w:tcPr>
            <w:tcW w:w="980" w:type="dxa"/>
            <w:vAlign w:val="bottom"/>
            <w:gridSpan w:val="4"/>
            <w:shd w:val="clear" w:color="auto" w:fill="D9D9D6"/>
          </w:tcPr>
          <w:p>
            <w:pPr>
              <w:spacing w:after="0" w:line="142" w:lineRule="exact"/>
              <w:rPr>
                <w:sz w:val="20"/>
                <w:szCs w:val="20"/>
                <w:color w:val="auto"/>
              </w:rPr>
            </w:pPr>
            <w:r>
              <w:rPr>
                <w:rFonts w:ascii="Arial" w:cs="Arial" w:eastAsia="Arial" w:hAnsi="Arial"/>
                <w:sz w:val="11"/>
                <w:szCs w:val="11"/>
                <w:color w:val="auto"/>
              </w:rPr>
              <w:t xml:space="preserve">2Q18 </w:t>
            </w:r>
            <w:r>
              <w:rPr>
                <w:rFonts w:ascii="Arial" w:cs="Arial" w:eastAsia="Arial" w:hAnsi="Arial"/>
                <w:sz w:val="16"/>
                <w:szCs w:val="16"/>
                <w:color w:val="auto"/>
                <w:vertAlign w:val="superscript"/>
              </w:rPr>
              <w:t>6</w:t>
            </w:r>
          </w:p>
        </w:tc>
        <w:tc>
          <w:tcPr>
            <w:tcW w:w="360" w:type="dxa"/>
            <w:vAlign w:val="bottom"/>
            <w:shd w:val="clear" w:color="auto" w:fill="D9D9D6"/>
          </w:tcPr>
          <w:p>
            <w:pPr>
              <w:jc w:val="right"/>
              <w:spacing w:after="0" w:line="142" w:lineRule="exact"/>
              <w:rPr>
                <w:sz w:val="20"/>
                <w:szCs w:val="20"/>
                <w:color w:val="auto"/>
              </w:rPr>
            </w:pPr>
            <w:r>
              <w:rPr>
                <w:rFonts w:ascii="Arial" w:cs="Arial" w:eastAsia="Arial" w:hAnsi="Arial"/>
                <w:sz w:val="14"/>
                <w:szCs w:val="14"/>
                <w:color w:val="auto"/>
                <w:w w:val="99"/>
              </w:rPr>
              <w:t>2Q19</w:t>
            </w:r>
          </w:p>
        </w:tc>
        <w:tc>
          <w:tcPr>
            <w:tcW w:w="0" w:type="dxa"/>
            <w:vAlign w:val="bottom"/>
          </w:tcPr>
          <w:p>
            <w:pPr>
              <w:spacing w:after="0"/>
              <w:rPr>
                <w:sz w:val="1"/>
                <w:szCs w:val="1"/>
                <w:color w:val="auto"/>
              </w:rPr>
            </w:pPr>
          </w:p>
        </w:tc>
      </w:tr>
      <w:tr>
        <w:trPr>
          <w:trHeight w:val="203"/>
        </w:trPr>
        <w:tc>
          <w:tcPr>
            <w:tcW w:w="7320" w:type="dxa"/>
            <w:vAlign w:val="bottom"/>
            <w:tcBorders>
              <w:top w:val="single" w:sz="8" w:color="D9D9D6"/>
            </w:tcBorders>
            <w:shd w:val="clear" w:color="auto" w:fill="D9D9D6"/>
          </w:tcPr>
          <w:p>
            <w:pPr>
              <w:ind w:left="60"/>
              <w:spacing w:after="0"/>
              <w:rPr>
                <w:sz w:val="20"/>
                <w:szCs w:val="20"/>
                <w:color w:val="auto"/>
              </w:rPr>
            </w:pPr>
            <w:r>
              <w:rPr>
                <w:rFonts w:ascii="Arial" w:cs="Arial" w:eastAsia="Arial" w:hAnsi="Arial"/>
                <w:sz w:val="14"/>
                <w:szCs w:val="14"/>
                <w:b w:val="1"/>
                <w:bCs w:val="1"/>
                <w:color w:val="auto"/>
              </w:rPr>
              <w:t>Customer Relationships</w:t>
            </w:r>
          </w:p>
        </w:tc>
        <w:tc>
          <w:tcPr>
            <w:tcW w:w="100" w:type="dxa"/>
            <w:vAlign w:val="bottom"/>
            <w:tcBorders>
              <w:top w:val="single" w:sz="8" w:color="D9D9D6"/>
            </w:tcBorders>
            <w:shd w:val="clear" w:color="auto" w:fill="D9D9D6"/>
          </w:tcPr>
          <w:p>
            <w:pPr>
              <w:spacing w:after="0"/>
              <w:rPr>
                <w:sz w:val="17"/>
                <w:szCs w:val="17"/>
                <w:color w:val="auto"/>
              </w:rPr>
            </w:pPr>
          </w:p>
        </w:tc>
        <w:tc>
          <w:tcPr>
            <w:tcW w:w="280" w:type="dxa"/>
            <w:vAlign w:val="bottom"/>
            <w:tcBorders>
              <w:top w:val="single" w:sz="8" w:color="D9D9D6"/>
            </w:tcBorders>
            <w:shd w:val="clear" w:color="auto" w:fill="D9D9D6"/>
          </w:tcPr>
          <w:p>
            <w:pPr>
              <w:spacing w:after="0"/>
              <w:rPr>
                <w:sz w:val="17"/>
                <w:szCs w:val="17"/>
                <w:color w:val="auto"/>
              </w:rPr>
            </w:pPr>
          </w:p>
        </w:tc>
        <w:tc>
          <w:tcPr>
            <w:tcW w:w="40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D9D9D6"/>
            </w:tcBorders>
            <w:shd w:val="clear" w:color="auto" w:fill="D9D9D6"/>
          </w:tcPr>
          <w:p>
            <w:pPr>
              <w:spacing w:after="0"/>
              <w:rPr>
                <w:sz w:val="17"/>
                <w:szCs w:val="17"/>
                <w:color w:val="auto"/>
              </w:rPr>
            </w:pPr>
          </w:p>
        </w:tc>
        <w:tc>
          <w:tcPr>
            <w:tcW w:w="400" w:type="dxa"/>
            <w:vAlign w:val="bottom"/>
            <w:tcBorders>
              <w:top w:val="single" w:sz="8" w:color="D9D9D6"/>
            </w:tcBorders>
            <w:shd w:val="clear" w:color="auto" w:fill="D9D9D6"/>
          </w:tcPr>
          <w:p>
            <w:pPr>
              <w:spacing w:after="0"/>
              <w:rPr>
                <w:sz w:val="17"/>
                <w:szCs w:val="17"/>
                <w:color w:val="auto"/>
              </w:rPr>
            </w:pPr>
          </w:p>
        </w:tc>
        <w:tc>
          <w:tcPr>
            <w:tcW w:w="340" w:type="dxa"/>
            <w:vAlign w:val="bottom"/>
            <w:tcBorders>
              <w:top w:val="single" w:sz="8" w:color="auto"/>
            </w:tcBorders>
            <w:shd w:val="clear" w:color="auto" w:fill="D9D9D6"/>
          </w:tcPr>
          <w:p>
            <w:pPr>
              <w:spacing w:after="0"/>
              <w:rPr>
                <w:sz w:val="17"/>
                <w:szCs w:val="17"/>
                <w:color w:val="auto"/>
              </w:rPr>
            </w:pPr>
          </w:p>
        </w:tc>
        <w:tc>
          <w:tcPr>
            <w:tcW w:w="760" w:type="dxa"/>
            <w:vAlign w:val="bottom"/>
            <w:tcBorders>
              <w:top w:val="single" w:sz="8" w:color="D9D9D6"/>
            </w:tcBorders>
            <w:shd w:val="clear" w:color="auto" w:fill="D9D9D6"/>
          </w:tcPr>
          <w:p>
            <w:pPr>
              <w:spacing w:after="0"/>
              <w:rPr>
                <w:sz w:val="17"/>
                <w:szCs w:val="17"/>
                <w:color w:val="auto"/>
              </w:rPr>
            </w:pPr>
          </w:p>
        </w:tc>
        <w:tc>
          <w:tcPr>
            <w:tcW w:w="300" w:type="dxa"/>
            <w:vAlign w:val="bottom"/>
            <w:tcBorders>
              <w:top w:val="single" w:sz="8" w:color="D9D9D6"/>
            </w:tcBorders>
            <w:shd w:val="clear" w:color="auto" w:fill="D9D9D6"/>
          </w:tcPr>
          <w:p>
            <w:pPr>
              <w:spacing w:after="0"/>
              <w:rPr>
                <w:sz w:val="17"/>
                <w:szCs w:val="17"/>
                <w:color w:val="auto"/>
              </w:rPr>
            </w:pPr>
          </w:p>
        </w:tc>
        <w:tc>
          <w:tcPr>
            <w:tcW w:w="100" w:type="dxa"/>
            <w:vAlign w:val="bottom"/>
            <w:tcBorders>
              <w:top w:val="single" w:sz="8" w:color="auto"/>
            </w:tcBorders>
            <w:shd w:val="clear" w:color="auto" w:fill="D9D9D6"/>
          </w:tcPr>
          <w:p>
            <w:pPr>
              <w:spacing w:after="0"/>
              <w:rPr>
                <w:sz w:val="17"/>
                <w:szCs w:val="17"/>
                <w:color w:val="auto"/>
              </w:rPr>
            </w:pPr>
          </w:p>
        </w:tc>
        <w:tc>
          <w:tcPr>
            <w:tcW w:w="300" w:type="dxa"/>
            <w:vAlign w:val="bottom"/>
            <w:tcBorders>
              <w:top w:val="single" w:sz="8" w:color="auto"/>
            </w:tcBorders>
            <w:shd w:val="clear" w:color="auto" w:fill="D9D9D6"/>
          </w:tcPr>
          <w:p>
            <w:pPr>
              <w:spacing w:after="0"/>
              <w:rPr>
                <w:sz w:val="17"/>
                <w:szCs w:val="17"/>
                <w:color w:val="auto"/>
              </w:rPr>
            </w:pPr>
          </w:p>
        </w:tc>
        <w:tc>
          <w:tcPr>
            <w:tcW w:w="560" w:type="dxa"/>
            <w:vAlign w:val="bottom"/>
            <w:tcBorders>
              <w:top w:val="single" w:sz="8" w:color="D9D9D6"/>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Residential Customer Relationships</w:t>
            </w:r>
          </w:p>
        </w:tc>
        <w:tc>
          <w:tcPr>
            <w:tcW w:w="10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27,600</w:t>
            </w:r>
          </w:p>
        </w:tc>
        <w:tc>
          <w:tcPr>
            <w:tcW w:w="1500" w:type="dxa"/>
            <w:vAlign w:val="bottom"/>
            <w:gridSpan w:val="3"/>
            <w:shd w:val="clear" w:color="auto" w:fill="D9D9D6"/>
          </w:tcPr>
          <w:p>
            <w:pPr>
              <w:jc w:val="right"/>
              <w:ind w:right="760"/>
              <w:spacing w:after="0"/>
              <w:rPr>
                <w:sz w:val="20"/>
                <w:szCs w:val="20"/>
                <w:color w:val="auto"/>
              </w:rPr>
            </w:pPr>
            <w:r>
              <w:rPr>
                <w:rFonts w:ascii="Arial" w:cs="Arial" w:eastAsia="Arial" w:hAnsi="Arial"/>
                <w:sz w:val="14"/>
                <w:szCs w:val="14"/>
                <w:color w:val="auto"/>
              </w:rPr>
              <w:t>28,508</w:t>
            </w:r>
          </w:p>
        </w:tc>
        <w:tc>
          <w:tcPr>
            <w:tcW w:w="1260" w:type="dxa"/>
            <w:vAlign w:val="bottom"/>
            <w:gridSpan w:val="4"/>
            <w:shd w:val="clear" w:color="auto" w:fill="D9D9D6"/>
          </w:tcPr>
          <w:p>
            <w:pPr>
              <w:jc w:val="right"/>
              <w:ind w:right="540"/>
              <w:spacing w:after="0"/>
              <w:rPr>
                <w:sz w:val="20"/>
                <w:szCs w:val="20"/>
                <w:color w:val="auto"/>
              </w:rPr>
            </w:pPr>
            <w:r>
              <w:rPr>
                <w:rFonts w:ascii="Arial" w:cs="Arial" w:eastAsia="Arial" w:hAnsi="Arial"/>
                <w:sz w:val="14"/>
                <w:szCs w:val="14"/>
                <w:color w:val="auto"/>
              </w:rPr>
              <w:t>163</w:t>
            </w:r>
          </w:p>
        </w:tc>
        <w:tc>
          <w:tcPr>
            <w:tcW w:w="20" w:type="dxa"/>
            <w:vAlign w:val="bottom"/>
            <w:shd w:val="clear" w:color="auto" w:fill="D9D9D6"/>
          </w:tcPr>
          <w:p>
            <w:pPr>
              <w:spacing w:after="0"/>
              <w:rPr>
                <w:sz w:val="17"/>
                <w:szCs w:val="17"/>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3"/>
        </w:trPr>
        <w:tc>
          <w:tcPr>
            <w:tcW w:w="7320" w:type="dxa"/>
            <w:vAlign w:val="bottom"/>
            <w:tcBorders>
              <w:bottom w:val="single" w:sz="8" w:color="D9D9D6"/>
            </w:tcBorders>
            <w:shd w:val="clear" w:color="auto" w:fill="D9D9D6"/>
          </w:tcPr>
          <w:p>
            <w:pPr>
              <w:ind w:left="180"/>
              <w:spacing w:after="0"/>
              <w:rPr>
                <w:sz w:val="20"/>
                <w:szCs w:val="20"/>
                <w:color w:val="auto"/>
              </w:rPr>
            </w:pPr>
            <w:r>
              <w:rPr>
                <w:rFonts w:ascii="Arial" w:cs="Arial" w:eastAsia="Arial" w:hAnsi="Arial"/>
                <w:sz w:val="14"/>
                <w:szCs w:val="14"/>
                <w:color w:val="auto"/>
              </w:rPr>
              <w:t>Business Services Customer Relationships</w:t>
            </w:r>
          </w:p>
        </w:tc>
        <w:tc>
          <w:tcPr>
            <w:tcW w:w="100" w:type="dxa"/>
            <w:vAlign w:val="bottom"/>
            <w:tcBorders>
              <w:bottom w:val="single" w:sz="8" w:color="D9D9D6"/>
            </w:tcBorders>
            <w:shd w:val="clear" w:color="auto" w:fill="D9D9D6"/>
          </w:tcPr>
          <w:p>
            <w:pPr>
              <w:spacing w:after="0"/>
              <w:rPr>
                <w:sz w:val="17"/>
                <w:szCs w:val="17"/>
                <w:color w:val="auto"/>
              </w:rPr>
            </w:pPr>
          </w:p>
        </w:tc>
        <w:tc>
          <w:tcPr>
            <w:tcW w:w="860" w:type="dxa"/>
            <w:vAlign w:val="bottom"/>
            <w:tcBorders>
              <w:bottom w:val="single" w:sz="8" w:color="auto"/>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2,244</w:t>
            </w:r>
          </w:p>
        </w:tc>
        <w:tc>
          <w:tcPr>
            <w:tcW w:w="7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2,356</w:t>
            </w:r>
          </w:p>
        </w:tc>
        <w:tc>
          <w:tcPr>
            <w:tcW w:w="760" w:type="dxa"/>
            <w:vAlign w:val="bottom"/>
            <w:tcBorders>
              <w:bottom w:val="single" w:sz="8" w:color="D9D9D6"/>
            </w:tcBorders>
            <w:shd w:val="clear" w:color="auto" w:fill="D9D9D6"/>
          </w:tcPr>
          <w:p>
            <w:pPr>
              <w:spacing w:after="0"/>
              <w:rPr>
                <w:sz w:val="17"/>
                <w:szCs w:val="17"/>
                <w:color w:val="auto"/>
              </w:rPr>
            </w:pPr>
          </w:p>
        </w:tc>
        <w:tc>
          <w:tcPr>
            <w:tcW w:w="1260" w:type="dxa"/>
            <w:vAlign w:val="bottom"/>
            <w:tcBorders>
              <w:bottom w:val="single" w:sz="8" w:color="auto"/>
            </w:tcBorders>
            <w:gridSpan w:val="4"/>
            <w:shd w:val="clear" w:color="auto" w:fill="D9D9D6"/>
          </w:tcPr>
          <w:p>
            <w:pPr>
              <w:jc w:val="right"/>
              <w:ind w:right="540"/>
              <w:spacing w:after="0"/>
              <w:rPr>
                <w:sz w:val="20"/>
                <w:szCs w:val="20"/>
                <w:color w:val="auto"/>
              </w:rPr>
            </w:pPr>
            <w:r>
              <w:rPr>
                <w:rFonts w:ascii="Arial" w:cs="Arial" w:eastAsia="Arial" w:hAnsi="Arial"/>
                <w:sz w:val="14"/>
                <w:szCs w:val="14"/>
                <w:color w:val="auto"/>
              </w:rPr>
              <w:t>36</w:t>
            </w:r>
          </w:p>
        </w:tc>
        <w:tc>
          <w:tcPr>
            <w:tcW w:w="20" w:type="dxa"/>
            <w:vAlign w:val="bottom"/>
            <w:tcBorders>
              <w:bottom w:val="single" w:sz="8" w:color="auto"/>
            </w:tcBorders>
            <w:shd w:val="clear" w:color="auto" w:fill="D9D9D6"/>
          </w:tcPr>
          <w:p>
            <w:pPr>
              <w:spacing w:after="0"/>
              <w:rPr>
                <w:sz w:val="17"/>
                <w:szCs w:val="17"/>
                <w:color w:val="auto"/>
              </w:rPr>
            </w:pPr>
          </w:p>
        </w:tc>
        <w:tc>
          <w:tcPr>
            <w:tcW w:w="36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6"/>
        </w:trPr>
        <w:tc>
          <w:tcPr>
            <w:tcW w:w="7320" w:type="dxa"/>
            <w:vAlign w:val="bottom"/>
            <w:shd w:val="clear" w:color="auto" w:fill="D9D9D6"/>
          </w:tcPr>
          <w:p>
            <w:pPr>
              <w:ind w:left="60"/>
              <w:spacing w:after="0"/>
              <w:rPr>
                <w:sz w:val="20"/>
                <w:szCs w:val="20"/>
                <w:color w:val="auto"/>
              </w:rPr>
            </w:pPr>
            <w:r>
              <w:rPr>
                <w:rFonts w:ascii="Arial" w:cs="Arial" w:eastAsia="Arial" w:hAnsi="Arial"/>
                <w:sz w:val="14"/>
                <w:szCs w:val="14"/>
                <w:b w:val="1"/>
                <w:bCs w:val="1"/>
                <w:color w:val="auto"/>
              </w:rPr>
              <w:t>Total Customer Relationships</w:t>
            </w:r>
          </w:p>
        </w:tc>
        <w:tc>
          <w:tcPr>
            <w:tcW w:w="10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29,843</w:t>
            </w:r>
          </w:p>
        </w:tc>
        <w:tc>
          <w:tcPr>
            <w:tcW w:w="7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30,864</w:t>
            </w:r>
          </w:p>
        </w:tc>
        <w:tc>
          <w:tcPr>
            <w:tcW w:w="760" w:type="dxa"/>
            <w:vAlign w:val="bottom"/>
            <w:shd w:val="clear" w:color="auto" w:fill="D9D9D6"/>
          </w:tcPr>
          <w:p>
            <w:pPr>
              <w:spacing w:after="0"/>
              <w:rPr>
                <w:sz w:val="17"/>
                <w:szCs w:val="17"/>
                <w:color w:val="auto"/>
              </w:rPr>
            </w:pPr>
          </w:p>
        </w:tc>
        <w:tc>
          <w:tcPr>
            <w:tcW w:w="1260" w:type="dxa"/>
            <w:vAlign w:val="bottom"/>
            <w:gridSpan w:val="4"/>
            <w:shd w:val="clear" w:color="auto" w:fill="D9D9D6"/>
          </w:tcPr>
          <w:p>
            <w:pPr>
              <w:jc w:val="right"/>
              <w:ind w:right="540"/>
              <w:spacing w:after="0"/>
              <w:rPr>
                <w:sz w:val="20"/>
                <w:szCs w:val="20"/>
                <w:color w:val="auto"/>
              </w:rPr>
            </w:pPr>
            <w:r>
              <w:rPr>
                <w:rFonts w:ascii="Arial" w:cs="Arial" w:eastAsia="Arial" w:hAnsi="Arial"/>
                <w:sz w:val="14"/>
                <w:szCs w:val="14"/>
                <w:b w:val="1"/>
                <w:bCs w:val="1"/>
                <w:color w:val="auto"/>
              </w:rPr>
              <w:t>199</w:t>
            </w:r>
          </w:p>
        </w:tc>
        <w:tc>
          <w:tcPr>
            <w:tcW w:w="20" w:type="dxa"/>
            <w:vAlign w:val="bottom"/>
            <w:shd w:val="clear" w:color="auto" w:fill="D9D9D6"/>
          </w:tcPr>
          <w:p>
            <w:pPr>
              <w:spacing w:after="0"/>
              <w:rPr>
                <w:sz w:val="17"/>
                <w:szCs w:val="17"/>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152</w:t>
            </w:r>
          </w:p>
        </w:tc>
        <w:tc>
          <w:tcPr>
            <w:tcW w:w="0" w:type="dxa"/>
            <w:vAlign w:val="bottom"/>
          </w:tcPr>
          <w:p>
            <w:pPr>
              <w:spacing w:after="0"/>
              <w:rPr>
                <w:sz w:val="1"/>
                <w:szCs w:val="1"/>
                <w:color w:val="auto"/>
              </w:rPr>
            </w:pPr>
          </w:p>
        </w:tc>
      </w:tr>
      <w:tr>
        <w:trPr>
          <w:trHeight w:val="405"/>
        </w:trPr>
        <w:tc>
          <w:tcPr>
            <w:tcW w:w="7320" w:type="dxa"/>
            <w:vAlign w:val="bottom"/>
            <w:shd w:val="clear" w:color="auto" w:fill="D9D9D6"/>
          </w:tcPr>
          <w:p>
            <w:pPr>
              <w:ind w:left="60"/>
              <w:spacing w:after="0"/>
              <w:rPr>
                <w:sz w:val="20"/>
                <w:szCs w:val="20"/>
                <w:color w:val="auto"/>
              </w:rPr>
            </w:pPr>
            <w:r>
              <w:rPr>
                <w:rFonts w:ascii="Arial" w:cs="Arial" w:eastAsia="Arial" w:hAnsi="Arial"/>
                <w:sz w:val="14"/>
                <w:szCs w:val="14"/>
                <w:b w:val="1"/>
                <w:bCs w:val="1"/>
                <w:color w:val="auto"/>
              </w:rPr>
              <w:t>Residential Customer Relationships Mix</w:t>
            </w:r>
          </w:p>
        </w:tc>
        <w:tc>
          <w:tcPr>
            <w:tcW w:w="100" w:type="dxa"/>
            <w:vAlign w:val="bottom"/>
            <w:shd w:val="clear" w:color="auto" w:fill="D9D9D6"/>
          </w:tcPr>
          <w:p>
            <w:pPr>
              <w:spacing w:after="0"/>
              <w:rPr>
                <w:sz w:val="24"/>
                <w:szCs w:val="24"/>
                <w:color w:val="auto"/>
              </w:rPr>
            </w:pPr>
          </w:p>
        </w:tc>
        <w:tc>
          <w:tcPr>
            <w:tcW w:w="280" w:type="dxa"/>
            <w:vAlign w:val="bottom"/>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760" w:type="dxa"/>
            <w:vAlign w:val="bottom"/>
            <w:shd w:val="clear" w:color="auto" w:fill="D9D9D6"/>
          </w:tcPr>
          <w:p>
            <w:pPr>
              <w:spacing w:after="0"/>
              <w:rPr>
                <w:sz w:val="24"/>
                <w:szCs w:val="24"/>
                <w:color w:val="auto"/>
              </w:rPr>
            </w:pPr>
          </w:p>
        </w:tc>
        <w:tc>
          <w:tcPr>
            <w:tcW w:w="30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30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3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One Product Residential Customers</w:t>
            </w:r>
          </w:p>
        </w:tc>
        <w:tc>
          <w:tcPr>
            <w:tcW w:w="100" w:type="dxa"/>
            <w:vAlign w:val="bottom"/>
            <w:shd w:val="clear" w:color="auto" w:fill="D9D9D6"/>
          </w:tcPr>
          <w:p>
            <w:pPr>
              <w:spacing w:after="0"/>
              <w:rPr>
                <w:sz w:val="18"/>
                <w:szCs w:val="18"/>
                <w:color w:val="auto"/>
              </w:rPr>
            </w:pPr>
          </w:p>
        </w:tc>
        <w:tc>
          <w:tcPr>
            <w:tcW w:w="86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8,594</w:t>
            </w:r>
          </w:p>
        </w:tc>
        <w:tc>
          <w:tcPr>
            <w:tcW w:w="7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9,526</w:t>
            </w:r>
          </w:p>
        </w:tc>
        <w:tc>
          <w:tcPr>
            <w:tcW w:w="760" w:type="dxa"/>
            <w:vAlign w:val="bottom"/>
            <w:shd w:val="clear" w:color="auto" w:fill="D9D9D6"/>
          </w:tcPr>
          <w:p>
            <w:pPr>
              <w:spacing w:after="0"/>
              <w:rPr>
                <w:sz w:val="18"/>
                <w:szCs w:val="18"/>
                <w:color w:val="auto"/>
              </w:rPr>
            </w:pPr>
          </w:p>
        </w:tc>
        <w:tc>
          <w:tcPr>
            <w:tcW w:w="1260" w:type="dxa"/>
            <w:vAlign w:val="bottom"/>
            <w:gridSpan w:val="4"/>
            <w:shd w:val="clear" w:color="auto" w:fill="D9D9D6"/>
          </w:tcPr>
          <w:p>
            <w:pPr>
              <w:jc w:val="right"/>
              <w:ind w:right="540"/>
              <w:spacing w:after="0"/>
              <w:rPr>
                <w:sz w:val="20"/>
                <w:szCs w:val="20"/>
                <w:color w:val="auto"/>
              </w:rPr>
            </w:pPr>
            <w:r>
              <w:rPr>
                <w:rFonts w:ascii="Arial" w:cs="Arial" w:eastAsia="Arial" w:hAnsi="Arial"/>
                <w:sz w:val="14"/>
                <w:szCs w:val="14"/>
                <w:color w:val="auto"/>
              </w:rPr>
              <w:t>204</w:t>
            </w:r>
          </w:p>
        </w:tc>
        <w:tc>
          <w:tcPr>
            <w:tcW w:w="20" w:type="dxa"/>
            <w:vAlign w:val="bottom"/>
            <w:shd w:val="clear" w:color="auto" w:fill="D9D9D6"/>
          </w:tcPr>
          <w:p>
            <w:pPr>
              <w:spacing w:after="0"/>
              <w:rPr>
                <w:sz w:val="18"/>
                <w:szCs w:val="18"/>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03"/>
        </w:trPr>
        <w:tc>
          <w:tcPr>
            <w:tcW w:w="73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Two Product Residential Customers</w:t>
            </w:r>
          </w:p>
        </w:tc>
        <w:tc>
          <w:tcPr>
            <w:tcW w:w="10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8,980</w:t>
            </w:r>
          </w:p>
        </w:tc>
        <w:tc>
          <w:tcPr>
            <w:tcW w:w="7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8,952</w:t>
            </w:r>
          </w:p>
        </w:tc>
        <w:tc>
          <w:tcPr>
            <w:tcW w:w="760" w:type="dxa"/>
            <w:vAlign w:val="bottom"/>
            <w:shd w:val="clear" w:color="auto" w:fill="D9D9D6"/>
          </w:tcPr>
          <w:p>
            <w:pPr>
              <w:spacing w:after="0"/>
              <w:rPr>
                <w:sz w:val="17"/>
                <w:szCs w:val="17"/>
                <w:color w:val="auto"/>
              </w:rPr>
            </w:pPr>
          </w:p>
        </w:tc>
        <w:tc>
          <w:tcPr>
            <w:tcW w:w="1260" w:type="dxa"/>
            <w:vAlign w:val="bottom"/>
            <w:gridSpan w:val="4"/>
            <w:shd w:val="clear" w:color="auto" w:fill="D9D9D6"/>
          </w:tcPr>
          <w:p>
            <w:pPr>
              <w:jc w:val="right"/>
              <w:ind w:right="500"/>
              <w:spacing w:after="0"/>
              <w:rPr>
                <w:sz w:val="20"/>
                <w:szCs w:val="20"/>
                <w:color w:val="auto"/>
              </w:rPr>
            </w:pPr>
            <w:r>
              <w:rPr>
                <w:rFonts w:ascii="Arial" w:cs="Arial" w:eastAsia="Arial" w:hAnsi="Arial"/>
                <w:sz w:val="14"/>
                <w:szCs w:val="14"/>
                <w:color w:val="auto"/>
              </w:rPr>
              <w:t>(80)</w:t>
            </w:r>
          </w:p>
        </w:tc>
        <w:tc>
          <w:tcPr>
            <w:tcW w:w="20" w:type="dxa"/>
            <w:vAlign w:val="bottom"/>
            <w:shd w:val="clear" w:color="auto" w:fill="D9D9D6"/>
          </w:tcPr>
          <w:p>
            <w:pPr>
              <w:spacing w:after="0"/>
              <w:rPr>
                <w:sz w:val="17"/>
                <w:szCs w:val="17"/>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3"/>
        </w:trPr>
        <w:tc>
          <w:tcPr>
            <w:tcW w:w="73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Three or More Product Residential Customers</w:t>
            </w:r>
          </w:p>
        </w:tc>
        <w:tc>
          <w:tcPr>
            <w:tcW w:w="10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10,026</w:t>
            </w:r>
          </w:p>
        </w:tc>
        <w:tc>
          <w:tcPr>
            <w:tcW w:w="7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10,030</w:t>
            </w:r>
          </w:p>
        </w:tc>
        <w:tc>
          <w:tcPr>
            <w:tcW w:w="760" w:type="dxa"/>
            <w:vAlign w:val="bottom"/>
            <w:shd w:val="clear" w:color="auto" w:fill="D9D9D6"/>
          </w:tcPr>
          <w:p>
            <w:pPr>
              <w:spacing w:after="0"/>
              <w:rPr>
                <w:sz w:val="17"/>
                <w:szCs w:val="17"/>
                <w:color w:val="auto"/>
              </w:rPr>
            </w:pPr>
          </w:p>
        </w:tc>
        <w:tc>
          <w:tcPr>
            <w:tcW w:w="1260" w:type="dxa"/>
            <w:vAlign w:val="bottom"/>
            <w:gridSpan w:val="4"/>
            <w:shd w:val="clear" w:color="auto" w:fill="D9D9D6"/>
          </w:tcPr>
          <w:p>
            <w:pPr>
              <w:jc w:val="right"/>
              <w:ind w:right="540"/>
              <w:spacing w:after="0"/>
              <w:rPr>
                <w:sz w:val="20"/>
                <w:szCs w:val="20"/>
                <w:color w:val="auto"/>
              </w:rPr>
            </w:pPr>
            <w:r>
              <w:rPr>
                <w:rFonts w:ascii="Arial" w:cs="Arial" w:eastAsia="Arial" w:hAnsi="Arial"/>
                <w:sz w:val="14"/>
                <w:szCs w:val="14"/>
                <w:color w:val="auto"/>
              </w:rPr>
              <w:t>39</w:t>
            </w:r>
          </w:p>
        </w:tc>
        <w:tc>
          <w:tcPr>
            <w:tcW w:w="20" w:type="dxa"/>
            <w:vAlign w:val="bottom"/>
            <w:shd w:val="clear" w:color="auto" w:fill="D9D9D6"/>
          </w:tcPr>
          <w:p>
            <w:pPr>
              <w:spacing w:after="0"/>
              <w:rPr>
                <w:sz w:val="17"/>
                <w:szCs w:val="17"/>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405"/>
        </w:trPr>
        <w:tc>
          <w:tcPr>
            <w:tcW w:w="73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Residential High-Speed Internet Customers</w:t>
            </w:r>
          </w:p>
        </w:tc>
        <w:tc>
          <w:tcPr>
            <w:tcW w:w="10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24,440</w:t>
            </w:r>
          </w:p>
        </w:tc>
        <w:tc>
          <w:tcPr>
            <w:tcW w:w="7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25,631</w:t>
            </w:r>
          </w:p>
        </w:tc>
        <w:tc>
          <w:tcPr>
            <w:tcW w:w="760" w:type="dxa"/>
            <w:vAlign w:val="bottom"/>
            <w:shd w:val="clear" w:color="auto" w:fill="D9D9D6"/>
          </w:tcPr>
          <w:p>
            <w:pPr>
              <w:spacing w:after="0"/>
              <w:rPr>
                <w:sz w:val="24"/>
                <w:szCs w:val="24"/>
                <w:color w:val="auto"/>
              </w:rPr>
            </w:pPr>
          </w:p>
        </w:tc>
        <w:tc>
          <w:tcPr>
            <w:tcW w:w="1260" w:type="dxa"/>
            <w:vAlign w:val="bottom"/>
            <w:gridSpan w:val="4"/>
            <w:shd w:val="clear" w:color="auto" w:fill="D9D9D6"/>
          </w:tcPr>
          <w:p>
            <w:pPr>
              <w:jc w:val="right"/>
              <w:ind w:right="540"/>
              <w:spacing w:after="0"/>
              <w:rPr>
                <w:sz w:val="20"/>
                <w:szCs w:val="20"/>
                <w:color w:val="auto"/>
              </w:rPr>
            </w:pPr>
            <w:r>
              <w:rPr>
                <w:rFonts w:ascii="Arial" w:cs="Arial" w:eastAsia="Arial" w:hAnsi="Arial"/>
                <w:sz w:val="14"/>
                <w:szCs w:val="14"/>
                <w:color w:val="auto"/>
              </w:rPr>
              <w:t>226</w:t>
            </w:r>
          </w:p>
        </w:tc>
        <w:tc>
          <w:tcPr>
            <w:tcW w:w="20" w:type="dxa"/>
            <w:vAlign w:val="bottom"/>
            <w:shd w:val="clear" w:color="auto" w:fill="D9D9D6"/>
          </w:tcPr>
          <w:p>
            <w:pPr>
              <w:spacing w:after="0"/>
              <w:rPr>
                <w:sz w:val="24"/>
                <w:szCs w:val="24"/>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88"/>
        </w:trPr>
        <w:tc>
          <w:tcPr>
            <w:tcW w:w="7320" w:type="dxa"/>
            <w:vAlign w:val="bottom"/>
            <w:tcBorders>
              <w:bottom w:val="single" w:sz="8" w:color="D9D9D6"/>
            </w:tcBorders>
            <w:shd w:val="clear" w:color="auto" w:fill="D9D9D6"/>
          </w:tcPr>
          <w:p>
            <w:pPr>
              <w:ind w:left="180"/>
              <w:spacing w:after="0"/>
              <w:rPr>
                <w:sz w:val="20"/>
                <w:szCs w:val="20"/>
                <w:color w:val="auto"/>
              </w:rPr>
            </w:pPr>
            <w:r>
              <w:rPr>
                <w:rFonts w:ascii="Arial" w:cs="Arial" w:eastAsia="Arial" w:hAnsi="Arial"/>
                <w:sz w:val="14"/>
                <w:szCs w:val="14"/>
                <w:color w:val="auto"/>
              </w:rPr>
              <w:t>Business Services High-Speed Internet Customers</w:t>
            </w:r>
          </w:p>
        </w:tc>
        <w:tc>
          <w:tcPr>
            <w:tcW w:w="1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2,069</w:t>
            </w:r>
          </w:p>
        </w:tc>
        <w:tc>
          <w:tcPr>
            <w:tcW w:w="7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2,176</w:t>
            </w:r>
          </w:p>
        </w:tc>
        <w:tc>
          <w:tcPr>
            <w:tcW w:w="760" w:type="dxa"/>
            <w:vAlign w:val="bottom"/>
            <w:tcBorders>
              <w:bottom w:val="single" w:sz="8" w:color="D9D9D6"/>
            </w:tcBorders>
            <w:shd w:val="clear" w:color="auto" w:fill="D9D9D6"/>
          </w:tcPr>
          <w:p>
            <w:pPr>
              <w:spacing w:after="0"/>
              <w:rPr>
                <w:sz w:val="16"/>
                <w:szCs w:val="16"/>
                <w:color w:val="auto"/>
              </w:rPr>
            </w:pPr>
          </w:p>
        </w:tc>
        <w:tc>
          <w:tcPr>
            <w:tcW w:w="1260" w:type="dxa"/>
            <w:vAlign w:val="bottom"/>
            <w:tcBorders>
              <w:bottom w:val="single" w:sz="8" w:color="auto"/>
            </w:tcBorders>
            <w:gridSpan w:val="4"/>
            <w:shd w:val="clear" w:color="auto" w:fill="D9D9D6"/>
          </w:tcPr>
          <w:p>
            <w:pPr>
              <w:jc w:val="right"/>
              <w:ind w:right="540"/>
              <w:spacing w:after="0"/>
              <w:rPr>
                <w:sz w:val="20"/>
                <w:szCs w:val="20"/>
                <w:color w:val="auto"/>
              </w:rPr>
            </w:pPr>
            <w:r>
              <w:rPr>
                <w:rFonts w:ascii="Arial" w:cs="Arial" w:eastAsia="Arial" w:hAnsi="Arial"/>
                <w:sz w:val="14"/>
                <w:szCs w:val="14"/>
                <w:color w:val="auto"/>
              </w:rPr>
              <w:t>34</w:t>
            </w:r>
          </w:p>
        </w:tc>
        <w:tc>
          <w:tcPr>
            <w:tcW w:w="20" w:type="dxa"/>
            <w:vAlign w:val="bottom"/>
            <w:tcBorders>
              <w:bottom w:val="single" w:sz="8" w:color="auto"/>
            </w:tcBorders>
            <w:shd w:val="clear" w:color="auto" w:fill="D9D9D6"/>
          </w:tcPr>
          <w:p>
            <w:pPr>
              <w:spacing w:after="0"/>
              <w:rPr>
                <w:sz w:val="16"/>
                <w:szCs w:val="16"/>
                <w:color w:val="auto"/>
              </w:rPr>
            </w:pPr>
          </w:p>
        </w:tc>
        <w:tc>
          <w:tcPr>
            <w:tcW w:w="36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11"/>
        </w:trPr>
        <w:tc>
          <w:tcPr>
            <w:tcW w:w="7320" w:type="dxa"/>
            <w:vAlign w:val="bottom"/>
            <w:shd w:val="clear" w:color="auto" w:fill="D9D9D6"/>
          </w:tcPr>
          <w:p>
            <w:pPr>
              <w:ind w:left="60"/>
              <w:spacing w:after="0"/>
              <w:rPr>
                <w:sz w:val="20"/>
                <w:szCs w:val="20"/>
                <w:color w:val="auto"/>
              </w:rPr>
            </w:pPr>
            <w:r>
              <w:rPr>
                <w:rFonts w:ascii="Arial" w:cs="Arial" w:eastAsia="Arial" w:hAnsi="Arial"/>
                <w:sz w:val="14"/>
                <w:szCs w:val="14"/>
                <w:b w:val="1"/>
                <w:bCs w:val="1"/>
                <w:color w:val="auto"/>
              </w:rPr>
              <w:t>Total High-Speed Internet Customers</w:t>
            </w:r>
          </w:p>
        </w:tc>
        <w:tc>
          <w:tcPr>
            <w:tcW w:w="100" w:type="dxa"/>
            <w:vAlign w:val="bottom"/>
            <w:shd w:val="clear" w:color="auto" w:fill="D9D9D6"/>
          </w:tcPr>
          <w:p>
            <w:pPr>
              <w:spacing w:after="0"/>
              <w:rPr>
                <w:sz w:val="18"/>
                <w:szCs w:val="18"/>
                <w:color w:val="auto"/>
              </w:rPr>
            </w:pPr>
          </w:p>
        </w:tc>
        <w:tc>
          <w:tcPr>
            <w:tcW w:w="86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26,509</w:t>
            </w:r>
          </w:p>
        </w:tc>
        <w:tc>
          <w:tcPr>
            <w:tcW w:w="7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27,807</w:t>
            </w:r>
          </w:p>
        </w:tc>
        <w:tc>
          <w:tcPr>
            <w:tcW w:w="760" w:type="dxa"/>
            <w:vAlign w:val="bottom"/>
            <w:shd w:val="clear" w:color="auto" w:fill="D9D9D6"/>
          </w:tcPr>
          <w:p>
            <w:pPr>
              <w:spacing w:after="0"/>
              <w:rPr>
                <w:sz w:val="18"/>
                <w:szCs w:val="18"/>
                <w:color w:val="auto"/>
              </w:rPr>
            </w:pPr>
          </w:p>
        </w:tc>
        <w:tc>
          <w:tcPr>
            <w:tcW w:w="1260" w:type="dxa"/>
            <w:vAlign w:val="bottom"/>
            <w:gridSpan w:val="4"/>
            <w:shd w:val="clear" w:color="auto" w:fill="D9D9D6"/>
          </w:tcPr>
          <w:p>
            <w:pPr>
              <w:jc w:val="right"/>
              <w:ind w:right="540"/>
              <w:spacing w:after="0"/>
              <w:rPr>
                <w:sz w:val="20"/>
                <w:szCs w:val="20"/>
                <w:color w:val="auto"/>
              </w:rPr>
            </w:pPr>
            <w:r>
              <w:rPr>
                <w:rFonts w:ascii="Arial" w:cs="Arial" w:eastAsia="Arial" w:hAnsi="Arial"/>
                <w:sz w:val="14"/>
                <w:szCs w:val="14"/>
                <w:b w:val="1"/>
                <w:bCs w:val="1"/>
                <w:color w:val="auto"/>
              </w:rPr>
              <w:t>260</w:t>
            </w:r>
          </w:p>
        </w:tc>
        <w:tc>
          <w:tcPr>
            <w:tcW w:w="20" w:type="dxa"/>
            <w:vAlign w:val="bottom"/>
            <w:shd w:val="clear" w:color="auto" w:fill="D9D9D6"/>
          </w:tcPr>
          <w:p>
            <w:pPr>
              <w:spacing w:after="0"/>
              <w:rPr>
                <w:sz w:val="18"/>
                <w:szCs w:val="18"/>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209</w:t>
            </w:r>
          </w:p>
        </w:tc>
        <w:tc>
          <w:tcPr>
            <w:tcW w:w="0" w:type="dxa"/>
            <w:vAlign w:val="bottom"/>
          </w:tcPr>
          <w:p>
            <w:pPr>
              <w:spacing w:after="0"/>
              <w:rPr>
                <w:sz w:val="1"/>
                <w:szCs w:val="1"/>
                <w:color w:val="auto"/>
              </w:rPr>
            </w:pPr>
          </w:p>
        </w:tc>
      </w:tr>
      <w:tr>
        <w:trPr>
          <w:trHeight w:val="405"/>
        </w:trPr>
        <w:tc>
          <w:tcPr>
            <w:tcW w:w="73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Residential Video Customers</w:t>
            </w:r>
          </w:p>
        </w:tc>
        <w:tc>
          <w:tcPr>
            <w:tcW w:w="10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21,074</w:t>
            </w:r>
          </w:p>
        </w:tc>
        <w:tc>
          <w:tcPr>
            <w:tcW w:w="7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20,642</w:t>
            </w:r>
          </w:p>
        </w:tc>
        <w:tc>
          <w:tcPr>
            <w:tcW w:w="760" w:type="dxa"/>
            <w:vAlign w:val="bottom"/>
            <w:shd w:val="clear" w:color="auto" w:fill="D9D9D6"/>
          </w:tcPr>
          <w:p>
            <w:pPr>
              <w:spacing w:after="0"/>
              <w:rPr>
                <w:sz w:val="24"/>
                <w:szCs w:val="24"/>
                <w:color w:val="auto"/>
              </w:rPr>
            </w:pPr>
          </w:p>
        </w:tc>
        <w:tc>
          <w:tcPr>
            <w:tcW w:w="1260" w:type="dxa"/>
            <w:vAlign w:val="bottom"/>
            <w:gridSpan w:val="4"/>
            <w:shd w:val="clear" w:color="auto" w:fill="D9D9D6"/>
          </w:tcPr>
          <w:p>
            <w:pPr>
              <w:jc w:val="right"/>
              <w:ind w:right="500"/>
              <w:spacing w:after="0"/>
              <w:rPr>
                <w:sz w:val="20"/>
                <w:szCs w:val="20"/>
                <w:color w:val="auto"/>
              </w:rPr>
            </w:pPr>
            <w:r>
              <w:rPr>
                <w:rFonts w:ascii="Arial" w:cs="Arial" w:eastAsia="Arial" w:hAnsi="Arial"/>
                <w:sz w:val="14"/>
                <w:szCs w:val="14"/>
                <w:color w:val="auto"/>
              </w:rPr>
              <w:t>(136)</w:t>
            </w:r>
          </w:p>
        </w:tc>
        <w:tc>
          <w:tcPr>
            <w:tcW w:w="20" w:type="dxa"/>
            <w:vAlign w:val="bottom"/>
            <w:shd w:val="clear" w:color="auto" w:fill="D9D9D6"/>
          </w:tcPr>
          <w:p>
            <w:pPr>
              <w:spacing w:after="0"/>
              <w:rPr>
                <w:sz w:val="24"/>
                <w:szCs w:val="24"/>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88"/>
        </w:trPr>
        <w:tc>
          <w:tcPr>
            <w:tcW w:w="7320" w:type="dxa"/>
            <w:vAlign w:val="bottom"/>
            <w:tcBorders>
              <w:bottom w:val="single" w:sz="8" w:color="D9D9D6"/>
            </w:tcBorders>
            <w:shd w:val="clear" w:color="auto" w:fill="D9D9D6"/>
          </w:tcPr>
          <w:p>
            <w:pPr>
              <w:ind w:left="180"/>
              <w:spacing w:after="0"/>
              <w:rPr>
                <w:sz w:val="20"/>
                <w:szCs w:val="20"/>
                <w:color w:val="auto"/>
              </w:rPr>
            </w:pPr>
            <w:r>
              <w:rPr>
                <w:rFonts w:ascii="Arial" w:cs="Arial" w:eastAsia="Arial" w:hAnsi="Arial"/>
                <w:sz w:val="14"/>
                <w:szCs w:val="14"/>
                <w:color w:val="auto"/>
              </w:rPr>
              <w:t>Business Services Video Customers</w:t>
            </w:r>
          </w:p>
        </w:tc>
        <w:tc>
          <w:tcPr>
            <w:tcW w:w="1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1,047</w:t>
            </w:r>
          </w:p>
        </w:tc>
        <w:tc>
          <w:tcPr>
            <w:tcW w:w="7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999</w:t>
            </w:r>
          </w:p>
        </w:tc>
        <w:tc>
          <w:tcPr>
            <w:tcW w:w="760" w:type="dxa"/>
            <w:vAlign w:val="bottom"/>
            <w:tcBorders>
              <w:bottom w:val="single" w:sz="8" w:color="D9D9D6"/>
            </w:tcBorders>
            <w:shd w:val="clear" w:color="auto" w:fill="D9D9D6"/>
          </w:tcPr>
          <w:p>
            <w:pPr>
              <w:spacing w:after="0"/>
              <w:rPr>
                <w:sz w:val="16"/>
                <w:szCs w:val="16"/>
                <w:color w:val="auto"/>
              </w:rPr>
            </w:pPr>
          </w:p>
        </w:tc>
        <w:tc>
          <w:tcPr>
            <w:tcW w:w="1260" w:type="dxa"/>
            <w:vAlign w:val="bottom"/>
            <w:tcBorders>
              <w:bottom w:val="single" w:sz="8" w:color="auto"/>
            </w:tcBorders>
            <w:gridSpan w:val="4"/>
            <w:shd w:val="clear" w:color="auto" w:fill="D9D9D6"/>
          </w:tcPr>
          <w:p>
            <w:pPr>
              <w:jc w:val="right"/>
              <w:ind w:right="540"/>
              <w:spacing w:after="0"/>
              <w:rPr>
                <w:sz w:val="20"/>
                <w:szCs w:val="20"/>
                <w:color w:val="auto"/>
              </w:rPr>
            </w:pPr>
            <w:r>
              <w:rPr>
                <w:rFonts w:ascii="Arial" w:cs="Arial" w:eastAsia="Arial" w:hAnsi="Arial"/>
                <w:sz w:val="14"/>
                <w:szCs w:val="14"/>
                <w:color w:val="auto"/>
              </w:rPr>
              <w:t>(4)</w:t>
            </w:r>
          </w:p>
        </w:tc>
        <w:tc>
          <w:tcPr>
            <w:tcW w:w="20" w:type="dxa"/>
            <w:vAlign w:val="bottom"/>
            <w:tcBorders>
              <w:bottom w:val="single" w:sz="8" w:color="auto"/>
            </w:tcBorders>
            <w:shd w:val="clear" w:color="auto" w:fill="D9D9D6"/>
          </w:tcPr>
          <w:p>
            <w:pPr>
              <w:spacing w:after="0"/>
              <w:rPr>
                <w:sz w:val="16"/>
                <w:szCs w:val="16"/>
                <w:color w:val="auto"/>
              </w:rPr>
            </w:pPr>
          </w:p>
        </w:tc>
        <w:tc>
          <w:tcPr>
            <w:tcW w:w="36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1"/>
        </w:trPr>
        <w:tc>
          <w:tcPr>
            <w:tcW w:w="7320" w:type="dxa"/>
            <w:vAlign w:val="bottom"/>
            <w:shd w:val="clear" w:color="auto" w:fill="D9D9D6"/>
          </w:tcPr>
          <w:p>
            <w:pPr>
              <w:ind w:left="60"/>
              <w:spacing w:after="0"/>
              <w:rPr>
                <w:sz w:val="20"/>
                <w:szCs w:val="20"/>
                <w:color w:val="auto"/>
              </w:rPr>
            </w:pPr>
            <w:r>
              <w:rPr>
                <w:rFonts w:ascii="Arial" w:cs="Arial" w:eastAsia="Arial" w:hAnsi="Arial"/>
                <w:sz w:val="14"/>
                <w:szCs w:val="14"/>
                <w:b w:val="1"/>
                <w:bCs w:val="1"/>
                <w:color w:val="auto"/>
              </w:rPr>
              <w:t>Total Video Customers</w:t>
            </w:r>
          </w:p>
        </w:tc>
        <w:tc>
          <w:tcPr>
            <w:tcW w:w="100" w:type="dxa"/>
            <w:vAlign w:val="bottom"/>
            <w:shd w:val="clear" w:color="auto" w:fill="D9D9D6"/>
          </w:tcPr>
          <w:p>
            <w:pPr>
              <w:spacing w:after="0"/>
              <w:rPr>
                <w:sz w:val="18"/>
                <w:szCs w:val="18"/>
                <w:color w:val="auto"/>
              </w:rPr>
            </w:pPr>
          </w:p>
        </w:tc>
        <w:tc>
          <w:tcPr>
            <w:tcW w:w="86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22,121</w:t>
            </w:r>
          </w:p>
        </w:tc>
        <w:tc>
          <w:tcPr>
            <w:tcW w:w="7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21,641</w:t>
            </w:r>
          </w:p>
        </w:tc>
        <w:tc>
          <w:tcPr>
            <w:tcW w:w="760" w:type="dxa"/>
            <w:vAlign w:val="bottom"/>
            <w:shd w:val="clear" w:color="auto" w:fill="D9D9D6"/>
          </w:tcPr>
          <w:p>
            <w:pPr>
              <w:spacing w:after="0"/>
              <w:rPr>
                <w:sz w:val="18"/>
                <w:szCs w:val="18"/>
                <w:color w:val="auto"/>
              </w:rPr>
            </w:pPr>
          </w:p>
        </w:tc>
        <w:tc>
          <w:tcPr>
            <w:tcW w:w="1260" w:type="dxa"/>
            <w:vAlign w:val="bottom"/>
            <w:gridSpan w:val="4"/>
            <w:shd w:val="clear" w:color="auto" w:fill="D9D9D6"/>
          </w:tcPr>
          <w:p>
            <w:pPr>
              <w:jc w:val="right"/>
              <w:ind w:right="500"/>
              <w:spacing w:after="0"/>
              <w:rPr>
                <w:sz w:val="20"/>
                <w:szCs w:val="20"/>
                <w:color w:val="auto"/>
              </w:rPr>
            </w:pPr>
            <w:r>
              <w:rPr>
                <w:rFonts w:ascii="Arial" w:cs="Arial" w:eastAsia="Arial" w:hAnsi="Arial"/>
                <w:sz w:val="14"/>
                <w:szCs w:val="14"/>
                <w:b w:val="1"/>
                <w:bCs w:val="1"/>
                <w:color w:val="auto"/>
              </w:rPr>
              <w:t>(140)</w:t>
            </w:r>
          </w:p>
        </w:tc>
        <w:tc>
          <w:tcPr>
            <w:tcW w:w="20" w:type="dxa"/>
            <w:vAlign w:val="bottom"/>
            <w:shd w:val="clear" w:color="auto" w:fill="D9D9D6"/>
          </w:tcPr>
          <w:p>
            <w:pPr>
              <w:spacing w:after="0"/>
              <w:rPr>
                <w:sz w:val="18"/>
                <w:szCs w:val="18"/>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(224)</w:t>
            </w:r>
          </w:p>
        </w:tc>
        <w:tc>
          <w:tcPr>
            <w:tcW w:w="0" w:type="dxa"/>
            <w:vAlign w:val="bottom"/>
          </w:tcPr>
          <w:p>
            <w:pPr>
              <w:spacing w:after="0"/>
              <w:rPr>
                <w:sz w:val="1"/>
                <w:szCs w:val="1"/>
                <w:color w:val="auto"/>
              </w:rPr>
            </w:pPr>
          </w:p>
        </w:tc>
      </w:tr>
      <w:tr>
        <w:trPr>
          <w:trHeight w:val="405"/>
        </w:trPr>
        <w:tc>
          <w:tcPr>
            <w:tcW w:w="73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Residential Voice Customers</w:t>
            </w:r>
          </w:p>
        </w:tc>
        <w:tc>
          <w:tcPr>
            <w:tcW w:w="10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10,213</w:t>
            </w:r>
          </w:p>
        </w:tc>
        <w:tc>
          <w:tcPr>
            <w:tcW w:w="7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10,008</w:t>
            </w:r>
          </w:p>
        </w:tc>
        <w:tc>
          <w:tcPr>
            <w:tcW w:w="760" w:type="dxa"/>
            <w:vAlign w:val="bottom"/>
            <w:shd w:val="clear" w:color="auto" w:fill="D9D9D6"/>
          </w:tcPr>
          <w:p>
            <w:pPr>
              <w:spacing w:after="0"/>
              <w:rPr>
                <w:sz w:val="24"/>
                <w:szCs w:val="24"/>
                <w:color w:val="auto"/>
              </w:rPr>
            </w:pPr>
          </w:p>
        </w:tc>
        <w:tc>
          <w:tcPr>
            <w:tcW w:w="1260" w:type="dxa"/>
            <w:vAlign w:val="bottom"/>
            <w:gridSpan w:val="4"/>
            <w:shd w:val="clear" w:color="auto" w:fill="D9D9D6"/>
          </w:tcPr>
          <w:p>
            <w:pPr>
              <w:jc w:val="right"/>
              <w:ind w:right="500"/>
              <w:spacing w:after="0"/>
              <w:rPr>
                <w:sz w:val="20"/>
                <w:szCs w:val="20"/>
                <w:color w:val="auto"/>
              </w:rPr>
            </w:pPr>
            <w:r>
              <w:rPr>
                <w:rFonts w:ascii="Arial" w:cs="Arial" w:eastAsia="Arial" w:hAnsi="Arial"/>
                <w:sz w:val="14"/>
                <w:szCs w:val="14"/>
                <w:color w:val="auto"/>
              </w:rPr>
              <w:t>(32)</w:t>
            </w:r>
          </w:p>
        </w:tc>
        <w:tc>
          <w:tcPr>
            <w:tcW w:w="20" w:type="dxa"/>
            <w:vAlign w:val="bottom"/>
            <w:shd w:val="clear" w:color="auto" w:fill="D9D9D6"/>
          </w:tcPr>
          <w:p>
            <w:pPr>
              <w:spacing w:after="0"/>
              <w:rPr>
                <w:sz w:val="24"/>
                <w:szCs w:val="24"/>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8"/>
        </w:trPr>
        <w:tc>
          <w:tcPr>
            <w:tcW w:w="7320" w:type="dxa"/>
            <w:vAlign w:val="bottom"/>
            <w:tcBorders>
              <w:bottom w:val="single" w:sz="8" w:color="D9D9D6"/>
            </w:tcBorders>
            <w:shd w:val="clear" w:color="auto" w:fill="D9D9D6"/>
          </w:tcPr>
          <w:p>
            <w:pPr>
              <w:ind w:left="180"/>
              <w:spacing w:after="0"/>
              <w:rPr>
                <w:sz w:val="20"/>
                <w:szCs w:val="20"/>
                <w:color w:val="auto"/>
              </w:rPr>
            </w:pPr>
            <w:r>
              <w:rPr>
                <w:rFonts w:ascii="Arial" w:cs="Arial" w:eastAsia="Arial" w:hAnsi="Arial"/>
                <w:sz w:val="14"/>
                <w:szCs w:val="14"/>
                <w:color w:val="auto"/>
              </w:rPr>
              <w:t>Business Services Voice Customers</w:t>
            </w:r>
          </w:p>
        </w:tc>
        <w:tc>
          <w:tcPr>
            <w:tcW w:w="1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1,269</w:t>
            </w:r>
          </w:p>
        </w:tc>
        <w:tc>
          <w:tcPr>
            <w:tcW w:w="7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1,324</w:t>
            </w:r>
          </w:p>
        </w:tc>
        <w:tc>
          <w:tcPr>
            <w:tcW w:w="760" w:type="dxa"/>
            <w:vAlign w:val="bottom"/>
            <w:tcBorders>
              <w:bottom w:val="single" w:sz="8" w:color="D9D9D6"/>
            </w:tcBorders>
            <w:shd w:val="clear" w:color="auto" w:fill="D9D9D6"/>
          </w:tcPr>
          <w:p>
            <w:pPr>
              <w:spacing w:after="0"/>
              <w:rPr>
                <w:sz w:val="16"/>
                <w:szCs w:val="16"/>
                <w:color w:val="auto"/>
              </w:rPr>
            </w:pPr>
          </w:p>
        </w:tc>
        <w:tc>
          <w:tcPr>
            <w:tcW w:w="1260" w:type="dxa"/>
            <w:vAlign w:val="bottom"/>
            <w:tcBorders>
              <w:bottom w:val="single" w:sz="8" w:color="auto"/>
            </w:tcBorders>
            <w:gridSpan w:val="4"/>
            <w:shd w:val="clear" w:color="auto" w:fill="D9D9D6"/>
          </w:tcPr>
          <w:p>
            <w:pPr>
              <w:jc w:val="right"/>
              <w:ind w:right="540"/>
              <w:spacing w:after="0"/>
              <w:rPr>
                <w:sz w:val="20"/>
                <w:szCs w:val="20"/>
                <w:color w:val="auto"/>
              </w:rPr>
            </w:pPr>
            <w:r>
              <w:rPr>
                <w:rFonts w:ascii="Arial" w:cs="Arial" w:eastAsia="Arial" w:hAnsi="Arial"/>
                <w:sz w:val="14"/>
                <w:szCs w:val="14"/>
                <w:color w:val="auto"/>
              </w:rPr>
              <w:t>17</w:t>
            </w:r>
          </w:p>
        </w:tc>
        <w:tc>
          <w:tcPr>
            <w:tcW w:w="20" w:type="dxa"/>
            <w:vAlign w:val="bottom"/>
            <w:tcBorders>
              <w:bottom w:val="single" w:sz="8" w:color="auto"/>
            </w:tcBorders>
            <w:shd w:val="clear" w:color="auto" w:fill="D9D9D6"/>
          </w:tcPr>
          <w:p>
            <w:pPr>
              <w:spacing w:after="0"/>
              <w:rPr>
                <w:sz w:val="16"/>
                <w:szCs w:val="16"/>
                <w:color w:val="auto"/>
              </w:rPr>
            </w:pPr>
          </w:p>
        </w:tc>
        <w:tc>
          <w:tcPr>
            <w:tcW w:w="36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11"/>
        </w:trPr>
        <w:tc>
          <w:tcPr>
            <w:tcW w:w="7320" w:type="dxa"/>
            <w:vAlign w:val="bottom"/>
            <w:shd w:val="clear" w:color="auto" w:fill="D9D9D6"/>
          </w:tcPr>
          <w:p>
            <w:pPr>
              <w:ind w:left="60"/>
              <w:spacing w:after="0"/>
              <w:rPr>
                <w:sz w:val="20"/>
                <w:szCs w:val="20"/>
                <w:color w:val="auto"/>
              </w:rPr>
            </w:pPr>
            <w:r>
              <w:rPr>
                <w:rFonts w:ascii="Arial" w:cs="Arial" w:eastAsia="Arial" w:hAnsi="Arial"/>
                <w:sz w:val="14"/>
                <w:szCs w:val="14"/>
                <w:b w:val="1"/>
                <w:bCs w:val="1"/>
                <w:color w:val="auto"/>
              </w:rPr>
              <w:t>Total Voice Customers</w:t>
            </w:r>
          </w:p>
        </w:tc>
        <w:tc>
          <w:tcPr>
            <w:tcW w:w="100" w:type="dxa"/>
            <w:vAlign w:val="bottom"/>
            <w:shd w:val="clear" w:color="auto" w:fill="D9D9D6"/>
          </w:tcPr>
          <w:p>
            <w:pPr>
              <w:spacing w:after="0"/>
              <w:rPr>
                <w:sz w:val="18"/>
                <w:szCs w:val="18"/>
                <w:color w:val="auto"/>
              </w:rPr>
            </w:pPr>
          </w:p>
        </w:tc>
        <w:tc>
          <w:tcPr>
            <w:tcW w:w="86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11,482</w:t>
            </w:r>
          </w:p>
        </w:tc>
        <w:tc>
          <w:tcPr>
            <w:tcW w:w="7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11,331</w:t>
            </w:r>
          </w:p>
        </w:tc>
        <w:tc>
          <w:tcPr>
            <w:tcW w:w="760" w:type="dxa"/>
            <w:vAlign w:val="bottom"/>
            <w:shd w:val="clear" w:color="auto" w:fill="D9D9D6"/>
          </w:tcPr>
          <w:p>
            <w:pPr>
              <w:spacing w:after="0"/>
              <w:rPr>
                <w:sz w:val="18"/>
                <w:szCs w:val="18"/>
                <w:color w:val="auto"/>
              </w:rPr>
            </w:pPr>
          </w:p>
        </w:tc>
        <w:tc>
          <w:tcPr>
            <w:tcW w:w="1260" w:type="dxa"/>
            <w:vAlign w:val="bottom"/>
            <w:gridSpan w:val="4"/>
            <w:shd w:val="clear" w:color="auto" w:fill="D9D9D6"/>
          </w:tcPr>
          <w:p>
            <w:pPr>
              <w:jc w:val="right"/>
              <w:ind w:right="500"/>
              <w:spacing w:after="0"/>
              <w:rPr>
                <w:sz w:val="20"/>
                <w:szCs w:val="20"/>
                <w:color w:val="auto"/>
              </w:rPr>
            </w:pPr>
            <w:r>
              <w:rPr>
                <w:rFonts w:ascii="Arial" w:cs="Arial" w:eastAsia="Arial" w:hAnsi="Arial"/>
                <w:sz w:val="14"/>
                <w:szCs w:val="14"/>
                <w:b w:val="1"/>
                <w:bCs w:val="1"/>
                <w:color w:val="auto"/>
              </w:rPr>
              <w:t>(16)</w:t>
            </w:r>
          </w:p>
        </w:tc>
        <w:tc>
          <w:tcPr>
            <w:tcW w:w="20" w:type="dxa"/>
            <w:vAlign w:val="bottom"/>
            <w:shd w:val="clear" w:color="auto" w:fill="D9D9D6"/>
          </w:tcPr>
          <w:p>
            <w:pPr>
              <w:spacing w:after="0"/>
              <w:rPr>
                <w:sz w:val="18"/>
                <w:szCs w:val="18"/>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405"/>
        </w:trPr>
        <w:tc>
          <w:tcPr>
            <w:tcW w:w="7320" w:type="dxa"/>
            <w:vAlign w:val="bottom"/>
            <w:shd w:val="clear" w:color="auto" w:fill="D9D9D6"/>
          </w:tcPr>
          <w:p>
            <w:pPr>
              <w:ind w:left="60"/>
              <w:spacing w:after="0"/>
              <w:rPr>
                <w:sz w:val="20"/>
                <w:szCs w:val="20"/>
                <w:color w:val="auto"/>
              </w:rPr>
            </w:pPr>
            <w:r>
              <w:rPr>
                <w:rFonts w:ascii="Arial" w:cs="Arial" w:eastAsia="Arial" w:hAnsi="Arial"/>
                <w:sz w:val="14"/>
                <w:szCs w:val="14"/>
                <w:b w:val="1"/>
                <w:bCs w:val="1"/>
                <w:color w:val="auto"/>
              </w:rPr>
              <w:t>Total Security and Automation Customers</w:t>
            </w:r>
          </w:p>
        </w:tc>
        <w:tc>
          <w:tcPr>
            <w:tcW w:w="10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1,236</w:t>
            </w:r>
          </w:p>
        </w:tc>
        <w:tc>
          <w:tcPr>
            <w:tcW w:w="7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1,356</w:t>
            </w:r>
          </w:p>
        </w:tc>
        <w:tc>
          <w:tcPr>
            <w:tcW w:w="760" w:type="dxa"/>
            <w:vAlign w:val="bottom"/>
            <w:shd w:val="clear" w:color="auto" w:fill="D9D9D6"/>
          </w:tcPr>
          <w:p>
            <w:pPr>
              <w:spacing w:after="0"/>
              <w:rPr>
                <w:sz w:val="24"/>
                <w:szCs w:val="24"/>
                <w:color w:val="auto"/>
              </w:rPr>
            </w:pPr>
          </w:p>
        </w:tc>
        <w:tc>
          <w:tcPr>
            <w:tcW w:w="1260" w:type="dxa"/>
            <w:vAlign w:val="bottom"/>
            <w:gridSpan w:val="4"/>
            <w:shd w:val="clear" w:color="auto" w:fill="D9D9D6"/>
          </w:tcPr>
          <w:p>
            <w:pPr>
              <w:jc w:val="right"/>
              <w:ind w:right="540"/>
              <w:spacing w:after="0"/>
              <w:rPr>
                <w:sz w:val="20"/>
                <w:szCs w:val="20"/>
                <w:color w:val="auto"/>
              </w:rPr>
            </w:pPr>
            <w:r>
              <w:rPr>
                <w:rFonts w:ascii="Arial" w:cs="Arial" w:eastAsia="Arial" w:hAnsi="Arial"/>
                <w:sz w:val="14"/>
                <w:szCs w:val="14"/>
                <w:b w:val="1"/>
                <w:bCs w:val="1"/>
                <w:color w:val="auto"/>
              </w:rPr>
              <w:t>60</w:t>
            </w:r>
          </w:p>
        </w:tc>
        <w:tc>
          <w:tcPr>
            <w:tcW w:w="20" w:type="dxa"/>
            <w:vAlign w:val="bottom"/>
            <w:shd w:val="clear" w:color="auto" w:fill="D9D9D6"/>
          </w:tcPr>
          <w:p>
            <w:pPr>
              <w:spacing w:after="0"/>
              <w:rPr>
                <w:sz w:val="24"/>
                <w:szCs w:val="24"/>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390"/>
        </w:trPr>
        <w:tc>
          <w:tcPr>
            <w:tcW w:w="7320" w:type="dxa"/>
            <w:vAlign w:val="bottom"/>
            <w:shd w:val="clear" w:color="auto" w:fill="D9D9D6"/>
          </w:tcPr>
          <w:p>
            <w:pPr>
              <w:ind w:left="60"/>
              <w:spacing w:after="0"/>
              <w:rPr>
                <w:sz w:val="20"/>
                <w:szCs w:val="20"/>
                <w:color w:val="auto"/>
              </w:rPr>
            </w:pPr>
            <w:r>
              <w:rPr>
                <w:rFonts w:ascii="Arial" w:cs="Arial" w:eastAsia="Arial" w:hAnsi="Arial"/>
                <w:sz w:val="14"/>
                <w:szCs w:val="14"/>
                <w:b w:val="1"/>
                <w:bCs w:val="1"/>
                <w:color w:val="auto"/>
              </w:rPr>
              <w:t>Total Wireless Lines</w:t>
            </w:r>
          </w:p>
        </w:tc>
        <w:tc>
          <w:tcPr>
            <w:tcW w:w="10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781</w:t>
            </w:r>
          </w:p>
        </w:tc>
        <w:tc>
          <w:tcPr>
            <w:tcW w:w="7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1,586</w:t>
            </w:r>
          </w:p>
        </w:tc>
        <w:tc>
          <w:tcPr>
            <w:tcW w:w="760" w:type="dxa"/>
            <w:vAlign w:val="bottom"/>
            <w:shd w:val="clear" w:color="auto" w:fill="D9D9D6"/>
          </w:tcPr>
          <w:p>
            <w:pPr>
              <w:spacing w:after="0"/>
              <w:rPr>
                <w:sz w:val="24"/>
                <w:szCs w:val="24"/>
                <w:color w:val="auto"/>
              </w:rPr>
            </w:pPr>
          </w:p>
        </w:tc>
        <w:tc>
          <w:tcPr>
            <w:tcW w:w="1260" w:type="dxa"/>
            <w:vAlign w:val="bottom"/>
            <w:gridSpan w:val="4"/>
            <w:shd w:val="clear" w:color="auto" w:fill="D9D9D6"/>
          </w:tcPr>
          <w:p>
            <w:pPr>
              <w:jc w:val="right"/>
              <w:ind w:right="540"/>
              <w:spacing w:after="0"/>
              <w:rPr>
                <w:sz w:val="20"/>
                <w:szCs w:val="20"/>
                <w:color w:val="auto"/>
              </w:rPr>
            </w:pPr>
            <w:r>
              <w:rPr>
                <w:rFonts w:ascii="Arial" w:cs="Arial" w:eastAsia="Arial" w:hAnsi="Arial"/>
                <w:sz w:val="14"/>
                <w:szCs w:val="14"/>
                <w:b w:val="1"/>
                <w:bCs w:val="1"/>
                <w:color w:val="auto"/>
              </w:rPr>
              <w:t>204</w:t>
            </w:r>
          </w:p>
        </w:tc>
        <w:tc>
          <w:tcPr>
            <w:tcW w:w="20" w:type="dxa"/>
            <w:vAlign w:val="bottom"/>
            <w:shd w:val="clear" w:color="auto" w:fill="D9D9D6"/>
          </w:tcPr>
          <w:p>
            <w:pPr>
              <w:spacing w:after="0"/>
              <w:rPr>
                <w:sz w:val="24"/>
                <w:szCs w:val="24"/>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181</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7.4% to $5.9 billion in the second quarter of 2019,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1.6% increase in operating expenses. Non-programming expenses increased 1.4%, reflecting higher technical and product support expenses, advertising, marketing and promotion costs and other operating costs, partially offset by decreases in customer service expenses and franchise and other regulatory fees. Non-programming expenses per customer relationship declined 2.0% in the second quarter of 2019. Programming costs increased 1.8%, reflecting normal escalators in programming contracts, partially offset by video subscriber losses. This quarter's Adjusted EBITDA per customer relationship increased 3.8%, and Adjusted EBITDA margin was 40.5% compared to 39.2% in the second quarter of 2018. Cable Communications results include a loss of $88 million from our wireless business, compared to a loss of $185 million in the prior period.</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six months ended June 30, 2019, Cable Adjusted EBITDA increased 8.6% to $11.6 billion compared to 2018, driven by higher revenue, partially offset by a 1.2% increase in operating expenses. The higher expenses were due to a 2.3% increase in programming costs and a 0.4% increase in non-programming expenses. For the six months ended June 30, 2019, Adjusted EBITDA per customer relationship increased 4.9%, and Adjusted EBITDA margin was 40.3% compared to 38.6% in 2018. Cable Communications results include a loss of $191 million from our wireless business, compared to a loss of $374 million in the prior period.</w:t>
      </w:r>
    </w:p>
    <w:p>
      <w:pPr>
        <w:spacing w:after="0" w:line="16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Cable Communications decreased 9.8% to $1.6 billion in the second quarter of 2019, reflecting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in scalable infrastructure and line extensions, partially offset by increased investment in support capital. Cable capital expenditures represented 11.0% of Cable revenue in the second quarter of 2019 compared to 12.7% in last year's second quarter.</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2019, Cable capital expenditures decreased 14.5% to $3.0 billion, primarily reflecting decreased investment in scalable infrastructure and a lower level of spending on customer premise equipment. Cable capital expenditures represented 10.3% of Cable revenue compared to 12.5% in 2018.</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97"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shd w:val="clear" w:color="auto" w:fill="D9D9D6"/>
          </w:tcPr>
          <w:p>
            <w:pPr>
              <w:ind w:left="60"/>
              <w:spacing w:after="0"/>
              <w:rPr>
                <w:sz w:val="20"/>
                <w:szCs w:val="20"/>
                <w:color w:val="auto"/>
              </w:rPr>
            </w:pPr>
            <w:r>
              <w:rPr>
                <w:rFonts w:ascii="Arial" w:cs="Arial" w:eastAsia="Arial" w:hAnsi="Arial"/>
                <w:sz w:val="11"/>
                <w:szCs w:val="11"/>
                <w:i w:val="1"/>
                <w:iCs w:val="1"/>
                <w:color w:val="auto"/>
              </w:rPr>
              <w:t>($ in millions)</w:t>
            </w:r>
          </w:p>
        </w:tc>
        <w:tc>
          <w:tcPr>
            <w:tcW w:w="1040" w:type="dxa"/>
            <w:vAlign w:val="bottom"/>
            <w:gridSpan w:val="3"/>
            <w:vMerge w:val="restart"/>
            <w:shd w:val="clear" w:color="auto" w:fill="D9D9D6"/>
          </w:tcPr>
          <w:p>
            <w:pPr>
              <w:jc w:val="right"/>
              <w:spacing w:after="0"/>
              <w:rPr>
                <w:sz w:val="20"/>
                <w:szCs w:val="20"/>
                <w:color w:val="auto"/>
              </w:rPr>
            </w:pPr>
            <w:r>
              <w:rPr>
                <w:rFonts w:ascii="Arial" w:cs="Arial" w:eastAsia="Arial" w:hAnsi="Arial"/>
                <w:sz w:val="14"/>
                <w:szCs w:val="14"/>
                <w:color w:val="auto"/>
              </w:rPr>
              <w:t xml:space="preserve">2018 </w:t>
            </w:r>
            <w:r>
              <w:rPr>
                <w:rFonts w:ascii="Arial" w:cs="Arial" w:eastAsia="Arial" w:hAnsi="Arial"/>
                <w:sz w:val="23"/>
                <w:szCs w:val="23"/>
                <w:color w:val="auto"/>
                <w:vertAlign w:val="superscript"/>
              </w:rPr>
              <w:t>6</w:t>
            </w:r>
          </w:p>
        </w:tc>
        <w:tc>
          <w:tcPr>
            <w:tcW w:w="1580" w:type="dxa"/>
            <w:vAlign w:val="bottom"/>
            <w:gridSpan w:val="5"/>
            <w:shd w:val="clear" w:color="auto" w:fill="D9D9D6"/>
          </w:tcPr>
          <w:p>
            <w:pPr>
              <w:ind w:left="120"/>
              <w:spacing w:after="0"/>
              <w:rPr>
                <w:sz w:val="20"/>
                <w:szCs w:val="20"/>
                <w:color w:val="auto"/>
              </w:rPr>
            </w:pPr>
            <w:r>
              <w:rPr>
                <w:rFonts w:ascii="Arial" w:cs="Arial" w:eastAsia="Arial" w:hAnsi="Arial"/>
                <w:sz w:val="14"/>
                <w:szCs w:val="14"/>
                <w:color w:val="auto"/>
              </w:rPr>
              <w:t>2nd Quarter</w:t>
            </w:r>
          </w:p>
        </w:tc>
        <w:tc>
          <w:tcPr>
            <w:tcW w:w="460" w:type="dxa"/>
            <w:vAlign w:val="bottom"/>
            <w:shd w:val="clear" w:color="auto" w:fill="D9D9D6"/>
          </w:tcPr>
          <w:p>
            <w:pPr>
              <w:spacing w:after="0"/>
              <w:rPr>
                <w:sz w:val="16"/>
                <w:szCs w:val="16"/>
                <w:color w:val="auto"/>
              </w:rPr>
            </w:pPr>
          </w:p>
        </w:tc>
        <w:tc>
          <w:tcPr>
            <w:tcW w:w="180" w:type="dxa"/>
            <w:vAlign w:val="bottom"/>
            <w:tcBorders>
              <w:right w:val="single" w:sz="8" w:color="54585A"/>
            </w:tcBorders>
            <w:shd w:val="clear" w:color="auto" w:fill="D9D9D6"/>
          </w:tcPr>
          <w:p>
            <w:pPr>
              <w:spacing w:after="0"/>
              <w:rPr>
                <w:sz w:val="16"/>
                <w:szCs w:val="16"/>
                <w:color w:val="auto"/>
              </w:rPr>
            </w:pPr>
          </w:p>
        </w:tc>
        <w:tc>
          <w:tcPr>
            <w:tcW w:w="1240" w:type="dxa"/>
            <w:vAlign w:val="bottom"/>
            <w:gridSpan w:val="4"/>
            <w:vMerge w:val="restart"/>
            <w:shd w:val="clear" w:color="auto" w:fill="D9D9D6"/>
          </w:tcPr>
          <w:p>
            <w:pPr>
              <w:jc w:val="right"/>
              <w:ind w:right="100"/>
              <w:spacing w:after="0"/>
              <w:rPr>
                <w:sz w:val="20"/>
                <w:szCs w:val="20"/>
                <w:color w:val="auto"/>
              </w:rPr>
            </w:pPr>
            <w:r>
              <w:rPr>
                <w:rFonts w:ascii="Arial" w:cs="Arial" w:eastAsia="Arial" w:hAnsi="Arial"/>
                <w:sz w:val="14"/>
                <w:szCs w:val="14"/>
                <w:color w:val="auto"/>
              </w:rPr>
              <w:t xml:space="preserve">2018 </w:t>
            </w:r>
            <w:r>
              <w:rPr>
                <w:rFonts w:ascii="Arial" w:cs="Arial" w:eastAsia="Arial" w:hAnsi="Arial"/>
                <w:sz w:val="23"/>
                <w:szCs w:val="23"/>
                <w:color w:val="auto"/>
                <w:vertAlign w:val="superscript"/>
              </w:rPr>
              <w:t>6</w:t>
            </w:r>
          </w:p>
        </w:tc>
        <w:tc>
          <w:tcPr>
            <w:tcW w:w="1480" w:type="dxa"/>
            <w:vAlign w:val="bottom"/>
            <w:gridSpan w:val="4"/>
            <w:shd w:val="clear" w:color="auto" w:fill="D9D9D6"/>
          </w:tcPr>
          <w:p>
            <w:pPr>
              <w:spacing w:after="0"/>
              <w:rPr>
                <w:sz w:val="20"/>
                <w:szCs w:val="20"/>
                <w:color w:val="auto"/>
              </w:rPr>
            </w:pPr>
            <w:r>
              <w:rPr>
                <w:rFonts w:ascii="Arial" w:cs="Arial" w:eastAsia="Arial" w:hAnsi="Arial"/>
                <w:sz w:val="14"/>
                <w:szCs w:val="14"/>
                <w:color w:val="auto"/>
              </w:rPr>
              <w:t>Year to Date</w:t>
            </w:r>
          </w:p>
        </w:tc>
        <w:tc>
          <w:tcPr>
            <w:tcW w:w="46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D9D9D6"/>
          </w:tcPr>
          <w:p>
            <w:pPr>
              <w:spacing w:after="0" w:line="20" w:lineRule="exact"/>
              <w:rPr>
                <w:sz w:val="1"/>
                <w:szCs w:val="1"/>
                <w:color w:val="auto"/>
              </w:rPr>
            </w:pPr>
          </w:p>
        </w:tc>
        <w:tc>
          <w:tcPr>
            <w:tcW w:w="1040" w:type="dxa"/>
            <w:vAlign w:val="bottom"/>
            <w:gridSpan w:val="3"/>
            <w:vMerge w:val="continue"/>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460" w:type="dxa"/>
            <w:vAlign w:val="bottom"/>
            <w:shd w:val="clear" w:color="auto" w:fill="D9D9D6"/>
          </w:tcPr>
          <w:p>
            <w:pPr>
              <w:spacing w:after="0" w:line="20" w:lineRule="exact"/>
              <w:rPr>
                <w:sz w:val="1"/>
                <w:szCs w:val="1"/>
                <w:color w:val="auto"/>
              </w:rPr>
            </w:pPr>
          </w:p>
        </w:tc>
        <w:tc>
          <w:tcPr>
            <w:tcW w:w="180" w:type="dxa"/>
            <w:vAlign w:val="bottom"/>
            <w:tcBorders>
              <w:right w:val="single" w:sz="8" w:color="54585A"/>
            </w:tcBorders>
            <w:shd w:val="clear" w:color="auto" w:fill="D9D9D6"/>
          </w:tcPr>
          <w:p>
            <w:pPr>
              <w:spacing w:after="0" w:line="20" w:lineRule="exact"/>
              <w:rPr>
                <w:sz w:val="1"/>
                <w:szCs w:val="1"/>
                <w:color w:val="auto"/>
              </w:rPr>
            </w:pPr>
          </w:p>
        </w:tc>
        <w:tc>
          <w:tcPr>
            <w:tcW w:w="1240" w:type="dxa"/>
            <w:vAlign w:val="bottom"/>
            <w:gridSpan w:val="4"/>
            <w:vMerge w:val="continue"/>
            <w:shd w:val="clear" w:color="auto" w:fill="D9D9D6"/>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460" w:type="dxa"/>
            <w:vAlign w:val="bottom"/>
            <w:shd w:val="clear" w:color="auto" w:fill="D9D9D6"/>
          </w:tcPr>
          <w:p>
            <w:pPr>
              <w:spacing w:after="0" w:line="20" w:lineRule="exact"/>
              <w:rPr>
                <w:sz w:val="1"/>
                <w:szCs w:val="1"/>
                <w:color w:val="auto"/>
              </w:rPr>
            </w:pPr>
          </w:p>
        </w:tc>
        <w:tc>
          <w:tcPr>
            <w:tcW w:w="6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20" w:type="dxa"/>
            <w:vAlign w:val="bottom"/>
            <w:shd w:val="clear" w:color="auto" w:fill="D9D9D6"/>
          </w:tcPr>
          <w:p>
            <w:pPr>
              <w:spacing w:after="0"/>
              <w:rPr>
                <w:sz w:val="15"/>
                <w:szCs w:val="15"/>
                <w:color w:val="auto"/>
              </w:rPr>
            </w:pPr>
          </w:p>
        </w:tc>
        <w:tc>
          <w:tcPr>
            <w:tcW w:w="1040" w:type="dxa"/>
            <w:vAlign w:val="bottom"/>
            <w:gridSpan w:val="3"/>
            <w:vMerge w:val="continue"/>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1460" w:type="dxa"/>
            <w:vAlign w:val="bottom"/>
            <w:gridSpan w:val="4"/>
            <w:shd w:val="clear" w:color="auto" w:fill="D9D9D6"/>
          </w:tcPr>
          <w:p>
            <w:pPr>
              <w:jc w:val="right"/>
              <w:ind w:right="560"/>
              <w:spacing w:after="0"/>
              <w:rPr>
                <w:sz w:val="20"/>
                <w:szCs w:val="20"/>
                <w:color w:val="auto"/>
              </w:rPr>
            </w:pPr>
            <w:r>
              <w:rPr>
                <w:rFonts w:ascii="Arial" w:cs="Arial" w:eastAsia="Arial" w:hAnsi="Arial"/>
                <w:sz w:val="14"/>
                <w:szCs w:val="14"/>
                <w:color w:val="auto"/>
              </w:rPr>
              <w:t>2019</w:t>
            </w:r>
          </w:p>
        </w:tc>
        <w:tc>
          <w:tcPr>
            <w:tcW w:w="640" w:type="dxa"/>
            <w:vAlign w:val="bottom"/>
            <w:tcBorders>
              <w:right w:val="single" w:sz="8" w:color="54585A"/>
            </w:tcBorders>
            <w:gridSpan w:val="2"/>
            <w:shd w:val="clear" w:color="auto" w:fill="D9D9D6"/>
          </w:tcPr>
          <w:p>
            <w:pPr>
              <w:jc w:val="right"/>
              <w:ind w:right="108"/>
              <w:spacing w:after="0"/>
              <w:rPr>
                <w:sz w:val="20"/>
                <w:szCs w:val="20"/>
                <w:color w:val="auto"/>
              </w:rPr>
            </w:pPr>
            <w:r>
              <w:rPr>
                <w:rFonts w:ascii="Arial" w:cs="Arial" w:eastAsia="Arial" w:hAnsi="Arial"/>
                <w:sz w:val="14"/>
                <w:szCs w:val="14"/>
                <w:color w:val="auto"/>
                <w:w w:val="97"/>
              </w:rPr>
              <w:t>Growth</w:t>
            </w:r>
          </w:p>
        </w:tc>
        <w:tc>
          <w:tcPr>
            <w:tcW w:w="1240" w:type="dxa"/>
            <w:vAlign w:val="bottom"/>
            <w:gridSpan w:val="4"/>
            <w:vMerge w:val="continue"/>
            <w:shd w:val="clear" w:color="auto" w:fill="D9D9D6"/>
          </w:tcPr>
          <w:p>
            <w:pPr>
              <w:spacing w:after="0"/>
              <w:rPr>
                <w:sz w:val="15"/>
                <w:szCs w:val="15"/>
                <w:color w:val="auto"/>
              </w:rPr>
            </w:pPr>
          </w:p>
        </w:tc>
        <w:tc>
          <w:tcPr>
            <w:tcW w:w="1480" w:type="dxa"/>
            <w:vAlign w:val="bottom"/>
            <w:gridSpan w:val="4"/>
            <w:shd w:val="clear" w:color="auto" w:fill="D9D9D6"/>
          </w:tcPr>
          <w:p>
            <w:pPr>
              <w:jc w:val="right"/>
              <w:ind w:right="560"/>
              <w:spacing w:after="0"/>
              <w:rPr>
                <w:sz w:val="20"/>
                <w:szCs w:val="20"/>
                <w:color w:val="auto"/>
              </w:rPr>
            </w:pPr>
            <w:r>
              <w:rPr>
                <w:rFonts w:ascii="Arial" w:cs="Arial" w:eastAsia="Arial" w:hAnsi="Arial"/>
                <w:sz w:val="14"/>
                <w:szCs w:val="14"/>
                <w:color w:val="auto"/>
              </w:rPr>
              <w:t>2019</w:t>
            </w:r>
          </w:p>
        </w:tc>
        <w:tc>
          <w:tcPr>
            <w:tcW w:w="5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w w:val="97"/>
              </w:rPr>
              <w:t>Growth</w:t>
            </w:r>
          </w:p>
        </w:tc>
        <w:tc>
          <w:tcPr>
            <w:tcW w:w="0" w:type="dxa"/>
            <w:vAlign w:val="bottom"/>
          </w:tcPr>
          <w:p>
            <w:pPr>
              <w:spacing w:after="0"/>
              <w:rPr>
                <w:sz w:val="1"/>
                <w:szCs w:val="1"/>
                <w:color w:val="auto"/>
              </w:rPr>
            </w:pPr>
          </w:p>
        </w:tc>
      </w:tr>
      <w:tr>
        <w:trPr>
          <w:trHeight w:val="196"/>
        </w:trPr>
        <w:tc>
          <w:tcPr>
            <w:tcW w:w="4920" w:type="dxa"/>
            <w:vAlign w:val="bottom"/>
            <w:tcBorders>
              <w:top w:val="single" w:sz="8" w:color="D9D9D6"/>
            </w:tcBorders>
            <w:shd w:val="clear" w:color="auto" w:fill="D9D9D6"/>
          </w:tcPr>
          <w:p>
            <w:pPr>
              <w:ind w:left="60"/>
              <w:spacing w:after="0"/>
              <w:rPr>
                <w:sz w:val="20"/>
                <w:szCs w:val="20"/>
                <w:color w:val="auto"/>
              </w:rPr>
            </w:pPr>
            <w:r>
              <w:rPr>
                <w:rFonts w:ascii="Arial" w:cs="Arial" w:eastAsia="Arial" w:hAnsi="Arial"/>
                <w:sz w:val="14"/>
                <w:szCs w:val="14"/>
                <w:b w:val="1"/>
                <w:bCs w:val="1"/>
                <w:color w:val="auto"/>
              </w:rPr>
              <w:t>NBCUniversal Revenue</w:t>
            </w:r>
          </w:p>
        </w:tc>
        <w:tc>
          <w:tcPr>
            <w:tcW w:w="60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8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580" w:type="dxa"/>
            <w:vAlign w:val="bottom"/>
            <w:tcBorders>
              <w:top w:val="single" w:sz="8" w:color="D9D9D6"/>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140" w:type="dxa"/>
            <w:vAlign w:val="bottom"/>
            <w:tcBorders>
              <w:top w:val="single" w:sz="8" w:color="auto"/>
            </w:tcBorders>
            <w:shd w:val="clear" w:color="auto" w:fill="D9D9D6"/>
          </w:tcPr>
          <w:p>
            <w:pPr>
              <w:spacing w:after="0"/>
              <w:rPr>
                <w:sz w:val="17"/>
                <w:szCs w:val="17"/>
                <w:color w:val="auto"/>
              </w:rPr>
            </w:pPr>
          </w:p>
        </w:tc>
        <w:tc>
          <w:tcPr>
            <w:tcW w:w="560" w:type="dxa"/>
            <w:vAlign w:val="bottom"/>
            <w:tcBorders>
              <w:top w:val="single" w:sz="8" w:color="D9D9D6"/>
            </w:tcBorders>
            <w:shd w:val="clear" w:color="auto" w:fill="D9D9D6"/>
          </w:tcPr>
          <w:p>
            <w:pPr>
              <w:spacing w:after="0"/>
              <w:rPr>
                <w:sz w:val="17"/>
                <w:szCs w:val="17"/>
                <w:color w:val="auto"/>
              </w:rPr>
            </w:pPr>
          </w:p>
        </w:tc>
        <w:tc>
          <w:tcPr>
            <w:tcW w:w="46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D9D9D6"/>
              <w:right w:val="single" w:sz="8" w:color="54585A"/>
            </w:tcBorders>
            <w:shd w:val="clear" w:color="auto" w:fill="D9D9D6"/>
          </w:tcPr>
          <w:p>
            <w:pPr>
              <w:spacing w:after="0"/>
              <w:rPr>
                <w:sz w:val="17"/>
                <w:szCs w:val="17"/>
                <w:color w:val="auto"/>
              </w:rPr>
            </w:pPr>
          </w:p>
        </w:tc>
        <w:tc>
          <w:tcPr>
            <w:tcW w:w="100" w:type="dxa"/>
            <w:vAlign w:val="bottom"/>
            <w:tcBorders>
              <w:top w:val="single" w:sz="8" w:color="D9D9D6"/>
            </w:tcBorders>
            <w:shd w:val="clear" w:color="auto" w:fill="D9D9D6"/>
          </w:tcPr>
          <w:p>
            <w:pPr>
              <w:spacing w:after="0"/>
              <w:rPr>
                <w:sz w:val="17"/>
                <w:szCs w:val="17"/>
                <w:color w:val="auto"/>
              </w:rPr>
            </w:pPr>
          </w:p>
        </w:tc>
        <w:tc>
          <w:tcPr>
            <w:tcW w:w="60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D9D9D6"/>
            </w:tcBorders>
            <w:shd w:val="clear" w:color="auto" w:fill="D9D9D6"/>
          </w:tcPr>
          <w:p>
            <w:pPr>
              <w:spacing w:after="0"/>
              <w:rPr>
                <w:sz w:val="17"/>
                <w:szCs w:val="17"/>
                <w:color w:val="auto"/>
              </w:rPr>
            </w:pPr>
          </w:p>
        </w:tc>
        <w:tc>
          <w:tcPr>
            <w:tcW w:w="600" w:type="dxa"/>
            <w:vAlign w:val="bottom"/>
            <w:tcBorders>
              <w:top w:val="single" w:sz="8" w:color="D9D9D6"/>
            </w:tcBorders>
            <w:shd w:val="clear" w:color="auto" w:fill="D9D9D6"/>
          </w:tcPr>
          <w:p>
            <w:pPr>
              <w:spacing w:after="0"/>
              <w:rPr>
                <w:sz w:val="17"/>
                <w:szCs w:val="17"/>
                <w:color w:val="auto"/>
              </w:rPr>
            </w:pPr>
          </w:p>
        </w:tc>
        <w:tc>
          <w:tcPr>
            <w:tcW w:w="200" w:type="dxa"/>
            <w:vAlign w:val="bottom"/>
            <w:tcBorders>
              <w:top w:val="single" w:sz="8" w:color="auto"/>
            </w:tcBorders>
            <w:shd w:val="clear" w:color="auto" w:fill="D9D9D6"/>
          </w:tcPr>
          <w:p>
            <w:pPr>
              <w:spacing w:after="0"/>
              <w:rPr>
                <w:sz w:val="17"/>
                <w:szCs w:val="17"/>
                <w:color w:val="auto"/>
              </w:rPr>
            </w:pPr>
          </w:p>
        </w:tc>
        <w:tc>
          <w:tcPr>
            <w:tcW w:w="120" w:type="dxa"/>
            <w:vAlign w:val="bottom"/>
            <w:tcBorders>
              <w:top w:val="single" w:sz="8" w:color="auto"/>
            </w:tcBorders>
            <w:shd w:val="clear" w:color="auto" w:fill="D9D9D6"/>
          </w:tcPr>
          <w:p>
            <w:pPr>
              <w:spacing w:after="0"/>
              <w:rPr>
                <w:sz w:val="17"/>
                <w:szCs w:val="17"/>
                <w:color w:val="auto"/>
              </w:rPr>
            </w:pPr>
          </w:p>
        </w:tc>
        <w:tc>
          <w:tcPr>
            <w:tcW w:w="560" w:type="dxa"/>
            <w:vAlign w:val="bottom"/>
            <w:tcBorders>
              <w:top w:val="single" w:sz="8" w:color="D9D9D6"/>
            </w:tcBorders>
            <w:shd w:val="clear" w:color="auto" w:fill="D9D9D6"/>
          </w:tcPr>
          <w:p>
            <w:pPr>
              <w:spacing w:after="0"/>
              <w:rPr>
                <w:sz w:val="17"/>
                <w:szCs w:val="17"/>
                <w:color w:val="auto"/>
              </w:rPr>
            </w:pPr>
          </w:p>
        </w:tc>
        <w:tc>
          <w:tcPr>
            <w:tcW w:w="460" w:type="dxa"/>
            <w:vAlign w:val="bottom"/>
            <w:tcBorders>
              <w:top w:val="single" w:sz="8" w:color="auto"/>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Cable Networks</w:t>
            </w:r>
          </w:p>
        </w:tc>
        <w:tc>
          <w:tcPr>
            <w:tcW w:w="104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$2,874</w:t>
            </w:r>
          </w:p>
        </w:tc>
        <w:tc>
          <w:tcPr>
            <w:tcW w:w="102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$2,947</w:t>
            </w: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2.5%</w:t>
            </w:r>
          </w:p>
        </w:tc>
        <w:tc>
          <w:tcPr>
            <w:tcW w:w="180" w:type="dxa"/>
            <w:vAlign w:val="bottom"/>
            <w:tcBorders>
              <w:right w:val="single" w:sz="8" w:color="54585A"/>
            </w:tcBorders>
            <w:shd w:val="clear" w:color="auto" w:fill="D9D9D6"/>
          </w:tcPr>
          <w:p>
            <w:pPr>
              <w:spacing w:after="0"/>
              <w:rPr>
                <w:sz w:val="17"/>
                <w:szCs w:val="17"/>
                <w:color w:val="auto"/>
              </w:rPr>
            </w:pPr>
          </w:p>
        </w:tc>
        <w:tc>
          <w:tcPr>
            <w:tcW w:w="1240" w:type="dxa"/>
            <w:vAlign w:val="bottom"/>
            <w:gridSpan w:val="4"/>
            <w:shd w:val="clear" w:color="auto" w:fill="D9D9D6"/>
          </w:tcPr>
          <w:p>
            <w:pPr>
              <w:jc w:val="right"/>
              <w:ind w:right="160"/>
              <w:spacing w:after="0"/>
              <w:rPr>
                <w:sz w:val="20"/>
                <w:szCs w:val="20"/>
                <w:color w:val="auto"/>
              </w:rPr>
            </w:pPr>
            <w:r>
              <w:rPr>
                <w:rFonts w:ascii="Arial" w:cs="Arial" w:eastAsia="Arial" w:hAnsi="Arial"/>
                <w:sz w:val="14"/>
                <w:szCs w:val="14"/>
                <w:color w:val="auto"/>
              </w:rPr>
              <w:t>$6,031</w:t>
            </w:r>
          </w:p>
        </w:tc>
        <w:tc>
          <w:tcPr>
            <w:tcW w:w="92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$5,815</w:t>
            </w:r>
          </w:p>
        </w:tc>
        <w:tc>
          <w:tcPr>
            <w:tcW w:w="56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3"/>
        </w:trPr>
        <w:tc>
          <w:tcPr>
            <w:tcW w:w="4920" w:type="dxa"/>
            <w:vAlign w:val="bottom"/>
            <w:shd w:val="clear" w:color="auto" w:fill="D9D9D6"/>
          </w:tcPr>
          <w:p>
            <w:pPr>
              <w:ind w:left="280"/>
              <w:spacing w:after="0"/>
              <w:rPr>
                <w:sz w:val="20"/>
                <w:szCs w:val="20"/>
                <w:color w:val="auto"/>
              </w:rPr>
            </w:pPr>
            <w:r>
              <w:rPr>
                <w:rFonts w:ascii="Arial" w:cs="Arial" w:eastAsia="Arial" w:hAnsi="Arial"/>
                <w:sz w:val="14"/>
                <w:szCs w:val="14"/>
                <w:i w:val="1"/>
                <w:iCs w:val="1"/>
                <w:color w:val="auto"/>
              </w:rPr>
              <w:t>Excluding Olympics (see Table 6)</w:t>
            </w:r>
          </w:p>
        </w:tc>
        <w:tc>
          <w:tcPr>
            <w:tcW w:w="60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5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spacing w:after="0"/>
              <w:rPr>
                <w:sz w:val="17"/>
                <w:szCs w:val="17"/>
                <w:color w:val="auto"/>
              </w:rPr>
            </w:pPr>
          </w:p>
        </w:tc>
        <w:tc>
          <w:tcPr>
            <w:tcW w:w="180" w:type="dxa"/>
            <w:vAlign w:val="bottom"/>
            <w:tcBorders>
              <w:right w:val="single" w:sz="8" w:color="54585A"/>
            </w:tcBorders>
            <w:shd w:val="clear" w:color="auto" w:fill="D9D9D6"/>
          </w:tcPr>
          <w:p>
            <w:pPr>
              <w:spacing w:after="0"/>
              <w:rPr>
                <w:sz w:val="17"/>
                <w:szCs w:val="17"/>
                <w:color w:val="auto"/>
              </w:rPr>
            </w:pPr>
          </w:p>
        </w:tc>
        <w:tc>
          <w:tcPr>
            <w:tcW w:w="1240" w:type="dxa"/>
            <w:vAlign w:val="bottom"/>
            <w:gridSpan w:val="4"/>
            <w:shd w:val="clear" w:color="auto" w:fill="D9D9D6"/>
          </w:tcPr>
          <w:p>
            <w:pPr>
              <w:jc w:val="right"/>
              <w:ind w:right="160"/>
              <w:spacing w:after="0"/>
              <w:rPr>
                <w:sz w:val="20"/>
                <w:szCs w:val="20"/>
                <w:color w:val="auto"/>
              </w:rPr>
            </w:pPr>
            <w:r>
              <w:rPr>
                <w:rFonts w:ascii="Arial" w:cs="Arial" w:eastAsia="Arial" w:hAnsi="Arial"/>
                <w:sz w:val="14"/>
                <w:szCs w:val="14"/>
                <w:i w:val="1"/>
                <w:iCs w:val="1"/>
                <w:color w:val="auto"/>
              </w:rPr>
              <w:t>5,653</w:t>
            </w:r>
          </w:p>
        </w:tc>
        <w:tc>
          <w:tcPr>
            <w:tcW w:w="92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5,815</w:t>
            </w:r>
          </w:p>
        </w:tc>
        <w:tc>
          <w:tcPr>
            <w:tcW w:w="56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2.9%</w:t>
            </w:r>
          </w:p>
        </w:tc>
        <w:tc>
          <w:tcPr>
            <w:tcW w:w="0" w:type="dxa"/>
            <w:vAlign w:val="bottom"/>
          </w:tcPr>
          <w:p>
            <w:pPr>
              <w:spacing w:after="0"/>
              <w:rPr>
                <w:sz w:val="1"/>
                <w:szCs w:val="1"/>
                <w:color w:val="auto"/>
              </w:rPr>
            </w:pPr>
          </w:p>
        </w:tc>
      </w:tr>
      <w:tr>
        <w:trPr>
          <w:trHeight w:val="203"/>
        </w:trPr>
        <w:tc>
          <w:tcPr>
            <w:tcW w:w="49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Broadcast Television</w:t>
            </w:r>
          </w:p>
        </w:tc>
        <w:tc>
          <w:tcPr>
            <w:tcW w:w="104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2,391</w:t>
            </w:r>
          </w:p>
        </w:tc>
        <w:tc>
          <w:tcPr>
            <w:tcW w:w="102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2,402</w:t>
            </w: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0.5%</w:t>
            </w:r>
          </w:p>
        </w:tc>
        <w:tc>
          <w:tcPr>
            <w:tcW w:w="180" w:type="dxa"/>
            <w:vAlign w:val="bottom"/>
            <w:tcBorders>
              <w:right w:val="single" w:sz="8" w:color="54585A"/>
            </w:tcBorders>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160"/>
              <w:spacing w:after="0"/>
              <w:rPr>
                <w:sz w:val="20"/>
                <w:szCs w:val="20"/>
                <w:color w:val="auto"/>
              </w:rPr>
            </w:pPr>
            <w:r>
              <w:rPr>
                <w:rFonts w:ascii="Arial" w:cs="Arial" w:eastAsia="Arial" w:hAnsi="Arial"/>
                <w:sz w:val="14"/>
                <w:szCs w:val="14"/>
                <w:color w:val="auto"/>
              </w:rPr>
              <w:t>5,888</w:t>
            </w:r>
          </w:p>
        </w:tc>
        <w:tc>
          <w:tcPr>
            <w:tcW w:w="92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4,869</w:t>
            </w:r>
          </w:p>
        </w:tc>
        <w:tc>
          <w:tcPr>
            <w:tcW w:w="56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03"/>
        </w:trPr>
        <w:tc>
          <w:tcPr>
            <w:tcW w:w="4920" w:type="dxa"/>
            <w:vAlign w:val="bottom"/>
            <w:shd w:val="clear" w:color="auto" w:fill="D9D9D6"/>
          </w:tcPr>
          <w:p>
            <w:pPr>
              <w:ind w:left="280"/>
              <w:spacing w:after="0"/>
              <w:rPr>
                <w:sz w:val="20"/>
                <w:szCs w:val="20"/>
                <w:color w:val="auto"/>
              </w:rPr>
            </w:pPr>
            <w:r>
              <w:rPr>
                <w:rFonts w:ascii="Arial" w:cs="Arial" w:eastAsia="Arial" w:hAnsi="Arial"/>
                <w:sz w:val="14"/>
                <w:szCs w:val="14"/>
                <w:i w:val="1"/>
                <w:iCs w:val="1"/>
                <w:color w:val="auto"/>
              </w:rPr>
              <w:t>Excluding Olympics and Super Bowl (see Table 6)</w:t>
            </w:r>
          </w:p>
        </w:tc>
        <w:tc>
          <w:tcPr>
            <w:tcW w:w="60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5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spacing w:after="0"/>
              <w:rPr>
                <w:sz w:val="17"/>
                <w:szCs w:val="17"/>
                <w:color w:val="auto"/>
              </w:rPr>
            </w:pPr>
          </w:p>
        </w:tc>
        <w:tc>
          <w:tcPr>
            <w:tcW w:w="180" w:type="dxa"/>
            <w:vAlign w:val="bottom"/>
            <w:tcBorders>
              <w:right w:val="single" w:sz="8" w:color="54585A"/>
            </w:tcBorders>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160"/>
              <w:spacing w:after="0"/>
              <w:rPr>
                <w:sz w:val="20"/>
                <w:szCs w:val="20"/>
                <w:color w:val="auto"/>
              </w:rPr>
            </w:pPr>
            <w:r>
              <w:rPr>
                <w:rFonts w:ascii="Arial" w:cs="Arial" w:eastAsia="Arial" w:hAnsi="Arial"/>
                <w:sz w:val="14"/>
                <w:szCs w:val="14"/>
                <w:i w:val="1"/>
                <w:iCs w:val="1"/>
                <w:color w:val="auto"/>
              </w:rPr>
              <w:t>4,695</w:t>
            </w:r>
          </w:p>
        </w:tc>
        <w:tc>
          <w:tcPr>
            <w:tcW w:w="92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4,869</w:t>
            </w:r>
          </w:p>
        </w:tc>
        <w:tc>
          <w:tcPr>
            <w:tcW w:w="56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3.7%</w:t>
            </w:r>
          </w:p>
        </w:tc>
        <w:tc>
          <w:tcPr>
            <w:tcW w:w="0" w:type="dxa"/>
            <w:vAlign w:val="bottom"/>
          </w:tcPr>
          <w:p>
            <w:pPr>
              <w:spacing w:after="0"/>
              <w:rPr>
                <w:sz w:val="1"/>
                <w:szCs w:val="1"/>
                <w:color w:val="auto"/>
              </w:rPr>
            </w:pPr>
          </w:p>
        </w:tc>
      </w:tr>
      <w:tr>
        <w:trPr>
          <w:trHeight w:val="203"/>
        </w:trPr>
        <w:tc>
          <w:tcPr>
            <w:tcW w:w="49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Filmed Entertainment</w:t>
            </w:r>
          </w:p>
        </w:tc>
        <w:tc>
          <w:tcPr>
            <w:tcW w:w="104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1,710</w:t>
            </w:r>
          </w:p>
        </w:tc>
        <w:tc>
          <w:tcPr>
            <w:tcW w:w="102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1,457</w:t>
            </w: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9"/>
              </w:rPr>
              <w:t>(14.8%</w:t>
            </w:r>
          </w:p>
        </w:tc>
        <w:tc>
          <w:tcPr>
            <w:tcW w:w="180" w:type="dxa"/>
            <w:vAlign w:val="bottom"/>
            <w:tcBorders>
              <w:right w:val="single" w:sz="8" w:color="54585A"/>
            </w:tcBorders>
            <w:shd w:val="clear" w:color="auto" w:fill="D9D9D6"/>
          </w:tcPr>
          <w:p>
            <w:pPr>
              <w:jc w:val="right"/>
              <w:ind w:right="48"/>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160"/>
              <w:spacing w:after="0"/>
              <w:rPr>
                <w:sz w:val="20"/>
                <w:szCs w:val="20"/>
                <w:color w:val="auto"/>
              </w:rPr>
            </w:pPr>
            <w:r>
              <w:rPr>
                <w:rFonts w:ascii="Arial" w:cs="Arial" w:eastAsia="Arial" w:hAnsi="Arial"/>
                <w:sz w:val="14"/>
                <w:szCs w:val="14"/>
                <w:color w:val="auto"/>
              </w:rPr>
              <w:t>3,357</w:t>
            </w:r>
          </w:p>
        </w:tc>
        <w:tc>
          <w:tcPr>
            <w:tcW w:w="92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3,225</w:t>
            </w:r>
          </w:p>
        </w:tc>
        <w:tc>
          <w:tcPr>
            <w:tcW w:w="56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3"/>
        </w:trPr>
        <w:tc>
          <w:tcPr>
            <w:tcW w:w="49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Theme Parks</w:t>
            </w:r>
          </w:p>
        </w:tc>
        <w:tc>
          <w:tcPr>
            <w:tcW w:w="104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1,361</w:t>
            </w:r>
          </w:p>
        </w:tc>
        <w:tc>
          <w:tcPr>
            <w:tcW w:w="102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1,464</w:t>
            </w: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7.5%</w:t>
            </w:r>
          </w:p>
        </w:tc>
        <w:tc>
          <w:tcPr>
            <w:tcW w:w="180" w:type="dxa"/>
            <w:vAlign w:val="bottom"/>
            <w:tcBorders>
              <w:right w:val="single" w:sz="8" w:color="54585A"/>
            </w:tcBorders>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160"/>
              <w:spacing w:after="0"/>
              <w:rPr>
                <w:sz w:val="20"/>
                <w:szCs w:val="20"/>
                <w:color w:val="auto"/>
              </w:rPr>
            </w:pPr>
            <w:r>
              <w:rPr>
                <w:rFonts w:ascii="Arial" w:cs="Arial" w:eastAsia="Arial" w:hAnsi="Arial"/>
                <w:sz w:val="14"/>
                <w:szCs w:val="14"/>
                <w:color w:val="auto"/>
              </w:rPr>
              <w:t>2,642</w:t>
            </w:r>
          </w:p>
        </w:tc>
        <w:tc>
          <w:tcPr>
            <w:tcW w:w="92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2,740</w:t>
            </w: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3.7%</w:t>
            </w:r>
          </w:p>
        </w:tc>
        <w:tc>
          <w:tcPr>
            <w:tcW w:w="6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Borders>
              <w:bottom w:val="single" w:sz="8" w:color="D9D9D6"/>
            </w:tcBorders>
            <w:shd w:val="clear" w:color="auto" w:fill="D9D9D6"/>
          </w:tcPr>
          <w:p>
            <w:pPr>
              <w:ind w:left="180"/>
              <w:spacing w:after="0"/>
              <w:rPr>
                <w:sz w:val="20"/>
                <w:szCs w:val="20"/>
                <w:color w:val="auto"/>
              </w:rPr>
            </w:pPr>
            <w:r>
              <w:rPr>
                <w:rFonts w:ascii="Arial" w:cs="Arial" w:eastAsia="Arial" w:hAnsi="Arial"/>
                <w:sz w:val="14"/>
                <w:szCs w:val="14"/>
                <w:color w:val="auto"/>
              </w:rPr>
              <w:t>Headquarters, other and eliminations</w:t>
            </w:r>
          </w:p>
        </w:tc>
        <w:tc>
          <w:tcPr>
            <w:tcW w:w="104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(63)</w:t>
            </w:r>
          </w:p>
        </w:tc>
        <w:tc>
          <w:tcPr>
            <w:tcW w:w="1020" w:type="dxa"/>
            <w:vAlign w:val="bottom"/>
            <w:tcBorders>
              <w:bottom w:val="single" w:sz="8" w:color="auto"/>
            </w:tcBorders>
            <w:gridSpan w:val="4"/>
            <w:shd w:val="clear" w:color="auto" w:fill="D9D9D6"/>
          </w:tcPr>
          <w:p>
            <w:pPr>
              <w:jc w:val="right"/>
              <w:spacing w:after="0"/>
              <w:rPr>
                <w:sz w:val="20"/>
                <w:szCs w:val="20"/>
                <w:color w:val="auto"/>
              </w:rPr>
            </w:pPr>
            <w:r>
              <w:rPr>
                <w:rFonts w:ascii="Arial" w:cs="Arial" w:eastAsia="Arial" w:hAnsi="Arial"/>
                <w:sz w:val="14"/>
                <w:szCs w:val="14"/>
                <w:color w:val="auto"/>
              </w:rPr>
              <w:t>(64)</w:t>
            </w:r>
          </w:p>
        </w:tc>
        <w:tc>
          <w:tcPr>
            <w:tcW w:w="560" w:type="dxa"/>
            <w:vAlign w:val="bottom"/>
            <w:tcBorders>
              <w:bottom w:val="single" w:sz="8" w:color="auto"/>
            </w:tcBorders>
            <w:shd w:val="clear" w:color="auto" w:fill="D9D9D6"/>
          </w:tcPr>
          <w:p>
            <w:pPr>
              <w:spacing w:after="0"/>
              <w:rPr>
                <w:sz w:val="17"/>
                <w:szCs w:val="17"/>
                <w:color w:val="auto"/>
              </w:rPr>
            </w:pPr>
          </w:p>
        </w:tc>
        <w:tc>
          <w:tcPr>
            <w:tcW w:w="46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NM</w:t>
            </w:r>
          </w:p>
        </w:tc>
        <w:tc>
          <w:tcPr>
            <w:tcW w:w="180" w:type="dxa"/>
            <w:vAlign w:val="bottom"/>
            <w:tcBorders>
              <w:bottom w:val="single" w:sz="8" w:color="D9D9D6"/>
              <w:right w:val="single" w:sz="8" w:color="54585A"/>
            </w:tcBorders>
            <w:vMerge w:val="restart"/>
            <w:shd w:val="clear" w:color="auto" w:fill="D9D9D6"/>
          </w:tcPr>
          <w:p>
            <w:pPr>
              <w:jc w:val="right"/>
              <w:ind w:right="48"/>
              <w:spacing w:after="0"/>
              <w:rPr>
                <w:sz w:val="20"/>
                <w:szCs w:val="20"/>
                <w:color w:val="auto"/>
              </w:rPr>
            </w:pPr>
            <w:r>
              <w:rPr>
                <w:rFonts w:ascii="Arial" w:cs="Arial" w:eastAsia="Arial" w:hAnsi="Arial"/>
                <w:sz w:val="14"/>
                <w:szCs w:val="14"/>
                <w:b w:val="1"/>
                <w:bCs w:val="1"/>
                <w:color w:val="auto"/>
                <w:w w:val="84"/>
              </w:rPr>
              <w:t>)</w:t>
            </w:r>
          </w:p>
        </w:tc>
        <w:tc>
          <w:tcPr>
            <w:tcW w:w="100" w:type="dxa"/>
            <w:vAlign w:val="bottom"/>
            <w:tcBorders>
              <w:bottom w:val="single" w:sz="8" w:color="D9D9D6"/>
            </w:tcBorders>
            <w:shd w:val="clear" w:color="auto" w:fill="D9D9D6"/>
          </w:tcPr>
          <w:p>
            <w:pPr>
              <w:spacing w:after="0"/>
              <w:rPr>
                <w:sz w:val="17"/>
                <w:szCs w:val="17"/>
                <w:color w:val="auto"/>
              </w:rPr>
            </w:pPr>
          </w:p>
        </w:tc>
        <w:tc>
          <w:tcPr>
            <w:tcW w:w="1140" w:type="dxa"/>
            <w:vAlign w:val="bottom"/>
            <w:tcBorders>
              <w:bottom w:val="single" w:sz="8" w:color="auto"/>
            </w:tcBorders>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(148)</w:t>
            </w:r>
          </w:p>
        </w:tc>
        <w:tc>
          <w:tcPr>
            <w:tcW w:w="92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(130)</w:t>
            </w:r>
          </w:p>
        </w:tc>
        <w:tc>
          <w:tcPr>
            <w:tcW w:w="560" w:type="dxa"/>
            <w:vAlign w:val="bottom"/>
            <w:tcBorders>
              <w:bottom w:val="single" w:sz="8" w:color="auto"/>
            </w:tcBorders>
            <w:shd w:val="clear" w:color="auto" w:fill="D9D9D6"/>
          </w:tcPr>
          <w:p>
            <w:pPr>
              <w:spacing w:after="0"/>
              <w:rPr>
                <w:sz w:val="17"/>
                <w:szCs w:val="17"/>
                <w:color w:val="auto"/>
              </w:rPr>
            </w:pPr>
          </w:p>
        </w:tc>
        <w:tc>
          <w:tcPr>
            <w:tcW w:w="46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NM</w:t>
            </w:r>
          </w:p>
        </w:tc>
        <w:tc>
          <w:tcPr>
            <w:tcW w:w="6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20" w:type="dxa"/>
            <w:vAlign w:val="bottom"/>
            <w:shd w:val="clear" w:color="auto" w:fill="D9D9D6"/>
          </w:tcPr>
          <w:p>
            <w:pPr>
              <w:ind w:left="60"/>
              <w:spacing w:after="0"/>
              <w:rPr>
                <w:sz w:val="20"/>
                <w:szCs w:val="20"/>
                <w:color w:val="auto"/>
              </w:rPr>
            </w:pPr>
            <w:r>
              <w:rPr>
                <w:rFonts w:ascii="Arial" w:cs="Arial" w:eastAsia="Arial" w:hAnsi="Arial"/>
                <w:sz w:val="14"/>
                <w:szCs w:val="14"/>
                <w:b w:val="1"/>
                <w:bCs w:val="1"/>
                <w:color w:val="auto"/>
              </w:rPr>
              <w:t>NBCUniversal Revenue</w:t>
            </w:r>
          </w:p>
        </w:tc>
        <w:tc>
          <w:tcPr>
            <w:tcW w:w="104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$8,273</w:t>
            </w:r>
          </w:p>
        </w:tc>
        <w:tc>
          <w:tcPr>
            <w:tcW w:w="102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$8,206</w:t>
            </w: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(0.8%</w:t>
            </w:r>
          </w:p>
        </w:tc>
        <w:tc>
          <w:tcPr>
            <w:tcW w:w="180" w:type="dxa"/>
            <w:vAlign w:val="bottom"/>
            <w:tcBorders>
              <w:right w:val="single" w:sz="8" w:color="54585A"/>
            </w:tcBorders>
            <w:vMerge w:val="continue"/>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$17,770</w:t>
            </w:r>
          </w:p>
        </w:tc>
        <w:tc>
          <w:tcPr>
            <w:tcW w:w="92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$16,519</w:t>
            </w: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(7.0%)</w:t>
            </w:r>
          </w:p>
        </w:tc>
        <w:tc>
          <w:tcPr>
            <w:tcW w:w="6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4920" w:type="dxa"/>
            <w:vAlign w:val="bottom"/>
            <w:shd w:val="clear" w:color="auto" w:fill="D9D9D6"/>
          </w:tcPr>
          <w:p>
            <w:pPr>
              <w:ind w:left="60"/>
              <w:spacing w:after="0"/>
              <w:rPr>
                <w:sz w:val="20"/>
                <w:szCs w:val="20"/>
                <w:color w:val="auto"/>
              </w:rPr>
            </w:pPr>
            <w:r>
              <w:rPr>
                <w:rFonts w:ascii="Arial" w:cs="Arial" w:eastAsia="Arial" w:hAnsi="Arial"/>
                <w:sz w:val="14"/>
                <w:szCs w:val="14"/>
                <w:b w:val="1"/>
                <w:bCs w:val="1"/>
                <w:color w:val="auto"/>
              </w:rPr>
              <w:t>NBCUniversal Adjusted EBITDA</w:t>
            </w:r>
          </w:p>
        </w:tc>
        <w:tc>
          <w:tcPr>
            <w:tcW w:w="60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5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180" w:type="dxa"/>
            <w:vAlign w:val="bottom"/>
            <w:tcBorders>
              <w:right w:val="single" w:sz="8" w:color="54585A"/>
            </w:tcBorders>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60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60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Cable Networks</w:t>
            </w:r>
          </w:p>
        </w:tc>
        <w:tc>
          <w:tcPr>
            <w:tcW w:w="104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$1,176</w:t>
            </w:r>
          </w:p>
        </w:tc>
        <w:tc>
          <w:tcPr>
            <w:tcW w:w="102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$1,201</w:t>
            </w: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2.2%</w:t>
            </w:r>
          </w:p>
        </w:tc>
        <w:tc>
          <w:tcPr>
            <w:tcW w:w="180" w:type="dxa"/>
            <w:vAlign w:val="bottom"/>
            <w:tcBorders>
              <w:right w:val="single" w:sz="8" w:color="54585A"/>
            </w:tcBorders>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160"/>
              <w:spacing w:after="0"/>
              <w:rPr>
                <w:sz w:val="20"/>
                <w:szCs w:val="20"/>
                <w:color w:val="auto"/>
              </w:rPr>
            </w:pPr>
            <w:r>
              <w:rPr>
                <w:rFonts w:ascii="Arial" w:cs="Arial" w:eastAsia="Arial" w:hAnsi="Arial"/>
                <w:sz w:val="14"/>
                <w:szCs w:val="14"/>
                <w:color w:val="auto"/>
              </w:rPr>
              <w:t>$2,430</w:t>
            </w:r>
          </w:p>
        </w:tc>
        <w:tc>
          <w:tcPr>
            <w:tcW w:w="92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$2,463</w:t>
            </w: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1.4%</w:t>
            </w:r>
          </w:p>
        </w:tc>
        <w:tc>
          <w:tcPr>
            <w:tcW w:w="6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Broadcast Television</w:t>
            </w:r>
          </w:p>
        </w:tc>
        <w:tc>
          <w:tcPr>
            <w:tcW w:w="104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417</w:t>
            </w:r>
          </w:p>
        </w:tc>
        <w:tc>
          <w:tcPr>
            <w:tcW w:w="102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534</w:t>
            </w: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28.3%</w:t>
            </w:r>
          </w:p>
        </w:tc>
        <w:tc>
          <w:tcPr>
            <w:tcW w:w="180" w:type="dxa"/>
            <w:vAlign w:val="bottom"/>
            <w:tcBorders>
              <w:right w:val="single" w:sz="8" w:color="54585A"/>
            </w:tcBorders>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160"/>
              <w:spacing w:after="0"/>
              <w:rPr>
                <w:sz w:val="20"/>
                <w:szCs w:val="20"/>
                <w:color w:val="auto"/>
              </w:rPr>
            </w:pPr>
            <w:r>
              <w:rPr>
                <w:rFonts w:ascii="Arial" w:cs="Arial" w:eastAsia="Arial" w:hAnsi="Arial"/>
                <w:sz w:val="14"/>
                <w:szCs w:val="14"/>
                <w:color w:val="auto"/>
              </w:rPr>
              <w:t>924</w:t>
            </w:r>
          </w:p>
        </w:tc>
        <w:tc>
          <w:tcPr>
            <w:tcW w:w="92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921</w:t>
            </w: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(0.3%)</w:t>
            </w:r>
          </w:p>
        </w:tc>
        <w:tc>
          <w:tcPr>
            <w:tcW w:w="6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Filmed Entertainment</w:t>
            </w:r>
          </w:p>
        </w:tc>
        <w:tc>
          <w:tcPr>
            <w:tcW w:w="104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138</w:t>
            </w:r>
          </w:p>
        </w:tc>
        <w:tc>
          <w:tcPr>
            <w:tcW w:w="102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183</w:t>
            </w: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33.0%</w:t>
            </w:r>
          </w:p>
        </w:tc>
        <w:tc>
          <w:tcPr>
            <w:tcW w:w="180" w:type="dxa"/>
            <w:vAlign w:val="bottom"/>
            <w:tcBorders>
              <w:right w:val="single" w:sz="8" w:color="54585A"/>
            </w:tcBorders>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160"/>
              <w:spacing w:after="0"/>
              <w:rPr>
                <w:sz w:val="20"/>
                <w:szCs w:val="20"/>
                <w:color w:val="auto"/>
              </w:rPr>
            </w:pPr>
            <w:r>
              <w:rPr>
                <w:rFonts w:ascii="Arial" w:cs="Arial" w:eastAsia="Arial" w:hAnsi="Arial"/>
                <w:sz w:val="14"/>
                <w:szCs w:val="14"/>
                <w:color w:val="auto"/>
              </w:rPr>
              <w:t>341</w:t>
            </w:r>
          </w:p>
        </w:tc>
        <w:tc>
          <w:tcPr>
            <w:tcW w:w="92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547</w:t>
            </w: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60.3%</w:t>
            </w:r>
          </w:p>
        </w:tc>
        <w:tc>
          <w:tcPr>
            <w:tcW w:w="6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Theme Parks</w:t>
            </w:r>
          </w:p>
        </w:tc>
        <w:tc>
          <w:tcPr>
            <w:tcW w:w="104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569</w:t>
            </w:r>
          </w:p>
        </w:tc>
        <w:tc>
          <w:tcPr>
            <w:tcW w:w="102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590</w:t>
            </w: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3.8%</w:t>
            </w:r>
          </w:p>
        </w:tc>
        <w:tc>
          <w:tcPr>
            <w:tcW w:w="180" w:type="dxa"/>
            <w:vAlign w:val="bottom"/>
            <w:tcBorders>
              <w:right w:val="single" w:sz="8" w:color="54585A"/>
            </w:tcBorders>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1140" w:type="dxa"/>
            <w:vAlign w:val="bottom"/>
            <w:gridSpan w:val="3"/>
            <w:shd w:val="clear" w:color="auto" w:fill="D9D9D6"/>
          </w:tcPr>
          <w:p>
            <w:pPr>
              <w:jc w:val="right"/>
              <w:ind w:right="160"/>
              <w:spacing w:after="0"/>
              <w:rPr>
                <w:sz w:val="20"/>
                <w:szCs w:val="20"/>
                <w:color w:val="auto"/>
              </w:rPr>
            </w:pPr>
            <w:r>
              <w:rPr>
                <w:rFonts w:ascii="Arial" w:cs="Arial" w:eastAsia="Arial" w:hAnsi="Arial"/>
                <w:sz w:val="14"/>
                <w:szCs w:val="14"/>
                <w:color w:val="auto"/>
              </w:rPr>
              <w:t>1,064</w:t>
            </w:r>
          </w:p>
        </w:tc>
        <w:tc>
          <w:tcPr>
            <w:tcW w:w="92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1,088</w:t>
            </w: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2.2%</w:t>
            </w:r>
          </w:p>
        </w:tc>
        <w:tc>
          <w:tcPr>
            <w:tcW w:w="6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920" w:type="dxa"/>
            <w:vAlign w:val="bottom"/>
            <w:tcBorders>
              <w:bottom w:val="single" w:sz="8" w:color="D9D9D6"/>
            </w:tcBorders>
            <w:shd w:val="clear" w:color="auto" w:fill="D9D9D6"/>
          </w:tcPr>
          <w:p>
            <w:pPr>
              <w:ind w:left="180"/>
              <w:spacing w:after="0"/>
              <w:rPr>
                <w:sz w:val="20"/>
                <w:szCs w:val="20"/>
                <w:color w:val="auto"/>
              </w:rPr>
            </w:pPr>
            <w:r>
              <w:rPr>
                <w:rFonts w:ascii="Arial" w:cs="Arial" w:eastAsia="Arial" w:hAnsi="Arial"/>
                <w:sz w:val="14"/>
                <w:szCs w:val="14"/>
                <w:color w:val="auto"/>
              </w:rPr>
              <w:t>Headquarters, other and eliminations</w:t>
            </w:r>
          </w:p>
        </w:tc>
        <w:tc>
          <w:tcPr>
            <w:tcW w:w="104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(150)</w:t>
            </w:r>
          </w:p>
        </w:tc>
        <w:tc>
          <w:tcPr>
            <w:tcW w:w="1020" w:type="dxa"/>
            <w:vAlign w:val="bottom"/>
            <w:tcBorders>
              <w:bottom w:val="single" w:sz="8" w:color="auto"/>
            </w:tcBorders>
            <w:gridSpan w:val="4"/>
            <w:shd w:val="clear" w:color="auto" w:fill="D9D9D6"/>
          </w:tcPr>
          <w:p>
            <w:pPr>
              <w:jc w:val="right"/>
              <w:spacing w:after="0"/>
              <w:rPr>
                <w:sz w:val="20"/>
                <w:szCs w:val="20"/>
                <w:color w:val="auto"/>
              </w:rPr>
            </w:pPr>
            <w:r>
              <w:rPr>
                <w:rFonts w:ascii="Arial" w:cs="Arial" w:eastAsia="Arial" w:hAnsi="Arial"/>
                <w:sz w:val="14"/>
                <w:szCs w:val="14"/>
                <w:color w:val="auto"/>
              </w:rPr>
              <w:t>(184)</w:t>
            </w:r>
          </w:p>
        </w:tc>
        <w:tc>
          <w:tcPr>
            <w:tcW w:w="560" w:type="dxa"/>
            <w:vAlign w:val="bottom"/>
            <w:tcBorders>
              <w:bottom w:val="single" w:sz="8" w:color="auto"/>
            </w:tcBorders>
            <w:shd w:val="clear" w:color="auto" w:fill="D9D9D6"/>
          </w:tcPr>
          <w:p>
            <w:pPr>
              <w:spacing w:after="0"/>
              <w:rPr>
                <w:sz w:val="16"/>
                <w:szCs w:val="16"/>
                <w:color w:val="auto"/>
              </w:rPr>
            </w:pPr>
          </w:p>
        </w:tc>
        <w:tc>
          <w:tcPr>
            <w:tcW w:w="46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NM</w:t>
            </w:r>
          </w:p>
        </w:tc>
        <w:tc>
          <w:tcPr>
            <w:tcW w:w="180" w:type="dxa"/>
            <w:vAlign w:val="bottom"/>
            <w:tcBorders>
              <w:bottom w:val="single" w:sz="8" w:color="D9D9D6"/>
              <w:right w:val="single" w:sz="8" w:color="54585A"/>
            </w:tcBorders>
            <w:shd w:val="clear" w:color="auto" w:fill="D9D9D6"/>
          </w:tcPr>
          <w:p>
            <w:pPr>
              <w:spacing w:after="0"/>
              <w:rPr>
                <w:sz w:val="16"/>
                <w:szCs w:val="16"/>
                <w:color w:val="auto"/>
              </w:rPr>
            </w:pPr>
          </w:p>
        </w:tc>
        <w:tc>
          <w:tcPr>
            <w:tcW w:w="100" w:type="dxa"/>
            <w:vAlign w:val="bottom"/>
            <w:tcBorders>
              <w:bottom w:val="single" w:sz="8" w:color="D9D9D6"/>
            </w:tcBorders>
            <w:shd w:val="clear" w:color="auto" w:fill="D9D9D6"/>
          </w:tcPr>
          <w:p>
            <w:pPr>
              <w:spacing w:after="0"/>
              <w:rPr>
                <w:sz w:val="16"/>
                <w:szCs w:val="16"/>
                <w:color w:val="auto"/>
              </w:rPr>
            </w:pPr>
          </w:p>
        </w:tc>
        <w:tc>
          <w:tcPr>
            <w:tcW w:w="1140" w:type="dxa"/>
            <w:vAlign w:val="bottom"/>
            <w:tcBorders>
              <w:bottom w:val="single" w:sz="8" w:color="auto"/>
            </w:tcBorders>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(338)</w:t>
            </w:r>
          </w:p>
        </w:tc>
        <w:tc>
          <w:tcPr>
            <w:tcW w:w="92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(358)</w:t>
            </w:r>
          </w:p>
        </w:tc>
        <w:tc>
          <w:tcPr>
            <w:tcW w:w="560" w:type="dxa"/>
            <w:vAlign w:val="bottom"/>
            <w:tcBorders>
              <w:bottom w:val="single" w:sz="8" w:color="auto"/>
            </w:tcBorders>
            <w:shd w:val="clear" w:color="auto" w:fill="D9D9D6"/>
          </w:tcPr>
          <w:p>
            <w:pPr>
              <w:spacing w:after="0"/>
              <w:rPr>
                <w:sz w:val="16"/>
                <w:szCs w:val="16"/>
                <w:color w:val="auto"/>
              </w:rPr>
            </w:pPr>
          </w:p>
        </w:tc>
        <w:tc>
          <w:tcPr>
            <w:tcW w:w="46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NM</w:t>
            </w:r>
          </w:p>
        </w:tc>
        <w:tc>
          <w:tcPr>
            <w:tcW w:w="6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shd w:val="clear" w:color="auto" w:fill="D9D9D6"/>
          </w:tcPr>
          <w:p>
            <w:pPr>
              <w:ind w:left="60"/>
              <w:spacing w:after="0"/>
              <w:rPr>
                <w:sz w:val="20"/>
                <w:szCs w:val="20"/>
                <w:color w:val="auto"/>
              </w:rPr>
            </w:pPr>
            <w:r>
              <w:rPr>
                <w:rFonts w:ascii="Arial" w:cs="Arial" w:eastAsia="Arial" w:hAnsi="Arial"/>
                <w:sz w:val="14"/>
                <w:szCs w:val="14"/>
                <w:b w:val="1"/>
                <w:bCs w:val="1"/>
                <w:color w:val="auto"/>
              </w:rPr>
              <w:t>NBCUniversal Adjusted EBITDA</w:t>
            </w:r>
          </w:p>
        </w:tc>
        <w:tc>
          <w:tcPr>
            <w:tcW w:w="104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$2,150</w:t>
            </w:r>
          </w:p>
        </w:tc>
        <w:tc>
          <w:tcPr>
            <w:tcW w:w="102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$2,324</w:t>
            </w:r>
          </w:p>
        </w:tc>
        <w:tc>
          <w:tcPr>
            <w:tcW w:w="560" w:type="dxa"/>
            <w:vAlign w:val="bottom"/>
            <w:shd w:val="clear" w:color="auto" w:fill="D9D9D6"/>
          </w:tcPr>
          <w:p>
            <w:pPr>
              <w:spacing w:after="0"/>
              <w:rPr>
                <w:sz w:val="15"/>
                <w:szCs w:val="15"/>
                <w:color w:val="auto"/>
              </w:rPr>
            </w:pPr>
          </w:p>
        </w:tc>
        <w:tc>
          <w:tcPr>
            <w:tcW w:w="46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8.1%</w:t>
            </w:r>
          </w:p>
        </w:tc>
        <w:tc>
          <w:tcPr>
            <w:tcW w:w="180" w:type="dxa"/>
            <w:vAlign w:val="bottom"/>
            <w:tcBorders>
              <w:right w:val="single" w:sz="8" w:color="54585A"/>
            </w:tcBorders>
            <w:shd w:val="clear" w:color="auto" w:fill="D9D9D6"/>
          </w:tcPr>
          <w:p>
            <w:pPr>
              <w:spacing w:after="0"/>
              <w:rPr>
                <w:sz w:val="15"/>
                <w:szCs w:val="15"/>
                <w:color w:val="auto"/>
              </w:rPr>
            </w:pPr>
          </w:p>
        </w:tc>
        <w:tc>
          <w:tcPr>
            <w:tcW w:w="100" w:type="dxa"/>
            <w:vAlign w:val="bottom"/>
            <w:shd w:val="clear" w:color="auto" w:fill="D9D9D6"/>
          </w:tcPr>
          <w:p>
            <w:pPr>
              <w:spacing w:after="0"/>
              <w:rPr>
                <w:sz w:val="15"/>
                <w:szCs w:val="15"/>
                <w:color w:val="auto"/>
              </w:rPr>
            </w:pPr>
          </w:p>
        </w:tc>
        <w:tc>
          <w:tcPr>
            <w:tcW w:w="1140" w:type="dxa"/>
            <w:vAlign w:val="bottom"/>
            <w:gridSpan w:val="3"/>
            <w:shd w:val="clear" w:color="auto" w:fill="D9D9D6"/>
          </w:tcPr>
          <w:p>
            <w:pPr>
              <w:jc w:val="right"/>
              <w:ind w:right="160"/>
              <w:spacing w:after="0"/>
              <w:rPr>
                <w:sz w:val="20"/>
                <w:szCs w:val="20"/>
                <w:color w:val="auto"/>
              </w:rPr>
            </w:pPr>
            <w:r>
              <w:rPr>
                <w:rFonts w:ascii="Arial" w:cs="Arial" w:eastAsia="Arial" w:hAnsi="Arial"/>
                <w:sz w:val="14"/>
                <w:szCs w:val="14"/>
                <w:b w:val="1"/>
                <w:bCs w:val="1"/>
                <w:color w:val="auto"/>
              </w:rPr>
              <w:t>$4,421</w:t>
            </w:r>
          </w:p>
        </w:tc>
        <w:tc>
          <w:tcPr>
            <w:tcW w:w="92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$4,661</w:t>
            </w:r>
          </w:p>
        </w:tc>
        <w:tc>
          <w:tcPr>
            <w:tcW w:w="560" w:type="dxa"/>
            <w:vAlign w:val="bottom"/>
            <w:shd w:val="clear" w:color="auto" w:fill="D9D9D6"/>
          </w:tcPr>
          <w:p>
            <w:pPr>
              <w:spacing w:after="0"/>
              <w:rPr>
                <w:sz w:val="15"/>
                <w:szCs w:val="15"/>
                <w:color w:val="auto"/>
              </w:rPr>
            </w:pPr>
          </w:p>
        </w:tc>
        <w:tc>
          <w:tcPr>
            <w:tcW w:w="46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5.4%</w:t>
            </w:r>
          </w:p>
        </w:tc>
        <w:tc>
          <w:tcPr>
            <w:tcW w:w="6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D9D9D6"/>
          </w:tcPr>
          <w:p>
            <w:pPr>
              <w:ind w:left="60"/>
              <w:spacing w:after="0"/>
              <w:rPr>
                <w:sz w:val="20"/>
                <w:szCs w:val="20"/>
                <w:color w:val="auto"/>
              </w:rPr>
            </w:pPr>
            <w:r>
              <w:rPr>
                <w:rFonts w:ascii="Arial" w:cs="Arial" w:eastAsia="Arial" w:hAnsi="Arial"/>
                <w:sz w:val="14"/>
                <w:szCs w:val="14"/>
                <w:color w:val="auto"/>
              </w:rPr>
              <w:t>NM=comparison not meaningful.</w:t>
            </w:r>
          </w:p>
        </w:tc>
        <w:tc>
          <w:tcPr>
            <w:tcW w:w="60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5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spacing w:after="0"/>
              <w:rPr>
                <w:sz w:val="17"/>
                <w:szCs w:val="17"/>
                <w:color w:val="auto"/>
              </w:rPr>
            </w:pPr>
          </w:p>
        </w:tc>
        <w:tc>
          <w:tcPr>
            <w:tcW w:w="180" w:type="dxa"/>
            <w:vAlign w:val="bottom"/>
            <w:tcBorders>
              <w:right w:val="single" w:sz="8" w:color="D9D9D6"/>
            </w:tcBorders>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60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60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460" w:type="dxa"/>
            <w:vAlign w:val="bottom"/>
            <w:shd w:val="clear" w:color="auto" w:fill="D9D9D6"/>
          </w:tcPr>
          <w:p>
            <w:pPr>
              <w:spacing w:after="0"/>
              <w:rPr>
                <w:sz w:val="17"/>
                <w:szCs w:val="17"/>
                <w:color w:val="auto"/>
              </w:rPr>
            </w:pPr>
          </w:p>
        </w:tc>
        <w:tc>
          <w:tcPr>
            <w:tcW w:w="6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decreased 0.8% to $8.2 billion in the second quarter of 2019.</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8.1% to $2.3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increases at Broadcast Television, Filmed Entertainment, Cable Networks and Theme Parks.</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six months ended June 30, 2019, NBCUniversal revenue decreased 7.0% to $16.5 billion compared to last year's results, which included an incremental $1.6 billion of revenue generated by the broadcasts of the 2018 PyeongChang Olympics and the NFL's Super Bowl LII at our TV Businesses. Adjusted EBITDA increased 5.4% to $4.7 billion, reflecting increases at Filmed Entertainment, Cable Networks and Theme Parks.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Cable Networks revenue increased 2.5% to $2.9 billion in the second quarter of 2019, reflecting higher distribution and content licensing and other revenue. Distribution revenue increased 3.4%, primarily due to contractual rate increases and the timing of contract renewals, partially offset by a decline in subscribers. Content licensing and other revenue increased 5.1%, due to the timing of content provided under licensing agreements. Advertising revenue was consistent with the prior year period, reflecting higher rates, offset by audience ratings declines. Adjusted EBITDA increased 2.2% to $1.2 billion in the second quarter of 2019, reflecting higher revenue, partially offset by higher programming and production costs.</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six months ended June 30, 2019, revenue from the Cable Networks segment decreased 3.6% to $5.8 billion compared to 2018, reflecting lower advertising, distribution and content licensing and other revenue. Excluding $ 378 million of revenue generated by the broadcast of the 2018 PyeongChang Olympics in the first quarter of 2018, Cable Networks revenue increased 2.9% (see Table 6). Adjusted EBITDA increased 1.4% to $2.5 billion compared to 2018, reflecting lower revenue, more than offset by lower operating costs and expenses, including programming and production costs, due to the broadcast of the 2018 PyeongChang Olympics in the first quarter of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Broadcast Television revenue increased 0.5% to $2.4 billion in the second quarter of 2019, reflecting increased distribution and other revenue, partially offset by a decrease in advertising and content licensing revenue. Distribution and other revenue increased 14.7%, primarily due to higher retransmission consent fees. Advertising revenue decreased 4.2%, primarily due to the absence of revenue generated by Telemundo's</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broadcast of the 2018 FIFA World Cup Russia</w:t>
      </w:r>
      <w:r>
        <w:rPr>
          <w:rFonts w:ascii="Arial" w:cs="Arial" w:eastAsia="Arial" w:hAnsi="Arial"/>
          <w:sz w:val="30"/>
          <w:szCs w:val="30"/>
          <w:color w:val="auto"/>
          <w:vertAlign w:val="superscript"/>
        </w:rPr>
        <w:t>TM</w:t>
      </w:r>
      <w:r>
        <w:rPr>
          <w:rFonts w:ascii="Arial" w:cs="Arial" w:eastAsia="Arial" w:hAnsi="Arial"/>
          <w:sz w:val="18"/>
          <w:szCs w:val="18"/>
          <w:color w:val="auto"/>
        </w:rPr>
        <w:t>. Excluding this event, advertising revenue increased mid-single-digits, reflecting higher pricing, partially offset by audience ratings declines. Content licensing revenue decreased 1.7%, reflecting the timing of content provided under licensing agreements. Adjusted EBITDA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increased 28.3% to $534 million in the second quarter of 2019, primarily reflecting a decrease in programming and production costs, due to Telemundo's broadcast of the 2018 FIFA World Cup Russia</w:t>
      </w:r>
      <w:r>
        <w:rPr>
          <w:rFonts w:ascii="Arial" w:cs="Arial" w:eastAsia="Arial" w:hAnsi="Arial"/>
          <w:sz w:val="30"/>
          <w:szCs w:val="30"/>
          <w:color w:val="auto"/>
          <w:vertAlign w:val="superscript"/>
        </w:rPr>
        <w:t>TM</w:t>
      </w:r>
      <w:r>
        <w:rPr>
          <w:rFonts w:ascii="Arial" w:cs="Arial" w:eastAsia="Arial" w:hAnsi="Arial"/>
          <w:sz w:val="18"/>
          <w:szCs w:val="18"/>
          <w:color w:val="auto"/>
        </w:rPr>
        <w:t>.</w:t>
      </w:r>
    </w:p>
    <w:p>
      <w:pPr>
        <w:spacing w:after="0" w:line="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six months ended June 30, 2019, revenue from the Broadcast Television segment decreased 17.3% to $4.9 billion compared to 2018, primarily reflecting a decrease in advertising revenue. Excluding $770 million of revenue generated by the broadcast of the 2018 PyeongChang Olympics in the first quarter of 2018 and $423 million of revenue generated by the broadcast of the NFL's Super Bowl LII in the first quarter of 2018, Broadcast Television revenue increased 3.7% compared to 2018 (see Table 6). Adjusted EBITDA decreased 0.3% to $921 million compared to 2018, with lower revenue offset by a decrease in programming and production costs, primarily due to decreased sports programming costs associated with the broadcasts of the 2018 PyeongChang Olympics and the NFL's Super Bowl LII in the first quarter of 2018.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Filmed Entertainment revenue decreased 14.8% to $1.5 billion in the second quarter of 2019, primarily due to lower theatrical revenue. Theatrical revenue decreased 53.1%, reflecting the strength of releases in last year's second quarter, including </w:t>
      </w:r>
      <w:r>
        <w:rPr>
          <w:rFonts w:ascii="Arial" w:cs="Arial" w:eastAsia="Arial" w:hAnsi="Arial"/>
          <w:sz w:val="18"/>
          <w:szCs w:val="18"/>
          <w:i w:val="1"/>
          <w:iCs w:val="1"/>
          <w:color w:val="auto"/>
        </w:rPr>
        <w:t>Jurassic World: Fallen</w:t>
      </w:r>
      <w:r>
        <w:rPr>
          <w:rFonts w:ascii="Arial" w:cs="Arial" w:eastAsia="Arial" w:hAnsi="Arial"/>
          <w:sz w:val="18"/>
          <w:szCs w:val="18"/>
          <w:color w:val="auto"/>
        </w:rPr>
        <w:t xml:space="preserve"> </w:t>
      </w:r>
      <w:r>
        <w:rPr>
          <w:rFonts w:ascii="Arial" w:cs="Arial" w:eastAsia="Arial" w:hAnsi="Arial"/>
          <w:sz w:val="18"/>
          <w:szCs w:val="18"/>
          <w:i w:val="1"/>
          <w:iCs w:val="1"/>
          <w:color w:val="auto"/>
        </w:rPr>
        <w:t>Kingdom</w:t>
      </w:r>
      <w:r>
        <w:rPr>
          <w:rFonts w:ascii="Arial" w:cs="Arial" w:eastAsia="Arial" w:hAnsi="Arial"/>
          <w:sz w:val="18"/>
          <w:szCs w:val="18"/>
          <w:color w:val="auto"/>
        </w:rPr>
        <w:t>, partially offset by the performance of</w:t>
      </w:r>
      <w:r>
        <w:rPr>
          <w:rFonts w:ascii="Arial" w:cs="Arial" w:eastAsia="Arial" w:hAnsi="Arial"/>
          <w:sz w:val="18"/>
          <w:szCs w:val="18"/>
          <w:i w:val="1"/>
          <w:iCs w:val="1"/>
          <w:color w:val="auto"/>
        </w:rPr>
        <w:t xml:space="preserve"> The Secret Life of Pets 2 </w:t>
      </w:r>
      <w:r>
        <w:rPr>
          <w:rFonts w:ascii="Arial" w:cs="Arial" w:eastAsia="Arial" w:hAnsi="Arial"/>
          <w:sz w:val="18"/>
          <w:szCs w:val="18"/>
          <w:color w:val="auto"/>
        </w:rPr>
        <w:t>in this year's second quarter. Content licensing revenue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9.8%, driven by the timing of when content was made available under licensing agreements. Adjusted EBITDA increased by 33.0% to $183 million in the second quarter of 2019, reflecting lower revenue more than offset by lower programming and production costs.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2019, revenue from the Filmed Entertainment segment decreased 3.9% to $3.2 billion compared to 2018, reflecting lower theatrical and other revenue, partially offset by higher content licensing and home entertainment revenue. Adjusted EBITDA increased 60.3% to $547 million compared to 2018, reflecting lower revenue more than offset by lower operating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Theme Parks revenue increased 7.5% to $1.5 billion in the second quarter of 2019, primarily due to higher attendance, aided by the timing of spring holidays, and increases in guest spending. Adjusted EBITDA increased 3.8% to $590 million in the second quarter of 2019, reflecting an increase in revenue, partially offset by higher operating expenses, including costs to support new attractions, including </w:t>
      </w:r>
      <w:r>
        <w:rPr>
          <w:rFonts w:ascii="Arial" w:cs="Arial" w:eastAsia="Arial" w:hAnsi="Arial"/>
          <w:sz w:val="18"/>
          <w:szCs w:val="18"/>
          <w:i w:val="1"/>
          <w:iCs w:val="1"/>
          <w:color w:val="auto"/>
        </w:rPr>
        <w:t>Hagrid's Magical</w:t>
      </w:r>
      <w:r>
        <w:rPr>
          <w:rFonts w:ascii="Arial" w:cs="Arial" w:eastAsia="Arial" w:hAnsi="Arial"/>
          <w:sz w:val="18"/>
          <w:szCs w:val="18"/>
          <w:color w:val="auto"/>
        </w:rPr>
        <w:t xml:space="preserve"> </w:t>
      </w:r>
      <w:r>
        <w:rPr>
          <w:rFonts w:ascii="Arial" w:cs="Arial" w:eastAsia="Arial" w:hAnsi="Arial"/>
          <w:sz w:val="18"/>
          <w:szCs w:val="18"/>
          <w:i w:val="1"/>
          <w:iCs w:val="1"/>
          <w:color w:val="auto"/>
        </w:rPr>
        <w:t>Creatures Motorbike Adventure</w:t>
      </w:r>
      <w:r>
        <w:rPr>
          <w:rFonts w:ascii="Arial" w:cs="Arial" w:eastAsia="Arial" w:hAnsi="Arial"/>
          <w:sz w:val="30"/>
          <w:szCs w:val="30"/>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in Orlando.</w:t>
      </w:r>
    </w:p>
    <w:p>
      <w:pPr>
        <w:spacing w:after="0" w:line="5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For the six months ended June 30, 2019, revenue from the Theme Parks segment increased 3.7% to $2.7 billion compared to 2018, primarily due to increases in attendance. Adjusted EBITDA increased 2.2% to $1.1 billion compared to 2018, reflecting an increase in revenue, partially offset by higher operating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June 30, 2019, NBCUniversal Headquarters, Other and Eliminations Adjusted EBITDA loss was $184 million, compared to a loss of $150 million in the second quarter of 2018.</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2019, NBCUniversal Headquarters, Other and Eliminations adjusted EBITDA loss was $358 million compared to a loss of $338 million in 2018.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Sky</w:t>
      </w:r>
    </w:p>
    <w:p>
      <w:pPr>
        <w:spacing w:after="0" w:line="2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 forma results are presented as if the Sky transaction occurred on January 1, 2017. The pro forma amounts are based on historical results of operations and are primarily adjusted for the allocation of purchase price and excluding costs directly related to the transaction. These amounts are not necessarily indicative of what our results would have been had we operated Sky since January 1, 2017, (see Table 7 for reconciliations of pro forma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shd w:val="clear" w:color="auto" w:fill="D9D9D6"/>
          </w:tcPr>
          <w:p>
            <w:pPr>
              <w:ind w:left="60"/>
              <w:spacing w:after="0"/>
              <w:rPr>
                <w:sz w:val="20"/>
                <w:szCs w:val="20"/>
                <w:color w:val="auto"/>
              </w:rPr>
            </w:pPr>
            <w:r>
              <w:rPr>
                <w:rFonts w:ascii="Arial" w:cs="Arial" w:eastAsia="Arial" w:hAnsi="Arial"/>
                <w:sz w:val="11"/>
                <w:szCs w:val="11"/>
                <w:i w:val="1"/>
                <w:iCs w:val="1"/>
                <w:color w:val="auto"/>
              </w:rPr>
              <w:t>($ in millions) (pro forma)</w:t>
            </w:r>
          </w:p>
        </w:tc>
        <w:tc>
          <w:tcPr>
            <w:tcW w:w="28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00" w:type="dxa"/>
            <w:vAlign w:val="bottom"/>
            <w:shd w:val="clear" w:color="auto" w:fill="D9D9D6"/>
          </w:tcPr>
          <w:p>
            <w:pPr>
              <w:spacing w:after="0"/>
              <w:rPr>
                <w:sz w:val="14"/>
                <w:szCs w:val="14"/>
                <w:color w:val="auto"/>
              </w:rPr>
            </w:pPr>
          </w:p>
        </w:tc>
        <w:tc>
          <w:tcPr>
            <w:tcW w:w="400" w:type="dxa"/>
            <w:vAlign w:val="bottom"/>
            <w:shd w:val="clear" w:color="auto" w:fill="D9D9D6"/>
          </w:tcPr>
          <w:p>
            <w:pPr>
              <w:spacing w:after="0"/>
              <w:rPr>
                <w:sz w:val="14"/>
                <w:szCs w:val="14"/>
                <w:color w:val="auto"/>
              </w:rPr>
            </w:pPr>
          </w:p>
        </w:tc>
        <w:tc>
          <w:tcPr>
            <w:tcW w:w="80" w:type="dxa"/>
            <w:vAlign w:val="bottom"/>
            <w:shd w:val="clear" w:color="auto" w:fill="D9D9D6"/>
          </w:tcPr>
          <w:p>
            <w:pPr>
              <w:spacing w:after="0"/>
              <w:rPr>
                <w:sz w:val="14"/>
                <w:szCs w:val="14"/>
                <w:color w:val="auto"/>
              </w:rPr>
            </w:pPr>
          </w:p>
        </w:tc>
        <w:tc>
          <w:tcPr>
            <w:tcW w:w="1260" w:type="dxa"/>
            <w:vAlign w:val="bottom"/>
            <w:gridSpan w:val="6"/>
            <w:shd w:val="clear" w:color="auto" w:fill="D9D9D6"/>
          </w:tcPr>
          <w:p>
            <w:pPr>
              <w:jc w:val="right"/>
              <w:ind w:right="500"/>
              <w:spacing w:after="0"/>
              <w:rPr>
                <w:sz w:val="20"/>
                <w:szCs w:val="20"/>
                <w:color w:val="auto"/>
              </w:rPr>
            </w:pPr>
            <w:r>
              <w:rPr>
                <w:rFonts w:ascii="Arial" w:cs="Arial" w:eastAsia="Arial" w:hAnsi="Arial"/>
                <w:sz w:val="14"/>
                <w:szCs w:val="14"/>
                <w:color w:val="auto"/>
                <w:w w:val="98"/>
              </w:rPr>
              <w:t>2nd Quarter</w:t>
            </w:r>
          </w:p>
        </w:tc>
        <w:tc>
          <w:tcPr>
            <w:tcW w:w="100" w:type="dxa"/>
            <w:vAlign w:val="bottom"/>
            <w:shd w:val="clear" w:color="auto" w:fill="D9D9D6"/>
          </w:tcPr>
          <w:p>
            <w:pPr>
              <w:spacing w:after="0"/>
              <w:rPr>
                <w:sz w:val="14"/>
                <w:szCs w:val="14"/>
                <w:color w:val="auto"/>
              </w:rPr>
            </w:pPr>
          </w:p>
        </w:tc>
        <w:tc>
          <w:tcPr>
            <w:tcW w:w="46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140" w:type="dxa"/>
            <w:vAlign w:val="bottom"/>
            <w:tcBorders>
              <w:right w:val="single" w:sz="8" w:color="54585A"/>
            </w:tcBorders>
            <w:shd w:val="clear" w:color="auto" w:fill="D9D9D6"/>
          </w:tcPr>
          <w:p>
            <w:pPr>
              <w:spacing w:after="0"/>
              <w:rPr>
                <w:sz w:val="14"/>
                <w:szCs w:val="14"/>
                <w:color w:val="auto"/>
              </w:rPr>
            </w:pPr>
          </w:p>
        </w:tc>
        <w:tc>
          <w:tcPr>
            <w:tcW w:w="100" w:type="dxa"/>
            <w:vAlign w:val="bottom"/>
            <w:shd w:val="clear" w:color="auto" w:fill="D9D9D6"/>
          </w:tcPr>
          <w:p>
            <w:pPr>
              <w:spacing w:after="0"/>
              <w:rPr>
                <w:sz w:val="14"/>
                <w:szCs w:val="14"/>
                <w:color w:val="auto"/>
              </w:rPr>
            </w:pPr>
          </w:p>
        </w:tc>
        <w:tc>
          <w:tcPr>
            <w:tcW w:w="28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80" w:type="dxa"/>
            <w:vAlign w:val="bottom"/>
            <w:shd w:val="clear" w:color="auto" w:fill="D9D9D6"/>
          </w:tcPr>
          <w:p>
            <w:pPr>
              <w:spacing w:after="0"/>
              <w:rPr>
                <w:sz w:val="14"/>
                <w:szCs w:val="14"/>
                <w:color w:val="auto"/>
              </w:rPr>
            </w:pPr>
          </w:p>
        </w:tc>
        <w:tc>
          <w:tcPr>
            <w:tcW w:w="380" w:type="dxa"/>
            <w:vAlign w:val="bottom"/>
            <w:shd w:val="clear" w:color="auto" w:fill="D9D9D6"/>
          </w:tcPr>
          <w:p>
            <w:pPr>
              <w:spacing w:after="0"/>
              <w:rPr>
                <w:sz w:val="14"/>
                <w:szCs w:val="14"/>
                <w:color w:val="auto"/>
              </w:rPr>
            </w:pPr>
          </w:p>
        </w:tc>
        <w:tc>
          <w:tcPr>
            <w:tcW w:w="60" w:type="dxa"/>
            <w:vAlign w:val="bottom"/>
            <w:shd w:val="clear" w:color="auto" w:fill="D9D9D6"/>
          </w:tcPr>
          <w:p>
            <w:pPr>
              <w:spacing w:after="0"/>
              <w:rPr>
                <w:sz w:val="14"/>
                <w:szCs w:val="14"/>
                <w:color w:val="auto"/>
              </w:rPr>
            </w:pPr>
          </w:p>
        </w:tc>
        <w:tc>
          <w:tcPr>
            <w:tcW w:w="1220" w:type="dxa"/>
            <w:vAlign w:val="bottom"/>
            <w:gridSpan w:val="5"/>
            <w:shd w:val="clear" w:color="auto" w:fill="D9D9D6"/>
          </w:tcPr>
          <w:p>
            <w:pPr>
              <w:jc w:val="right"/>
              <w:ind w:right="420"/>
              <w:spacing w:after="0"/>
              <w:rPr>
                <w:sz w:val="20"/>
                <w:szCs w:val="20"/>
                <w:color w:val="auto"/>
              </w:rPr>
            </w:pPr>
            <w:r>
              <w:rPr>
                <w:rFonts w:ascii="Arial" w:cs="Arial" w:eastAsia="Arial" w:hAnsi="Arial"/>
                <w:sz w:val="14"/>
                <w:szCs w:val="14"/>
                <w:color w:val="auto"/>
                <w:w w:val="99"/>
              </w:rPr>
              <w:t>Year to Date</w:t>
            </w:r>
          </w:p>
        </w:tc>
        <w:tc>
          <w:tcPr>
            <w:tcW w:w="100" w:type="dxa"/>
            <w:vAlign w:val="bottom"/>
            <w:shd w:val="clear" w:color="auto" w:fill="D9D9D6"/>
          </w:tcPr>
          <w:p>
            <w:pPr>
              <w:spacing w:after="0"/>
              <w:rPr>
                <w:sz w:val="14"/>
                <w:szCs w:val="14"/>
                <w:color w:val="auto"/>
              </w:rPr>
            </w:pPr>
          </w:p>
        </w:tc>
        <w:tc>
          <w:tcPr>
            <w:tcW w:w="48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10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920" w:type="dxa"/>
            <w:vAlign w:val="bottom"/>
            <w:tcBorders>
              <w:top w:val="single" w:sz="8" w:color="D9D9D6"/>
            </w:tcBorders>
            <w:shd w:val="clear" w:color="auto" w:fill="D9D9D6"/>
          </w:tcPr>
          <w:p>
            <w:pPr>
              <w:spacing w:after="0"/>
              <w:rPr>
                <w:sz w:val="16"/>
                <w:szCs w:val="16"/>
                <w:color w:val="auto"/>
              </w:rPr>
            </w:pPr>
          </w:p>
        </w:tc>
        <w:tc>
          <w:tcPr>
            <w:tcW w:w="280" w:type="dxa"/>
            <w:vAlign w:val="bottom"/>
            <w:tcBorders>
              <w:top w:val="single" w:sz="8" w:color="D9D9D6"/>
            </w:tcBorders>
            <w:shd w:val="clear" w:color="auto" w:fill="D9D9D6"/>
          </w:tcPr>
          <w:p>
            <w:pPr>
              <w:spacing w:after="0"/>
              <w:rPr>
                <w:sz w:val="16"/>
                <w:szCs w:val="16"/>
                <w:color w:val="auto"/>
              </w:rPr>
            </w:pPr>
          </w:p>
        </w:tc>
        <w:tc>
          <w:tcPr>
            <w:tcW w:w="320" w:type="dxa"/>
            <w:vAlign w:val="bottom"/>
            <w:tcBorders>
              <w:top w:val="single" w:sz="8" w:color="D9D9D6"/>
            </w:tcBorders>
            <w:shd w:val="clear" w:color="auto" w:fill="D9D9D6"/>
          </w:tcPr>
          <w:p>
            <w:pPr>
              <w:spacing w:after="0"/>
              <w:rPr>
                <w:sz w:val="16"/>
                <w:szCs w:val="16"/>
                <w:color w:val="auto"/>
              </w:rPr>
            </w:pPr>
          </w:p>
        </w:tc>
        <w:tc>
          <w:tcPr>
            <w:tcW w:w="100" w:type="dxa"/>
            <w:vAlign w:val="bottom"/>
            <w:tcBorders>
              <w:top w:val="single" w:sz="8" w:color="D9D9D6"/>
            </w:tcBorders>
            <w:shd w:val="clear" w:color="auto" w:fill="D9D9D6"/>
          </w:tcPr>
          <w:p>
            <w:pPr>
              <w:spacing w:after="0"/>
              <w:rPr>
                <w:sz w:val="16"/>
                <w:szCs w:val="16"/>
                <w:color w:val="auto"/>
              </w:rPr>
            </w:pPr>
          </w:p>
        </w:tc>
        <w:tc>
          <w:tcPr>
            <w:tcW w:w="400" w:type="dxa"/>
            <w:vAlign w:val="bottom"/>
            <w:tcBorders>
              <w:top w:val="single" w:sz="8" w:color="D9D9D6"/>
            </w:tcBorders>
            <w:shd w:val="clear" w:color="auto" w:fill="D9D9D6"/>
          </w:tcPr>
          <w:p>
            <w:pPr>
              <w:spacing w:after="0"/>
              <w:rPr>
                <w:sz w:val="16"/>
                <w:szCs w:val="16"/>
                <w:color w:val="auto"/>
              </w:rPr>
            </w:pPr>
          </w:p>
        </w:tc>
        <w:tc>
          <w:tcPr>
            <w:tcW w:w="80" w:type="dxa"/>
            <w:vAlign w:val="bottom"/>
            <w:tcBorders>
              <w:top w:val="single" w:sz="8" w:color="D9D9D6"/>
            </w:tcBorders>
            <w:shd w:val="clear" w:color="auto" w:fill="D9D9D6"/>
          </w:tcPr>
          <w:p>
            <w:pPr>
              <w:spacing w:after="0"/>
              <w:rPr>
                <w:sz w:val="16"/>
                <w:szCs w:val="16"/>
                <w:color w:val="auto"/>
              </w:rPr>
            </w:pPr>
          </w:p>
        </w:tc>
        <w:tc>
          <w:tcPr>
            <w:tcW w:w="240" w:type="dxa"/>
            <w:vAlign w:val="bottom"/>
            <w:tcBorders>
              <w:top w:val="single" w:sz="8" w:color="auto"/>
            </w:tcBorders>
            <w:shd w:val="clear" w:color="auto" w:fill="D9D9D6"/>
          </w:tcPr>
          <w:p>
            <w:pPr>
              <w:spacing w:after="0"/>
              <w:rPr>
                <w:sz w:val="16"/>
                <w:szCs w:val="16"/>
                <w:color w:val="auto"/>
              </w:rPr>
            </w:pPr>
          </w:p>
        </w:tc>
        <w:tc>
          <w:tcPr>
            <w:tcW w:w="80" w:type="dxa"/>
            <w:vAlign w:val="bottom"/>
            <w:tcBorders>
              <w:top w:val="single" w:sz="8" w:color="auto"/>
            </w:tcBorders>
            <w:shd w:val="clear" w:color="auto" w:fill="D9D9D6"/>
          </w:tcPr>
          <w:p>
            <w:pPr>
              <w:spacing w:after="0"/>
              <w:rPr>
                <w:sz w:val="16"/>
                <w:szCs w:val="16"/>
                <w:color w:val="auto"/>
              </w:rPr>
            </w:pPr>
          </w:p>
        </w:tc>
        <w:tc>
          <w:tcPr>
            <w:tcW w:w="300" w:type="dxa"/>
            <w:vAlign w:val="bottom"/>
            <w:tcBorders>
              <w:top w:val="single" w:sz="8" w:color="auto"/>
            </w:tcBorders>
            <w:shd w:val="clear" w:color="auto" w:fill="D9D9D6"/>
          </w:tcPr>
          <w:p>
            <w:pPr>
              <w:spacing w:after="0"/>
              <w:rPr>
                <w:sz w:val="16"/>
                <w:szCs w:val="16"/>
                <w:color w:val="auto"/>
              </w:rPr>
            </w:pPr>
          </w:p>
        </w:tc>
        <w:tc>
          <w:tcPr>
            <w:tcW w:w="140" w:type="dxa"/>
            <w:vAlign w:val="bottom"/>
            <w:tcBorders>
              <w:top w:val="single" w:sz="8" w:color="auto"/>
            </w:tcBorders>
            <w:shd w:val="clear" w:color="auto" w:fill="D9D9D6"/>
          </w:tcPr>
          <w:p>
            <w:pPr>
              <w:spacing w:after="0"/>
              <w:rPr>
                <w:sz w:val="16"/>
                <w:szCs w:val="16"/>
                <w:color w:val="auto"/>
              </w:rPr>
            </w:pPr>
          </w:p>
        </w:tc>
        <w:tc>
          <w:tcPr>
            <w:tcW w:w="320" w:type="dxa"/>
            <w:vAlign w:val="bottom"/>
            <w:tcBorders>
              <w:top w:val="single" w:sz="8" w:color="D9D9D6"/>
            </w:tcBorders>
            <w:shd w:val="clear" w:color="auto" w:fill="D9D9D6"/>
          </w:tcPr>
          <w:p>
            <w:pPr>
              <w:spacing w:after="0"/>
              <w:rPr>
                <w:sz w:val="16"/>
                <w:szCs w:val="16"/>
                <w:color w:val="auto"/>
              </w:rPr>
            </w:pPr>
          </w:p>
        </w:tc>
        <w:tc>
          <w:tcPr>
            <w:tcW w:w="180" w:type="dxa"/>
            <w:vAlign w:val="bottom"/>
            <w:tcBorders>
              <w:top w:val="single" w:sz="8" w:color="D9D9D6"/>
            </w:tcBorders>
            <w:shd w:val="clear" w:color="auto" w:fill="D9D9D6"/>
          </w:tcPr>
          <w:p>
            <w:pPr>
              <w:spacing w:after="0"/>
              <w:rPr>
                <w:sz w:val="16"/>
                <w:szCs w:val="16"/>
                <w:color w:val="auto"/>
              </w:rPr>
            </w:pPr>
          </w:p>
        </w:tc>
        <w:tc>
          <w:tcPr>
            <w:tcW w:w="820" w:type="dxa"/>
            <w:vAlign w:val="bottom"/>
            <w:tcBorders>
              <w:top w:val="single" w:sz="8" w:color="D9D9D6"/>
              <w:right w:val="single" w:sz="8" w:color="54585A"/>
            </w:tcBorders>
            <w:gridSpan w:val="4"/>
            <w:shd w:val="clear" w:color="auto" w:fill="D9D9D6"/>
          </w:tcPr>
          <w:p>
            <w:pPr>
              <w:jc w:val="right"/>
              <w:ind w:right="200"/>
              <w:spacing w:after="0"/>
              <w:rPr>
                <w:sz w:val="20"/>
                <w:szCs w:val="20"/>
                <w:color w:val="auto"/>
              </w:rPr>
            </w:pPr>
            <w:r>
              <w:rPr>
                <w:rFonts w:ascii="Arial" w:cs="Arial" w:eastAsia="Arial" w:hAnsi="Arial"/>
                <w:sz w:val="14"/>
                <w:szCs w:val="14"/>
                <w:color w:val="auto"/>
              </w:rPr>
              <w:t>Constant</w:t>
            </w:r>
          </w:p>
        </w:tc>
        <w:tc>
          <w:tcPr>
            <w:tcW w:w="100" w:type="dxa"/>
            <w:vAlign w:val="bottom"/>
            <w:tcBorders>
              <w:top w:val="single" w:sz="8" w:color="D9D9D6"/>
            </w:tcBorders>
            <w:shd w:val="clear" w:color="auto" w:fill="D9D9D6"/>
          </w:tcPr>
          <w:p>
            <w:pPr>
              <w:spacing w:after="0"/>
              <w:rPr>
                <w:sz w:val="16"/>
                <w:szCs w:val="16"/>
                <w:color w:val="auto"/>
              </w:rPr>
            </w:pPr>
          </w:p>
        </w:tc>
        <w:tc>
          <w:tcPr>
            <w:tcW w:w="280" w:type="dxa"/>
            <w:vAlign w:val="bottom"/>
            <w:tcBorders>
              <w:top w:val="single" w:sz="8" w:color="D9D9D6"/>
            </w:tcBorders>
            <w:shd w:val="clear" w:color="auto" w:fill="D9D9D6"/>
          </w:tcPr>
          <w:p>
            <w:pPr>
              <w:spacing w:after="0"/>
              <w:rPr>
                <w:sz w:val="16"/>
                <w:szCs w:val="16"/>
                <w:color w:val="auto"/>
              </w:rPr>
            </w:pPr>
          </w:p>
        </w:tc>
        <w:tc>
          <w:tcPr>
            <w:tcW w:w="320" w:type="dxa"/>
            <w:vAlign w:val="bottom"/>
            <w:tcBorders>
              <w:top w:val="single" w:sz="8" w:color="D9D9D6"/>
            </w:tcBorders>
            <w:shd w:val="clear" w:color="auto" w:fill="D9D9D6"/>
          </w:tcPr>
          <w:p>
            <w:pPr>
              <w:spacing w:after="0"/>
              <w:rPr>
                <w:sz w:val="16"/>
                <w:szCs w:val="16"/>
                <w:color w:val="auto"/>
              </w:rPr>
            </w:pPr>
          </w:p>
        </w:tc>
        <w:tc>
          <w:tcPr>
            <w:tcW w:w="80" w:type="dxa"/>
            <w:vAlign w:val="bottom"/>
            <w:tcBorders>
              <w:top w:val="single" w:sz="8" w:color="D9D9D6"/>
            </w:tcBorders>
            <w:shd w:val="clear" w:color="auto" w:fill="D9D9D6"/>
          </w:tcPr>
          <w:p>
            <w:pPr>
              <w:spacing w:after="0"/>
              <w:rPr>
                <w:sz w:val="16"/>
                <w:szCs w:val="16"/>
                <w:color w:val="auto"/>
              </w:rPr>
            </w:pPr>
          </w:p>
        </w:tc>
        <w:tc>
          <w:tcPr>
            <w:tcW w:w="380" w:type="dxa"/>
            <w:vAlign w:val="bottom"/>
            <w:tcBorders>
              <w:top w:val="single" w:sz="8" w:color="D9D9D6"/>
            </w:tcBorders>
            <w:shd w:val="clear" w:color="auto" w:fill="D9D9D6"/>
          </w:tcPr>
          <w:p>
            <w:pPr>
              <w:spacing w:after="0"/>
              <w:rPr>
                <w:sz w:val="16"/>
                <w:szCs w:val="16"/>
                <w:color w:val="auto"/>
              </w:rPr>
            </w:pPr>
          </w:p>
        </w:tc>
        <w:tc>
          <w:tcPr>
            <w:tcW w:w="60" w:type="dxa"/>
            <w:vAlign w:val="bottom"/>
            <w:tcBorders>
              <w:top w:val="single" w:sz="8" w:color="D9D9D6"/>
            </w:tcBorders>
            <w:shd w:val="clear" w:color="auto" w:fill="D9D9D6"/>
          </w:tcPr>
          <w:p>
            <w:pPr>
              <w:spacing w:after="0"/>
              <w:rPr>
                <w:sz w:val="16"/>
                <w:szCs w:val="16"/>
                <w:color w:val="auto"/>
              </w:rPr>
            </w:pPr>
          </w:p>
        </w:tc>
        <w:tc>
          <w:tcPr>
            <w:tcW w:w="260" w:type="dxa"/>
            <w:vAlign w:val="bottom"/>
            <w:tcBorders>
              <w:top w:val="single" w:sz="8" w:color="auto"/>
            </w:tcBorders>
            <w:shd w:val="clear" w:color="auto" w:fill="D9D9D6"/>
          </w:tcPr>
          <w:p>
            <w:pPr>
              <w:spacing w:after="0"/>
              <w:rPr>
                <w:sz w:val="16"/>
                <w:szCs w:val="16"/>
                <w:color w:val="auto"/>
              </w:rPr>
            </w:pPr>
          </w:p>
        </w:tc>
        <w:tc>
          <w:tcPr>
            <w:tcW w:w="360" w:type="dxa"/>
            <w:vAlign w:val="bottom"/>
            <w:tcBorders>
              <w:top w:val="single" w:sz="8" w:color="auto"/>
            </w:tcBorders>
            <w:shd w:val="clear" w:color="auto" w:fill="D9D9D6"/>
          </w:tcPr>
          <w:p>
            <w:pPr>
              <w:spacing w:after="0"/>
              <w:rPr>
                <w:sz w:val="16"/>
                <w:szCs w:val="16"/>
                <w:color w:val="auto"/>
              </w:rPr>
            </w:pPr>
          </w:p>
        </w:tc>
        <w:tc>
          <w:tcPr>
            <w:tcW w:w="180" w:type="dxa"/>
            <w:vAlign w:val="bottom"/>
            <w:tcBorders>
              <w:top w:val="single" w:sz="8" w:color="auto"/>
            </w:tcBorders>
            <w:shd w:val="clear" w:color="auto" w:fill="D9D9D6"/>
          </w:tcPr>
          <w:p>
            <w:pPr>
              <w:spacing w:after="0"/>
              <w:rPr>
                <w:sz w:val="16"/>
                <w:szCs w:val="16"/>
                <w:color w:val="auto"/>
              </w:rPr>
            </w:pPr>
          </w:p>
        </w:tc>
        <w:tc>
          <w:tcPr>
            <w:tcW w:w="280" w:type="dxa"/>
            <w:vAlign w:val="bottom"/>
            <w:tcBorders>
              <w:top w:val="single" w:sz="8" w:color="D9D9D6"/>
            </w:tcBorders>
            <w:shd w:val="clear" w:color="auto" w:fill="D9D9D6"/>
          </w:tcPr>
          <w:p>
            <w:pPr>
              <w:spacing w:after="0"/>
              <w:rPr>
                <w:sz w:val="16"/>
                <w:szCs w:val="16"/>
                <w:color w:val="auto"/>
              </w:rPr>
            </w:pPr>
          </w:p>
        </w:tc>
        <w:tc>
          <w:tcPr>
            <w:tcW w:w="140" w:type="dxa"/>
            <w:vAlign w:val="bottom"/>
            <w:tcBorders>
              <w:top w:val="single" w:sz="8" w:color="D9D9D6"/>
            </w:tcBorders>
            <w:shd w:val="clear" w:color="auto" w:fill="D9D9D6"/>
          </w:tcPr>
          <w:p>
            <w:pPr>
              <w:spacing w:after="0"/>
              <w:rPr>
                <w:sz w:val="16"/>
                <w:szCs w:val="16"/>
                <w:color w:val="auto"/>
              </w:rPr>
            </w:pPr>
          </w:p>
        </w:tc>
        <w:tc>
          <w:tcPr>
            <w:tcW w:w="800" w:type="dxa"/>
            <w:vAlign w:val="bottom"/>
            <w:tcBorders>
              <w:top w:val="single" w:sz="8" w:color="D9D9D6"/>
            </w:tcBorders>
            <w:gridSpan w:val="4"/>
            <w:shd w:val="clear" w:color="auto" w:fill="D9D9D6"/>
          </w:tcPr>
          <w:p>
            <w:pPr>
              <w:jc w:val="right"/>
              <w:ind w:right="16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57"/>
        </w:trPr>
        <w:tc>
          <w:tcPr>
            <w:tcW w:w="4920" w:type="dxa"/>
            <w:vAlign w:val="bottom"/>
            <w:shd w:val="clear" w:color="auto" w:fill="D9D9D6"/>
          </w:tcPr>
          <w:p>
            <w:pPr>
              <w:spacing w:after="0"/>
              <w:rPr>
                <w:sz w:val="13"/>
                <w:szCs w:val="13"/>
                <w:color w:val="auto"/>
              </w:rPr>
            </w:pPr>
          </w:p>
        </w:tc>
        <w:tc>
          <w:tcPr>
            <w:tcW w:w="280" w:type="dxa"/>
            <w:vAlign w:val="bottom"/>
            <w:shd w:val="clear" w:color="auto" w:fill="D9D9D6"/>
          </w:tcPr>
          <w:p>
            <w:pPr>
              <w:spacing w:after="0"/>
              <w:rPr>
                <w:sz w:val="13"/>
                <w:szCs w:val="13"/>
                <w:color w:val="auto"/>
              </w:rPr>
            </w:pPr>
          </w:p>
        </w:tc>
        <w:tc>
          <w:tcPr>
            <w:tcW w:w="320" w:type="dxa"/>
            <w:vAlign w:val="bottom"/>
            <w:shd w:val="clear" w:color="auto" w:fill="D9D9D6"/>
          </w:tcPr>
          <w:p>
            <w:pPr>
              <w:spacing w:after="0"/>
              <w:rPr>
                <w:sz w:val="13"/>
                <w:szCs w:val="13"/>
                <w:color w:val="auto"/>
              </w:rPr>
            </w:pPr>
          </w:p>
        </w:tc>
        <w:tc>
          <w:tcPr>
            <w:tcW w:w="100" w:type="dxa"/>
            <w:vAlign w:val="bottom"/>
            <w:shd w:val="clear" w:color="auto" w:fill="D9D9D6"/>
          </w:tcPr>
          <w:p>
            <w:pPr>
              <w:spacing w:after="0"/>
              <w:rPr>
                <w:sz w:val="13"/>
                <w:szCs w:val="13"/>
                <w:color w:val="auto"/>
              </w:rPr>
            </w:pPr>
          </w:p>
        </w:tc>
        <w:tc>
          <w:tcPr>
            <w:tcW w:w="400" w:type="dxa"/>
            <w:vAlign w:val="bottom"/>
            <w:shd w:val="clear" w:color="auto" w:fill="D9D9D6"/>
          </w:tcPr>
          <w:p>
            <w:pPr>
              <w:spacing w:after="0"/>
              <w:rPr>
                <w:sz w:val="13"/>
                <w:szCs w:val="13"/>
                <w:color w:val="auto"/>
              </w:rPr>
            </w:pPr>
          </w:p>
        </w:tc>
        <w:tc>
          <w:tcPr>
            <w:tcW w:w="80" w:type="dxa"/>
            <w:vAlign w:val="bottom"/>
            <w:shd w:val="clear" w:color="auto" w:fill="D9D9D6"/>
          </w:tcPr>
          <w:p>
            <w:pPr>
              <w:spacing w:after="0"/>
              <w:rPr>
                <w:sz w:val="13"/>
                <w:szCs w:val="13"/>
                <w:color w:val="auto"/>
              </w:rPr>
            </w:pPr>
          </w:p>
        </w:tc>
        <w:tc>
          <w:tcPr>
            <w:tcW w:w="240" w:type="dxa"/>
            <w:vAlign w:val="bottom"/>
            <w:shd w:val="clear" w:color="auto" w:fill="D9D9D6"/>
          </w:tcPr>
          <w:p>
            <w:pPr>
              <w:spacing w:after="0"/>
              <w:rPr>
                <w:sz w:val="13"/>
                <w:szCs w:val="13"/>
                <w:color w:val="auto"/>
              </w:rPr>
            </w:pPr>
          </w:p>
        </w:tc>
        <w:tc>
          <w:tcPr>
            <w:tcW w:w="80" w:type="dxa"/>
            <w:vAlign w:val="bottom"/>
            <w:shd w:val="clear" w:color="auto" w:fill="D9D9D6"/>
          </w:tcPr>
          <w:p>
            <w:pPr>
              <w:spacing w:after="0"/>
              <w:rPr>
                <w:sz w:val="13"/>
                <w:szCs w:val="13"/>
                <w:color w:val="auto"/>
              </w:rPr>
            </w:pPr>
          </w:p>
        </w:tc>
        <w:tc>
          <w:tcPr>
            <w:tcW w:w="300" w:type="dxa"/>
            <w:vAlign w:val="bottom"/>
            <w:shd w:val="clear" w:color="auto" w:fill="D9D9D6"/>
          </w:tcPr>
          <w:p>
            <w:pPr>
              <w:spacing w:after="0"/>
              <w:rPr>
                <w:sz w:val="13"/>
                <w:szCs w:val="13"/>
                <w:color w:val="auto"/>
              </w:rPr>
            </w:pPr>
          </w:p>
        </w:tc>
        <w:tc>
          <w:tcPr>
            <w:tcW w:w="140" w:type="dxa"/>
            <w:vAlign w:val="bottom"/>
            <w:shd w:val="clear" w:color="auto" w:fill="D9D9D6"/>
          </w:tcPr>
          <w:p>
            <w:pPr>
              <w:spacing w:after="0"/>
              <w:rPr>
                <w:sz w:val="13"/>
                <w:szCs w:val="13"/>
                <w:color w:val="auto"/>
              </w:rPr>
            </w:pPr>
          </w:p>
        </w:tc>
        <w:tc>
          <w:tcPr>
            <w:tcW w:w="320" w:type="dxa"/>
            <w:vAlign w:val="bottom"/>
            <w:shd w:val="clear" w:color="auto" w:fill="D9D9D6"/>
          </w:tcPr>
          <w:p>
            <w:pPr>
              <w:spacing w:after="0"/>
              <w:rPr>
                <w:sz w:val="13"/>
                <w:szCs w:val="13"/>
                <w:color w:val="auto"/>
              </w:rPr>
            </w:pPr>
          </w:p>
        </w:tc>
        <w:tc>
          <w:tcPr>
            <w:tcW w:w="180" w:type="dxa"/>
            <w:vAlign w:val="bottom"/>
            <w:shd w:val="clear" w:color="auto" w:fill="D9D9D6"/>
          </w:tcPr>
          <w:p>
            <w:pPr>
              <w:spacing w:after="0"/>
              <w:rPr>
                <w:sz w:val="13"/>
                <w:szCs w:val="13"/>
                <w:color w:val="auto"/>
              </w:rPr>
            </w:pPr>
          </w:p>
        </w:tc>
        <w:tc>
          <w:tcPr>
            <w:tcW w:w="820" w:type="dxa"/>
            <w:vAlign w:val="bottom"/>
            <w:tcBorders>
              <w:right w:val="single" w:sz="8" w:color="54585A"/>
            </w:tcBorders>
            <w:gridSpan w:val="4"/>
            <w:shd w:val="clear" w:color="auto" w:fill="D9D9D6"/>
          </w:tcPr>
          <w:p>
            <w:pPr>
              <w:jc w:val="right"/>
              <w:ind w:right="200"/>
              <w:spacing w:after="0" w:line="157" w:lineRule="exact"/>
              <w:rPr>
                <w:sz w:val="20"/>
                <w:szCs w:val="20"/>
                <w:color w:val="auto"/>
              </w:rPr>
            </w:pPr>
            <w:r>
              <w:rPr>
                <w:rFonts w:ascii="Arial" w:cs="Arial" w:eastAsia="Arial" w:hAnsi="Arial"/>
                <w:sz w:val="14"/>
                <w:szCs w:val="14"/>
                <w:color w:val="auto"/>
              </w:rPr>
              <w:t>Currency</w:t>
            </w:r>
          </w:p>
        </w:tc>
        <w:tc>
          <w:tcPr>
            <w:tcW w:w="100" w:type="dxa"/>
            <w:vAlign w:val="bottom"/>
            <w:shd w:val="clear" w:color="auto" w:fill="D9D9D6"/>
          </w:tcPr>
          <w:p>
            <w:pPr>
              <w:spacing w:after="0"/>
              <w:rPr>
                <w:sz w:val="13"/>
                <w:szCs w:val="13"/>
                <w:color w:val="auto"/>
              </w:rPr>
            </w:pPr>
          </w:p>
        </w:tc>
        <w:tc>
          <w:tcPr>
            <w:tcW w:w="280" w:type="dxa"/>
            <w:vAlign w:val="bottom"/>
            <w:shd w:val="clear" w:color="auto" w:fill="D9D9D6"/>
          </w:tcPr>
          <w:p>
            <w:pPr>
              <w:spacing w:after="0"/>
              <w:rPr>
                <w:sz w:val="13"/>
                <w:szCs w:val="13"/>
                <w:color w:val="auto"/>
              </w:rPr>
            </w:pPr>
          </w:p>
        </w:tc>
        <w:tc>
          <w:tcPr>
            <w:tcW w:w="320" w:type="dxa"/>
            <w:vAlign w:val="bottom"/>
            <w:shd w:val="clear" w:color="auto" w:fill="D9D9D6"/>
          </w:tcPr>
          <w:p>
            <w:pPr>
              <w:spacing w:after="0"/>
              <w:rPr>
                <w:sz w:val="13"/>
                <w:szCs w:val="13"/>
                <w:color w:val="auto"/>
              </w:rPr>
            </w:pPr>
          </w:p>
        </w:tc>
        <w:tc>
          <w:tcPr>
            <w:tcW w:w="80" w:type="dxa"/>
            <w:vAlign w:val="bottom"/>
            <w:shd w:val="clear" w:color="auto" w:fill="D9D9D6"/>
          </w:tcPr>
          <w:p>
            <w:pPr>
              <w:spacing w:after="0"/>
              <w:rPr>
                <w:sz w:val="13"/>
                <w:szCs w:val="13"/>
                <w:color w:val="auto"/>
              </w:rPr>
            </w:pPr>
          </w:p>
        </w:tc>
        <w:tc>
          <w:tcPr>
            <w:tcW w:w="380" w:type="dxa"/>
            <w:vAlign w:val="bottom"/>
            <w:shd w:val="clear" w:color="auto" w:fill="D9D9D6"/>
          </w:tcPr>
          <w:p>
            <w:pPr>
              <w:spacing w:after="0"/>
              <w:rPr>
                <w:sz w:val="13"/>
                <w:szCs w:val="13"/>
                <w:color w:val="auto"/>
              </w:rPr>
            </w:pPr>
          </w:p>
        </w:tc>
        <w:tc>
          <w:tcPr>
            <w:tcW w:w="60" w:type="dxa"/>
            <w:vAlign w:val="bottom"/>
            <w:shd w:val="clear" w:color="auto" w:fill="D9D9D6"/>
          </w:tcPr>
          <w:p>
            <w:pPr>
              <w:spacing w:after="0"/>
              <w:rPr>
                <w:sz w:val="13"/>
                <w:szCs w:val="13"/>
                <w:color w:val="auto"/>
              </w:rPr>
            </w:pPr>
          </w:p>
        </w:tc>
        <w:tc>
          <w:tcPr>
            <w:tcW w:w="260" w:type="dxa"/>
            <w:vAlign w:val="bottom"/>
            <w:shd w:val="clear" w:color="auto" w:fill="D9D9D6"/>
          </w:tcPr>
          <w:p>
            <w:pPr>
              <w:spacing w:after="0"/>
              <w:rPr>
                <w:sz w:val="13"/>
                <w:szCs w:val="13"/>
                <w:color w:val="auto"/>
              </w:rPr>
            </w:pPr>
          </w:p>
        </w:tc>
        <w:tc>
          <w:tcPr>
            <w:tcW w:w="360" w:type="dxa"/>
            <w:vAlign w:val="bottom"/>
            <w:shd w:val="clear" w:color="auto" w:fill="D9D9D6"/>
          </w:tcPr>
          <w:p>
            <w:pPr>
              <w:spacing w:after="0"/>
              <w:rPr>
                <w:sz w:val="13"/>
                <w:szCs w:val="13"/>
                <w:color w:val="auto"/>
              </w:rPr>
            </w:pPr>
          </w:p>
        </w:tc>
        <w:tc>
          <w:tcPr>
            <w:tcW w:w="180" w:type="dxa"/>
            <w:vAlign w:val="bottom"/>
            <w:shd w:val="clear" w:color="auto" w:fill="D9D9D6"/>
          </w:tcPr>
          <w:p>
            <w:pPr>
              <w:spacing w:after="0"/>
              <w:rPr>
                <w:sz w:val="13"/>
                <w:szCs w:val="13"/>
                <w:color w:val="auto"/>
              </w:rPr>
            </w:pPr>
          </w:p>
        </w:tc>
        <w:tc>
          <w:tcPr>
            <w:tcW w:w="280" w:type="dxa"/>
            <w:vAlign w:val="bottom"/>
            <w:shd w:val="clear" w:color="auto" w:fill="D9D9D6"/>
          </w:tcPr>
          <w:p>
            <w:pPr>
              <w:spacing w:after="0"/>
              <w:rPr>
                <w:sz w:val="13"/>
                <w:szCs w:val="13"/>
                <w:color w:val="auto"/>
              </w:rPr>
            </w:pPr>
          </w:p>
        </w:tc>
        <w:tc>
          <w:tcPr>
            <w:tcW w:w="140" w:type="dxa"/>
            <w:vAlign w:val="bottom"/>
            <w:shd w:val="clear" w:color="auto" w:fill="D9D9D6"/>
          </w:tcPr>
          <w:p>
            <w:pPr>
              <w:spacing w:after="0"/>
              <w:rPr>
                <w:sz w:val="13"/>
                <w:szCs w:val="13"/>
                <w:color w:val="auto"/>
              </w:rPr>
            </w:pPr>
          </w:p>
        </w:tc>
        <w:tc>
          <w:tcPr>
            <w:tcW w:w="800" w:type="dxa"/>
            <w:vAlign w:val="bottom"/>
            <w:gridSpan w:val="4"/>
            <w:shd w:val="clear" w:color="auto" w:fill="D9D9D6"/>
          </w:tcPr>
          <w:p>
            <w:pPr>
              <w:jc w:val="right"/>
              <w:ind w:right="160"/>
              <w:spacing w:after="0" w:line="157"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76"/>
        </w:trPr>
        <w:tc>
          <w:tcPr>
            <w:tcW w:w="4920" w:type="dxa"/>
            <w:vAlign w:val="bottom"/>
            <w:vMerge w:val="restart"/>
            <w:shd w:val="clear" w:color="auto" w:fill="D9D9D6"/>
          </w:tcPr>
          <w:p>
            <w:pPr>
              <w:ind w:left="60"/>
              <w:spacing w:after="0"/>
              <w:rPr>
                <w:sz w:val="20"/>
                <w:szCs w:val="20"/>
                <w:color w:val="auto"/>
              </w:rPr>
            </w:pPr>
            <w:r>
              <w:rPr>
                <w:rFonts w:ascii="Arial" w:cs="Arial" w:eastAsia="Arial" w:hAnsi="Arial"/>
                <w:sz w:val="14"/>
                <w:szCs w:val="14"/>
                <w:b w:val="1"/>
                <w:bCs w:val="1"/>
                <w:color w:val="auto"/>
              </w:rPr>
              <w:t>Sky Revenue</w:t>
            </w:r>
          </w:p>
        </w:tc>
        <w:tc>
          <w:tcPr>
            <w:tcW w:w="70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2018</w:t>
            </w:r>
          </w:p>
        </w:tc>
        <w:tc>
          <w:tcPr>
            <w:tcW w:w="80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2019</w:t>
            </w:r>
          </w:p>
        </w:tc>
        <w:tc>
          <w:tcPr>
            <w:tcW w:w="940" w:type="dxa"/>
            <w:vAlign w:val="bottom"/>
            <w:gridSpan w:val="4"/>
            <w:shd w:val="clear" w:color="auto" w:fill="D9D9D6"/>
          </w:tcPr>
          <w:p>
            <w:pPr>
              <w:jc w:val="right"/>
              <w:ind w:right="180"/>
              <w:spacing w:after="0"/>
              <w:rPr>
                <w:sz w:val="20"/>
                <w:szCs w:val="20"/>
                <w:color w:val="auto"/>
              </w:rPr>
            </w:pPr>
            <w:r>
              <w:rPr>
                <w:rFonts w:ascii="Arial" w:cs="Arial" w:eastAsia="Arial" w:hAnsi="Arial"/>
                <w:sz w:val="14"/>
                <w:szCs w:val="14"/>
                <w:color w:val="auto"/>
              </w:rPr>
              <w:t>Growth</w:t>
            </w:r>
          </w:p>
        </w:tc>
        <w:tc>
          <w:tcPr>
            <w:tcW w:w="100" w:type="dxa"/>
            <w:vAlign w:val="bottom"/>
            <w:shd w:val="clear" w:color="auto" w:fill="D9D9D6"/>
          </w:tcPr>
          <w:p>
            <w:pPr>
              <w:spacing w:after="0"/>
              <w:rPr>
                <w:sz w:val="15"/>
                <w:szCs w:val="15"/>
                <w:color w:val="auto"/>
              </w:rPr>
            </w:pPr>
          </w:p>
        </w:tc>
        <w:tc>
          <w:tcPr>
            <w:tcW w:w="720" w:type="dxa"/>
            <w:vAlign w:val="bottom"/>
            <w:tcBorders>
              <w:right w:val="single" w:sz="8" w:color="54585A"/>
            </w:tcBorders>
            <w:gridSpan w:val="3"/>
            <w:shd w:val="clear" w:color="auto" w:fill="D9D9D6"/>
          </w:tcPr>
          <w:p>
            <w:pPr>
              <w:jc w:val="right"/>
              <w:ind w:right="200"/>
              <w:spacing w:after="0" w:line="176" w:lineRule="exact"/>
              <w:rPr>
                <w:sz w:val="20"/>
                <w:szCs w:val="20"/>
                <w:color w:val="auto"/>
              </w:rPr>
            </w:pPr>
            <w:r>
              <w:rPr>
                <w:rFonts w:ascii="Arial" w:cs="Arial" w:eastAsia="Arial" w:hAnsi="Arial"/>
                <w:sz w:val="13"/>
                <w:szCs w:val="13"/>
                <w:color w:val="auto"/>
              </w:rPr>
              <w:t>Growth</w:t>
            </w:r>
            <w:r>
              <w:rPr>
                <w:rFonts w:ascii="Arial" w:cs="Arial" w:eastAsia="Arial" w:hAnsi="Arial"/>
                <w:sz w:val="20"/>
                <w:szCs w:val="20"/>
                <w:color w:val="auto"/>
                <w:vertAlign w:val="superscript"/>
              </w:rPr>
              <w:t>7</w:t>
            </w:r>
          </w:p>
        </w:tc>
        <w:tc>
          <w:tcPr>
            <w:tcW w:w="78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2018</w:t>
            </w:r>
          </w:p>
        </w:tc>
        <w:tc>
          <w:tcPr>
            <w:tcW w:w="1060" w:type="dxa"/>
            <w:vAlign w:val="bottom"/>
            <w:gridSpan w:val="4"/>
            <w:shd w:val="clear" w:color="auto" w:fill="D9D9D6"/>
          </w:tcPr>
          <w:p>
            <w:pPr>
              <w:jc w:val="right"/>
              <w:ind w:right="360"/>
              <w:spacing w:after="0"/>
              <w:rPr>
                <w:sz w:val="20"/>
                <w:szCs w:val="20"/>
                <w:color w:val="auto"/>
              </w:rPr>
            </w:pPr>
            <w:r>
              <w:rPr>
                <w:rFonts w:ascii="Arial" w:cs="Arial" w:eastAsia="Arial" w:hAnsi="Arial"/>
                <w:sz w:val="14"/>
                <w:szCs w:val="14"/>
                <w:color w:val="auto"/>
              </w:rPr>
              <w:t>2019</w:t>
            </w:r>
          </w:p>
        </w:tc>
        <w:tc>
          <w:tcPr>
            <w:tcW w:w="60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w w:val="97"/>
              </w:rPr>
              <w:t>Growth</w:t>
            </w:r>
          </w:p>
        </w:tc>
        <w:tc>
          <w:tcPr>
            <w:tcW w:w="800" w:type="dxa"/>
            <w:vAlign w:val="bottom"/>
            <w:gridSpan w:val="4"/>
            <w:shd w:val="clear" w:color="auto" w:fill="D9D9D6"/>
          </w:tcPr>
          <w:p>
            <w:pPr>
              <w:jc w:val="right"/>
              <w:ind w:right="160"/>
              <w:spacing w:after="0" w:line="176" w:lineRule="exact"/>
              <w:rPr>
                <w:sz w:val="20"/>
                <w:szCs w:val="20"/>
                <w:color w:val="auto"/>
              </w:rPr>
            </w:pPr>
            <w:r>
              <w:rPr>
                <w:rFonts w:ascii="Arial" w:cs="Arial" w:eastAsia="Arial" w:hAnsi="Arial"/>
                <w:sz w:val="13"/>
                <w:szCs w:val="13"/>
                <w:color w:val="auto"/>
              </w:rPr>
              <w:t>Growth</w:t>
            </w:r>
            <w:r>
              <w:rPr>
                <w:rFonts w:ascii="Arial" w:cs="Arial" w:eastAsia="Arial" w:hAnsi="Arial"/>
                <w:sz w:val="20"/>
                <w:szCs w:val="20"/>
                <w:color w:val="auto"/>
                <w:vertAlign w:val="superscript"/>
              </w:rPr>
              <w:t>7</w:t>
            </w:r>
          </w:p>
        </w:tc>
        <w:tc>
          <w:tcPr>
            <w:tcW w:w="0" w:type="dxa"/>
            <w:vAlign w:val="bottom"/>
          </w:tcPr>
          <w:p>
            <w:pPr>
              <w:spacing w:after="0"/>
              <w:rPr>
                <w:sz w:val="1"/>
                <w:szCs w:val="1"/>
                <w:color w:val="auto"/>
              </w:rPr>
            </w:pPr>
          </w:p>
        </w:tc>
      </w:tr>
      <w:tr>
        <w:trPr>
          <w:trHeight w:val="184"/>
        </w:trPr>
        <w:tc>
          <w:tcPr>
            <w:tcW w:w="4920" w:type="dxa"/>
            <w:vAlign w:val="bottom"/>
            <w:tcBorders>
              <w:top w:val="single" w:sz="8" w:color="D9D9D6"/>
            </w:tcBorders>
            <w:vMerge w:val="continue"/>
            <w:shd w:val="clear" w:color="auto" w:fill="D9D9D6"/>
          </w:tcPr>
          <w:p>
            <w:pPr>
              <w:spacing w:after="0"/>
              <w:rPr>
                <w:sz w:val="16"/>
                <w:szCs w:val="16"/>
                <w:color w:val="auto"/>
              </w:rPr>
            </w:pPr>
          </w:p>
        </w:tc>
        <w:tc>
          <w:tcPr>
            <w:tcW w:w="280" w:type="dxa"/>
            <w:vAlign w:val="bottom"/>
            <w:tcBorders>
              <w:top w:val="single" w:sz="8" w:color="D9D9D6"/>
            </w:tcBorders>
            <w:shd w:val="clear" w:color="auto" w:fill="D9D9D6"/>
          </w:tcPr>
          <w:p>
            <w:pPr>
              <w:spacing w:after="0"/>
              <w:rPr>
                <w:sz w:val="16"/>
                <w:szCs w:val="16"/>
                <w:color w:val="auto"/>
              </w:rPr>
            </w:pPr>
          </w:p>
        </w:tc>
        <w:tc>
          <w:tcPr>
            <w:tcW w:w="320" w:type="dxa"/>
            <w:vAlign w:val="bottom"/>
            <w:tcBorders>
              <w:top w:val="single" w:sz="8" w:color="auto"/>
            </w:tcBorders>
            <w:shd w:val="clear" w:color="auto" w:fill="D9D9D6"/>
          </w:tcPr>
          <w:p>
            <w:pPr>
              <w:spacing w:after="0"/>
              <w:rPr>
                <w:sz w:val="16"/>
                <w:szCs w:val="16"/>
                <w:color w:val="auto"/>
              </w:rPr>
            </w:pPr>
          </w:p>
        </w:tc>
        <w:tc>
          <w:tcPr>
            <w:tcW w:w="100" w:type="dxa"/>
            <w:vAlign w:val="bottom"/>
            <w:tcBorders>
              <w:top w:val="single" w:sz="8" w:color="D9D9D6"/>
            </w:tcBorders>
            <w:shd w:val="clear" w:color="auto" w:fill="D9D9D6"/>
          </w:tcPr>
          <w:p>
            <w:pPr>
              <w:spacing w:after="0"/>
              <w:rPr>
                <w:sz w:val="16"/>
                <w:szCs w:val="16"/>
                <w:color w:val="auto"/>
              </w:rPr>
            </w:pPr>
          </w:p>
        </w:tc>
        <w:tc>
          <w:tcPr>
            <w:tcW w:w="400" w:type="dxa"/>
            <w:vAlign w:val="bottom"/>
            <w:tcBorders>
              <w:top w:val="single" w:sz="8" w:color="D9D9D6"/>
            </w:tcBorders>
            <w:shd w:val="clear" w:color="auto" w:fill="D9D9D6"/>
          </w:tcPr>
          <w:p>
            <w:pPr>
              <w:spacing w:after="0"/>
              <w:rPr>
                <w:sz w:val="16"/>
                <w:szCs w:val="16"/>
                <w:color w:val="auto"/>
              </w:rPr>
            </w:pPr>
          </w:p>
        </w:tc>
        <w:tc>
          <w:tcPr>
            <w:tcW w:w="80" w:type="dxa"/>
            <w:vAlign w:val="bottom"/>
            <w:tcBorders>
              <w:top w:val="single" w:sz="8" w:color="auto"/>
            </w:tcBorders>
            <w:shd w:val="clear" w:color="auto" w:fill="D9D9D6"/>
          </w:tcPr>
          <w:p>
            <w:pPr>
              <w:spacing w:after="0"/>
              <w:rPr>
                <w:sz w:val="16"/>
                <w:szCs w:val="16"/>
                <w:color w:val="auto"/>
              </w:rPr>
            </w:pPr>
          </w:p>
        </w:tc>
        <w:tc>
          <w:tcPr>
            <w:tcW w:w="240" w:type="dxa"/>
            <w:vAlign w:val="bottom"/>
            <w:tcBorders>
              <w:top w:val="single" w:sz="8" w:color="auto"/>
            </w:tcBorders>
            <w:shd w:val="clear" w:color="auto" w:fill="D9D9D6"/>
          </w:tcPr>
          <w:p>
            <w:pPr>
              <w:spacing w:after="0"/>
              <w:rPr>
                <w:sz w:val="16"/>
                <w:szCs w:val="16"/>
                <w:color w:val="auto"/>
              </w:rPr>
            </w:pPr>
          </w:p>
        </w:tc>
        <w:tc>
          <w:tcPr>
            <w:tcW w:w="80" w:type="dxa"/>
            <w:vAlign w:val="bottom"/>
            <w:tcBorders>
              <w:top w:val="single" w:sz="8" w:color="D9D9D6"/>
            </w:tcBorders>
            <w:shd w:val="clear" w:color="auto" w:fill="D9D9D6"/>
          </w:tcPr>
          <w:p>
            <w:pPr>
              <w:spacing w:after="0"/>
              <w:rPr>
                <w:sz w:val="16"/>
                <w:szCs w:val="16"/>
                <w:color w:val="auto"/>
              </w:rPr>
            </w:pPr>
          </w:p>
        </w:tc>
        <w:tc>
          <w:tcPr>
            <w:tcW w:w="300" w:type="dxa"/>
            <w:vAlign w:val="bottom"/>
            <w:tcBorders>
              <w:top w:val="single" w:sz="8" w:color="D9D9D6"/>
            </w:tcBorders>
            <w:shd w:val="clear" w:color="auto" w:fill="D9D9D6"/>
          </w:tcPr>
          <w:p>
            <w:pPr>
              <w:spacing w:after="0"/>
              <w:rPr>
                <w:sz w:val="16"/>
                <w:szCs w:val="16"/>
                <w:color w:val="auto"/>
              </w:rPr>
            </w:pPr>
          </w:p>
        </w:tc>
        <w:tc>
          <w:tcPr>
            <w:tcW w:w="140" w:type="dxa"/>
            <w:vAlign w:val="bottom"/>
            <w:tcBorders>
              <w:top w:val="single" w:sz="8" w:color="auto"/>
            </w:tcBorders>
            <w:shd w:val="clear" w:color="auto" w:fill="D9D9D6"/>
          </w:tcPr>
          <w:p>
            <w:pPr>
              <w:spacing w:after="0"/>
              <w:rPr>
                <w:sz w:val="16"/>
                <w:szCs w:val="16"/>
                <w:color w:val="auto"/>
              </w:rPr>
            </w:pPr>
          </w:p>
        </w:tc>
        <w:tc>
          <w:tcPr>
            <w:tcW w:w="320" w:type="dxa"/>
            <w:vAlign w:val="bottom"/>
            <w:tcBorders>
              <w:top w:val="single" w:sz="8" w:color="auto"/>
            </w:tcBorders>
            <w:shd w:val="clear" w:color="auto" w:fill="D9D9D6"/>
          </w:tcPr>
          <w:p>
            <w:pPr>
              <w:spacing w:after="0"/>
              <w:rPr>
                <w:sz w:val="16"/>
                <w:szCs w:val="16"/>
                <w:color w:val="auto"/>
              </w:rPr>
            </w:pPr>
          </w:p>
        </w:tc>
        <w:tc>
          <w:tcPr>
            <w:tcW w:w="180" w:type="dxa"/>
            <w:vAlign w:val="bottom"/>
            <w:tcBorders>
              <w:top w:val="single" w:sz="8" w:color="D9D9D6"/>
            </w:tcBorders>
            <w:shd w:val="clear" w:color="auto" w:fill="D9D9D6"/>
          </w:tcPr>
          <w:p>
            <w:pPr>
              <w:spacing w:after="0"/>
              <w:rPr>
                <w:sz w:val="16"/>
                <w:szCs w:val="16"/>
                <w:color w:val="auto"/>
              </w:rPr>
            </w:pPr>
          </w:p>
        </w:tc>
        <w:tc>
          <w:tcPr>
            <w:tcW w:w="100" w:type="dxa"/>
            <w:vAlign w:val="bottom"/>
            <w:tcBorders>
              <w:top w:val="single" w:sz="8" w:color="D9D9D6"/>
            </w:tcBorders>
            <w:shd w:val="clear" w:color="auto" w:fill="D9D9D6"/>
          </w:tcPr>
          <w:p>
            <w:pPr>
              <w:spacing w:after="0"/>
              <w:rPr>
                <w:sz w:val="16"/>
                <w:szCs w:val="16"/>
                <w:color w:val="auto"/>
              </w:rPr>
            </w:pPr>
          </w:p>
        </w:tc>
        <w:tc>
          <w:tcPr>
            <w:tcW w:w="460" w:type="dxa"/>
            <w:vAlign w:val="bottom"/>
            <w:tcBorders>
              <w:top w:val="single" w:sz="8" w:color="auto"/>
            </w:tcBorders>
            <w:shd w:val="clear" w:color="auto" w:fill="D9D9D6"/>
          </w:tcPr>
          <w:p>
            <w:pPr>
              <w:spacing w:after="0"/>
              <w:rPr>
                <w:sz w:val="16"/>
                <w:szCs w:val="16"/>
                <w:color w:val="auto"/>
              </w:rPr>
            </w:pPr>
          </w:p>
        </w:tc>
        <w:tc>
          <w:tcPr>
            <w:tcW w:w="120" w:type="dxa"/>
            <w:vAlign w:val="bottom"/>
            <w:tcBorders>
              <w:top w:val="single" w:sz="8" w:color="D9D9D6"/>
            </w:tcBorders>
            <w:shd w:val="clear" w:color="auto" w:fill="D9D9D6"/>
          </w:tcPr>
          <w:p>
            <w:pPr>
              <w:spacing w:after="0"/>
              <w:rPr>
                <w:sz w:val="16"/>
                <w:szCs w:val="16"/>
                <w:color w:val="auto"/>
              </w:rPr>
            </w:pPr>
          </w:p>
        </w:tc>
        <w:tc>
          <w:tcPr>
            <w:tcW w:w="140" w:type="dxa"/>
            <w:vAlign w:val="bottom"/>
            <w:tcBorders>
              <w:top w:val="single" w:sz="8" w:color="D9D9D6"/>
              <w:right w:val="single" w:sz="8" w:color="54585A"/>
            </w:tcBorders>
            <w:shd w:val="clear" w:color="auto" w:fill="D9D9D6"/>
          </w:tcPr>
          <w:p>
            <w:pPr>
              <w:spacing w:after="0"/>
              <w:rPr>
                <w:sz w:val="16"/>
                <w:szCs w:val="16"/>
                <w:color w:val="auto"/>
              </w:rPr>
            </w:pPr>
          </w:p>
        </w:tc>
        <w:tc>
          <w:tcPr>
            <w:tcW w:w="100" w:type="dxa"/>
            <w:vAlign w:val="bottom"/>
            <w:tcBorders>
              <w:top w:val="single" w:sz="8" w:color="D9D9D6"/>
            </w:tcBorders>
            <w:shd w:val="clear" w:color="auto" w:fill="D9D9D6"/>
          </w:tcPr>
          <w:p>
            <w:pPr>
              <w:spacing w:after="0"/>
              <w:rPr>
                <w:sz w:val="16"/>
                <w:szCs w:val="16"/>
                <w:color w:val="auto"/>
              </w:rPr>
            </w:pPr>
          </w:p>
        </w:tc>
        <w:tc>
          <w:tcPr>
            <w:tcW w:w="280" w:type="dxa"/>
            <w:vAlign w:val="bottom"/>
            <w:tcBorders>
              <w:top w:val="single" w:sz="8" w:color="D9D9D6"/>
            </w:tcBorders>
            <w:shd w:val="clear" w:color="auto" w:fill="D9D9D6"/>
          </w:tcPr>
          <w:p>
            <w:pPr>
              <w:spacing w:after="0"/>
              <w:rPr>
                <w:sz w:val="16"/>
                <w:szCs w:val="16"/>
                <w:color w:val="auto"/>
              </w:rPr>
            </w:pPr>
          </w:p>
        </w:tc>
        <w:tc>
          <w:tcPr>
            <w:tcW w:w="320" w:type="dxa"/>
            <w:vAlign w:val="bottom"/>
            <w:tcBorders>
              <w:top w:val="single" w:sz="8" w:color="auto"/>
            </w:tcBorders>
            <w:shd w:val="clear" w:color="auto" w:fill="D9D9D6"/>
          </w:tcPr>
          <w:p>
            <w:pPr>
              <w:spacing w:after="0"/>
              <w:rPr>
                <w:sz w:val="16"/>
                <w:szCs w:val="16"/>
                <w:color w:val="auto"/>
              </w:rPr>
            </w:pPr>
          </w:p>
        </w:tc>
        <w:tc>
          <w:tcPr>
            <w:tcW w:w="80" w:type="dxa"/>
            <w:vAlign w:val="bottom"/>
            <w:tcBorders>
              <w:top w:val="single" w:sz="8" w:color="D9D9D6"/>
            </w:tcBorders>
            <w:shd w:val="clear" w:color="auto" w:fill="D9D9D6"/>
          </w:tcPr>
          <w:p>
            <w:pPr>
              <w:spacing w:after="0"/>
              <w:rPr>
                <w:sz w:val="16"/>
                <w:szCs w:val="16"/>
                <w:color w:val="auto"/>
              </w:rPr>
            </w:pPr>
          </w:p>
        </w:tc>
        <w:tc>
          <w:tcPr>
            <w:tcW w:w="380" w:type="dxa"/>
            <w:vAlign w:val="bottom"/>
            <w:tcBorders>
              <w:top w:val="single" w:sz="8" w:color="D9D9D6"/>
            </w:tcBorders>
            <w:shd w:val="clear" w:color="auto" w:fill="D9D9D6"/>
          </w:tcPr>
          <w:p>
            <w:pPr>
              <w:spacing w:after="0"/>
              <w:rPr>
                <w:sz w:val="16"/>
                <w:szCs w:val="16"/>
                <w:color w:val="auto"/>
              </w:rPr>
            </w:pPr>
          </w:p>
        </w:tc>
        <w:tc>
          <w:tcPr>
            <w:tcW w:w="60" w:type="dxa"/>
            <w:vAlign w:val="bottom"/>
            <w:tcBorders>
              <w:top w:val="single" w:sz="8" w:color="auto"/>
            </w:tcBorders>
            <w:shd w:val="clear" w:color="auto" w:fill="D9D9D6"/>
          </w:tcPr>
          <w:p>
            <w:pPr>
              <w:spacing w:after="0"/>
              <w:rPr>
                <w:sz w:val="16"/>
                <w:szCs w:val="16"/>
                <w:color w:val="auto"/>
              </w:rPr>
            </w:pPr>
          </w:p>
        </w:tc>
        <w:tc>
          <w:tcPr>
            <w:tcW w:w="260" w:type="dxa"/>
            <w:vAlign w:val="bottom"/>
            <w:tcBorders>
              <w:top w:val="single" w:sz="8" w:color="auto"/>
            </w:tcBorders>
            <w:shd w:val="clear" w:color="auto" w:fill="D9D9D6"/>
          </w:tcPr>
          <w:p>
            <w:pPr>
              <w:spacing w:after="0"/>
              <w:rPr>
                <w:sz w:val="16"/>
                <w:szCs w:val="16"/>
                <w:color w:val="auto"/>
              </w:rPr>
            </w:pPr>
          </w:p>
        </w:tc>
        <w:tc>
          <w:tcPr>
            <w:tcW w:w="360" w:type="dxa"/>
            <w:vAlign w:val="bottom"/>
            <w:tcBorders>
              <w:top w:val="single" w:sz="8" w:color="D9D9D6"/>
            </w:tcBorders>
            <w:shd w:val="clear" w:color="auto" w:fill="D9D9D6"/>
          </w:tcPr>
          <w:p>
            <w:pPr>
              <w:spacing w:after="0"/>
              <w:rPr>
                <w:sz w:val="16"/>
                <w:szCs w:val="16"/>
                <w:color w:val="auto"/>
              </w:rPr>
            </w:pPr>
          </w:p>
        </w:tc>
        <w:tc>
          <w:tcPr>
            <w:tcW w:w="180" w:type="dxa"/>
            <w:vAlign w:val="bottom"/>
            <w:tcBorders>
              <w:top w:val="single" w:sz="8" w:color="auto"/>
            </w:tcBorders>
            <w:shd w:val="clear" w:color="auto" w:fill="D9D9D6"/>
          </w:tcPr>
          <w:p>
            <w:pPr>
              <w:spacing w:after="0"/>
              <w:rPr>
                <w:sz w:val="16"/>
                <w:szCs w:val="16"/>
                <w:color w:val="auto"/>
              </w:rPr>
            </w:pPr>
          </w:p>
        </w:tc>
        <w:tc>
          <w:tcPr>
            <w:tcW w:w="280" w:type="dxa"/>
            <w:vAlign w:val="bottom"/>
            <w:tcBorders>
              <w:top w:val="single" w:sz="8" w:color="auto"/>
            </w:tcBorders>
            <w:shd w:val="clear" w:color="auto" w:fill="D9D9D6"/>
          </w:tcPr>
          <w:p>
            <w:pPr>
              <w:spacing w:after="0"/>
              <w:rPr>
                <w:sz w:val="16"/>
                <w:szCs w:val="16"/>
                <w:color w:val="auto"/>
              </w:rPr>
            </w:pPr>
          </w:p>
        </w:tc>
        <w:tc>
          <w:tcPr>
            <w:tcW w:w="140" w:type="dxa"/>
            <w:vAlign w:val="bottom"/>
            <w:tcBorders>
              <w:top w:val="single" w:sz="8" w:color="D9D9D6"/>
            </w:tcBorders>
            <w:shd w:val="clear" w:color="auto" w:fill="D9D9D6"/>
          </w:tcPr>
          <w:p>
            <w:pPr>
              <w:spacing w:after="0"/>
              <w:rPr>
                <w:sz w:val="16"/>
                <w:szCs w:val="16"/>
                <w:color w:val="auto"/>
              </w:rPr>
            </w:pPr>
          </w:p>
        </w:tc>
        <w:tc>
          <w:tcPr>
            <w:tcW w:w="100" w:type="dxa"/>
            <w:vAlign w:val="bottom"/>
            <w:tcBorders>
              <w:top w:val="single" w:sz="8" w:color="D9D9D6"/>
            </w:tcBorders>
            <w:shd w:val="clear" w:color="auto" w:fill="D9D9D6"/>
          </w:tcPr>
          <w:p>
            <w:pPr>
              <w:spacing w:after="0"/>
              <w:rPr>
                <w:sz w:val="16"/>
                <w:szCs w:val="16"/>
                <w:color w:val="auto"/>
              </w:rPr>
            </w:pPr>
          </w:p>
        </w:tc>
        <w:tc>
          <w:tcPr>
            <w:tcW w:w="480" w:type="dxa"/>
            <w:vAlign w:val="bottom"/>
            <w:tcBorders>
              <w:top w:val="single" w:sz="8" w:color="auto"/>
            </w:tcBorders>
            <w:shd w:val="clear" w:color="auto" w:fill="D9D9D6"/>
          </w:tcPr>
          <w:p>
            <w:pPr>
              <w:spacing w:after="0"/>
              <w:rPr>
                <w:sz w:val="16"/>
                <w:szCs w:val="16"/>
                <w:color w:val="auto"/>
              </w:rPr>
            </w:pPr>
          </w:p>
        </w:tc>
        <w:tc>
          <w:tcPr>
            <w:tcW w:w="120" w:type="dxa"/>
            <w:vAlign w:val="bottom"/>
            <w:tcBorders>
              <w:top w:val="single" w:sz="8" w:color="D9D9D6"/>
            </w:tcBorders>
            <w:shd w:val="clear" w:color="auto" w:fill="D9D9D6"/>
          </w:tcPr>
          <w:p>
            <w:pPr>
              <w:spacing w:after="0"/>
              <w:rPr>
                <w:sz w:val="16"/>
                <w:szCs w:val="16"/>
                <w:color w:val="auto"/>
              </w:rPr>
            </w:pPr>
          </w:p>
        </w:tc>
        <w:tc>
          <w:tcPr>
            <w:tcW w:w="100" w:type="dxa"/>
            <w:vAlign w:val="bottom"/>
            <w:tcBorders>
              <w:top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Direct-to-Consumer</w:t>
            </w:r>
          </w:p>
        </w:tc>
        <w:tc>
          <w:tcPr>
            <w:tcW w:w="60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$4,049</w:t>
            </w:r>
          </w:p>
        </w:tc>
        <w:tc>
          <w:tcPr>
            <w:tcW w:w="100" w:type="dxa"/>
            <w:vAlign w:val="bottom"/>
            <w:shd w:val="clear" w:color="auto" w:fill="D9D9D6"/>
          </w:tcPr>
          <w:p>
            <w:pPr>
              <w:spacing w:after="0"/>
              <w:rPr>
                <w:sz w:val="17"/>
                <w:szCs w:val="17"/>
                <w:color w:val="auto"/>
              </w:rPr>
            </w:pPr>
          </w:p>
        </w:tc>
        <w:tc>
          <w:tcPr>
            <w:tcW w:w="7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$3,889</w:t>
            </w:r>
          </w:p>
        </w:tc>
        <w:tc>
          <w:tcPr>
            <w:tcW w:w="80" w:type="dxa"/>
            <w:vAlign w:val="bottom"/>
            <w:shd w:val="clear" w:color="auto" w:fill="D9D9D6"/>
          </w:tcPr>
          <w:p>
            <w:pPr>
              <w:spacing w:after="0"/>
              <w:rPr>
                <w:sz w:val="17"/>
                <w:szCs w:val="17"/>
                <w:color w:val="auto"/>
              </w:rPr>
            </w:pPr>
          </w:p>
        </w:tc>
        <w:tc>
          <w:tcPr>
            <w:tcW w:w="940" w:type="dxa"/>
            <w:vAlign w:val="bottom"/>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(4.0%)</w:t>
            </w:r>
          </w:p>
        </w:tc>
        <w:tc>
          <w:tcPr>
            <w:tcW w:w="820" w:type="dxa"/>
            <w:vAlign w:val="bottom"/>
            <w:tcBorders>
              <w:right w:val="single" w:sz="8" w:color="54585A"/>
            </w:tcBorders>
            <w:gridSpan w:val="4"/>
            <w:shd w:val="clear" w:color="auto" w:fill="D9D9D6"/>
          </w:tcPr>
          <w:p>
            <w:pPr>
              <w:jc w:val="right"/>
              <w:ind w:right="140"/>
              <w:spacing w:after="0"/>
              <w:rPr>
                <w:sz w:val="20"/>
                <w:szCs w:val="20"/>
                <w:color w:val="auto"/>
              </w:rPr>
            </w:pPr>
            <w:r>
              <w:rPr>
                <w:rFonts w:ascii="Arial" w:cs="Arial" w:eastAsia="Arial" w:hAnsi="Arial"/>
                <w:sz w:val="14"/>
                <w:szCs w:val="14"/>
                <w:color w:val="auto"/>
              </w:rPr>
              <w:t>1.7%</w:t>
            </w:r>
          </w:p>
        </w:tc>
        <w:tc>
          <w:tcPr>
            <w:tcW w:w="7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$8,181</w:t>
            </w:r>
          </w:p>
        </w:tc>
        <w:tc>
          <w:tcPr>
            <w:tcW w:w="80" w:type="dxa"/>
            <w:vAlign w:val="bottom"/>
            <w:shd w:val="clear" w:color="auto" w:fill="D9D9D6"/>
          </w:tcPr>
          <w:p>
            <w:pPr>
              <w:spacing w:after="0"/>
              <w:rPr>
                <w:sz w:val="17"/>
                <w:szCs w:val="17"/>
                <w:color w:val="auto"/>
              </w:rPr>
            </w:pPr>
          </w:p>
        </w:tc>
        <w:tc>
          <w:tcPr>
            <w:tcW w:w="7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$7,723</w:t>
            </w:r>
          </w:p>
        </w:tc>
        <w:tc>
          <w:tcPr>
            <w:tcW w:w="360" w:type="dxa"/>
            <w:vAlign w:val="bottom"/>
            <w:shd w:val="clear" w:color="auto" w:fill="D9D9D6"/>
          </w:tcPr>
          <w:p>
            <w:pPr>
              <w:spacing w:after="0"/>
              <w:rPr>
                <w:sz w:val="17"/>
                <w:szCs w:val="17"/>
                <w:color w:val="auto"/>
              </w:rPr>
            </w:pPr>
          </w:p>
        </w:tc>
        <w:tc>
          <w:tcPr>
            <w:tcW w:w="6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(5.6%)</w:t>
            </w:r>
          </w:p>
        </w:tc>
        <w:tc>
          <w:tcPr>
            <w:tcW w:w="80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3"/>
        </w:trPr>
        <w:tc>
          <w:tcPr>
            <w:tcW w:w="49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Content</w:t>
            </w:r>
          </w:p>
        </w:tc>
        <w:tc>
          <w:tcPr>
            <w:tcW w:w="60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D9D9D6"/>
          </w:tcPr>
          <w:p>
            <w:pPr>
              <w:spacing w:after="0"/>
              <w:rPr>
                <w:sz w:val="17"/>
                <w:szCs w:val="17"/>
                <w:color w:val="auto"/>
              </w:rPr>
            </w:pPr>
          </w:p>
        </w:tc>
        <w:tc>
          <w:tcPr>
            <w:tcW w:w="7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376</w:t>
            </w:r>
          </w:p>
        </w:tc>
        <w:tc>
          <w:tcPr>
            <w:tcW w:w="80" w:type="dxa"/>
            <w:vAlign w:val="bottom"/>
            <w:shd w:val="clear" w:color="auto" w:fill="D9D9D6"/>
          </w:tcPr>
          <w:p>
            <w:pPr>
              <w:spacing w:after="0"/>
              <w:rPr>
                <w:sz w:val="17"/>
                <w:szCs w:val="17"/>
                <w:color w:val="auto"/>
              </w:rPr>
            </w:pPr>
          </w:p>
        </w:tc>
        <w:tc>
          <w:tcPr>
            <w:tcW w:w="940" w:type="dxa"/>
            <w:vAlign w:val="bottom"/>
            <w:gridSpan w:val="4"/>
            <w:shd w:val="clear" w:color="auto" w:fill="D9D9D6"/>
          </w:tcPr>
          <w:p>
            <w:pPr>
              <w:jc w:val="right"/>
              <w:ind w:right="120"/>
              <w:spacing w:after="0"/>
              <w:rPr>
                <w:sz w:val="20"/>
                <w:szCs w:val="20"/>
                <w:color w:val="auto"/>
              </w:rPr>
            </w:pPr>
            <w:r>
              <w:rPr>
                <w:rFonts w:ascii="Arial" w:cs="Arial" w:eastAsia="Arial" w:hAnsi="Arial"/>
                <w:sz w:val="14"/>
                <w:szCs w:val="14"/>
                <w:color w:val="auto"/>
              </w:rPr>
              <w:t>21.0%</w:t>
            </w:r>
          </w:p>
        </w:tc>
        <w:tc>
          <w:tcPr>
            <w:tcW w:w="820" w:type="dxa"/>
            <w:vAlign w:val="bottom"/>
            <w:tcBorders>
              <w:right w:val="single" w:sz="8" w:color="54585A"/>
            </w:tcBorders>
            <w:gridSpan w:val="4"/>
            <w:shd w:val="clear" w:color="auto" w:fill="D9D9D6"/>
          </w:tcPr>
          <w:p>
            <w:pPr>
              <w:jc w:val="right"/>
              <w:ind w:right="140"/>
              <w:spacing w:after="0"/>
              <w:rPr>
                <w:sz w:val="20"/>
                <w:szCs w:val="20"/>
                <w:color w:val="auto"/>
              </w:rPr>
            </w:pPr>
            <w:r>
              <w:rPr>
                <w:rFonts w:ascii="Arial" w:cs="Arial" w:eastAsia="Arial" w:hAnsi="Arial"/>
                <w:sz w:val="14"/>
                <w:szCs w:val="14"/>
                <w:color w:val="auto"/>
              </w:rPr>
              <w:t>27.7%</w:t>
            </w:r>
          </w:p>
        </w:tc>
        <w:tc>
          <w:tcPr>
            <w:tcW w:w="7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597</w:t>
            </w:r>
          </w:p>
        </w:tc>
        <w:tc>
          <w:tcPr>
            <w:tcW w:w="80" w:type="dxa"/>
            <w:vAlign w:val="bottom"/>
            <w:shd w:val="clear" w:color="auto" w:fill="D9D9D6"/>
          </w:tcPr>
          <w:p>
            <w:pPr>
              <w:spacing w:after="0"/>
              <w:rPr>
                <w:sz w:val="17"/>
                <w:szCs w:val="17"/>
                <w:color w:val="auto"/>
              </w:rPr>
            </w:pPr>
          </w:p>
        </w:tc>
        <w:tc>
          <w:tcPr>
            <w:tcW w:w="7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746</w:t>
            </w:r>
          </w:p>
        </w:tc>
        <w:tc>
          <w:tcPr>
            <w:tcW w:w="360" w:type="dxa"/>
            <w:vAlign w:val="bottom"/>
            <w:shd w:val="clear" w:color="auto" w:fill="D9D9D6"/>
          </w:tcPr>
          <w:p>
            <w:pPr>
              <w:spacing w:after="0"/>
              <w:rPr>
                <w:sz w:val="17"/>
                <w:szCs w:val="17"/>
                <w:color w:val="auto"/>
              </w:rPr>
            </w:pPr>
          </w:p>
        </w:tc>
        <w:tc>
          <w:tcPr>
            <w:tcW w:w="60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25.1%</w:t>
            </w:r>
          </w:p>
        </w:tc>
        <w:tc>
          <w:tcPr>
            <w:tcW w:w="80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88"/>
        </w:trPr>
        <w:tc>
          <w:tcPr>
            <w:tcW w:w="49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Advertising</w:t>
            </w:r>
          </w:p>
        </w:tc>
        <w:tc>
          <w:tcPr>
            <w:tcW w:w="60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D9D9D6"/>
          </w:tcPr>
          <w:p>
            <w:pPr>
              <w:spacing w:after="0"/>
              <w:rPr>
                <w:sz w:val="16"/>
                <w:szCs w:val="16"/>
                <w:color w:val="auto"/>
              </w:rPr>
            </w:pPr>
          </w:p>
        </w:tc>
        <w:tc>
          <w:tcPr>
            <w:tcW w:w="7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563</w:t>
            </w:r>
          </w:p>
        </w:tc>
        <w:tc>
          <w:tcPr>
            <w:tcW w:w="80" w:type="dxa"/>
            <w:vAlign w:val="bottom"/>
            <w:shd w:val="clear" w:color="auto" w:fill="D9D9D6"/>
          </w:tcPr>
          <w:p>
            <w:pPr>
              <w:spacing w:after="0"/>
              <w:rPr>
                <w:sz w:val="16"/>
                <w:szCs w:val="16"/>
                <w:color w:val="auto"/>
              </w:rPr>
            </w:pPr>
          </w:p>
        </w:tc>
        <w:tc>
          <w:tcPr>
            <w:tcW w:w="940" w:type="dxa"/>
            <w:vAlign w:val="bottom"/>
            <w:gridSpan w:val="4"/>
            <w:shd w:val="clear" w:color="auto" w:fill="D9D9D6"/>
          </w:tcPr>
          <w:p>
            <w:pPr>
              <w:jc w:val="right"/>
              <w:ind w:right="120"/>
              <w:spacing w:after="0"/>
              <w:rPr>
                <w:sz w:val="20"/>
                <w:szCs w:val="20"/>
                <w:color w:val="auto"/>
              </w:rPr>
            </w:pPr>
            <w:r>
              <w:rPr>
                <w:rFonts w:ascii="Arial" w:cs="Arial" w:eastAsia="Arial" w:hAnsi="Arial"/>
                <w:sz w:val="14"/>
                <w:szCs w:val="14"/>
                <w:color w:val="auto"/>
              </w:rPr>
              <w:t>(10.7%)</w:t>
            </w:r>
          </w:p>
        </w:tc>
        <w:tc>
          <w:tcPr>
            <w:tcW w:w="820" w:type="dxa"/>
            <w:vAlign w:val="bottom"/>
            <w:tcBorders>
              <w:right w:val="single" w:sz="8" w:color="54585A"/>
            </w:tcBorders>
            <w:gridSpan w:val="4"/>
            <w:shd w:val="clear" w:color="auto" w:fill="D9D9D6"/>
          </w:tcPr>
          <w:p>
            <w:pPr>
              <w:jc w:val="right"/>
              <w:ind w:right="80"/>
              <w:spacing w:after="0"/>
              <w:rPr>
                <w:sz w:val="20"/>
                <w:szCs w:val="20"/>
                <w:color w:val="auto"/>
              </w:rPr>
            </w:pPr>
            <w:r>
              <w:rPr>
                <w:rFonts w:ascii="Arial" w:cs="Arial" w:eastAsia="Arial" w:hAnsi="Arial"/>
                <w:sz w:val="14"/>
                <w:szCs w:val="14"/>
                <w:color w:val="auto"/>
              </w:rPr>
              <w:t>(5.6%)</w:t>
            </w:r>
          </w:p>
        </w:tc>
        <w:tc>
          <w:tcPr>
            <w:tcW w:w="7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1,262</w:t>
            </w:r>
          </w:p>
        </w:tc>
        <w:tc>
          <w:tcPr>
            <w:tcW w:w="80" w:type="dxa"/>
            <w:vAlign w:val="bottom"/>
            <w:shd w:val="clear" w:color="auto" w:fill="D9D9D6"/>
          </w:tcPr>
          <w:p>
            <w:pPr>
              <w:spacing w:after="0"/>
              <w:rPr>
                <w:sz w:val="16"/>
                <w:szCs w:val="16"/>
                <w:color w:val="auto"/>
              </w:rPr>
            </w:pPr>
          </w:p>
        </w:tc>
        <w:tc>
          <w:tcPr>
            <w:tcW w:w="7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1,156</w:t>
            </w:r>
          </w:p>
        </w:tc>
        <w:tc>
          <w:tcPr>
            <w:tcW w:w="360" w:type="dxa"/>
            <w:vAlign w:val="bottom"/>
            <w:shd w:val="clear" w:color="auto" w:fill="D9D9D6"/>
          </w:tcPr>
          <w:p>
            <w:pPr>
              <w:spacing w:after="0"/>
              <w:rPr>
                <w:sz w:val="16"/>
                <w:szCs w:val="16"/>
                <w:color w:val="auto"/>
              </w:rPr>
            </w:pPr>
          </w:p>
        </w:tc>
        <w:tc>
          <w:tcPr>
            <w:tcW w:w="6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(8.4%)</w:t>
            </w:r>
          </w:p>
        </w:tc>
        <w:tc>
          <w:tcPr>
            <w:tcW w:w="80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D9D9D6"/>
          </w:tcPr>
          <w:p>
            <w:pPr>
              <w:ind w:left="60"/>
              <w:spacing w:after="0"/>
              <w:rPr>
                <w:sz w:val="20"/>
                <w:szCs w:val="20"/>
                <w:color w:val="auto"/>
              </w:rPr>
            </w:pPr>
            <w:r>
              <w:rPr>
                <w:rFonts w:ascii="Arial" w:cs="Arial" w:eastAsia="Arial" w:hAnsi="Arial"/>
                <w:sz w:val="14"/>
                <w:szCs w:val="14"/>
                <w:b w:val="1"/>
                <w:bCs w:val="1"/>
                <w:color w:val="auto"/>
              </w:rPr>
              <w:t>Sky Revenue</w:t>
            </w: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54585A"/>
            </w:tcBorders>
            <w:shd w:val="clear" w:color="auto" w:fill="D9D9D6"/>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920" w:type="dxa"/>
            <w:vAlign w:val="bottom"/>
            <w:vMerge w:val="continue"/>
            <w:shd w:val="clear" w:color="auto" w:fill="D9D9D6"/>
          </w:tcPr>
          <w:p>
            <w:pPr>
              <w:spacing w:after="0"/>
              <w:rPr>
                <w:sz w:val="16"/>
                <w:szCs w:val="16"/>
                <w:color w:val="auto"/>
              </w:rPr>
            </w:pPr>
          </w:p>
        </w:tc>
        <w:tc>
          <w:tcPr>
            <w:tcW w:w="60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$4,991</w:t>
            </w:r>
          </w:p>
        </w:tc>
        <w:tc>
          <w:tcPr>
            <w:tcW w:w="100" w:type="dxa"/>
            <w:vAlign w:val="bottom"/>
            <w:shd w:val="clear" w:color="auto" w:fill="D9D9D6"/>
          </w:tcPr>
          <w:p>
            <w:pPr>
              <w:spacing w:after="0"/>
              <w:rPr>
                <w:sz w:val="16"/>
                <w:szCs w:val="16"/>
                <w:color w:val="auto"/>
              </w:rPr>
            </w:pPr>
          </w:p>
        </w:tc>
        <w:tc>
          <w:tcPr>
            <w:tcW w:w="72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$4,828</w:t>
            </w:r>
          </w:p>
        </w:tc>
        <w:tc>
          <w:tcPr>
            <w:tcW w:w="80" w:type="dxa"/>
            <w:vAlign w:val="bottom"/>
            <w:shd w:val="clear" w:color="auto" w:fill="D9D9D6"/>
          </w:tcPr>
          <w:p>
            <w:pPr>
              <w:spacing w:after="0"/>
              <w:rPr>
                <w:sz w:val="16"/>
                <w:szCs w:val="16"/>
                <w:color w:val="auto"/>
              </w:rPr>
            </w:pPr>
          </w:p>
        </w:tc>
        <w:tc>
          <w:tcPr>
            <w:tcW w:w="940" w:type="dxa"/>
            <w:vAlign w:val="bottom"/>
            <w:gridSpan w:val="4"/>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(3.3%)</w:t>
            </w:r>
          </w:p>
        </w:tc>
        <w:tc>
          <w:tcPr>
            <w:tcW w:w="820" w:type="dxa"/>
            <w:vAlign w:val="bottom"/>
            <w:tcBorders>
              <w:right w:val="single" w:sz="8" w:color="54585A"/>
            </w:tcBorders>
            <w:gridSpan w:val="4"/>
            <w:shd w:val="clear" w:color="auto" w:fill="D9D9D6"/>
          </w:tcPr>
          <w:p>
            <w:pPr>
              <w:jc w:val="right"/>
              <w:ind w:right="140"/>
              <w:spacing w:after="0"/>
              <w:rPr>
                <w:sz w:val="20"/>
                <w:szCs w:val="20"/>
                <w:color w:val="auto"/>
              </w:rPr>
            </w:pPr>
            <w:r>
              <w:rPr>
                <w:rFonts w:ascii="Arial" w:cs="Arial" w:eastAsia="Arial" w:hAnsi="Arial"/>
                <w:sz w:val="14"/>
                <w:szCs w:val="14"/>
                <w:b w:val="1"/>
                <w:bCs w:val="1"/>
                <w:color w:val="auto"/>
              </w:rPr>
              <w:t>2.4%</w:t>
            </w:r>
          </w:p>
        </w:tc>
        <w:tc>
          <w:tcPr>
            <w:tcW w:w="7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$10,040</w:t>
            </w:r>
          </w:p>
        </w:tc>
        <w:tc>
          <w:tcPr>
            <w:tcW w:w="80" w:type="dxa"/>
            <w:vAlign w:val="bottom"/>
            <w:shd w:val="clear" w:color="auto" w:fill="D9D9D6"/>
          </w:tcPr>
          <w:p>
            <w:pPr>
              <w:spacing w:after="0"/>
              <w:rPr>
                <w:sz w:val="16"/>
                <w:szCs w:val="16"/>
                <w:color w:val="auto"/>
              </w:rPr>
            </w:pPr>
          </w:p>
        </w:tc>
        <w:tc>
          <w:tcPr>
            <w:tcW w:w="7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$9,625</w:t>
            </w:r>
          </w:p>
        </w:tc>
        <w:tc>
          <w:tcPr>
            <w:tcW w:w="360" w:type="dxa"/>
            <w:vAlign w:val="bottom"/>
            <w:shd w:val="clear" w:color="auto" w:fill="D9D9D6"/>
          </w:tcPr>
          <w:p>
            <w:pPr>
              <w:spacing w:after="0"/>
              <w:rPr>
                <w:sz w:val="16"/>
                <w:szCs w:val="16"/>
                <w:color w:val="auto"/>
              </w:rPr>
            </w:pPr>
          </w:p>
        </w:tc>
        <w:tc>
          <w:tcPr>
            <w:tcW w:w="6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(4.1%)</w:t>
            </w:r>
          </w:p>
        </w:tc>
        <w:tc>
          <w:tcPr>
            <w:tcW w:w="80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378"/>
        </w:trPr>
        <w:tc>
          <w:tcPr>
            <w:tcW w:w="4920" w:type="dxa"/>
            <w:vAlign w:val="bottom"/>
            <w:shd w:val="clear" w:color="auto" w:fill="D9D9D6"/>
          </w:tcPr>
          <w:p>
            <w:pPr>
              <w:ind w:left="60"/>
              <w:spacing w:after="0"/>
              <w:rPr>
                <w:sz w:val="20"/>
                <w:szCs w:val="20"/>
                <w:color w:val="auto"/>
              </w:rPr>
            </w:pPr>
            <w:r>
              <w:rPr>
                <w:rFonts w:ascii="Arial" w:cs="Arial" w:eastAsia="Arial" w:hAnsi="Arial"/>
                <w:sz w:val="14"/>
                <w:szCs w:val="14"/>
                <w:b w:val="1"/>
                <w:bCs w:val="1"/>
                <w:color w:val="auto"/>
              </w:rPr>
              <w:t>Sky Operating Costs and Expenses</w:t>
            </w:r>
          </w:p>
        </w:tc>
        <w:tc>
          <w:tcPr>
            <w:tcW w:w="60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$4,311</w:t>
            </w:r>
          </w:p>
        </w:tc>
        <w:tc>
          <w:tcPr>
            <w:tcW w:w="100" w:type="dxa"/>
            <w:vAlign w:val="bottom"/>
            <w:shd w:val="clear" w:color="auto" w:fill="D9D9D6"/>
          </w:tcPr>
          <w:p>
            <w:pPr>
              <w:spacing w:after="0"/>
              <w:rPr>
                <w:sz w:val="24"/>
                <w:szCs w:val="24"/>
                <w:color w:val="auto"/>
              </w:rPr>
            </w:pPr>
          </w:p>
        </w:tc>
        <w:tc>
          <w:tcPr>
            <w:tcW w:w="72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$4,056</w:t>
            </w:r>
          </w:p>
        </w:tc>
        <w:tc>
          <w:tcPr>
            <w:tcW w:w="80" w:type="dxa"/>
            <w:vAlign w:val="bottom"/>
            <w:shd w:val="clear" w:color="auto" w:fill="D9D9D6"/>
          </w:tcPr>
          <w:p>
            <w:pPr>
              <w:spacing w:after="0"/>
              <w:rPr>
                <w:sz w:val="24"/>
                <w:szCs w:val="24"/>
                <w:color w:val="auto"/>
              </w:rPr>
            </w:pPr>
          </w:p>
        </w:tc>
        <w:tc>
          <w:tcPr>
            <w:tcW w:w="940" w:type="dxa"/>
            <w:vAlign w:val="bottom"/>
            <w:gridSpan w:val="4"/>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(5.9%)</w:t>
            </w:r>
          </w:p>
        </w:tc>
        <w:tc>
          <w:tcPr>
            <w:tcW w:w="6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(0.4%)</w:t>
            </w:r>
          </w:p>
        </w:tc>
        <w:tc>
          <w:tcPr>
            <w:tcW w:w="140" w:type="dxa"/>
            <w:vAlign w:val="bottom"/>
            <w:tcBorders>
              <w:right w:val="single" w:sz="8" w:color="54585A"/>
            </w:tcBorders>
            <w:shd w:val="clear" w:color="auto" w:fill="D9D9D6"/>
          </w:tcPr>
          <w:p>
            <w:pPr>
              <w:spacing w:after="0"/>
              <w:rPr>
                <w:sz w:val="24"/>
                <w:szCs w:val="24"/>
                <w:color w:val="auto"/>
              </w:rPr>
            </w:pPr>
          </w:p>
        </w:tc>
        <w:tc>
          <w:tcPr>
            <w:tcW w:w="7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$8,561</w:t>
            </w:r>
          </w:p>
        </w:tc>
        <w:tc>
          <w:tcPr>
            <w:tcW w:w="80" w:type="dxa"/>
            <w:vAlign w:val="bottom"/>
            <w:shd w:val="clear" w:color="auto" w:fill="D9D9D6"/>
          </w:tcPr>
          <w:p>
            <w:pPr>
              <w:spacing w:after="0"/>
              <w:rPr>
                <w:sz w:val="24"/>
                <w:szCs w:val="24"/>
                <w:color w:val="auto"/>
              </w:rPr>
            </w:pPr>
          </w:p>
        </w:tc>
        <w:tc>
          <w:tcPr>
            <w:tcW w:w="7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$8,190</w:t>
            </w:r>
          </w:p>
        </w:tc>
        <w:tc>
          <w:tcPr>
            <w:tcW w:w="360" w:type="dxa"/>
            <w:vAlign w:val="bottom"/>
            <w:shd w:val="clear" w:color="auto" w:fill="D9D9D6"/>
          </w:tcPr>
          <w:p>
            <w:pPr>
              <w:spacing w:after="0"/>
              <w:rPr>
                <w:sz w:val="24"/>
                <w:szCs w:val="24"/>
                <w:color w:val="auto"/>
              </w:rPr>
            </w:pPr>
          </w:p>
        </w:tc>
        <w:tc>
          <w:tcPr>
            <w:tcW w:w="6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(4.3%)</w:t>
            </w:r>
          </w:p>
        </w:tc>
        <w:tc>
          <w:tcPr>
            <w:tcW w:w="80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r>
        <w:trPr>
          <w:trHeight w:val="378"/>
        </w:trPr>
        <w:tc>
          <w:tcPr>
            <w:tcW w:w="4920" w:type="dxa"/>
            <w:vAlign w:val="bottom"/>
            <w:shd w:val="clear" w:color="auto" w:fill="D9D9D6"/>
          </w:tcPr>
          <w:p>
            <w:pPr>
              <w:ind w:left="60"/>
              <w:spacing w:after="0"/>
              <w:rPr>
                <w:sz w:val="20"/>
                <w:szCs w:val="20"/>
                <w:color w:val="auto"/>
              </w:rPr>
            </w:pPr>
            <w:r>
              <w:rPr>
                <w:rFonts w:ascii="Arial" w:cs="Arial" w:eastAsia="Arial" w:hAnsi="Arial"/>
                <w:sz w:val="14"/>
                <w:szCs w:val="14"/>
                <w:b w:val="1"/>
                <w:bCs w:val="1"/>
                <w:color w:val="auto"/>
              </w:rPr>
              <w:t>Sky Adjusted EBITDA</w:t>
            </w:r>
          </w:p>
        </w:tc>
        <w:tc>
          <w:tcPr>
            <w:tcW w:w="60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$680</w:t>
            </w:r>
          </w:p>
        </w:tc>
        <w:tc>
          <w:tcPr>
            <w:tcW w:w="100" w:type="dxa"/>
            <w:vAlign w:val="bottom"/>
            <w:shd w:val="clear" w:color="auto" w:fill="D9D9D6"/>
          </w:tcPr>
          <w:p>
            <w:pPr>
              <w:spacing w:after="0"/>
              <w:rPr>
                <w:sz w:val="24"/>
                <w:szCs w:val="24"/>
                <w:color w:val="auto"/>
              </w:rPr>
            </w:pPr>
          </w:p>
        </w:tc>
        <w:tc>
          <w:tcPr>
            <w:tcW w:w="72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$772</w:t>
            </w:r>
          </w:p>
        </w:tc>
        <w:tc>
          <w:tcPr>
            <w:tcW w:w="80" w:type="dxa"/>
            <w:vAlign w:val="bottom"/>
            <w:shd w:val="clear" w:color="auto" w:fill="D9D9D6"/>
          </w:tcPr>
          <w:p>
            <w:pPr>
              <w:spacing w:after="0"/>
              <w:rPr>
                <w:sz w:val="24"/>
                <w:szCs w:val="24"/>
                <w:color w:val="auto"/>
              </w:rPr>
            </w:pPr>
          </w:p>
        </w:tc>
        <w:tc>
          <w:tcPr>
            <w:tcW w:w="940" w:type="dxa"/>
            <w:vAlign w:val="bottom"/>
            <w:gridSpan w:val="4"/>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13.4%</w:t>
            </w:r>
          </w:p>
        </w:tc>
        <w:tc>
          <w:tcPr>
            <w:tcW w:w="6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19.9%</w:t>
            </w:r>
          </w:p>
        </w:tc>
        <w:tc>
          <w:tcPr>
            <w:tcW w:w="140" w:type="dxa"/>
            <w:vAlign w:val="bottom"/>
            <w:tcBorders>
              <w:right w:val="single" w:sz="8" w:color="54585A"/>
            </w:tcBorders>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6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$1,479</w:t>
            </w:r>
          </w:p>
        </w:tc>
        <w:tc>
          <w:tcPr>
            <w:tcW w:w="80" w:type="dxa"/>
            <w:vAlign w:val="bottom"/>
            <w:shd w:val="clear" w:color="auto" w:fill="D9D9D6"/>
          </w:tcPr>
          <w:p>
            <w:pPr>
              <w:spacing w:after="0"/>
              <w:rPr>
                <w:sz w:val="24"/>
                <w:szCs w:val="24"/>
                <w:color w:val="auto"/>
              </w:rPr>
            </w:pPr>
          </w:p>
        </w:tc>
        <w:tc>
          <w:tcPr>
            <w:tcW w:w="7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$1,435</w:t>
            </w:r>
          </w:p>
        </w:tc>
        <w:tc>
          <w:tcPr>
            <w:tcW w:w="360" w:type="dxa"/>
            <w:vAlign w:val="bottom"/>
            <w:shd w:val="clear" w:color="auto" w:fill="D9D9D6"/>
          </w:tcPr>
          <w:p>
            <w:pPr>
              <w:spacing w:after="0"/>
              <w:rPr>
                <w:sz w:val="24"/>
                <w:szCs w:val="24"/>
                <w:color w:val="auto"/>
              </w:rPr>
            </w:pPr>
          </w:p>
        </w:tc>
        <w:tc>
          <w:tcPr>
            <w:tcW w:w="6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(3.0%)</w:t>
            </w:r>
          </w:p>
        </w:tc>
        <w:tc>
          <w:tcPr>
            <w:tcW w:w="80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215"/>
        </w:trPr>
        <w:tc>
          <w:tcPr>
            <w:tcW w:w="4920" w:type="dxa"/>
            <w:vAlign w:val="bottom"/>
            <w:shd w:val="clear" w:color="auto" w:fill="D9D9D6"/>
          </w:tcPr>
          <w:p>
            <w:pPr>
              <w:ind w:left="180"/>
              <w:spacing w:after="0"/>
              <w:rPr>
                <w:sz w:val="20"/>
                <w:szCs w:val="20"/>
                <w:color w:val="auto"/>
              </w:rPr>
            </w:pPr>
            <w:r>
              <w:rPr>
                <w:rFonts w:ascii="Arial" w:cs="Arial" w:eastAsia="Arial" w:hAnsi="Arial"/>
                <w:sz w:val="14"/>
                <w:szCs w:val="14"/>
                <w:i w:val="1"/>
                <w:iCs w:val="1"/>
                <w:color w:val="auto"/>
              </w:rPr>
              <w:t>Adjusted EBITDA Margin</w:t>
            </w:r>
          </w:p>
        </w:tc>
        <w:tc>
          <w:tcPr>
            <w:tcW w:w="60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i w:val="1"/>
                <w:iCs w:val="1"/>
                <w:color w:val="auto"/>
              </w:rPr>
              <w:t>13.6%</w:t>
            </w:r>
          </w:p>
        </w:tc>
        <w:tc>
          <w:tcPr>
            <w:tcW w:w="100" w:type="dxa"/>
            <w:vAlign w:val="bottom"/>
            <w:shd w:val="clear" w:color="auto" w:fill="D9D9D6"/>
          </w:tcPr>
          <w:p>
            <w:pPr>
              <w:spacing w:after="0"/>
              <w:rPr>
                <w:sz w:val="18"/>
                <w:szCs w:val="18"/>
                <w:color w:val="auto"/>
              </w:rPr>
            </w:pPr>
          </w:p>
        </w:tc>
        <w:tc>
          <w:tcPr>
            <w:tcW w:w="72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16.0%</w:t>
            </w:r>
          </w:p>
        </w:tc>
        <w:tc>
          <w:tcPr>
            <w:tcW w:w="80" w:type="dxa"/>
            <w:vAlign w:val="bottom"/>
            <w:shd w:val="clear" w:color="auto" w:fill="D9D9D6"/>
          </w:tcPr>
          <w:p>
            <w:pPr>
              <w:spacing w:after="0"/>
              <w:rPr>
                <w:sz w:val="18"/>
                <w:szCs w:val="18"/>
                <w:color w:val="auto"/>
              </w:rPr>
            </w:pPr>
          </w:p>
        </w:tc>
        <w:tc>
          <w:tcPr>
            <w:tcW w:w="300" w:type="dxa"/>
            <w:vAlign w:val="bottom"/>
            <w:shd w:val="clear" w:color="auto" w:fill="D9D9D6"/>
          </w:tcPr>
          <w:p>
            <w:pPr>
              <w:spacing w:after="0"/>
              <w:rPr>
                <w:sz w:val="18"/>
                <w:szCs w:val="18"/>
                <w:color w:val="auto"/>
              </w:rPr>
            </w:pPr>
          </w:p>
        </w:tc>
        <w:tc>
          <w:tcPr>
            <w:tcW w:w="140" w:type="dxa"/>
            <w:vAlign w:val="bottom"/>
            <w:shd w:val="clear" w:color="auto" w:fill="D9D9D6"/>
          </w:tcPr>
          <w:p>
            <w:pPr>
              <w:spacing w:after="0"/>
              <w:rPr>
                <w:sz w:val="18"/>
                <w:szCs w:val="18"/>
                <w:color w:val="auto"/>
              </w:rPr>
            </w:pPr>
          </w:p>
        </w:tc>
        <w:tc>
          <w:tcPr>
            <w:tcW w:w="320" w:type="dxa"/>
            <w:vAlign w:val="bottom"/>
            <w:shd w:val="clear" w:color="auto" w:fill="D9D9D6"/>
          </w:tcPr>
          <w:p>
            <w:pPr>
              <w:spacing w:after="0"/>
              <w:rPr>
                <w:sz w:val="18"/>
                <w:szCs w:val="18"/>
                <w:color w:val="auto"/>
              </w:rPr>
            </w:pPr>
          </w:p>
        </w:tc>
        <w:tc>
          <w:tcPr>
            <w:tcW w:w="180" w:type="dxa"/>
            <w:vAlign w:val="bottom"/>
            <w:shd w:val="clear" w:color="auto" w:fill="D9D9D6"/>
          </w:tcPr>
          <w:p>
            <w:pPr>
              <w:spacing w:after="0"/>
              <w:rPr>
                <w:sz w:val="18"/>
                <w:szCs w:val="18"/>
                <w:color w:val="auto"/>
              </w:rPr>
            </w:pPr>
          </w:p>
        </w:tc>
        <w:tc>
          <w:tcPr>
            <w:tcW w:w="100" w:type="dxa"/>
            <w:vAlign w:val="bottom"/>
            <w:shd w:val="clear" w:color="auto" w:fill="D9D9D6"/>
          </w:tcPr>
          <w:p>
            <w:pPr>
              <w:spacing w:after="0"/>
              <w:rPr>
                <w:sz w:val="18"/>
                <w:szCs w:val="18"/>
                <w:color w:val="auto"/>
              </w:rPr>
            </w:pPr>
          </w:p>
        </w:tc>
        <w:tc>
          <w:tcPr>
            <w:tcW w:w="460" w:type="dxa"/>
            <w:vAlign w:val="bottom"/>
            <w:shd w:val="clear" w:color="auto" w:fill="D9D9D6"/>
          </w:tcPr>
          <w:p>
            <w:pPr>
              <w:spacing w:after="0"/>
              <w:rPr>
                <w:sz w:val="18"/>
                <w:szCs w:val="18"/>
                <w:color w:val="auto"/>
              </w:rPr>
            </w:pPr>
          </w:p>
        </w:tc>
        <w:tc>
          <w:tcPr>
            <w:tcW w:w="120" w:type="dxa"/>
            <w:vAlign w:val="bottom"/>
            <w:shd w:val="clear" w:color="auto" w:fill="D9D9D6"/>
          </w:tcPr>
          <w:p>
            <w:pPr>
              <w:spacing w:after="0"/>
              <w:rPr>
                <w:sz w:val="18"/>
                <w:szCs w:val="18"/>
                <w:color w:val="auto"/>
              </w:rPr>
            </w:pPr>
          </w:p>
        </w:tc>
        <w:tc>
          <w:tcPr>
            <w:tcW w:w="140" w:type="dxa"/>
            <w:vAlign w:val="bottom"/>
            <w:tcBorders>
              <w:right w:val="single" w:sz="8" w:color="54585A"/>
            </w:tcBorders>
            <w:shd w:val="clear" w:color="auto" w:fill="D9D9D6"/>
          </w:tcPr>
          <w:p>
            <w:pPr>
              <w:spacing w:after="0"/>
              <w:rPr>
                <w:sz w:val="18"/>
                <w:szCs w:val="18"/>
                <w:color w:val="auto"/>
              </w:rPr>
            </w:pPr>
          </w:p>
        </w:tc>
        <w:tc>
          <w:tcPr>
            <w:tcW w:w="100" w:type="dxa"/>
            <w:vAlign w:val="bottom"/>
            <w:shd w:val="clear" w:color="auto" w:fill="D9D9D6"/>
          </w:tcPr>
          <w:p>
            <w:pPr>
              <w:spacing w:after="0"/>
              <w:rPr>
                <w:sz w:val="18"/>
                <w:szCs w:val="18"/>
                <w:color w:val="auto"/>
              </w:rPr>
            </w:pPr>
          </w:p>
        </w:tc>
        <w:tc>
          <w:tcPr>
            <w:tcW w:w="6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14.7%</w:t>
            </w:r>
          </w:p>
        </w:tc>
        <w:tc>
          <w:tcPr>
            <w:tcW w:w="80" w:type="dxa"/>
            <w:vAlign w:val="bottom"/>
            <w:shd w:val="clear" w:color="auto" w:fill="D9D9D6"/>
          </w:tcPr>
          <w:p>
            <w:pPr>
              <w:spacing w:after="0"/>
              <w:rPr>
                <w:sz w:val="18"/>
                <w:szCs w:val="18"/>
                <w:color w:val="auto"/>
              </w:rPr>
            </w:pPr>
          </w:p>
        </w:tc>
        <w:tc>
          <w:tcPr>
            <w:tcW w:w="70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14.9%</w:t>
            </w:r>
          </w:p>
        </w:tc>
        <w:tc>
          <w:tcPr>
            <w:tcW w:w="360" w:type="dxa"/>
            <w:vAlign w:val="bottom"/>
            <w:shd w:val="clear" w:color="auto" w:fill="D9D9D6"/>
          </w:tcPr>
          <w:p>
            <w:pPr>
              <w:spacing w:after="0"/>
              <w:rPr>
                <w:sz w:val="18"/>
                <w:szCs w:val="18"/>
                <w:color w:val="auto"/>
              </w:rPr>
            </w:pPr>
          </w:p>
        </w:tc>
        <w:tc>
          <w:tcPr>
            <w:tcW w:w="180" w:type="dxa"/>
            <w:vAlign w:val="bottom"/>
            <w:shd w:val="clear" w:color="auto" w:fill="D9D9D6"/>
          </w:tcPr>
          <w:p>
            <w:pPr>
              <w:spacing w:after="0"/>
              <w:rPr>
                <w:sz w:val="18"/>
                <w:szCs w:val="18"/>
                <w:color w:val="auto"/>
              </w:rPr>
            </w:pPr>
          </w:p>
        </w:tc>
        <w:tc>
          <w:tcPr>
            <w:tcW w:w="280" w:type="dxa"/>
            <w:vAlign w:val="bottom"/>
            <w:shd w:val="clear" w:color="auto" w:fill="D9D9D6"/>
          </w:tcPr>
          <w:p>
            <w:pPr>
              <w:spacing w:after="0"/>
              <w:rPr>
                <w:sz w:val="18"/>
                <w:szCs w:val="18"/>
                <w:color w:val="auto"/>
              </w:rPr>
            </w:pPr>
          </w:p>
        </w:tc>
        <w:tc>
          <w:tcPr>
            <w:tcW w:w="140" w:type="dxa"/>
            <w:vAlign w:val="bottom"/>
            <w:shd w:val="clear" w:color="auto" w:fill="D9D9D6"/>
          </w:tcPr>
          <w:p>
            <w:pPr>
              <w:spacing w:after="0"/>
              <w:rPr>
                <w:sz w:val="18"/>
                <w:szCs w:val="18"/>
                <w:color w:val="auto"/>
              </w:rPr>
            </w:pPr>
          </w:p>
        </w:tc>
        <w:tc>
          <w:tcPr>
            <w:tcW w:w="100" w:type="dxa"/>
            <w:vAlign w:val="bottom"/>
            <w:shd w:val="clear" w:color="auto" w:fill="D9D9D6"/>
          </w:tcPr>
          <w:p>
            <w:pPr>
              <w:spacing w:after="0"/>
              <w:rPr>
                <w:sz w:val="18"/>
                <w:szCs w:val="18"/>
                <w:color w:val="auto"/>
              </w:rPr>
            </w:pPr>
          </w:p>
        </w:tc>
        <w:tc>
          <w:tcPr>
            <w:tcW w:w="480" w:type="dxa"/>
            <w:vAlign w:val="bottom"/>
            <w:shd w:val="clear" w:color="auto" w:fill="D9D9D6"/>
          </w:tcPr>
          <w:p>
            <w:pPr>
              <w:spacing w:after="0"/>
              <w:rPr>
                <w:sz w:val="18"/>
                <w:szCs w:val="18"/>
                <w:color w:val="auto"/>
              </w:rPr>
            </w:pPr>
          </w:p>
        </w:tc>
        <w:tc>
          <w:tcPr>
            <w:tcW w:w="120" w:type="dxa"/>
            <w:vAlign w:val="bottom"/>
            <w:shd w:val="clear" w:color="auto" w:fill="D9D9D6"/>
          </w:tcPr>
          <w:p>
            <w:pPr>
              <w:spacing w:after="0"/>
              <w:rPr>
                <w:sz w:val="18"/>
                <w:szCs w:val="18"/>
                <w:color w:val="auto"/>
              </w:rPr>
            </w:pPr>
          </w:p>
        </w:tc>
        <w:tc>
          <w:tcPr>
            <w:tcW w:w="10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Pro Forma Revenue </w:t>
      </w:r>
      <w:r>
        <w:rPr>
          <w:rFonts w:ascii="Arial" w:cs="Arial" w:eastAsia="Arial" w:hAnsi="Arial"/>
          <w:sz w:val="18"/>
          <w:szCs w:val="18"/>
          <w:color w:val="auto"/>
        </w:rPr>
        <w:t>for Sky decreased 3.3% to $4.8 billion in the second quarter of 2019. Excluding the impact of currency,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2.4%, primarily driven by higher content and direct-to-consumer revenue, partially offset by lower advertising revenue. Content revenue increased 27.7% to $376 million, reflecting the wholesaling of sports programming, including exclusive sports rights recently acquired in Italy and Germany, as well as monetization of our slate of original programming. Direct-to-consumer revenue increased 1.7% to $3.9 billion, driven by increases in video, mobile and broadband customers, partially offset by a decrease in average revenue per customer relationship. Advertising revenue decreased 5.6% to $563 million, reflecting overall market weakness.</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2019, pro forma Sky revenue decreased 4.1% to $9.6 billion compared to 2018. Excluding the impact of currency, revenue increased 2.1%, reflecting growth in content and direct-to-consumer revenue, partially offset by lower advertising revenue.</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Pro Forma Total Customer Relationships </w:t>
      </w:r>
      <w:r>
        <w:rPr>
          <w:rFonts w:ascii="Arial" w:cs="Arial" w:eastAsia="Arial" w:hAnsi="Arial"/>
          <w:sz w:val="18"/>
          <w:szCs w:val="18"/>
          <w:color w:val="auto"/>
        </w:rPr>
        <w:t>increased by 304,000 to 24.0 million in the second quarter of 2019, which includes an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video customer additions as a result of unique content launches.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10" w:type="dxa"/>
            <w:vAlign w:val="bottom"/>
            <w:shd w:val="clear" w:color="auto" w:fill="D9D9D6"/>
          </w:tcPr>
          <w:p>
            <w:pPr>
              <w:ind w:left="60"/>
              <w:spacing w:after="0"/>
              <w:rPr>
                <w:sz w:val="20"/>
                <w:szCs w:val="20"/>
                <w:color w:val="auto"/>
              </w:rPr>
            </w:pPr>
            <w:r>
              <w:rPr>
                <w:rFonts w:ascii="Arial" w:cs="Arial" w:eastAsia="Arial" w:hAnsi="Arial"/>
                <w:sz w:val="11"/>
                <w:szCs w:val="11"/>
                <w:i w:val="1"/>
                <w:iCs w:val="1"/>
                <w:color w:val="auto"/>
              </w:rPr>
              <w:t>(in thousands) (pro forma)</w:t>
            </w:r>
          </w:p>
        </w:tc>
        <w:tc>
          <w:tcPr>
            <w:tcW w:w="630" w:type="dxa"/>
            <w:vAlign w:val="bottom"/>
            <w:shd w:val="clear" w:color="auto" w:fill="D9D9D6"/>
          </w:tcPr>
          <w:p>
            <w:pPr>
              <w:spacing w:after="0"/>
              <w:rPr>
                <w:sz w:val="19"/>
                <w:szCs w:val="19"/>
                <w:color w:val="auto"/>
              </w:rPr>
            </w:pPr>
          </w:p>
        </w:tc>
        <w:tc>
          <w:tcPr>
            <w:tcW w:w="180" w:type="dxa"/>
            <w:vAlign w:val="bottom"/>
            <w:shd w:val="clear" w:color="auto" w:fill="D9D9D6"/>
          </w:tcPr>
          <w:p>
            <w:pPr>
              <w:spacing w:after="0"/>
              <w:rPr>
                <w:sz w:val="19"/>
                <w:szCs w:val="19"/>
                <w:color w:val="auto"/>
              </w:rPr>
            </w:pPr>
          </w:p>
        </w:tc>
        <w:tc>
          <w:tcPr>
            <w:tcW w:w="82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Customers</w:t>
            </w:r>
          </w:p>
        </w:tc>
        <w:tc>
          <w:tcPr>
            <w:tcW w:w="18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700" w:type="dxa"/>
            <w:vAlign w:val="bottom"/>
            <w:shd w:val="clear" w:color="auto" w:fill="D9D9D6"/>
          </w:tcPr>
          <w:p>
            <w:pPr>
              <w:spacing w:after="0"/>
              <w:rPr>
                <w:sz w:val="19"/>
                <w:szCs w:val="19"/>
                <w:color w:val="auto"/>
              </w:rPr>
            </w:pPr>
          </w:p>
        </w:tc>
        <w:tc>
          <w:tcPr>
            <w:tcW w:w="720" w:type="dxa"/>
            <w:vAlign w:val="bottom"/>
            <w:shd w:val="clear" w:color="auto" w:fill="D9D9D6"/>
          </w:tcPr>
          <w:p>
            <w:pPr>
              <w:spacing w:after="0"/>
              <w:rPr>
                <w:sz w:val="19"/>
                <w:szCs w:val="19"/>
                <w:color w:val="auto"/>
              </w:rPr>
            </w:pPr>
          </w:p>
        </w:tc>
        <w:tc>
          <w:tcPr>
            <w:tcW w:w="1040" w:type="dxa"/>
            <w:vAlign w:val="bottom"/>
            <w:tcBorders>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Net Additions</w:t>
            </w:r>
          </w:p>
        </w:tc>
        <w:tc>
          <w:tcPr>
            <w:tcW w:w="36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r>
      <w:tr>
        <w:trPr>
          <w:trHeight w:val="20"/>
        </w:trPr>
        <w:tc>
          <w:tcPr>
            <w:tcW w:w="6310" w:type="dxa"/>
            <w:vAlign w:val="bottom"/>
            <w:shd w:val="clear" w:color="auto" w:fill="D9D9D6"/>
          </w:tcPr>
          <w:p>
            <w:pPr>
              <w:spacing w:after="0" w:line="20" w:lineRule="exact"/>
              <w:rPr>
                <w:sz w:val="1"/>
                <w:szCs w:val="1"/>
                <w:color w:val="auto"/>
              </w:rPr>
            </w:pPr>
          </w:p>
        </w:tc>
        <w:tc>
          <w:tcPr>
            <w:tcW w:w="63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700" w:type="dxa"/>
            <w:vAlign w:val="bottom"/>
            <w:shd w:val="clear" w:color="auto" w:fill="D9D9D6"/>
          </w:tcPr>
          <w:p>
            <w:pPr>
              <w:spacing w:after="0" w:line="20" w:lineRule="exact"/>
              <w:rPr>
                <w:sz w:val="1"/>
                <w:szCs w:val="1"/>
                <w:color w:val="auto"/>
              </w:rPr>
            </w:pPr>
          </w:p>
        </w:tc>
        <w:tc>
          <w:tcPr>
            <w:tcW w:w="72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Borders>
              <w:right w:val="single" w:sz="8" w:color="D9D9D6"/>
            </w:tcBorders>
            <w:shd w:val="clear" w:color="auto" w:fill="000000"/>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183"/>
        </w:trPr>
        <w:tc>
          <w:tcPr>
            <w:tcW w:w="6310" w:type="dxa"/>
            <w:vAlign w:val="bottom"/>
            <w:shd w:val="clear" w:color="auto" w:fill="D9D9D6"/>
          </w:tcPr>
          <w:p>
            <w:pPr>
              <w:spacing w:after="0"/>
              <w:rPr>
                <w:sz w:val="15"/>
                <w:szCs w:val="15"/>
                <w:color w:val="auto"/>
              </w:rPr>
            </w:pPr>
          </w:p>
        </w:tc>
        <w:tc>
          <w:tcPr>
            <w:tcW w:w="630" w:type="dxa"/>
            <w:vAlign w:val="bottom"/>
            <w:shd w:val="clear" w:color="auto" w:fill="D9D9D6"/>
          </w:tcPr>
          <w:p>
            <w:pPr>
              <w:spacing w:after="0"/>
              <w:rPr>
                <w:sz w:val="15"/>
                <w:szCs w:val="15"/>
                <w:color w:val="auto"/>
              </w:rPr>
            </w:pPr>
          </w:p>
        </w:tc>
        <w:tc>
          <w:tcPr>
            <w:tcW w:w="1000" w:type="dxa"/>
            <w:vAlign w:val="bottom"/>
            <w:gridSpan w:val="4"/>
            <w:shd w:val="clear" w:color="auto" w:fill="D9D9D6"/>
          </w:tcPr>
          <w:p>
            <w:pPr>
              <w:jc w:val="right"/>
              <w:ind w:right="640"/>
              <w:spacing w:after="0"/>
              <w:rPr>
                <w:sz w:val="20"/>
                <w:szCs w:val="20"/>
                <w:color w:val="auto"/>
              </w:rPr>
            </w:pPr>
            <w:r>
              <w:rPr>
                <w:rFonts w:ascii="Arial" w:cs="Arial" w:eastAsia="Arial" w:hAnsi="Arial"/>
                <w:sz w:val="14"/>
                <w:szCs w:val="14"/>
                <w:color w:val="auto"/>
                <w:w w:val="99"/>
              </w:rPr>
              <w:t>2Q18</w:t>
            </w:r>
          </w:p>
        </w:tc>
        <w:tc>
          <w:tcPr>
            <w:tcW w:w="1240" w:type="dxa"/>
            <w:vAlign w:val="bottom"/>
            <w:gridSpan w:val="3"/>
            <w:shd w:val="clear" w:color="auto" w:fill="D9D9D6"/>
          </w:tcPr>
          <w:p>
            <w:pPr>
              <w:jc w:val="right"/>
              <w:ind w:right="700"/>
              <w:spacing w:after="0"/>
              <w:rPr>
                <w:sz w:val="20"/>
                <w:szCs w:val="20"/>
                <w:color w:val="auto"/>
              </w:rPr>
            </w:pPr>
            <w:r>
              <w:rPr>
                <w:rFonts w:ascii="Arial" w:cs="Arial" w:eastAsia="Arial" w:hAnsi="Arial"/>
                <w:sz w:val="14"/>
                <w:szCs w:val="14"/>
                <w:color w:val="auto"/>
              </w:rPr>
              <w:t>2Q19</w:t>
            </w:r>
          </w:p>
        </w:tc>
        <w:tc>
          <w:tcPr>
            <w:tcW w:w="1760" w:type="dxa"/>
            <w:vAlign w:val="bottom"/>
            <w:tcBorders>
              <w:right w:val="single" w:sz="8" w:color="D9D9D6"/>
            </w:tcBorders>
            <w:gridSpan w:val="4"/>
            <w:shd w:val="clear" w:color="auto" w:fill="D9D9D6"/>
          </w:tcPr>
          <w:p>
            <w:pPr>
              <w:jc w:val="right"/>
              <w:ind w:right="700"/>
              <w:spacing w:after="0"/>
              <w:rPr>
                <w:sz w:val="20"/>
                <w:szCs w:val="20"/>
                <w:color w:val="auto"/>
              </w:rPr>
            </w:pPr>
            <w:r>
              <w:rPr>
                <w:rFonts w:ascii="Arial" w:cs="Arial" w:eastAsia="Arial" w:hAnsi="Arial"/>
                <w:sz w:val="14"/>
                <w:szCs w:val="14"/>
                <w:color w:val="auto"/>
              </w:rPr>
              <w:t>2Q18</w:t>
            </w:r>
          </w:p>
        </w:tc>
        <w:tc>
          <w:tcPr>
            <w:tcW w:w="480" w:type="dxa"/>
            <w:vAlign w:val="bottom"/>
            <w:gridSpan w:val="2"/>
            <w:shd w:val="clear" w:color="auto" w:fill="D9D9D6"/>
          </w:tcPr>
          <w:p>
            <w:pPr>
              <w:jc w:val="right"/>
              <w:ind w:right="120"/>
              <w:spacing w:after="0"/>
              <w:rPr>
                <w:sz w:val="20"/>
                <w:szCs w:val="20"/>
                <w:color w:val="auto"/>
              </w:rPr>
            </w:pPr>
            <w:r>
              <w:rPr>
                <w:rFonts w:ascii="Arial" w:cs="Arial" w:eastAsia="Arial" w:hAnsi="Arial"/>
                <w:sz w:val="14"/>
                <w:szCs w:val="14"/>
                <w:color w:val="auto"/>
                <w:w w:val="99"/>
              </w:rPr>
              <w:t>2Q19</w:t>
            </w:r>
          </w:p>
        </w:tc>
      </w:tr>
      <w:tr>
        <w:trPr>
          <w:trHeight w:val="20"/>
        </w:trPr>
        <w:tc>
          <w:tcPr>
            <w:tcW w:w="6310" w:type="dxa"/>
            <w:vAlign w:val="bottom"/>
            <w:shd w:val="clear" w:color="auto" w:fill="D9D9D6"/>
          </w:tcPr>
          <w:p>
            <w:pPr>
              <w:spacing w:after="0" w:line="20" w:lineRule="exact"/>
              <w:rPr>
                <w:sz w:val="1"/>
                <w:szCs w:val="1"/>
                <w:color w:val="auto"/>
              </w:rPr>
            </w:pPr>
          </w:p>
        </w:tc>
        <w:tc>
          <w:tcPr>
            <w:tcW w:w="630" w:type="dxa"/>
            <w:vAlign w:val="bottom"/>
            <w:shd w:val="clear" w:color="auto" w:fill="D9D9D6"/>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D9D9D6"/>
          </w:tcPr>
          <w:p>
            <w:pPr>
              <w:spacing w:after="0" w:line="20" w:lineRule="exact"/>
              <w:rPr>
                <w:sz w:val="1"/>
                <w:szCs w:val="1"/>
                <w:color w:val="auto"/>
              </w:rPr>
            </w:pPr>
          </w:p>
        </w:tc>
        <w:tc>
          <w:tcPr>
            <w:tcW w:w="720" w:type="dxa"/>
            <w:vAlign w:val="bottom"/>
            <w:shd w:val="clear" w:color="auto" w:fill="D9D9D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Borders>
              <w:right w:val="single" w:sz="8" w:color="D9D9D6"/>
            </w:tcBorders>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277"/>
        </w:trPr>
        <w:tc>
          <w:tcPr>
            <w:tcW w:w="6310" w:type="dxa"/>
            <w:vAlign w:val="bottom"/>
            <w:shd w:val="clear" w:color="auto" w:fill="D9D9D6"/>
          </w:tcPr>
          <w:p>
            <w:pPr>
              <w:ind w:left="180"/>
              <w:spacing w:after="0"/>
              <w:rPr>
                <w:sz w:val="20"/>
                <w:szCs w:val="20"/>
                <w:color w:val="auto"/>
              </w:rPr>
            </w:pPr>
            <w:r>
              <w:rPr>
                <w:rFonts w:ascii="Arial" w:cs="Arial" w:eastAsia="Arial" w:hAnsi="Arial"/>
                <w:sz w:val="14"/>
                <w:szCs w:val="14"/>
                <w:b w:val="1"/>
                <w:bCs w:val="1"/>
                <w:color w:val="auto"/>
              </w:rPr>
              <w:t>Total Customer Relationships</w:t>
            </w:r>
          </w:p>
        </w:tc>
        <w:tc>
          <w:tcPr>
            <w:tcW w:w="1510" w:type="dxa"/>
            <w:vAlign w:val="bottom"/>
            <w:gridSpan w:val="4"/>
            <w:shd w:val="clear" w:color="auto" w:fill="D9D9D6"/>
          </w:tcPr>
          <w:p>
            <w:pPr>
              <w:jc w:val="right"/>
              <w:ind w:right="520"/>
              <w:spacing w:after="0"/>
              <w:rPr>
                <w:sz w:val="20"/>
                <w:szCs w:val="20"/>
                <w:color w:val="auto"/>
              </w:rPr>
            </w:pPr>
            <w:r>
              <w:rPr>
                <w:rFonts w:ascii="Arial" w:cs="Arial" w:eastAsia="Arial" w:hAnsi="Arial"/>
                <w:sz w:val="14"/>
                <w:szCs w:val="14"/>
                <w:b w:val="1"/>
                <w:bCs w:val="1"/>
                <w:color w:val="auto"/>
              </w:rPr>
              <w:t>23,010</w:t>
            </w:r>
          </w:p>
        </w:tc>
        <w:tc>
          <w:tcPr>
            <w:tcW w:w="120" w:type="dxa"/>
            <w:vAlign w:val="bottom"/>
            <w:shd w:val="clear" w:color="auto" w:fill="D9D9D6"/>
          </w:tcPr>
          <w:p>
            <w:pPr>
              <w:spacing w:after="0"/>
              <w:rPr>
                <w:sz w:val="24"/>
                <w:szCs w:val="24"/>
                <w:color w:val="auto"/>
              </w:rPr>
            </w:pPr>
          </w:p>
        </w:tc>
        <w:tc>
          <w:tcPr>
            <w:tcW w:w="1240" w:type="dxa"/>
            <w:vAlign w:val="bottom"/>
            <w:gridSpan w:val="3"/>
            <w:shd w:val="clear" w:color="auto" w:fill="D9D9D6"/>
          </w:tcPr>
          <w:p>
            <w:pPr>
              <w:jc w:val="right"/>
              <w:ind w:right="700"/>
              <w:spacing w:after="0"/>
              <w:rPr>
                <w:sz w:val="20"/>
                <w:szCs w:val="20"/>
                <w:color w:val="auto"/>
              </w:rPr>
            </w:pPr>
            <w:r>
              <w:rPr>
                <w:rFonts w:ascii="Arial" w:cs="Arial" w:eastAsia="Arial" w:hAnsi="Arial"/>
                <w:sz w:val="14"/>
                <w:szCs w:val="14"/>
                <w:b w:val="1"/>
                <w:bCs w:val="1"/>
                <w:color w:val="auto"/>
              </w:rPr>
              <w:t>24,016</w:t>
            </w:r>
          </w:p>
        </w:tc>
        <w:tc>
          <w:tcPr>
            <w:tcW w:w="1760" w:type="dxa"/>
            <w:vAlign w:val="bottom"/>
            <w:tcBorders>
              <w:right w:val="single" w:sz="8" w:color="D9D9D6"/>
            </w:tcBorders>
            <w:gridSpan w:val="4"/>
            <w:shd w:val="clear" w:color="auto" w:fill="D9D9D6"/>
          </w:tcPr>
          <w:p>
            <w:pPr>
              <w:jc w:val="right"/>
              <w:ind w:right="700"/>
              <w:spacing w:after="0"/>
              <w:rPr>
                <w:sz w:val="20"/>
                <w:szCs w:val="20"/>
                <w:color w:val="auto"/>
              </w:rPr>
            </w:pPr>
            <w:r>
              <w:rPr>
                <w:rFonts w:ascii="Arial" w:cs="Arial" w:eastAsia="Arial" w:hAnsi="Arial"/>
                <w:sz w:val="14"/>
                <w:szCs w:val="14"/>
                <w:b w:val="1"/>
                <w:bCs w:val="1"/>
                <w:color w:val="auto"/>
              </w:rPr>
              <w:t>107</w:t>
            </w:r>
          </w:p>
        </w:tc>
        <w:tc>
          <w:tcPr>
            <w:tcW w:w="480" w:type="dxa"/>
            <w:vAlign w:val="bottom"/>
            <w:gridSpan w:val="2"/>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304</w:t>
            </w:r>
          </w:p>
        </w:tc>
      </w:tr>
    </w:tbl>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Pro Forma Adjusted EBITDA </w:t>
      </w:r>
      <w:r>
        <w:rPr>
          <w:rFonts w:ascii="Arial" w:cs="Arial" w:eastAsia="Arial" w:hAnsi="Arial"/>
          <w:sz w:val="18"/>
          <w:szCs w:val="18"/>
          <w:color w:val="auto"/>
        </w:rPr>
        <w:t>for Sky increased 13.4% to $772 million in the second quarter of 2019. Excluding the impact of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increased 19.9%, reflecting higher revenue and lower operating expenses. The lower operating expenses were primarily due to the inclusion of contract termination costs and costs related to a settlement in last year's second quarter, partially offset by higher programming expenses primarily driven by new contracts for Serie A and UEFA Champions League soccer rights in Italy and Germany.</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the six months ended June 30, 2019, pro forma Sky Adjusted EBITDA decreased 3.0% to $1.4 billion compared to 2018. Excluding the impact of currency, Adjusted EBITDA increased 3.2%.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Corporate, Other and Eliminations primarily relate to corporate operations and Comcast Spectacor, as well as eliminations among Comcast's businesses. For the quarter ended June 30, 2019, the Corporate, Other and Eliminations Adjusted EBITDA</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loss was $234 million, an increase of $52 million compared to 2018, primarily driven by increased intercompany eliminations.</w:t>
      </w:r>
    </w:p>
    <w:p>
      <w:pPr>
        <w:spacing w:after="0" w:line="190"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For the six months ended June 30, 2019, the Corporate, Other and Eliminations Adjusted EBITDA</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loss was $409 million, compared to a loss of $426 million in 2018, which reflected an increase in eliminations associated with the 2018 PyeongChang Olympics.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20" w:lineRule="exact"/>
        <w:rPr>
          <w:sz w:val="20"/>
          <w:szCs w:val="20"/>
          <w:color w:val="auto"/>
        </w:rPr>
      </w:pPr>
    </w:p>
    <w:p>
      <w:pPr>
        <w:jc w:val="both"/>
        <w:ind w:left="200" w:hanging="188"/>
        <w:spacing w:after="0" w:line="237" w:lineRule="auto"/>
        <w:rPr>
          <w:sz w:val="20"/>
          <w:szCs w:val="20"/>
          <w:color w:val="auto"/>
        </w:rPr>
      </w:pPr>
      <w:r>
        <w:rPr>
          <w:rFonts w:ascii="Arial" w:cs="Arial" w:eastAsia="Arial" w:hAnsi="Arial"/>
          <w:sz w:val="18"/>
          <w:szCs w:val="18"/>
          <w:color w:val="auto"/>
        </w:rPr>
        <w:t>1 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2 All earnings per share amounts are presented on a diluted basis.</w:t>
      </w:r>
    </w:p>
    <w:p>
      <w:pPr>
        <w:spacing w:after="0" w:line="198" w:lineRule="exact"/>
        <w:rPr>
          <w:sz w:val="20"/>
          <w:szCs w:val="20"/>
          <w:color w:val="auto"/>
        </w:rPr>
      </w:pPr>
    </w:p>
    <w:p>
      <w:pPr>
        <w:jc w:val="both"/>
        <w:ind w:left="200" w:hanging="192"/>
        <w:spacing w:after="0" w:line="238"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first quarter 2019, we changed our presentation of Adjusted EPS to also exclude amortization expense for acquisition-related intangible assets. Adjusted EPS is a non-GAAP financial measure that is defined as our diluted earnings per common share attributable to Comcast Corporation shareholders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 of non-GAAP financial measures.</w:t>
      </w:r>
    </w:p>
    <w:p>
      <w:pPr>
        <w:spacing w:after="0" w:line="189" w:lineRule="exact"/>
        <w:rPr>
          <w:sz w:val="20"/>
          <w:szCs w:val="20"/>
          <w:color w:val="auto"/>
        </w:rPr>
      </w:pPr>
    </w:p>
    <w:p>
      <w:pPr>
        <w:jc w:val="both"/>
        <w:ind w:left="200" w:hanging="192"/>
        <w:spacing w:after="0" w:line="237" w:lineRule="auto"/>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Consolidated Statement of Cash Flows and are therefore excluded from capital expenditures for Free Cash Flow. See Table 4 for reconciliation of non-GAAP financial measures.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5 Consolidated financial results include Sky results for periods following the acquisition on October 9, 2018.</w:t>
      </w:r>
    </w:p>
    <w:p>
      <w:pPr>
        <w:spacing w:after="0" w:line="198" w:lineRule="exact"/>
        <w:rPr>
          <w:sz w:val="20"/>
          <w:szCs w:val="20"/>
          <w:color w:val="auto"/>
        </w:rPr>
      </w:pPr>
    </w:p>
    <w:p>
      <w:pPr>
        <w:jc w:val="both"/>
        <w:ind w:left="200" w:hanging="188"/>
        <w:spacing w:after="0" w:line="239" w:lineRule="auto"/>
        <w:rPr>
          <w:sz w:val="20"/>
          <w:szCs w:val="20"/>
          <w:color w:val="auto"/>
        </w:rPr>
      </w:pPr>
      <w:r>
        <w:rPr>
          <w:rFonts w:ascii="Arial" w:cs="Arial" w:eastAsia="Arial" w:hAnsi="Arial"/>
          <w:sz w:val="18"/>
          <w:szCs w:val="18"/>
          <w:color w:val="auto"/>
        </w:rPr>
        <w:t>6 Beginning in the first quarter of 2019, Comcast Cable's wireless phone service and certain other Cable-related business development initiatives are now presented in the Cable Communications segment. Results were previously presented in Corporate and Other. Prior periods have been adjusted to reflect this presentation. To be consistent with our current management reporting presentation, certain 2018 operating results were reclassified related to certain NBCUniversal businesses now presented in the Sky segment.</w:t>
      </w:r>
    </w:p>
    <w:p>
      <w:pPr>
        <w:spacing w:after="0" w:line="188" w:lineRule="exact"/>
        <w:rPr>
          <w:sz w:val="20"/>
          <w:szCs w:val="20"/>
          <w:color w:val="auto"/>
        </w:rPr>
      </w:pPr>
    </w:p>
    <w:p>
      <w:pPr>
        <w:jc w:val="both"/>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Sky constant currency growth rates are calculated by comparing the current period results to the comparative period results in the prior year adjusted to reflect the average exchange rates from the current year period rather than the actual exchange rates in effect during the respective prior year periods. See Table 8 for reconciliation of Sky's constant currency growth.</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July 25, 2019 at 8:30 a.m. Eastern Time (ET). The conference call and related materials will be broadcast live and posted on its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Those parties interested in participating via telephone should dial (800) 263-8495 with the conference ID number 1195998. A replay of the call will be available starting at 12:00 p.m. ET on July 25, 2019, on the Investor Relations website or by telephone. To access the telephone replay, which will be available until Thursday, August 1, 2019 at midnight ET, please dial (855) 859-2056 and enter the conference ID number 1195998.</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jc w:val="both"/>
        <w:spacing w:after="0" w:line="260"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500" w:type="dxa"/>
            <w:vAlign w:val="bottom"/>
          </w:tcPr>
          <w:p>
            <w:pPr>
              <w:jc w:val="right"/>
              <w:ind w:right="2119"/>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6"/>
                <w:szCs w:val="16"/>
                <w:color w:val="auto"/>
              </w:rPr>
            </w:pPr>
          </w:p>
        </w:tc>
      </w:tr>
      <w:tr>
        <w:trPr>
          <w:trHeight w:val="238"/>
        </w:trPr>
        <w:tc>
          <w:tcPr>
            <w:tcW w:w="192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620" w:type="dxa"/>
            <w:vAlign w:val="bottom"/>
          </w:tcPr>
          <w:p>
            <w:pPr>
              <w:spacing w:after="0"/>
              <w:rPr>
                <w:sz w:val="20"/>
                <w:szCs w:val="20"/>
                <w:color w:val="auto"/>
              </w:rPr>
            </w:pPr>
          </w:p>
        </w:tc>
        <w:tc>
          <w:tcPr>
            <w:tcW w:w="3500" w:type="dxa"/>
            <w:vAlign w:val="bottom"/>
          </w:tcPr>
          <w:p>
            <w:pPr>
              <w:ind w:left="1640"/>
              <w:spacing w:after="0"/>
              <w:rPr>
                <w:sz w:val="20"/>
                <w:szCs w:val="20"/>
                <w:color w:val="auto"/>
              </w:rPr>
            </w:pPr>
            <w:r>
              <w:rPr>
                <w:rFonts w:ascii="Arial" w:cs="Arial" w:eastAsia="Arial" w:hAnsi="Arial"/>
                <w:sz w:val="16"/>
                <w:szCs w:val="16"/>
                <w:b w:val="1"/>
                <w:bCs w:val="1"/>
                <w:color w:val="auto"/>
              </w:rPr>
              <w:t>Press Contacts:</w:t>
            </w:r>
          </w:p>
        </w:tc>
        <w:tc>
          <w:tcPr>
            <w:tcW w:w="1720" w:type="dxa"/>
            <w:vAlign w:val="bottom"/>
          </w:tcPr>
          <w:p>
            <w:pPr>
              <w:spacing w:after="0"/>
              <w:rPr>
                <w:sz w:val="20"/>
                <w:szCs w:val="20"/>
                <w:color w:val="auto"/>
              </w:rPr>
            </w:pPr>
          </w:p>
        </w:tc>
      </w:tr>
      <w:tr>
        <w:trPr>
          <w:trHeight w:val="189"/>
        </w:trPr>
        <w:tc>
          <w:tcPr>
            <w:tcW w:w="1920" w:type="dxa"/>
            <w:vAlign w:val="bottom"/>
          </w:tcPr>
          <w:p>
            <w:pPr>
              <w:spacing w:after="0"/>
              <w:rPr>
                <w:sz w:val="20"/>
                <w:szCs w:val="20"/>
                <w:color w:val="auto"/>
              </w:rPr>
            </w:pPr>
            <w:r>
              <w:rPr>
                <w:rFonts w:ascii="Arial" w:cs="Arial" w:eastAsia="Arial" w:hAnsi="Arial"/>
                <w:sz w:val="16"/>
                <w:szCs w:val="16"/>
                <w:color w:val="auto"/>
              </w:rPr>
              <w:t>Jason Armstrong</w:t>
            </w:r>
          </w:p>
        </w:tc>
        <w:tc>
          <w:tcPr>
            <w:tcW w:w="2620" w:type="dxa"/>
            <w:vAlign w:val="bottom"/>
          </w:tcPr>
          <w:p>
            <w:pPr>
              <w:jc w:val="right"/>
              <w:ind w:right="939"/>
              <w:spacing w:after="0"/>
              <w:rPr>
                <w:sz w:val="20"/>
                <w:szCs w:val="20"/>
                <w:color w:val="auto"/>
              </w:rPr>
            </w:pPr>
            <w:r>
              <w:rPr>
                <w:rFonts w:ascii="Arial" w:cs="Arial" w:eastAsia="Arial" w:hAnsi="Arial"/>
                <w:sz w:val="16"/>
                <w:szCs w:val="16"/>
                <w:color w:val="auto"/>
              </w:rPr>
              <w:t>(215) 286-7972</w:t>
            </w:r>
          </w:p>
        </w:tc>
        <w:tc>
          <w:tcPr>
            <w:tcW w:w="3500" w:type="dxa"/>
            <w:vAlign w:val="bottom"/>
          </w:tcPr>
          <w:p>
            <w:pPr>
              <w:ind w:left="1640"/>
              <w:spacing w:after="0"/>
              <w:rPr>
                <w:sz w:val="20"/>
                <w:szCs w:val="20"/>
                <w:color w:val="auto"/>
              </w:rPr>
            </w:pPr>
            <w:r>
              <w:rPr>
                <w:rFonts w:ascii="Arial" w:cs="Arial" w:eastAsia="Arial" w:hAnsi="Arial"/>
                <w:sz w:val="16"/>
                <w:szCs w:val="16"/>
                <w:color w:val="auto"/>
              </w:rPr>
              <w:t>D’Arcy Rudnay</w:t>
            </w:r>
          </w:p>
        </w:tc>
        <w:tc>
          <w:tcPr>
            <w:tcW w:w="1720" w:type="dxa"/>
            <w:vAlign w:val="bottom"/>
          </w:tcPr>
          <w:p>
            <w:pPr>
              <w:jc w:val="right"/>
              <w:spacing w:after="0"/>
              <w:rPr>
                <w:sz w:val="20"/>
                <w:szCs w:val="20"/>
                <w:color w:val="auto"/>
              </w:rPr>
            </w:pPr>
            <w:r>
              <w:rPr>
                <w:rFonts w:ascii="Arial" w:cs="Arial" w:eastAsia="Arial" w:hAnsi="Arial"/>
                <w:sz w:val="16"/>
                <w:szCs w:val="16"/>
                <w:color w:val="auto"/>
              </w:rPr>
              <w:t>(215) 286-8582</w:t>
            </w:r>
          </w:p>
        </w:tc>
      </w:tr>
      <w:tr>
        <w:trPr>
          <w:trHeight w:val="195"/>
        </w:trPr>
        <w:tc>
          <w:tcPr>
            <w:tcW w:w="1920" w:type="dxa"/>
            <w:vAlign w:val="bottom"/>
          </w:tcPr>
          <w:p>
            <w:pPr>
              <w:spacing w:after="0"/>
              <w:rPr>
                <w:sz w:val="20"/>
                <w:szCs w:val="20"/>
                <w:color w:val="auto"/>
              </w:rPr>
            </w:pPr>
            <w:r>
              <w:rPr>
                <w:rFonts w:ascii="Arial" w:cs="Arial" w:eastAsia="Arial" w:hAnsi="Arial"/>
                <w:sz w:val="16"/>
                <w:szCs w:val="16"/>
                <w:color w:val="auto"/>
              </w:rPr>
              <w:t>Jane Kearns</w:t>
            </w:r>
          </w:p>
        </w:tc>
        <w:tc>
          <w:tcPr>
            <w:tcW w:w="2620" w:type="dxa"/>
            <w:vAlign w:val="bottom"/>
          </w:tcPr>
          <w:p>
            <w:pPr>
              <w:jc w:val="right"/>
              <w:ind w:right="939"/>
              <w:spacing w:after="0"/>
              <w:rPr>
                <w:sz w:val="20"/>
                <w:szCs w:val="20"/>
                <w:color w:val="auto"/>
              </w:rPr>
            </w:pPr>
            <w:r>
              <w:rPr>
                <w:rFonts w:ascii="Arial" w:cs="Arial" w:eastAsia="Arial" w:hAnsi="Arial"/>
                <w:sz w:val="16"/>
                <w:szCs w:val="16"/>
                <w:color w:val="auto"/>
              </w:rPr>
              <w:t>(215) 286-4794</w:t>
            </w:r>
          </w:p>
        </w:tc>
        <w:tc>
          <w:tcPr>
            <w:tcW w:w="3500" w:type="dxa"/>
            <w:vAlign w:val="bottom"/>
          </w:tcPr>
          <w:p>
            <w:pPr>
              <w:ind w:left="1640"/>
              <w:spacing w:after="0"/>
              <w:rPr>
                <w:sz w:val="20"/>
                <w:szCs w:val="20"/>
                <w:color w:val="auto"/>
              </w:rPr>
            </w:pPr>
            <w:r>
              <w:rPr>
                <w:rFonts w:ascii="Arial" w:cs="Arial" w:eastAsia="Arial" w:hAnsi="Arial"/>
                <w:sz w:val="16"/>
                <w:szCs w:val="16"/>
                <w:color w:val="auto"/>
              </w:rPr>
              <w:t>John Demming</w:t>
            </w:r>
          </w:p>
        </w:tc>
        <w:tc>
          <w:tcPr>
            <w:tcW w:w="1720" w:type="dxa"/>
            <w:vAlign w:val="bottom"/>
          </w:tcPr>
          <w:p>
            <w:pPr>
              <w:jc w:val="right"/>
              <w:spacing w:after="0"/>
              <w:rPr>
                <w:sz w:val="20"/>
                <w:szCs w:val="20"/>
                <w:color w:val="auto"/>
              </w:rPr>
            </w:pPr>
            <w:r>
              <w:rPr>
                <w:rFonts w:ascii="Arial" w:cs="Arial" w:eastAsia="Arial" w:hAnsi="Arial"/>
                <w:sz w:val="16"/>
                <w:szCs w:val="16"/>
                <w:color w:val="auto"/>
              </w:rPr>
              <w:t>(215) 286-8011</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Comcast Corporation (Nasdaq: CMCSA) is a global media and technology company with three primary businesses: Comcast Cable, NBCUniversal, and Sky. Comcast Cable is one of the United States’ largest high-speed internet, video, and phone providers to residential customers under the Xfinity brand, and also provides these services to businesses. It also provides wireless and security and automation services to residential customers under the Xfinity brand. NBCUniversal is global and operates news, entertainment and sports cable networks, the NBC and Telemundo broadcast networks, television production operations, television station groups, Universal Pictures, and Universal Parks and Resorts. Sky is one of Europe's leading media and entertainment companies, connecting customers to a broad range of video content through its pay television services. It also provides communications services, including residential high-speed internet, phone, and wireless services. Sky operates the Sky News broadcast network and sports and entertainment networks, produces original content, and has exclusive content rights.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Visit www.comcastcorporation.com for more information.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11" w:right="2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-162560</wp:posOffset>
            </wp:positionV>
            <wp:extent cx="995045" cy="386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5045" cy="38608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274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260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608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740" w:type="dxa"/>
            <w:vAlign w:val="bottom"/>
            <w:gridSpan w:val="3"/>
          </w:tcPr>
          <w:p>
            <w:pPr>
              <w:jc w:val="center"/>
              <w:ind w:left="819"/>
              <w:spacing w:after="0"/>
              <w:rPr>
                <w:sz w:val="20"/>
                <w:szCs w:val="20"/>
                <w:color w:val="auto"/>
              </w:rPr>
            </w:pPr>
            <w:r>
              <w:rPr>
                <w:rFonts w:ascii="Arial" w:cs="Arial" w:eastAsia="Arial" w:hAnsi="Arial"/>
                <w:sz w:val="16"/>
                <w:szCs w:val="16"/>
                <w:b w:val="1"/>
                <w:bCs w:val="1"/>
                <w:color w:val="auto"/>
                <w:w w:val="99"/>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left="799"/>
              <w:spacing w:after="0"/>
              <w:rPr>
                <w:sz w:val="20"/>
                <w:szCs w:val="20"/>
                <w:color w:val="auto"/>
              </w:rPr>
            </w:pPr>
            <w:r>
              <w:rPr>
                <w:rFonts w:ascii="Arial" w:cs="Arial" w:eastAsia="Arial" w:hAnsi="Arial"/>
                <w:sz w:val="16"/>
                <w:szCs w:val="16"/>
                <w:b w:val="1"/>
                <w:bCs w:val="1"/>
                <w:color w:val="auto"/>
                <w:w w:val="99"/>
              </w:rPr>
              <w:t>June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8"/>
        </w:trPr>
        <w:tc>
          <w:tcPr>
            <w:tcW w:w="6080" w:type="dxa"/>
            <w:vAlign w:val="bottom"/>
            <w:vMerge w:val="continue"/>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$21,735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$26,858</w:t>
            </w: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$44,526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$53,717</w:t>
            </w:r>
          </w:p>
        </w:tc>
        <w:tc>
          <w:tcPr>
            <w:tcW w:w="0" w:type="dxa"/>
            <w:vAlign w:val="bottom"/>
          </w:tcPr>
          <w:p>
            <w:pPr>
              <w:spacing w:after="0"/>
              <w:rPr>
                <w:sz w:val="1"/>
                <w:szCs w:val="1"/>
                <w:color w:val="auto"/>
              </w:rPr>
            </w:pPr>
          </w:p>
        </w:tc>
      </w:tr>
      <w:tr>
        <w:trPr>
          <w:trHeight w:val="361"/>
        </w:trPr>
        <w:tc>
          <w:tcPr>
            <w:tcW w:w="6080" w:type="dxa"/>
            <w:vAlign w:val="bottom"/>
          </w:tcPr>
          <w:p>
            <w:pPr>
              <w:ind w:left="500"/>
              <w:spacing w:after="0"/>
              <w:rPr>
                <w:sz w:val="20"/>
                <w:szCs w:val="20"/>
                <w:color w:val="auto"/>
              </w:rPr>
            </w:pPr>
            <w:r>
              <w:rPr>
                <w:rFonts w:ascii="Arial" w:cs="Arial" w:eastAsia="Arial" w:hAnsi="Arial"/>
                <w:sz w:val="16"/>
                <w:szCs w:val="16"/>
                <w:color w:val="auto"/>
              </w:rPr>
              <w:t>Programming and production</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6,300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8,255</w:t>
            </w:r>
          </w:p>
        </w:tc>
        <w:tc>
          <w:tcPr>
            <w:tcW w:w="10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13,729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16,824</w:t>
            </w:r>
          </w:p>
        </w:tc>
        <w:tc>
          <w:tcPr>
            <w:tcW w:w="0" w:type="dxa"/>
            <w:vAlign w:val="bottom"/>
          </w:tcPr>
          <w:p>
            <w:pPr>
              <w:spacing w:after="0"/>
              <w:rPr>
                <w:sz w:val="1"/>
                <w:szCs w:val="1"/>
                <w:color w:val="auto"/>
              </w:rPr>
            </w:pPr>
          </w:p>
        </w:tc>
      </w:tr>
      <w:tr>
        <w:trPr>
          <w:trHeight w:val="189"/>
        </w:trPr>
        <w:tc>
          <w:tcPr>
            <w:tcW w:w="6080" w:type="dxa"/>
            <w:vAlign w:val="bottom"/>
          </w:tcPr>
          <w:p>
            <w:pPr>
              <w:ind w:left="500"/>
              <w:spacing w:after="0"/>
              <w:rPr>
                <w:sz w:val="20"/>
                <w:szCs w:val="20"/>
                <w:color w:val="auto"/>
              </w:rPr>
            </w:pPr>
            <w:r>
              <w:rPr>
                <w:rFonts w:ascii="Arial" w:cs="Arial" w:eastAsia="Arial" w:hAnsi="Arial"/>
                <w:sz w:val="16"/>
                <w:szCs w:val="16"/>
                <w:color w:val="auto"/>
              </w:rPr>
              <w:t>Other operating and administrative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6,365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8,086</w:t>
            </w:r>
          </w:p>
        </w:tc>
        <w:tc>
          <w:tcPr>
            <w:tcW w:w="10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12,879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15,986</w:t>
            </w:r>
          </w:p>
        </w:tc>
        <w:tc>
          <w:tcPr>
            <w:tcW w:w="0" w:type="dxa"/>
            <w:vAlign w:val="bottom"/>
          </w:tcPr>
          <w:p>
            <w:pPr>
              <w:spacing w:after="0"/>
              <w:rPr>
                <w:sz w:val="1"/>
                <w:szCs w:val="1"/>
                <w:color w:val="auto"/>
              </w:rPr>
            </w:pPr>
          </w:p>
        </w:tc>
      </w:tr>
      <w:tr>
        <w:trPr>
          <w:trHeight w:val="207"/>
        </w:trPr>
        <w:tc>
          <w:tcPr>
            <w:tcW w:w="6080" w:type="dxa"/>
            <w:vAlign w:val="bottom"/>
          </w:tcPr>
          <w:p>
            <w:pPr>
              <w:ind w:left="500"/>
              <w:spacing w:after="0"/>
              <w:rPr>
                <w:sz w:val="20"/>
                <w:szCs w:val="20"/>
                <w:color w:val="auto"/>
              </w:rPr>
            </w:pPr>
            <w:r>
              <w:rPr>
                <w:rFonts w:ascii="Arial" w:cs="Arial" w:eastAsia="Arial" w:hAnsi="Arial"/>
                <w:sz w:val="16"/>
                <w:szCs w:val="16"/>
                <w:color w:val="auto"/>
              </w:rPr>
              <w:t>Advertising, marketing and promotion</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1,653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1,885</w:t>
            </w:r>
          </w:p>
        </w:tc>
        <w:tc>
          <w:tcPr>
            <w:tcW w:w="1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3,257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3,773</w:t>
            </w:r>
          </w:p>
        </w:tc>
        <w:tc>
          <w:tcPr>
            <w:tcW w:w="0" w:type="dxa"/>
            <w:vAlign w:val="bottom"/>
          </w:tcPr>
          <w:p>
            <w:pPr>
              <w:spacing w:after="0"/>
              <w:rPr>
                <w:sz w:val="1"/>
                <w:szCs w:val="1"/>
                <w:color w:val="auto"/>
              </w:rPr>
            </w:pPr>
          </w:p>
        </w:tc>
      </w:tr>
      <w:tr>
        <w:trPr>
          <w:trHeight w:val="217"/>
        </w:trPr>
        <w:tc>
          <w:tcPr>
            <w:tcW w:w="6080" w:type="dxa"/>
            <w:vAlign w:val="bottom"/>
          </w:tcPr>
          <w:p>
            <w:pPr>
              <w:ind w:left="500"/>
              <w:spacing w:after="0" w:line="216" w:lineRule="exact"/>
              <w:rPr>
                <w:sz w:val="20"/>
                <w:szCs w:val="20"/>
                <w:color w:val="auto"/>
              </w:rPr>
            </w:pPr>
            <w:r>
              <w:rPr>
                <w:rFonts w:ascii="Arial" w:cs="Arial" w:eastAsia="Arial" w:hAnsi="Arial"/>
                <w:sz w:val="16"/>
                <w:szCs w:val="16"/>
                <w:color w:val="auto"/>
              </w:rPr>
              <w:t>Adjustments</w:t>
            </w:r>
            <w:r>
              <w:rPr>
                <w:rFonts w:ascii="Arial" w:cs="Arial" w:eastAsia="Arial" w:hAnsi="Arial"/>
                <w:sz w:val="23"/>
                <w:szCs w:val="23"/>
                <w:color w:val="auto"/>
                <w:vertAlign w:val="superscript"/>
              </w:rPr>
              <w:t>(1)</w:t>
            </w:r>
          </w:p>
        </w:tc>
        <w:tc>
          <w:tcPr>
            <w:tcW w:w="174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100" w:type="dxa"/>
            <w:vAlign w:val="bottom"/>
          </w:tcPr>
          <w:p>
            <w:pPr>
              <w:spacing w:after="0"/>
              <w:rPr>
                <w:sz w:val="18"/>
                <w:szCs w:val="18"/>
                <w:color w:val="auto"/>
              </w:rPr>
            </w:pPr>
          </w:p>
        </w:tc>
        <w:tc>
          <w:tcPr>
            <w:tcW w:w="172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(135)</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14,318</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18,142</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29,865</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36,448</w:t>
            </w:r>
          </w:p>
        </w:tc>
        <w:tc>
          <w:tcPr>
            <w:tcW w:w="0" w:type="dxa"/>
            <w:vAlign w:val="bottom"/>
          </w:tcPr>
          <w:p>
            <w:pPr>
              <w:spacing w:after="0"/>
              <w:rPr>
                <w:sz w:val="1"/>
                <w:szCs w:val="1"/>
                <w:color w:val="auto"/>
              </w:rPr>
            </w:pPr>
          </w:p>
        </w:tc>
      </w:tr>
      <w:tr>
        <w:trPr>
          <w:trHeight w:val="516"/>
        </w:trPr>
        <w:tc>
          <w:tcPr>
            <w:tcW w:w="6080" w:type="dxa"/>
            <w:vAlign w:val="bottom"/>
          </w:tcPr>
          <w:p>
            <w:pPr>
              <w:spacing w:after="0"/>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3"/>
                <w:szCs w:val="23"/>
                <w:b w:val="1"/>
                <w:bCs w:val="1"/>
                <w:color w:val="auto"/>
                <w:vertAlign w:val="superscript"/>
              </w:rPr>
              <w:t>(1)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7,417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8,716</w:t>
            </w:r>
          </w:p>
        </w:tc>
        <w:tc>
          <w:tcPr>
            <w:tcW w:w="10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14,661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17,269</w:t>
            </w:r>
          </w:p>
        </w:tc>
        <w:tc>
          <w:tcPr>
            <w:tcW w:w="0" w:type="dxa"/>
            <w:vAlign w:val="bottom"/>
          </w:tcPr>
          <w:p>
            <w:pPr>
              <w:spacing w:after="0"/>
              <w:rPr>
                <w:sz w:val="1"/>
                <w:szCs w:val="1"/>
                <w:color w:val="auto"/>
              </w:rPr>
            </w:pPr>
          </w:p>
        </w:tc>
      </w:tr>
      <w:tr>
        <w:trPr>
          <w:trHeight w:val="296"/>
        </w:trPr>
        <w:tc>
          <w:tcPr>
            <w:tcW w:w="6080" w:type="dxa"/>
            <w:vAlign w:val="bottom"/>
          </w:tcPr>
          <w:p>
            <w:pPr>
              <w:ind w:left="500"/>
              <w:spacing w:after="0"/>
              <w:rPr>
                <w:sz w:val="20"/>
                <w:szCs w:val="20"/>
                <w:color w:val="auto"/>
              </w:rPr>
            </w:pPr>
            <w:r>
              <w:rPr>
                <w:rFonts w:ascii="Arial" w:cs="Arial" w:eastAsia="Arial" w:hAnsi="Arial"/>
                <w:sz w:val="16"/>
                <w:szCs w:val="16"/>
                <w:color w:val="auto"/>
              </w:rPr>
              <w:t>Adjustments</w:t>
            </w:r>
            <w:r>
              <w:rPr>
                <w:rFonts w:ascii="Arial" w:cs="Arial" w:eastAsia="Arial" w:hAnsi="Arial"/>
                <w:sz w:val="23"/>
                <w:szCs w:val="23"/>
                <w:color w:val="auto"/>
                <w:vertAlign w:val="superscript"/>
              </w:rPr>
              <w:t>(1)</w:t>
            </w:r>
          </w:p>
        </w:tc>
        <w:tc>
          <w:tcPr>
            <w:tcW w:w="174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84</w:t>
            </w:r>
          </w:p>
        </w:tc>
        <w:tc>
          <w:tcPr>
            <w:tcW w:w="100" w:type="dxa"/>
            <w:vAlign w:val="bottom"/>
          </w:tcPr>
          <w:p>
            <w:pPr>
              <w:spacing w:after="0"/>
              <w:rPr>
                <w:sz w:val="24"/>
                <w:szCs w:val="24"/>
                <w:color w:val="auto"/>
              </w:rPr>
            </w:pPr>
          </w:p>
        </w:tc>
        <w:tc>
          <w:tcPr>
            <w:tcW w:w="172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135</w:t>
            </w:r>
          </w:p>
        </w:tc>
        <w:tc>
          <w:tcPr>
            <w:tcW w:w="0" w:type="dxa"/>
            <w:vAlign w:val="bottom"/>
          </w:tcPr>
          <w:p>
            <w:pPr>
              <w:spacing w:after="0"/>
              <w:rPr>
                <w:sz w:val="1"/>
                <w:szCs w:val="1"/>
                <w:color w:val="auto"/>
              </w:rPr>
            </w:pPr>
          </w:p>
        </w:tc>
      </w:tr>
      <w:tr>
        <w:trPr>
          <w:trHeight w:val="189"/>
        </w:trPr>
        <w:tc>
          <w:tcPr>
            <w:tcW w:w="6080" w:type="dxa"/>
            <w:vAlign w:val="bottom"/>
          </w:tcPr>
          <w:p>
            <w:pPr>
              <w:ind w:left="500"/>
              <w:spacing w:after="0"/>
              <w:rPr>
                <w:sz w:val="20"/>
                <w:szCs w:val="20"/>
                <w:color w:val="auto"/>
              </w:rPr>
            </w:pPr>
            <w:r>
              <w:rPr>
                <w:rFonts w:ascii="Arial" w:cs="Arial" w:eastAsia="Arial" w:hAnsi="Arial"/>
                <w:sz w:val="16"/>
                <w:szCs w:val="16"/>
                <w:color w:val="auto"/>
              </w:rPr>
              <w:t>Depreciation expense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2,197</w:t>
            </w:r>
          </w:p>
        </w:tc>
        <w:tc>
          <w:tcPr>
            <w:tcW w:w="10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4,032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4,437</w:t>
            </w:r>
          </w:p>
        </w:tc>
        <w:tc>
          <w:tcPr>
            <w:tcW w:w="0" w:type="dxa"/>
            <w:vAlign w:val="bottom"/>
          </w:tcPr>
          <w:p>
            <w:pPr>
              <w:spacing w:after="0"/>
              <w:rPr>
                <w:sz w:val="1"/>
                <w:szCs w:val="1"/>
                <w:color w:val="auto"/>
              </w:rPr>
            </w:pPr>
          </w:p>
        </w:tc>
      </w:tr>
      <w:tr>
        <w:trPr>
          <w:trHeight w:val="203"/>
        </w:trPr>
        <w:tc>
          <w:tcPr>
            <w:tcW w:w="6080" w:type="dxa"/>
            <w:vAlign w:val="bottom"/>
          </w:tcPr>
          <w:p>
            <w:pPr>
              <w:ind w:left="500"/>
              <w:spacing w:after="0"/>
              <w:rPr>
                <w:sz w:val="20"/>
                <w:szCs w:val="20"/>
                <w:color w:val="auto"/>
              </w:rPr>
            </w:pPr>
            <w:r>
              <w:rPr>
                <w:rFonts w:ascii="Arial" w:cs="Arial" w:eastAsia="Arial" w:hAnsi="Arial"/>
                <w:sz w:val="16"/>
                <w:szCs w:val="16"/>
                <w:color w:val="auto"/>
              </w:rPr>
              <w:t>Amortization expense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1,079</w:t>
            </w:r>
          </w:p>
        </w:tc>
        <w:tc>
          <w:tcPr>
            <w:tcW w:w="1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1,170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2,159</w:t>
            </w:r>
          </w:p>
        </w:tc>
        <w:tc>
          <w:tcPr>
            <w:tcW w:w="0" w:type="dxa"/>
            <w:vAlign w:val="bottom"/>
          </w:tcPr>
          <w:p>
            <w:pPr>
              <w:spacing w:after="0"/>
              <w:rPr>
                <w:sz w:val="1"/>
                <w:szCs w:val="1"/>
                <w:color w:val="auto"/>
              </w:rPr>
            </w:pPr>
          </w:p>
        </w:tc>
      </w:tr>
      <w:tr>
        <w:trPr>
          <w:trHeight w:val="207"/>
        </w:trPr>
        <w:tc>
          <w:tcPr>
            <w:tcW w:w="6080" w:type="dxa"/>
            <w:vAlign w:val="bottom"/>
          </w:tcPr>
          <w:p>
            <w:pPr>
              <w:ind w:left="500"/>
              <w:spacing w:after="0"/>
              <w:rPr>
                <w:sz w:val="20"/>
                <w:szCs w:val="20"/>
                <w:color w:val="auto"/>
              </w:rPr>
            </w:pPr>
            <w:r>
              <w:rPr>
                <w:rFonts w:ascii="Arial" w:cs="Arial" w:eastAsia="Arial" w:hAnsi="Arial"/>
                <w:sz w:val="16"/>
                <w:szCs w:val="16"/>
                <w:color w:val="auto"/>
              </w:rPr>
              <w:t>Other operating gains</w:t>
            </w:r>
          </w:p>
        </w:tc>
        <w:tc>
          <w:tcPr>
            <w:tcW w:w="126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2,403</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3,360</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5,002</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6,731</w:t>
            </w:r>
          </w:p>
        </w:tc>
        <w:tc>
          <w:tcPr>
            <w:tcW w:w="0" w:type="dxa"/>
            <w:vAlign w:val="bottom"/>
          </w:tcPr>
          <w:p>
            <w:pPr>
              <w:spacing w:after="0"/>
              <w:rPr>
                <w:sz w:val="1"/>
                <w:szCs w:val="1"/>
                <w:color w:val="auto"/>
              </w:rPr>
            </w:pPr>
          </w:p>
        </w:tc>
      </w:tr>
      <w:tr>
        <w:trPr>
          <w:trHeight w:val="406"/>
        </w:trPr>
        <w:tc>
          <w:tcPr>
            <w:tcW w:w="608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5,014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5,356</w:t>
            </w:r>
          </w:p>
        </w:tc>
        <w:tc>
          <w:tcPr>
            <w:tcW w:w="10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9,659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10,538</w:t>
            </w:r>
          </w:p>
        </w:tc>
        <w:tc>
          <w:tcPr>
            <w:tcW w:w="0" w:type="dxa"/>
            <w:vAlign w:val="bottom"/>
          </w:tcPr>
          <w:p>
            <w:pPr>
              <w:spacing w:after="0"/>
              <w:rPr>
                <w:sz w:val="1"/>
                <w:szCs w:val="1"/>
                <w:color w:val="auto"/>
              </w:rPr>
            </w:pPr>
          </w:p>
        </w:tc>
      </w:tr>
      <w:tr>
        <w:trPr>
          <w:trHeight w:val="405"/>
        </w:trPr>
        <w:tc>
          <w:tcPr>
            <w:tcW w:w="6080" w:type="dxa"/>
            <w:vAlign w:val="bottom"/>
          </w:tcPr>
          <w:p>
            <w:pPr>
              <w:spacing w:after="0"/>
              <w:rPr>
                <w:sz w:val="20"/>
                <w:szCs w:val="20"/>
                <w:color w:val="auto"/>
              </w:rPr>
            </w:pPr>
            <w:r>
              <w:rPr>
                <w:rFonts w:ascii="Arial" w:cs="Arial" w:eastAsia="Arial" w:hAnsi="Arial"/>
                <w:sz w:val="16"/>
                <w:szCs w:val="16"/>
                <w:color w:val="auto"/>
              </w:rPr>
              <w:t>Interest expense</w:t>
            </w:r>
          </w:p>
        </w:tc>
        <w:tc>
          <w:tcPr>
            <w:tcW w:w="1260" w:type="dxa"/>
            <w:vAlign w:val="bottom"/>
          </w:tcPr>
          <w:p>
            <w:pPr>
              <w:jc w:val="right"/>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(1,137)</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(1,583)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(2,287)</w:t>
            </w:r>
          </w:p>
        </w:tc>
        <w:tc>
          <w:tcPr>
            <w:tcW w:w="0" w:type="dxa"/>
            <w:vAlign w:val="bottom"/>
          </w:tcPr>
          <w:p>
            <w:pPr>
              <w:spacing w:after="0"/>
              <w:rPr>
                <w:sz w:val="1"/>
                <w:szCs w:val="1"/>
                <w:color w:val="auto"/>
              </w:rPr>
            </w:pPr>
          </w:p>
        </w:tc>
      </w:tr>
      <w:tr>
        <w:trPr>
          <w:trHeight w:val="427"/>
        </w:trPr>
        <w:tc>
          <w:tcPr>
            <w:tcW w:w="608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169"/>
        </w:trPr>
        <w:tc>
          <w:tcPr>
            <w:tcW w:w="6080" w:type="dxa"/>
            <w:vAlign w:val="bottom"/>
          </w:tcPr>
          <w:p>
            <w:pPr>
              <w:ind w:left="500"/>
              <w:spacing w:after="0" w:line="169" w:lineRule="exact"/>
              <w:rPr>
                <w:sz w:val="20"/>
                <w:szCs w:val="20"/>
                <w:color w:val="auto"/>
              </w:rPr>
            </w:pPr>
            <w:r>
              <w:rPr>
                <w:rFonts w:ascii="Arial" w:cs="Arial" w:eastAsia="Arial" w:hAnsi="Arial"/>
                <w:sz w:val="16"/>
                <w:szCs w:val="16"/>
                <w:color w:val="auto"/>
              </w:rPr>
              <w:t>Equity in net income (losses) of investees, net</w:t>
            </w:r>
          </w:p>
        </w:tc>
        <w:tc>
          <w:tcPr>
            <w:tcW w:w="12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69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20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500"/>
              <w:spacing w:after="0"/>
              <w:rPr>
                <w:sz w:val="20"/>
                <w:szCs w:val="20"/>
                <w:color w:val="auto"/>
              </w:rPr>
            </w:pPr>
            <w:r>
              <w:rPr>
                <w:rFonts w:ascii="Arial" w:cs="Arial" w:eastAsia="Arial" w:hAnsi="Arial"/>
                <w:sz w:val="16"/>
                <w:szCs w:val="16"/>
                <w:color w:val="auto"/>
              </w:rPr>
              <w:t>Realized and unrealized gains (losses) on equity securities, net</w:t>
            </w:r>
          </w:p>
        </w:tc>
        <w:tc>
          <w:tcPr>
            <w:tcW w:w="12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194</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408</w:t>
            </w:r>
          </w:p>
        </w:tc>
        <w:tc>
          <w:tcPr>
            <w:tcW w:w="0" w:type="dxa"/>
            <w:vAlign w:val="bottom"/>
          </w:tcPr>
          <w:p>
            <w:pPr>
              <w:spacing w:after="0"/>
              <w:rPr>
                <w:sz w:val="1"/>
                <w:szCs w:val="1"/>
                <w:color w:val="auto"/>
              </w:rPr>
            </w:pPr>
          </w:p>
        </w:tc>
      </w:tr>
      <w:tr>
        <w:trPr>
          <w:trHeight w:val="207"/>
        </w:trPr>
        <w:tc>
          <w:tcPr>
            <w:tcW w:w="6080" w:type="dxa"/>
            <w:vAlign w:val="bottom"/>
          </w:tcPr>
          <w:p>
            <w:pPr>
              <w:ind w:left="500"/>
              <w:spacing w:after="0"/>
              <w:rPr>
                <w:sz w:val="20"/>
                <w:szCs w:val="20"/>
                <w:color w:val="auto"/>
              </w:rPr>
            </w:pPr>
            <w:r>
              <w:rPr>
                <w:rFonts w:ascii="Arial" w:cs="Arial" w:eastAsia="Arial" w:hAnsi="Arial"/>
                <w:sz w:val="16"/>
                <w:szCs w:val="16"/>
                <w:color w:val="auto"/>
              </w:rPr>
              <w:t>Other income (loss), net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153</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621</w:t>
            </w:r>
          </w:p>
        </w:tc>
        <w:tc>
          <w:tcPr>
            <w:tcW w:w="0" w:type="dxa"/>
            <w:vAlign w:val="bottom"/>
          </w:tcPr>
          <w:p>
            <w:pPr>
              <w:spacing w:after="0"/>
              <w:rPr>
                <w:sz w:val="1"/>
                <w:szCs w:val="1"/>
                <w:color w:val="auto"/>
              </w:rPr>
            </w:pPr>
          </w:p>
        </w:tc>
      </w:tr>
      <w:tr>
        <w:trPr>
          <w:trHeight w:val="406"/>
        </w:trPr>
        <w:tc>
          <w:tcPr>
            <w:tcW w:w="60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4,285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4,164</w:t>
            </w:r>
          </w:p>
        </w:tc>
        <w:tc>
          <w:tcPr>
            <w:tcW w:w="10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8,279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8,872</w:t>
            </w:r>
          </w:p>
        </w:tc>
        <w:tc>
          <w:tcPr>
            <w:tcW w:w="0" w:type="dxa"/>
            <w:vAlign w:val="bottom"/>
          </w:tcPr>
          <w:p>
            <w:pPr>
              <w:spacing w:after="0"/>
              <w:rPr>
                <w:sz w:val="1"/>
                <w:szCs w:val="1"/>
                <w:color w:val="auto"/>
              </w:rPr>
            </w:pPr>
          </w:p>
        </w:tc>
      </w:tr>
      <w:tr>
        <w:trPr>
          <w:trHeight w:val="411"/>
        </w:trPr>
        <w:tc>
          <w:tcPr>
            <w:tcW w:w="6080" w:type="dxa"/>
            <w:vAlign w:val="bottom"/>
          </w:tcPr>
          <w:p>
            <w:pPr>
              <w:spacing w:after="0"/>
              <w:rPr>
                <w:sz w:val="20"/>
                <w:szCs w:val="20"/>
                <w:color w:val="auto"/>
              </w:rPr>
            </w:pPr>
            <w:r>
              <w:rPr>
                <w:rFonts w:ascii="Arial" w:cs="Arial" w:eastAsia="Arial" w:hAnsi="Arial"/>
                <w:sz w:val="16"/>
                <w:szCs w:val="16"/>
                <w:color w:val="auto"/>
              </w:rPr>
              <w:t>Income tax expense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(961)</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(2,037)</w:t>
            </w:r>
          </w:p>
        </w:tc>
        <w:tc>
          <w:tcPr>
            <w:tcW w:w="0" w:type="dxa"/>
            <w:vAlign w:val="bottom"/>
          </w:tcPr>
          <w:p>
            <w:pPr>
              <w:spacing w:after="0"/>
              <w:rPr>
                <w:sz w:val="1"/>
                <w:szCs w:val="1"/>
                <w:color w:val="auto"/>
              </w:rPr>
            </w:pPr>
          </w:p>
        </w:tc>
      </w:tr>
      <w:tr>
        <w:trPr>
          <w:trHeight w:val="406"/>
        </w:trPr>
        <w:tc>
          <w:tcPr>
            <w:tcW w:w="608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3,208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3,203</w:t>
            </w:r>
          </w:p>
        </w:tc>
        <w:tc>
          <w:tcPr>
            <w:tcW w:w="10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6,384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6,835</w:t>
            </w:r>
          </w:p>
        </w:tc>
        <w:tc>
          <w:tcPr>
            <w:tcW w:w="0" w:type="dxa"/>
            <w:vAlign w:val="bottom"/>
          </w:tcPr>
          <w:p>
            <w:pPr>
              <w:spacing w:after="0"/>
              <w:rPr>
                <w:sz w:val="1"/>
                <w:szCs w:val="1"/>
                <w:color w:val="auto"/>
              </w:rPr>
            </w:pPr>
          </w:p>
        </w:tc>
      </w:tr>
      <w:tr>
        <w:trPr>
          <w:trHeight w:val="400"/>
        </w:trPr>
        <w:tc>
          <w:tcPr>
            <w:tcW w:w="608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 and redeemable</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78</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157</w:t>
            </w:r>
          </w:p>
        </w:tc>
        <w:tc>
          <w:tcPr>
            <w:tcW w:w="0" w:type="dxa"/>
            <w:vAlign w:val="bottom"/>
          </w:tcPr>
          <w:p>
            <w:pPr>
              <w:spacing w:after="0"/>
              <w:rPr>
                <w:sz w:val="1"/>
                <w:szCs w:val="1"/>
                <w:color w:val="auto"/>
              </w:rPr>
            </w:pPr>
          </w:p>
        </w:tc>
      </w:tr>
      <w:tr>
        <w:trPr>
          <w:trHeight w:val="195"/>
        </w:trPr>
        <w:tc>
          <w:tcPr>
            <w:tcW w:w="6080" w:type="dxa"/>
            <w:vAlign w:val="bottom"/>
          </w:tcPr>
          <w:p>
            <w:pPr>
              <w:ind w:left="180"/>
              <w:spacing w:after="0"/>
              <w:rPr>
                <w:sz w:val="20"/>
                <w:szCs w:val="20"/>
                <w:color w:val="auto"/>
              </w:rPr>
            </w:pPr>
            <w:r>
              <w:rPr>
                <w:rFonts w:ascii="Arial" w:cs="Arial" w:eastAsia="Arial" w:hAnsi="Arial"/>
                <w:sz w:val="16"/>
                <w:szCs w:val="16"/>
                <w:color w:val="auto"/>
              </w:rPr>
              <w:t>subsidiary preferred stock</w:t>
            </w:r>
          </w:p>
        </w:tc>
        <w:tc>
          <w:tcPr>
            <w:tcW w:w="12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080" w:type="dxa"/>
            <w:vAlign w:val="bottom"/>
            <w:vMerge w:val="restart"/>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$3,216</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$3,125</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$6,334</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$6,678</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60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180"/>
              <w:spacing w:after="0"/>
              <w:rPr>
                <w:sz w:val="20"/>
                <w:szCs w:val="20"/>
                <w:color w:val="auto"/>
              </w:rPr>
            </w:pPr>
            <w:r>
              <w:rPr>
                <w:rFonts w:ascii="Arial" w:cs="Arial" w:eastAsia="Arial" w:hAnsi="Arial"/>
                <w:sz w:val="16"/>
                <w:szCs w:val="16"/>
                <w:b w:val="1"/>
                <w:bCs w:val="1"/>
                <w:color w:val="auto"/>
              </w:rPr>
              <w:t>shareholders</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$0.69</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$0.68</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$1.45</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6"/>
                <w:szCs w:val="16"/>
                <w:color w:val="auto"/>
              </w:rPr>
              <w:t>Diluted weighted-average number of common shares</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vMerge w:val="continue"/>
          </w:tcPr>
          <w:p>
            <w:pPr>
              <w:spacing w:after="0"/>
              <w:rPr>
                <w:sz w:val="24"/>
                <w:szCs w:val="24"/>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4,643</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4,607</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4,674</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4,600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(1) See Table 4 for a reconciliation of non-GAAP financial measures.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-162560</wp:posOffset>
            </wp:positionV>
            <wp:extent cx="995045" cy="386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95045" cy="38608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20" w:type="dxa"/>
            <w:vAlign w:val="bottom"/>
          </w:tcPr>
          <w:p>
            <w:pPr>
              <w:spacing w:after="0"/>
              <w:rPr>
                <w:sz w:val="16"/>
                <w:szCs w:val="16"/>
                <w:color w:val="auto"/>
              </w:rPr>
            </w:pPr>
          </w:p>
        </w:tc>
        <w:tc>
          <w:tcPr>
            <w:tcW w:w="260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8820" w:type="dxa"/>
            <w:vAlign w:val="bottom"/>
          </w:tcPr>
          <w:p>
            <w:pPr>
              <w:spacing w:after="0"/>
              <w:rPr>
                <w:sz w:val="20"/>
                <w:szCs w:val="20"/>
                <w:color w:val="auto"/>
              </w:rPr>
            </w:pPr>
            <w:r>
              <w:rPr>
                <w:rFonts w:ascii="Arial" w:cs="Arial" w:eastAsia="Arial" w:hAnsi="Arial"/>
                <w:sz w:val="16"/>
                <w:szCs w:val="16"/>
                <w:color w:val="auto"/>
              </w:rPr>
              <w:t>(in millions)</w:t>
            </w:r>
          </w:p>
        </w:tc>
        <w:tc>
          <w:tcPr>
            <w:tcW w:w="1700" w:type="dxa"/>
            <w:vAlign w:val="bottom"/>
            <w:gridSpan w:val="3"/>
          </w:tcPr>
          <w:p>
            <w:pPr>
              <w:jc w:val="center"/>
              <w:ind w:left="819"/>
              <w:spacing w:after="0"/>
              <w:rPr>
                <w:sz w:val="20"/>
                <w:szCs w:val="20"/>
                <w:color w:val="auto"/>
              </w:rPr>
            </w:pPr>
            <w:r>
              <w:rPr>
                <w:rFonts w:ascii="Arial" w:cs="Arial" w:eastAsia="Arial" w:hAnsi="Arial"/>
                <w:sz w:val="16"/>
                <w:szCs w:val="16"/>
                <w:b w:val="1"/>
                <w:bCs w:val="1"/>
                <w:color w:val="auto"/>
                <w:w w:val="99"/>
              </w:rPr>
              <w:t>June 30,</w:t>
            </w:r>
          </w:p>
        </w:tc>
        <w:tc>
          <w:tcPr>
            <w:tcW w:w="9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5"/>
        </w:trPr>
        <w:tc>
          <w:tcPr>
            <w:tcW w:w="8820" w:type="dxa"/>
            <w:vAlign w:val="bottom"/>
          </w:tcPr>
          <w:p>
            <w:pPr>
              <w:spacing w:after="0"/>
              <w:rPr>
                <w:sz w:val="16"/>
                <w:szCs w:val="16"/>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882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$6,835</w:t>
            </w:r>
          </w:p>
        </w:tc>
        <w:tc>
          <w:tcPr>
            <w:tcW w:w="0" w:type="dxa"/>
            <w:vAlign w:val="bottom"/>
          </w:tcPr>
          <w:p>
            <w:pPr>
              <w:spacing w:after="0"/>
              <w:rPr>
                <w:sz w:val="1"/>
                <w:szCs w:val="1"/>
                <w:color w:val="auto"/>
              </w:rPr>
            </w:pPr>
          </w:p>
        </w:tc>
      </w:tr>
      <w:tr>
        <w:trPr>
          <w:trHeight w:val="195"/>
        </w:trPr>
        <w:tc>
          <w:tcPr>
            <w:tcW w:w="882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$6,384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820" w:type="dxa"/>
            <w:vAlign w:val="bottom"/>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6,596</w:t>
            </w:r>
          </w:p>
        </w:tc>
        <w:tc>
          <w:tcPr>
            <w:tcW w:w="0" w:type="dxa"/>
            <w:vAlign w:val="bottom"/>
          </w:tcPr>
          <w:p>
            <w:pPr>
              <w:spacing w:after="0"/>
              <w:rPr>
                <w:sz w:val="1"/>
                <w:szCs w:val="1"/>
                <w:color w:val="auto"/>
              </w:rPr>
            </w:pPr>
          </w:p>
        </w:tc>
      </w:tr>
      <w:tr>
        <w:trPr>
          <w:trHeight w:val="169"/>
        </w:trPr>
        <w:tc>
          <w:tcPr>
            <w:tcW w:w="8820" w:type="dxa"/>
            <w:vAlign w:val="bottom"/>
          </w:tcPr>
          <w:p>
            <w:pPr>
              <w:ind w:left="600"/>
              <w:spacing w:after="0" w:line="169" w:lineRule="exact"/>
              <w:rPr>
                <w:sz w:val="20"/>
                <w:szCs w:val="20"/>
                <w:color w:val="auto"/>
              </w:rPr>
            </w:pPr>
            <w:r>
              <w:rPr>
                <w:rFonts w:ascii="Arial" w:cs="Arial" w:eastAsia="Arial" w:hAnsi="Arial"/>
                <w:sz w:val="16"/>
                <w:szCs w:val="16"/>
                <w:color w:val="auto"/>
              </w:rPr>
              <w:t>Depreciation, amortization and other operating gains</w:t>
            </w:r>
          </w:p>
        </w:tc>
        <w:tc>
          <w:tcPr>
            <w:tcW w:w="12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5,002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820" w:type="dxa"/>
            <w:vAlign w:val="bottom"/>
          </w:tcPr>
          <w:p>
            <w:pPr>
              <w:ind w:left="600"/>
              <w:spacing w:after="0"/>
              <w:rPr>
                <w:sz w:val="20"/>
                <w:szCs w:val="20"/>
                <w:color w:val="auto"/>
              </w:rPr>
            </w:pPr>
            <w:r>
              <w:rPr>
                <w:rFonts w:ascii="Arial" w:cs="Arial" w:eastAsia="Arial" w:hAnsi="Arial"/>
                <w:sz w:val="16"/>
                <w:szCs w:val="16"/>
                <w:color w:val="auto"/>
              </w:rPr>
              <w:t>Share-based compensation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533</w:t>
            </w:r>
          </w:p>
        </w:tc>
        <w:tc>
          <w:tcPr>
            <w:tcW w:w="0" w:type="dxa"/>
            <w:vAlign w:val="bottom"/>
          </w:tcPr>
          <w:p>
            <w:pPr>
              <w:spacing w:after="0"/>
              <w:rPr>
                <w:sz w:val="1"/>
                <w:szCs w:val="1"/>
                <w:color w:val="auto"/>
              </w:rPr>
            </w:pPr>
          </w:p>
        </w:tc>
      </w:tr>
      <w:tr>
        <w:trPr>
          <w:trHeight w:val="189"/>
        </w:trPr>
        <w:tc>
          <w:tcPr>
            <w:tcW w:w="8820" w:type="dxa"/>
            <w:vAlign w:val="bottom"/>
          </w:tcPr>
          <w:p>
            <w:pPr>
              <w:ind w:left="600"/>
              <w:spacing w:after="0"/>
              <w:rPr>
                <w:sz w:val="20"/>
                <w:szCs w:val="20"/>
                <w:color w:val="auto"/>
              </w:rPr>
            </w:pPr>
            <w:r>
              <w:rPr>
                <w:rFonts w:ascii="Arial" w:cs="Arial" w:eastAsia="Arial" w:hAnsi="Arial"/>
                <w:sz w:val="16"/>
                <w:szCs w:val="16"/>
                <w:color w:val="auto"/>
              </w:rPr>
              <w:t>Noncash interest expense (income), net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168</w:t>
            </w:r>
          </w:p>
        </w:tc>
        <w:tc>
          <w:tcPr>
            <w:tcW w:w="0" w:type="dxa"/>
            <w:vAlign w:val="bottom"/>
          </w:tcPr>
          <w:p>
            <w:pPr>
              <w:spacing w:after="0"/>
              <w:rPr>
                <w:sz w:val="1"/>
                <w:szCs w:val="1"/>
                <w:color w:val="auto"/>
              </w:rPr>
            </w:pPr>
          </w:p>
        </w:tc>
      </w:tr>
      <w:tr>
        <w:trPr>
          <w:trHeight w:val="189"/>
        </w:trPr>
        <w:tc>
          <w:tcPr>
            <w:tcW w:w="8820" w:type="dxa"/>
            <w:vAlign w:val="bottom"/>
          </w:tcPr>
          <w:p>
            <w:pPr>
              <w:ind w:left="600"/>
              <w:spacing w:after="0"/>
              <w:rPr>
                <w:sz w:val="20"/>
                <w:szCs w:val="20"/>
                <w:color w:val="auto"/>
              </w:rPr>
            </w:pPr>
            <w:r>
              <w:rPr>
                <w:rFonts w:ascii="Arial" w:cs="Arial" w:eastAsia="Arial" w:hAnsi="Arial"/>
                <w:sz w:val="16"/>
                <w:szCs w:val="16"/>
                <w:color w:val="auto"/>
              </w:rPr>
              <w:t>Net (gain) loss on investment activity and other</w:t>
            </w:r>
          </w:p>
        </w:tc>
        <w:tc>
          <w:tcPr>
            <w:tcW w:w="12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(367)</w:t>
            </w:r>
          </w:p>
        </w:tc>
        <w:tc>
          <w:tcPr>
            <w:tcW w:w="0" w:type="dxa"/>
            <w:vAlign w:val="bottom"/>
          </w:tcPr>
          <w:p>
            <w:pPr>
              <w:spacing w:after="0"/>
              <w:rPr>
                <w:sz w:val="1"/>
                <w:szCs w:val="1"/>
                <w:color w:val="auto"/>
              </w:rPr>
            </w:pPr>
          </w:p>
        </w:tc>
      </w:tr>
      <w:tr>
        <w:trPr>
          <w:trHeight w:val="215"/>
        </w:trPr>
        <w:tc>
          <w:tcPr>
            <w:tcW w:w="8820" w:type="dxa"/>
            <w:vAlign w:val="bottom"/>
          </w:tcPr>
          <w:p>
            <w:pPr>
              <w:ind w:left="600"/>
              <w:spacing w:after="0"/>
              <w:rPr>
                <w:sz w:val="20"/>
                <w:szCs w:val="20"/>
                <w:color w:val="auto"/>
              </w:rPr>
            </w:pPr>
            <w:r>
              <w:rPr>
                <w:rFonts w:ascii="Arial" w:cs="Arial" w:eastAsia="Arial" w:hAnsi="Arial"/>
                <w:sz w:val="16"/>
                <w:szCs w:val="16"/>
                <w:color w:val="auto"/>
              </w:rPr>
              <w:t>Deferred income taxes</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466</w:t>
            </w:r>
          </w:p>
        </w:tc>
        <w:tc>
          <w:tcPr>
            <w:tcW w:w="0" w:type="dxa"/>
            <w:vAlign w:val="bottom"/>
          </w:tcPr>
          <w:p>
            <w:pPr>
              <w:spacing w:after="0"/>
              <w:rPr>
                <w:sz w:val="1"/>
                <w:szCs w:val="1"/>
                <w:color w:val="auto"/>
              </w:rPr>
            </w:pPr>
          </w:p>
        </w:tc>
      </w:tr>
      <w:tr>
        <w:trPr>
          <w:trHeight w:val="197"/>
        </w:trPr>
        <w:tc>
          <w:tcPr>
            <w:tcW w:w="882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295</w:t>
            </w:r>
          </w:p>
        </w:tc>
        <w:tc>
          <w:tcPr>
            <w:tcW w:w="0" w:type="dxa"/>
            <w:vAlign w:val="bottom"/>
          </w:tcPr>
          <w:p>
            <w:pPr>
              <w:spacing w:after="0"/>
              <w:rPr>
                <w:sz w:val="1"/>
                <w:szCs w:val="1"/>
                <w:color w:val="auto"/>
              </w:rPr>
            </w:pPr>
          </w:p>
        </w:tc>
      </w:tr>
      <w:tr>
        <w:trPr>
          <w:trHeight w:val="169"/>
        </w:trPr>
        <w:tc>
          <w:tcPr>
            <w:tcW w:w="8820" w:type="dxa"/>
            <w:vAlign w:val="bottom"/>
          </w:tcPr>
          <w:p>
            <w:pPr>
              <w:ind w:left="600"/>
              <w:spacing w:after="0" w:line="169" w:lineRule="exact"/>
              <w:rPr>
                <w:sz w:val="20"/>
                <w:szCs w:val="20"/>
                <w:color w:val="auto"/>
              </w:rPr>
            </w:pPr>
            <w:r>
              <w:rPr>
                <w:rFonts w:ascii="Arial" w:cs="Arial" w:eastAsia="Arial" w:hAnsi="Arial"/>
                <w:sz w:val="16"/>
                <w:szCs w:val="16"/>
                <w:color w:val="auto"/>
              </w:rPr>
              <w:t>Current and noncurrent receivables, net</w:t>
            </w:r>
          </w:p>
        </w:tc>
        <w:tc>
          <w:tcPr>
            <w:tcW w:w="1240" w:type="dxa"/>
            <w:vAlign w:val="bottom"/>
          </w:tcPr>
          <w:p>
            <w:pPr>
              <w:jc w:val="right"/>
              <w:spacing w:after="0" w:line="169" w:lineRule="exact"/>
              <w:rPr>
                <w:sz w:val="20"/>
                <w:szCs w:val="20"/>
                <w:color w:val="auto"/>
              </w:rPr>
            </w:pPr>
            <w:r>
              <w:rPr>
                <w:rFonts w:ascii="Arial" w:cs="Arial" w:eastAsia="Arial" w:hAnsi="Arial"/>
                <w:sz w:val="16"/>
                <w:szCs w:val="16"/>
                <w:color w:val="auto"/>
              </w:rPr>
              <w:t>(60)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820" w:type="dxa"/>
            <w:vAlign w:val="bottom"/>
          </w:tcPr>
          <w:p>
            <w:pPr>
              <w:ind w:left="600"/>
              <w:spacing w:after="0"/>
              <w:rPr>
                <w:sz w:val="20"/>
                <w:szCs w:val="20"/>
                <w:color w:val="auto"/>
              </w:rPr>
            </w:pPr>
            <w:r>
              <w:rPr>
                <w:rFonts w:ascii="Arial" w:cs="Arial" w:eastAsia="Arial" w:hAnsi="Arial"/>
                <w:sz w:val="16"/>
                <w:szCs w:val="16"/>
                <w:color w:val="auto"/>
              </w:rPr>
              <w:t>Film and television costs, net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970</w:t>
            </w:r>
          </w:p>
        </w:tc>
        <w:tc>
          <w:tcPr>
            <w:tcW w:w="0" w:type="dxa"/>
            <w:vAlign w:val="bottom"/>
          </w:tcPr>
          <w:p>
            <w:pPr>
              <w:spacing w:after="0"/>
              <w:rPr>
                <w:sz w:val="1"/>
                <w:szCs w:val="1"/>
                <w:color w:val="auto"/>
              </w:rPr>
            </w:pPr>
          </w:p>
        </w:tc>
      </w:tr>
      <w:tr>
        <w:trPr>
          <w:trHeight w:val="203"/>
        </w:trPr>
        <w:tc>
          <w:tcPr>
            <w:tcW w:w="8820" w:type="dxa"/>
            <w:vAlign w:val="bottom"/>
          </w:tcPr>
          <w:p>
            <w:pPr>
              <w:ind w:left="60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24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(815)</w:t>
            </w:r>
          </w:p>
        </w:tc>
        <w:tc>
          <w:tcPr>
            <w:tcW w:w="0" w:type="dxa"/>
            <w:vAlign w:val="bottom"/>
          </w:tcPr>
          <w:p>
            <w:pPr>
              <w:spacing w:after="0"/>
              <w:rPr>
                <w:sz w:val="1"/>
                <w:szCs w:val="1"/>
                <w:color w:val="auto"/>
              </w:rPr>
            </w:pPr>
          </w:p>
        </w:tc>
      </w:tr>
      <w:tr>
        <w:trPr>
          <w:trHeight w:val="207"/>
        </w:trPr>
        <w:tc>
          <w:tcPr>
            <w:tcW w:w="8820" w:type="dxa"/>
            <w:vAlign w:val="bottom"/>
          </w:tcPr>
          <w:p>
            <w:pPr>
              <w:ind w:left="600"/>
              <w:spacing w:after="0"/>
              <w:rPr>
                <w:sz w:val="20"/>
                <w:szCs w:val="20"/>
                <w:color w:val="auto"/>
              </w:rPr>
            </w:pPr>
            <w:r>
              <w:rPr>
                <w:rFonts w:ascii="Arial" w:cs="Arial" w:eastAsia="Arial" w:hAnsi="Arial"/>
                <w:sz w:val="16"/>
                <w:szCs w:val="16"/>
                <w:color w:val="auto"/>
              </w:rPr>
              <w:t>Other operating assets and liabilities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(410)</w:t>
            </w:r>
          </w:p>
        </w:tc>
        <w:tc>
          <w:tcPr>
            <w:tcW w:w="0" w:type="dxa"/>
            <w:vAlign w:val="bottom"/>
          </w:tcPr>
          <w:p>
            <w:pPr>
              <w:spacing w:after="0"/>
              <w:rPr>
                <w:sz w:val="1"/>
                <w:szCs w:val="1"/>
                <w:color w:val="auto"/>
              </w:rPr>
            </w:pPr>
          </w:p>
        </w:tc>
      </w:tr>
      <w:tr>
        <w:trPr>
          <w:trHeight w:val="399"/>
        </w:trPr>
        <w:tc>
          <w:tcPr>
            <w:tcW w:w="8820" w:type="dxa"/>
            <w:vAlign w:val="bottom"/>
          </w:tcPr>
          <w:p>
            <w:pPr>
              <w:ind w:left="1040"/>
              <w:spacing w:after="0"/>
              <w:rPr>
                <w:sz w:val="20"/>
                <w:szCs w:val="20"/>
                <w:color w:val="auto"/>
              </w:rPr>
            </w:pPr>
            <w:r>
              <w:rPr>
                <w:rFonts w:ascii="Arial" w:cs="Arial" w:eastAsia="Arial" w:hAnsi="Arial"/>
                <w:sz w:val="16"/>
                <w:szCs w:val="16"/>
                <w:color w:val="auto"/>
              </w:rPr>
              <w:t>Net cash provided by operating activities</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12,537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14,271</w:t>
            </w:r>
          </w:p>
        </w:tc>
        <w:tc>
          <w:tcPr>
            <w:tcW w:w="0" w:type="dxa"/>
            <w:vAlign w:val="bottom"/>
          </w:tcPr>
          <w:p>
            <w:pPr>
              <w:spacing w:after="0"/>
              <w:rPr>
                <w:sz w:val="1"/>
                <w:szCs w:val="1"/>
                <w:color w:val="auto"/>
              </w:rPr>
            </w:pPr>
          </w:p>
        </w:tc>
      </w:tr>
      <w:tr>
        <w:trPr>
          <w:trHeight w:val="401"/>
        </w:trPr>
        <w:tc>
          <w:tcPr>
            <w:tcW w:w="882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(4,355)</w:t>
            </w:r>
          </w:p>
        </w:tc>
        <w:tc>
          <w:tcPr>
            <w:tcW w:w="0" w:type="dxa"/>
            <w:vAlign w:val="bottom"/>
          </w:tcPr>
          <w:p>
            <w:pPr>
              <w:spacing w:after="0"/>
              <w:rPr>
                <w:sz w:val="1"/>
                <w:szCs w:val="1"/>
                <w:color w:val="auto"/>
              </w:rPr>
            </w:pPr>
          </w:p>
        </w:tc>
      </w:tr>
      <w:tr>
        <w:trPr>
          <w:trHeight w:val="169"/>
        </w:trPr>
        <w:tc>
          <w:tcPr>
            <w:tcW w:w="8820" w:type="dxa"/>
            <w:vAlign w:val="bottom"/>
          </w:tcPr>
          <w:p>
            <w:pPr>
              <w:ind w:left="280"/>
              <w:spacing w:after="0" w:line="169" w:lineRule="exact"/>
              <w:rPr>
                <w:sz w:val="20"/>
                <w:szCs w:val="20"/>
                <w:color w:val="auto"/>
              </w:rPr>
            </w:pPr>
            <w:r>
              <w:rPr>
                <w:rFonts w:ascii="Arial" w:cs="Arial" w:eastAsia="Arial" w:hAnsi="Arial"/>
                <w:sz w:val="16"/>
                <w:szCs w:val="16"/>
                <w:color w:val="auto"/>
              </w:rPr>
              <w:t>Capital expenditures</w:t>
            </w:r>
          </w:p>
        </w:tc>
        <w:tc>
          <w:tcPr>
            <w:tcW w:w="1240" w:type="dxa"/>
            <w:vAlign w:val="bottom"/>
          </w:tcPr>
          <w:p>
            <w:pPr>
              <w:jc w:val="right"/>
              <w:spacing w:after="0" w:line="169" w:lineRule="exact"/>
              <w:rPr>
                <w:sz w:val="20"/>
                <w:szCs w:val="20"/>
                <w:color w:val="auto"/>
              </w:rPr>
            </w:pPr>
            <w:r>
              <w:rPr>
                <w:rFonts w:ascii="Arial" w:cs="Arial" w:eastAsia="Arial" w:hAnsi="Arial"/>
                <w:sz w:val="16"/>
                <w:szCs w:val="16"/>
                <w:color w:val="auto"/>
              </w:rPr>
              <w:t>(4,223)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820" w:type="dxa"/>
            <w:vAlign w:val="bottom"/>
          </w:tcPr>
          <w:p>
            <w:pPr>
              <w:ind w:left="280"/>
              <w:spacing w:after="0"/>
              <w:rPr>
                <w:sz w:val="20"/>
                <w:szCs w:val="20"/>
                <w:color w:val="auto"/>
              </w:rPr>
            </w:pPr>
            <w:r>
              <w:rPr>
                <w:rFonts w:ascii="Arial" w:cs="Arial" w:eastAsia="Arial" w:hAnsi="Arial"/>
                <w:sz w:val="16"/>
                <w:szCs w:val="16"/>
                <w:color w:val="auto"/>
              </w:rPr>
              <w:t>Cash paid for intangible assets</w:t>
            </w:r>
          </w:p>
        </w:tc>
        <w:tc>
          <w:tcPr>
            <w:tcW w:w="1240" w:type="dxa"/>
            <w:vAlign w:val="bottom"/>
          </w:tcPr>
          <w:p>
            <w:pPr>
              <w:jc w:val="right"/>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(1,078)</w:t>
            </w:r>
          </w:p>
        </w:tc>
        <w:tc>
          <w:tcPr>
            <w:tcW w:w="0" w:type="dxa"/>
            <w:vAlign w:val="bottom"/>
          </w:tcPr>
          <w:p>
            <w:pPr>
              <w:spacing w:after="0"/>
              <w:rPr>
                <w:sz w:val="1"/>
                <w:szCs w:val="1"/>
                <w:color w:val="auto"/>
              </w:rPr>
            </w:pPr>
          </w:p>
        </w:tc>
      </w:tr>
      <w:tr>
        <w:trPr>
          <w:trHeight w:val="189"/>
        </w:trPr>
        <w:tc>
          <w:tcPr>
            <w:tcW w:w="8820" w:type="dxa"/>
            <w:vAlign w:val="bottom"/>
          </w:tcPr>
          <w:p>
            <w:pPr>
              <w:ind w:left="280"/>
              <w:spacing w:after="0"/>
              <w:rPr>
                <w:sz w:val="20"/>
                <w:szCs w:val="20"/>
                <w:color w:val="auto"/>
              </w:rPr>
            </w:pPr>
            <w:r>
              <w:rPr>
                <w:rFonts w:ascii="Arial" w:cs="Arial" w:eastAsia="Arial" w:hAnsi="Arial"/>
                <w:sz w:val="16"/>
                <w:szCs w:val="16"/>
                <w:color w:val="auto"/>
              </w:rPr>
              <w:t>Acquisitions and construction of real estate properties</w:t>
            </w:r>
          </w:p>
        </w:tc>
        <w:tc>
          <w:tcPr>
            <w:tcW w:w="124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0" w:type="dxa"/>
            <w:vAlign w:val="bottom"/>
          </w:tcPr>
          <w:p>
            <w:pPr>
              <w:spacing w:after="0"/>
              <w:rPr>
                <w:sz w:val="1"/>
                <w:szCs w:val="1"/>
                <w:color w:val="auto"/>
              </w:rPr>
            </w:pPr>
          </w:p>
        </w:tc>
      </w:tr>
      <w:tr>
        <w:trPr>
          <w:trHeight w:val="189"/>
        </w:trPr>
        <w:tc>
          <w:tcPr>
            <w:tcW w:w="8820" w:type="dxa"/>
            <w:vAlign w:val="bottom"/>
          </w:tcPr>
          <w:p>
            <w:pPr>
              <w:ind w:left="280"/>
              <w:spacing w:after="0"/>
              <w:rPr>
                <w:sz w:val="20"/>
                <w:szCs w:val="20"/>
                <w:color w:val="auto"/>
              </w:rPr>
            </w:pPr>
            <w:r>
              <w:rPr>
                <w:rFonts w:ascii="Arial" w:cs="Arial" w:eastAsia="Arial" w:hAnsi="Arial"/>
                <w:sz w:val="16"/>
                <w:szCs w:val="16"/>
                <w:color w:val="auto"/>
              </w:rPr>
              <w:t>Construction of Universal Beijing Resort</w:t>
            </w:r>
          </w:p>
        </w:tc>
        <w:tc>
          <w:tcPr>
            <w:tcW w:w="124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(450)</w:t>
            </w:r>
          </w:p>
        </w:tc>
        <w:tc>
          <w:tcPr>
            <w:tcW w:w="0" w:type="dxa"/>
            <w:vAlign w:val="bottom"/>
          </w:tcPr>
          <w:p>
            <w:pPr>
              <w:spacing w:after="0"/>
              <w:rPr>
                <w:sz w:val="1"/>
                <w:szCs w:val="1"/>
                <w:color w:val="auto"/>
              </w:rPr>
            </w:pPr>
          </w:p>
        </w:tc>
      </w:tr>
      <w:tr>
        <w:trPr>
          <w:trHeight w:val="189"/>
        </w:trPr>
        <w:tc>
          <w:tcPr>
            <w:tcW w:w="8820" w:type="dxa"/>
            <w:vAlign w:val="bottom"/>
          </w:tcPr>
          <w:p>
            <w:pPr>
              <w:ind w:left="280"/>
              <w:spacing w:after="0"/>
              <w:rPr>
                <w:sz w:val="20"/>
                <w:szCs w:val="20"/>
                <w:color w:val="auto"/>
              </w:rPr>
            </w:pPr>
            <w:r>
              <w:rPr>
                <w:rFonts w:ascii="Arial" w:cs="Arial" w:eastAsia="Arial" w:hAnsi="Arial"/>
                <w:sz w:val="16"/>
                <w:szCs w:val="16"/>
                <w:color w:val="auto"/>
              </w:rPr>
              <w:t>Acquisitions, net of cash acquired</w:t>
            </w:r>
          </w:p>
        </w:tc>
        <w:tc>
          <w:tcPr>
            <w:tcW w:w="124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(114)</w:t>
            </w:r>
          </w:p>
        </w:tc>
        <w:tc>
          <w:tcPr>
            <w:tcW w:w="0" w:type="dxa"/>
            <w:vAlign w:val="bottom"/>
          </w:tcPr>
          <w:p>
            <w:pPr>
              <w:spacing w:after="0"/>
              <w:rPr>
                <w:sz w:val="1"/>
                <w:szCs w:val="1"/>
                <w:color w:val="auto"/>
              </w:rPr>
            </w:pPr>
          </w:p>
        </w:tc>
      </w:tr>
      <w:tr>
        <w:trPr>
          <w:trHeight w:val="189"/>
        </w:trPr>
        <w:tc>
          <w:tcPr>
            <w:tcW w:w="8820" w:type="dxa"/>
            <w:vAlign w:val="bottom"/>
          </w:tcPr>
          <w:p>
            <w:pPr>
              <w:ind w:left="280"/>
              <w:spacing w:after="0"/>
              <w:rPr>
                <w:sz w:val="20"/>
                <w:szCs w:val="20"/>
                <w:color w:val="auto"/>
              </w:rPr>
            </w:pPr>
            <w:r>
              <w:rPr>
                <w:rFonts w:ascii="Arial" w:cs="Arial" w:eastAsia="Arial" w:hAnsi="Arial"/>
                <w:sz w:val="16"/>
                <w:szCs w:val="16"/>
                <w:color w:val="auto"/>
              </w:rPr>
              <w:t>Proceeds from sales of businesses and investments</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150</w:t>
            </w:r>
          </w:p>
        </w:tc>
        <w:tc>
          <w:tcPr>
            <w:tcW w:w="0" w:type="dxa"/>
            <w:vAlign w:val="bottom"/>
          </w:tcPr>
          <w:p>
            <w:pPr>
              <w:spacing w:after="0"/>
              <w:rPr>
                <w:sz w:val="1"/>
                <w:szCs w:val="1"/>
                <w:color w:val="auto"/>
              </w:rPr>
            </w:pPr>
          </w:p>
        </w:tc>
      </w:tr>
      <w:tr>
        <w:trPr>
          <w:trHeight w:val="203"/>
        </w:trPr>
        <w:tc>
          <w:tcPr>
            <w:tcW w:w="8820" w:type="dxa"/>
            <w:vAlign w:val="bottom"/>
          </w:tcPr>
          <w:p>
            <w:pPr>
              <w:ind w:left="280"/>
              <w:spacing w:after="0"/>
              <w:rPr>
                <w:sz w:val="20"/>
                <w:szCs w:val="20"/>
                <w:color w:val="auto"/>
              </w:rPr>
            </w:pPr>
            <w:r>
              <w:rPr>
                <w:rFonts w:ascii="Arial" w:cs="Arial" w:eastAsia="Arial" w:hAnsi="Arial"/>
                <w:sz w:val="16"/>
                <w:szCs w:val="16"/>
                <w:color w:val="auto"/>
              </w:rPr>
              <w:t>Purchases of investments</w:t>
            </w:r>
          </w:p>
        </w:tc>
        <w:tc>
          <w:tcPr>
            <w:tcW w:w="1240" w:type="dxa"/>
            <w:vAlign w:val="bottom"/>
          </w:tcPr>
          <w:p>
            <w:pPr>
              <w:jc w:val="right"/>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(1,605)</w:t>
            </w:r>
          </w:p>
        </w:tc>
        <w:tc>
          <w:tcPr>
            <w:tcW w:w="0" w:type="dxa"/>
            <w:vAlign w:val="bottom"/>
          </w:tcPr>
          <w:p>
            <w:pPr>
              <w:spacing w:after="0"/>
              <w:rPr>
                <w:sz w:val="1"/>
                <w:szCs w:val="1"/>
                <w:color w:val="auto"/>
              </w:rPr>
            </w:pPr>
          </w:p>
        </w:tc>
      </w:tr>
      <w:tr>
        <w:trPr>
          <w:trHeight w:val="207"/>
        </w:trPr>
        <w:tc>
          <w:tcPr>
            <w:tcW w:w="8820" w:type="dxa"/>
            <w:vAlign w:val="bottom"/>
          </w:tcPr>
          <w:p>
            <w:pPr>
              <w:ind w:left="28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74</w:t>
            </w:r>
          </w:p>
        </w:tc>
        <w:tc>
          <w:tcPr>
            <w:tcW w:w="0" w:type="dxa"/>
            <w:vAlign w:val="bottom"/>
          </w:tcPr>
          <w:p>
            <w:pPr>
              <w:spacing w:after="0"/>
              <w:rPr>
                <w:sz w:val="1"/>
                <w:szCs w:val="1"/>
                <w:color w:val="auto"/>
              </w:rPr>
            </w:pPr>
          </w:p>
        </w:tc>
      </w:tr>
      <w:tr>
        <w:trPr>
          <w:trHeight w:val="399"/>
        </w:trPr>
        <w:tc>
          <w:tcPr>
            <w:tcW w:w="8820" w:type="dxa"/>
            <w:vAlign w:val="bottom"/>
          </w:tcPr>
          <w:p>
            <w:pPr>
              <w:ind w:left="1040"/>
              <w:spacing w:after="0"/>
              <w:rPr>
                <w:sz w:val="20"/>
                <w:szCs w:val="20"/>
                <w:color w:val="auto"/>
              </w:rPr>
            </w:pPr>
            <w:r>
              <w:rPr>
                <w:rFonts w:ascii="Arial" w:cs="Arial" w:eastAsia="Arial" w:hAnsi="Arial"/>
                <w:sz w:val="16"/>
                <w:szCs w:val="16"/>
                <w:color w:val="auto"/>
              </w:rPr>
              <w:t>Net cash provided by (used in) investing activities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(7,414)</w:t>
            </w:r>
          </w:p>
        </w:tc>
        <w:tc>
          <w:tcPr>
            <w:tcW w:w="0" w:type="dxa"/>
            <w:vAlign w:val="bottom"/>
          </w:tcPr>
          <w:p>
            <w:pPr>
              <w:spacing w:after="0"/>
              <w:rPr>
                <w:sz w:val="1"/>
                <w:szCs w:val="1"/>
                <w:color w:val="auto"/>
              </w:rPr>
            </w:pPr>
          </w:p>
        </w:tc>
      </w:tr>
      <w:tr>
        <w:trPr>
          <w:trHeight w:val="401"/>
        </w:trPr>
        <w:tc>
          <w:tcPr>
            <w:tcW w:w="882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(801)</w:t>
            </w:r>
          </w:p>
        </w:tc>
        <w:tc>
          <w:tcPr>
            <w:tcW w:w="0" w:type="dxa"/>
            <w:vAlign w:val="bottom"/>
          </w:tcPr>
          <w:p>
            <w:pPr>
              <w:spacing w:after="0"/>
              <w:rPr>
                <w:sz w:val="1"/>
                <w:szCs w:val="1"/>
                <w:color w:val="auto"/>
              </w:rPr>
            </w:pPr>
          </w:p>
        </w:tc>
      </w:tr>
      <w:tr>
        <w:trPr>
          <w:trHeight w:val="169"/>
        </w:trPr>
        <w:tc>
          <w:tcPr>
            <w:tcW w:w="8820" w:type="dxa"/>
            <w:vAlign w:val="bottom"/>
          </w:tcPr>
          <w:p>
            <w:pPr>
              <w:ind w:left="280"/>
              <w:spacing w:after="0" w:line="169" w:lineRule="exact"/>
              <w:rPr>
                <w:sz w:val="20"/>
                <w:szCs w:val="20"/>
                <w:color w:val="auto"/>
              </w:rPr>
            </w:pPr>
            <w:r>
              <w:rPr>
                <w:rFonts w:ascii="Arial" w:cs="Arial" w:eastAsia="Arial" w:hAnsi="Arial"/>
                <w:sz w:val="16"/>
                <w:szCs w:val="16"/>
                <w:color w:val="auto"/>
              </w:rPr>
              <w:t>Proceeds from (repayments of) short-term borrowings, net</w:t>
            </w:r>
          </w:p>
        </w:tc>
        <w:tc>
          <w:tcPr>
            <w:tcW w:w="12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23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820" w:type="dxa"/>
            <w:vAlign w:val="bottom"/>
          </w:tcPr>
          <w:p>
            <w:pPr>
              <w:ind w:left="280"/>
              <w:spacing w:after="0"/>
              <w:rPr>
                <w:sz w:val="20"/>
                <w:szCs w:val="20"/>
                <w:color w:val="auto"/>
              </w:rPr>
            </w:pPr>
            <w:r>
              <w:rPr>
                <w:rFonts w:ascii="Arial" w:cs="Arial" w:eastAsia="Arial" w:hAnsi="Arial"/>
                <w:sz w:val="16"/>
                <w:szCs w:val="16"/>
                <w:color w:val="auto"/>
              </w:rPr>
              <w:t>Proceeds from borrowings</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4,279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363</w:t>
            </w:r>
          </w:p>
        </w:tc>
        <w:tc>
          <w:tcPr>
            <w:tcW w:w="0" w:type="dxa"/>
            <w:vAlign w:val="bottom"/>
          </w:tcPr>
          <w:p>
            <w:pPr>
              <w:spacing w:after="0"/>
              <w:rPr>
                <w:sz w:val="1"/>
                <w:szCs w:val="1"/>
                <w:color w:val="auto"/>
              </w:rPr>
            </w:pPr>
          </w:p>
        </w:tc>
      </w:tr>
      <w:tr>
        <w:trPr>
          <w:trHeight w:val="189"/>
        </w:trPr>
        <w:tc>
          <w:tcPr>
            <w:tcW w:w="8820" w:type="dxa"/>
            <w:vAlign w:val="bottom"/>
          </w:tcPr>
          <w:p>
            <w:pPr>
              <w:ind w:left="280"/>
              <w:spacing w:after="0"/>
              <w:rPr>
                <w:sz w:val="20"/>
                <w:szCs w:val="20"/>
                <w:color w:val="auto"/>
              </w:rPr>
            </w:pPr>
            <w:r>
              <w:rPr>
                <w:rFonts w:ascii="Arial" w:cs="Arial" w:eastAsia="Arial" w:hAnsi="Arial"/>
                <w:sz w:val="16"/>
                <w:szCs w:val="16"/>
                <w:color w:val="auto"/>
              </w:rPr>
              <w:t>Repurchases and repayments of debt</w:t>
            </w:r>
          </w:p>
        </w:tc>
        <w:tc>
          <w:tcPr>
            <w:tcW w:w="1240" w:type="dxa"/>
            <w:vAlign w:val="bottom"/>
          </w:tcPr>
          <w:p>
            <w:pPr>
              <w:jc w:val="right"/>
              <w:spacing w:after="0"/>
              <w:rPr>
                <w:sz w:val="20"/>
                <w:szCs w:val="20"/>
                <w:color w:val="auto"/>
              </w:rPr>
            </w:pPr>
            <w:r>
              <w:rPr>
                <w:rFonts w:ascii="Arial" w:cs="Arial" w:eastAsia="Arial" w:hAnsi="Arial"/>
                <w:sz w:val="16"/>
                <w:szCs w:val="16"/>
                <w:color w:val="auto"/>
              </w:rPr>
              <w:t>(4,347)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(4,156)</w:t>
            </w:r>
          </w:p>
        </w:tc>
        <w:tc>
          <w:tcPr>
            <w:tcW w:w="0" w:type="dxa"/>
            <w:vAlign w:val="bottom"/>
          </w:tcPr>
          <w:p>
            <w:pPr>
              <w:spacing w:after="0"/>
              <w:rPr>
                <w:sz w:val="1"/>
                <w:szCs w:val="1"/>
                <w:color w:val="auto"/>
              </w:rPr>
            </w:pPr>
          </w:p>
        </w:tc>
      </w:tr>
      <w:tr>
        <w:trPr>
          <w:trHeight w:val="189"/>
        </w:trPr>
        <w:tc>
          <w:tcPr>
            <w:tcW w:w="8820" w:type="dxa"/>
            <w:vAlign w:val="bottom"/>
          </w:tcPr>
          <w:p>
            <w:pPr>
              <w:ind w:left="28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240" w:type="dxa"/>
            <w:vAlign w:val="bottom"/>
          </w:tcPr>
          <w:p>
            <w:pPr>
              <w:jc w:val="right"/>
              <w:spacing w:after="0"/>
              <w:rPr>
                <w:sz w:val="20"/>
                <w:szCs w:val="20"/>
                <w:color w:val="auto"/>
              </w:rPr>
            </w:pPr>
            <w:r>
              <w:rPr>
                <w:rFonts w:ascii="Arial" w:cs="Arial" w:eastAsia="Arial" w:hAnsi="Arial"/>
                <w:sz w:val="16"/>
                <w:szCs w:val="16"/>
                <w:color w:val="auto"/>
              </w:rPr>
              <w:t>(2,998)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(350)</w:t>
            </w:r>
          </w:p>
        </w:tc>
        <w:tc>
          <w:tcPr>
            <w:tcW w:w="0" w:type="dxa"/>
            <w:vAlign w:val="bottom"/>
          </w:tcPr>
          <w:p>
            <w:pPr>
              <w:spacing w:after="0"/>
              <w:rPr>
                <w:sz w:val="1"/>
                <w:szCs w:val="1"/>
                <w:color w:val="auto"/>
              </w:rPr>
            </w:pPr>
          </w:p>
        </w:tc>
      </w:tr>
      <w:tr>
        <w:trPr>
          <w:trHeight w:val="189"/>
        </w:trPr>
        <w:tc>
          <w:tcPr>
            <w:tcW w:w="882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1240" w:type="dxa"/>
            <w:vAlign w:val="bottom"/>
          </w:tcPr>
          <w:p>
            <w:pPr>
              <w:jc w:val="right"/>
              <w:spacing w:after="0"/>
              <w:rPr>
                <w:sz w:val="20"/>
                <w:szCs w:val="20"/>
                <w:color w:val="auto"/>
              </w:rPr>
            </w:pPr>
            <w:r>
              <w:rPr>
                <w:rFonts w:ascii="Arial" w:cs="Arial" w:eastAsia="Arial" w:hAnsi="Arial"/>
                <w:sz w:val="16"/>
                <w:szCs w:val="16"/>
                <w:color w:val="auto"/>
              </w:rPr>
              <w:t>(1,616)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(1,823)</w:t>
            </w:r>
          </w:p>
        </w:tc>
        <w:tc>
          <w:tcPr>
            <w:tcW w:w="0" w:type="dxa"/>
            <w:vAlign w:val="bottom"/>
          </w:tcPr>
          <w:p>
            <w:pPr>
              <w:spacing w:after="0"/>
              <w:rPr>
                <w:sz w:val="1"/>
                <w:szCs w:val="1"/>
                <w:color w:val="auto"/>
              </w:rPr>
            </w:pPr>
          </w:p>
        </w:tc>
      </w:tr>
      <w:tr>
        <w:trPr>
          <w:trHeight w:val="203"/>
        </w:trPr>
        <w:tc>
          <w:tcPr>
            <w:tcW w:w="8820" w:type="dxa"/>
            <w:vAlign w:val="bottom"/>
          </w:tcPr>
          <w:p>
            <w:pPr>
              <w:ind w:left="280"/>
              <w:spacing w:after="0"/>
              <w:rPr>
                <w:sz w:val="20"/>
                <w:szCs w:val="20"/>
                <w:color w:val="auto"/>
              </w:rPr>
            </w:pPr>
            <w:r>
              <w:rPr>
                <w:rFonts w:ascii="Arial" w:cs="Arial" w:eastAsia="Arial" w:hAnsi="Arial"/>
                <w:sz w:val="16"/>
                <w:szCs w:val="16"/>
                <w:color w:val="auto"/>
              </w:rPr>
              <w:t>Distributions to noncontrolling interests and dividends for redeemable subsidiary preferred stock</w:t>
            </w:r>
          </w:p>
        </w:tc>
        <w:tc>
          <w:tcPr>
            <w:tcW w:w="124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(155)</w:t>
            </w:r>
          </w:p>
        </w:tc>
        <w:tc>
          <w:tcPr>
            <w:tcW w:w="0" w:type="dxa"/>
            <w:vAlign w:val="bottom"/>
          </w:tcPr>
          <w:p>
            <w:pPr>
              <w:spacing w:after="0"/>
              <w:rPr>
                <w:sz w:val="1"/>
                <w:szCs w:val="1"/>
                <w:color w:val="auto"/>
              </w:rPr>
            </w:pPr>
          </w:p>
        </w:tc>
      </w:tr>
      <w:tr>
        <w:trPr>
          <w:trHeight w:val="207"/>
        </w:trPr>
        <w:tc>
          <w:tcPr>
            <w:tcW w:w="8820" w:type="dxa"/>
            <w:vAlign w:val="bottom"/>
          </w:tcPr>
          <w:p>
            <w:pPr>
              <w:ind w:left="28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190</w:t>
            </w:r>
          </w:p>
        </w:tc>
        <w:tc>
          <w:tcPr>
            <w:tcW w:w="0" w:type="dxa"/>
            <w:vAlign w:val="bottom"/>
          </w:tcPr>
          <w:p>
            <w:pPr>
              <w:spacing w:after="0"/>
              <w:rPr>
                <w:sz w:val="1"/>
                <w:szCs w:val="1"/>
                <w:color w:val="auto"/>
              </w:rPr>
            </w:pPr>
          </w:p>
        </w:tc>
      </w:tr>
      <w:tr>
        <w:trPr>
          <w:trHeight w:val="399"/>
        </w:trPr>
        <w:tc>
          <w:tcPr>
            <w:tcW w:w="8820" w:type="dxa"/>
            <w:vAlign w:val="bottom"/>
          </w:tcPr>
          <w:p>
            <w:pPr>
              <w:ind w:left="1040"/>
              <w:spacing w:after="0"/>
              <w:rPr>
                <w:sz w:val="20"/>
                <w:szCs w:val="20"/>
                <w:color w:val="auto"/>
              </w:rPr>
            </w:pPr>
            <w:r>
              <w:rPr>
                <w:rFonts w:ascii="Arial" w:cs="Arial" w:eastAsia="Arial" w:hAnsi="Arial"/>
                <w:sz w:val="16"/>
                <w:szCs w:val="16"/>
                <w:color w:val="auto"/>
              </w:rPr>
              <w:t>Net cash provided by (used in) financing activities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(6,732)</w:t>
            </w:r>
          </w:p>
        </w:tc>
        <w:tc>
          <w:tcPr>
            <w:tcW w:w="0" w:type="dxa"/>
            <w:vAlign w:val="bottom"/>
          </w:tcPr>
          <w:p>
            <w:pPr>
              <w:spacing w:after="0"/>
              <w:rPr>
                <w:sz w:val="1"/>
                <w:szCs w:val="1"/>
                <w:color w:val="auto"/>
              </w:rPr>
            </w:pPr>
          </w:p>
        </w:tc>
      </w:tr>
      <w:tr>
        <w:trPr>
          <w:trHeight w:val="393"/>
        </w:trPr>
        <w:tc>
          <w:tcPr>
            <w:tcW w:w="882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700" w:type="dxa"/>
            <w:vAlign w:val="bottom"/>
            <w:gridSpan w:val="3"/>
          </w:tcPr>
          <w:p>
            <w:pPr>
              <w:jc w:val="right"/>
              <w:ind w:right="5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392"/>
        </w:trPr>
        <w:tc>
          <w:tcPr>
            <w:tcW w:w="882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2,271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110</w:t>
            </w:r>
          </w:p>
        </w:tc>
        <w:tc>
          <w:tcPr>
            <w:tcW w:w="0" w:type="dxa"/>
            <w:vAlign w:val="bottom"/>
          </w:tcPr>
          <w:p>
            <w:pPr>
              <w:spacing w:after="0"/>
              <w:rPr>
                <w:sz w:val="1"/>
                <w:szCs w:val="1"/>
                <w:color w:val="auto"/>
              </w:rPr>
            </w:pPr>
          </w:p>
        </w:tc>
      </w:tr>
      <w:tr>
        <w:trPr>
          <w:trHeight w:val="398"/>
        </w:trPr>
        <w:tc>
          <w:tcPr>
            <w:tcW w:w="882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3,571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3,909</w:t>
            </w:r>
          </w:p>
        </w:tc>
        <w:tc>
          <w:tcPr>
            <w:tcW w:w="0" w:type="dxa"/>
            <w:vAlign w:val="bottom"/>
          </w:tcPr>
          <w:p>
            <w:pPr>
              <w:spacing w:after="0"/>
              <w:rPr>
                <w:sz w:val="1"/>
                <w:szCs w:val="1"/>
                <w:color w:val="auto"/>
              </w:rPr>
            </w:pPr>
          </w:p>
        </w:tc>
      </w:tr>
      <w:tr>
        <w:trPr>
          <w:trHeight w:val="412"/>
        </w:trPr>
        <w:tc>
          <w:tcPr>
            <w:tcW w:w="882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$5,842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$4,019</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5640"/>
              <w:spacing w:after="0"/>
              <w:rPr>
                <w:sz w:val="20"/>
                <w:szCs w:val="20"/>
                <w:color w:val="auto"/>
              </w:rPr>
            </w:pPr>
            <w:r>
              <w:rPr>
                <w:rFonts w:ascii="Arial" w:cs="Arial" w:eastAsia="Arial" w:hAnsi="Arial"/>
                <w:sz w:val="14"/>
                <w:szCs w:val="14"/>
                <w:color w:val="auto"/>
              </w:rPr>
              <w:t>11</w:t>
            </w: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88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820" w:type="dxa"/>
            <w:vAlign w:val="bottom"/>
            <w:tcBorders>
              <w:bottom w:val="single" w:sz="8" w:color="C9C9C9"/>
            </w:tcBorders>
          </w:tcPr>
          <w:p>
            <w:pPr>
              <w:spacing w:after="0"/>
              <w:rPr>
                <w:sz w:val="9"/>
                <w:szCs w:val="9"/>
                <w:color w:val="auto"/>
              </w:rPr>
            </w:pPr>
          </w:p>
        </w:tc>
        <w:tc>
          <w:tcPr>
            <w:tcW w:w="1240" w:type="dxa"/>
            <w:vAlign w:val="bottom"/>
            <w:tcBorders>
              <w:bottom w:val="single" w:sz="8" w:color="C9C9C9"/>
            </w:tcBorders>
          </w:tcPr>
          <w:p>
            <w:pPr>
              <w:spacing w:after="0"/>
              <w:rPr>
                <w:sz w:val="9"/>
                <w:szCs w:val="9"/>
                <w:color w:val="auto"/>
              </w:rPr>
            </w:pPr>
          </w:p>
        </w:tc>
        <w:tc>
          <w:tcPr>
            <w:tcW w:w="120" w:type="dxa"/>
            <w:vAlign w:val="bottom"/>
            <w:tcBorders>
              <w:bottom w:val="single" w:sz="8" w:color="C9C9C9"/>
            </w:tcBorders>
          </w:tcPr>
          <w:p>
            <w:pPr>
              <w:spacing w:after="0"/>
              <w:rPr>
                <w:sz w:val="9"/>
                <w:szCs w:val="9"/>
                <w:color w:val="auto"/>
              </w:rPr>
            </w:pPr>
          </w:p>
        </w:tc>
        <w:tc>
          <w:tcPr>
            <w:tcW w:w="340" w:type="dxa"/>
            <w:vAlign w:val="bottom"/>
            <w:tcBorders>
              <w:bottom w:val="single" w:sz="8" w:color="C9C9C9"/>
            </w:tcBorders>
          </w:tcPr>
          <w:p>
            <w:pPr>
              <w:spacing w:after="0"/>
              <w:rPr>
                <w:sz w:val="9"/>
                <w:szCs w:val="9"/>
                <w:color w:val="auto"/>
              </w:rPr>
            </w:pPr>
          </w:p>
        </w:tc>
        <w:tc>
          <w:tcPr>
            <w:tcW w:w="900" w:type="dxa"/>
            <w:vAlign w:val="bottom"/>
            <w:tcBorders>
              <w:bottom w:val="single" w:sz="8" w:color="C9C9C9"/>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9" w:right="2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t>TABLE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-162560</wp:posOffset>
            </wp:positionV>
            <wp:extent cx="995045" cy="386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95045" cy="38608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 millions)</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5"/>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882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$3,919</w:t>
            </w:r>
          </w:p>
        </w:tc>
        <w:tc>
          <w:tcPr>
            <w:tcW w:w="0" w:type="dxa"/>
            <w:vAlign w:val="bottom"/>
          </w:tcPr>
          <w:p>
            <w:pPr>
              <w:spacing w:after="0"/>
              <w:rPr>
                <w:sz w:val="1"/>
                <w:szCs w:val="1"/>
                <w:color w:val="auto"/>
              </w:rPr>
            </w:pPr>
          </w:p>
        </w:tc>
      </w:tr>
      <w:tr>
        <w:trPr>
          <w:trHeight w:val="181"/>
        </w:trPr>
        <w:tc>
          <w:tcPr>
            <w:tcW w:w="8820" w:type="dxa"/>
            <w:vAlign w:val="bottom"/>
          </w:tcPr>
          <w:p>
            <w:pPr>
              <w:ind w:left="380"/>
              <w:spacing w:after="0" w:line="181" w:lineRule="exact"/>
              <w:rPr>
                <w:sz w:val="20"/>
                <w:szCs w:val="20"/>
                <w:color w:val="auto"/>
              </w:rPr>
            </w:pPr>
            <w:r>
              <w:rPr>
                <w:rFonts w:ascii="Arial" w:cs="Arial" w:eastAsia="Arial" w:hAnsi="Arial"/>
                <w:sz w:val="18"/>
                <w:szCs w:val="18"/>
                <w:color w:val="auto"/>
              </w:rPr>
              <w:t>Cash and cash equivalents</w:t>
            </w:r>
          </w:p>
        </w:tc>
        <w:tc>
          <w:tcPr>
            <w:tcW w:w="12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$3,814</w:t>
            </w: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20" w:type="dxa"/>
            <w:vAlign w:val="bottom"/>
          </w:tcPr>
          <w:p>
            <w:pPr>
              <w:ind w:left="380"/>
              <w:spacing w:after="0" w:line="202" w:lineRule="exact"/>
              <w:rPr>
                <w:sz w:val="20"/>
                <w:szCs w:val="20"/>
                <w:color w:val="auto"/>
              </w:rPr>
            </w:pPr>
            <w:r>
              <w:rPr>
                <w:rFonts w:ascii="Arial" w:cs="Arial" w:eastAsia="Arial" w:hAnsi="Arial"/>
                <w:sz w:val="18"/>
                <w:szCs w:val="18"/>
                <w:color w:val="auto"/>
              </w:rPr>
              <w:t>Receivables, net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11,104</w:t>
            </w:r>
          </w:p>
        </w:tc>
        <w:tc>
          <w:tcPr>
            <w:tcW w:w="120" w:type="dxa"/>
            <w:vAlign w:val="bottom"/>
          </w:tcPr>
          <w:p>
            <w:pPr>
              <w:spacing w:after="0"/>
              <w:rPr>
                <w:sz w:val="17"/>
                <w:szCs w:val="17"/>
                <w:color w:val="auto"/>
              </w:rPr>
            </w:pP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10,835</w:t>
            </w:r>
          </w:p>
        </w:tc>
        <w:tc>
          <w:tcPr>
            <w:tcW w:w="0" w:type="dxa"/>
            <w:vAlign w:val="bottom"/>
          </w:tcPr>
          <w:p>
            <w:pPr>
              <w:spacing w:after="0"/>
              <w:rPr>
                <w:sz w:val="1"/>
                <w:szCs w:val="1"/>
                <w:color w:val="auto"/>
              </w:rPr>
            </w:pPr>
          </w:p>
        </w:tc>
      </w:tr>
      <w:tr>
        <w:trPr>
          <w:trHeight w:val="216"/>
        </w:trPr>
        <w:tc>
          <w:tcPr>
            <w:tcW w:w="882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3,746</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1,947</w:t>
            </w:r>
          </w:p>
        </w:tc>
        <w:tc>
          <w:tcPr>
            <w:tcW w:w="0" w:type="dxa"/>
            <w:vAlign w:val="bottom"/>
          </w:tcPr>
          <w:p>
            <w:pPr>
              <w:spacing w:after="0"/>
              <w:rPr>
                <w:sz w:val="1"/>
                <w:szCs w:val="1"/>
                <w:color w:val="auto"/>
              </w:rPr>
            </w:pPr>
          </w:p>
        </w:tc>
      </w:tr>
      <w:tr>
        <w:trPr>
          <w:trHeight w:val="225"/>
        </w:trPr>
        <w:tc>
          <w:tcPr>
            <w:tcW w:w="882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4,660</w:t>
            </w:r>
          </w:p>
        </w:tc>
        <w:tc>
          <w:tcPr>
            <w:tcW w:w="0" w:type="dxa"/>
            <w:vAlign w:val="bottom"/>
          </w:tcPr>
          <w:p>
            <w:pPr>
              <w:spacing w:after="0"/>
              <w:rPr>
                <w:sz w:val="1"/>
                <w:szCs w:val="1"/>
                <w:color w:val="auto"/>
              </w:rPr>
            </w:pPr>
          </w:p>
        </w:tc>
      </w:tr>
      <w:tr>
        <w:trPr>
          <w:trHeight w:val="197"/>
        </w:trPr>
        <w:tc>
          <w:tcPr>
            <w:tcW w:w="8820" w:type="dxa"/>
            <w:vAlign w:val="bottom"/>
          </w:tcPr>
          <w:p>
            <w:pPr>
              <w:ind w:left="500"/>
              <w:spacing w:after="0" w:line="197" w:lineRule="exact"/>
              <w:rPr>
                <w:sz w:val="20"/>
                <w:szCs w:val="20"/>
                <w:color w:val="auto"/>
              </w:rPr>
            </w:pPr>
            <w:r>
              <w:rPr>
                <w:rFonts w:ascii="Arial" w:cs="Arial" w:eastAsia="Arial" w:hAnsi="Arial"/>
                <w:sz w:val="18"/>
                <w:szCs w:val="18"/>
                <w:color w:val="auto"/>
              </w:rPr>
              <w:t>Total current assets</w:t>
            </w:r>
          </w:p>
        </w:tc>
        <w:tc>
          <w:tcPr>
            <w:tcW w:w="124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21,848</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b w:val="1"/>
                <w:bCs w:val="1"/>
                <w:color w:val="auto"/>
              </w:rPr>
              <w:t>21,361</w:t>
            </w:r>
          </w:p>
        </w:tc>
        <w:tc>
          <w:tcPr>
            <w:tcW w:w="0" w:type="dxa"/>
            <w:vAlign w:val="bottom"/>
          </w:tcPr>
          <w:p>
            <w:pPr>
              <w:spacing w:after="0"/>
              <w:rPr>
                <w:sz w:val="1"/>
                <w:szCs w:val="1"/>
                <w:color w:val="auto"/>
              </w:rPr>
            </w:pPr>
          </w:p>
        </w:tc>
      </w:tr>
      <w:tr>
        <w:trPr>
          <w:trHeight w:val="426"/>
        </w:trPr>
        <w:tc>
          <w:tcPr>
            <w:tcW w:w="882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7,837</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8,553</w:t>
            </w:r>
          </w:p>
        </w:tc>
        <w:tc>
          <w:tcPr>
            <w:tcW w:w="0" w:type="dxa"/>
            <w:vAlign w:val="bottom"/>
          </w:tcPr>
          <w:p>
            <w:pPr>
              <w:spacing w:after="0"/>
              <w:rPr>
                <w:sz w:val="1"/>
                <w:szCs w:val="1"/>
                <w:color w:val="auto"/>
              </w:rPr>
            </w:pPr>
          </w:p>
        </w:tc>
      </w:tr>
      <w:tr>
        <w:trPr>
          <w:trHeight w:val="419"/>
        </w:trPr>
        <w:tc>
          <w:tcPr>
            <w:tcW w:w="8820" w:type="dxa"/>
            <w:vAlign w:val="bottom"/>
          </w:tcPr>
          <w:p>
            <w:pPr>
              <w:spacing w:after="0"/>
              <w:rPr>
                <w:sz w:val="20"/>
                <w:szCs w:val="20"/>
                <w:color w:val="auto"/>
              </w:rPr>
            </w:pPr>
            <w:r>
              <w:rPr>
                <w:rFonts w:ascii="Arial" w:cs="Arial" w:eastAsia="Arial" w:hAnsi="Arial"/>
                <w:sz w:val="18"/>
                <w:szCs w:val="18"/>
                <w:color w:val="auto"/>
              </w:rPr>
              <w:t>Investments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7,883</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8,438</w:t>
            </w:r>
          </w:p>
        </w:tc>
        <w:tc>
          <w:tcPr>
            <w:tcW w:w="0" w:type="dxa"/>
            <w:vAlign w:val="bottom"/>
          </w:tcPr>
          <w:p>
            <w:pPr>
              <w:spacing w:after="0"/>
              <w:rPr>
                <w:sz w:val="1"/>
                <w:szCs w:val="1"/>
                <w:color w:val="auto"/>
              </w:rPr>
            </w:pPr>
          </w:p>
        </w:tc>
      </w:tr>
      <w:tr>
        <w:trPr>
          <w:trHeight w:val="419"/>
        </w:trPr>
        <w:tc>
          <w:tcPr>
            <w:tcW w:w="8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44,437</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46,047</w:t>
            </w:r>
          </w:p>
        </w:tc>
        <w:tc>
          <w:tcPr>
            <w:tcW w:w="0" w:type="dxa"/>
            <w:vAlign w:val="bottom"/>
          </w:tcPr>
          <w:p>
            <w:pPr>
              <w:spacing w:after="0"/>
              <w:rPr>
                <w:sz w:val="1"/>
                <w:szCs w:val="1"/>
                <w:color w:val="auto"/>
              </w:rPr>
            </w:pPr>
          </w:p>
        </w:tc>
      </w:tr>
      <w:tr>
        <w:trPr>
          <w:trHeight w:val="419"/>
        </w:trPr>
        <w:tc>
          <w:tcPr>
            <w:tcW w:w="8820" w:type="dxa"/>
            <w:vAlign w:val="bottom"/>
          </w:tcPr>
          <w:p>
            <w:pPr>
              <w:spacing w:after="0"/>
              <w:rPr>
                <w:sz w:val="20"/>
                <w:szCs w:val="20"/>
                <w:color w:val="auto"/>
              </w:rPr>
            </w:pPr>
            <w:r>
              <w:rPr>
                <w:rFonts w:ascii="Arial" w:cs="Arial" w:eastAsia="Arial" w:hAnsi="Arial"/>
                <w:sz w:val="18"/>
                <w:szCs w:val="18"/>
                <w:color w:val="auto"/>
              </w:rPr>
              <w:t>Franchise rights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59,365</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59,365</w:t>
            </w:r>
          </w:p>
        </w:tc>
        <w:tc>
          <w:tcPr>
            <w:tcW w:w="0" w:type="dxa"/>
            <w:vAlign w:val="bottom"/>
          </w:tcPr>
          <w:p>
            <w:pPr>
              <w:spacing w:after="0"/>
              <w:rPr>
                <w:sz w:val="1"/>
                <w:szCs w:val="1"/>
                <w:color w:val="auto"/>
              </w:rPr>
            </w:pPr>
          </w:p>
        </w:tc>
      </w:tr>
      <w:tr>
        <w:trPr>
          <w:trHeight w:val="419"/>
        </w:trPr>
        <w:tc>
          <w:tcPr>
            <w:tcW w:w="8820" w:type="dxa"/>
            <w:vAlign w:val="bottom"/>
          </w:tcPr>
          <w:p>
            <w:pPr>
              <w:spacing w:after="0"/>
              <w:rPr>
                <w:sz w:val="20"/>
                <w:szCs w:val="20"/>
                <w:color w:val="auto"/>
              </w:rPr>
            </w:pPr>
            <w:r>
              <w:rPr>
                <w:rFonts w:ascii="Arial" w:cs="Arial" w:eastAsia="Arial" w:hAnsi="Arial"/>
                <w:sz w:val="18"/>
                <w:szCs w:val="18"/>
                <w:color w:val="auto"/>
              </w:rPr>
              <w:t>Goodwill</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66,154</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67,945</w:t>
            </w:r>
          </w:p>
        </w:tc>
        <w:tc>
          <w:tcPr>
            <w:tcW w:w="0" w:type="dxa"/>
            <w:vAlign w:val="bottom"/>
          </w:tcPr>
          <w:p>
            <w:pPr>
              <w:spacing w:after="0"/>
              <w:rPr>
                <w:sz w:val="1"/>
                <w:szCs w:val="1"/>
                <w:color w:val="auto"/>
              </w:rPr>
            </w:pPr>
          </w:p>
        </w:tc>
      </w:tr>
      <w:tr>
        <w:trPr>
          <w:trHeight w:val="419"/>
        </w:trPr>
        <w:tc>
          <w:tcPr>
            <w:tcW w:w="88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38,358</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36,076</w:t>
            </w:r>
          </w:p>
        </w:tc>
        <w:tc>
          <w:tcPr>
            <w:tcW w:w="0" w:type="dxa"/>
            <w:vAlign w:val="bottom"/>
          </w:tcPr>
          <w:p>
            <w:pPr>
              <w:spacing w:after="0"/>
              <w:rPr>
                <w:sz w:val="1"/>
                <w:szCs w:val="1"/>
                <w:color w:val="auto"/>
              </w:rPr>
            </w:pPr>
          </w:p>
        </w:tc>
      </w:tr>
      <w:tr>
        <w:trPr>
          <w:trHeight w:val="419"/>
        </w:trPr>
        <w:tc>
          <w:tcPr>
            <w:tcW w:w="882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5,802</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8,770</w:t>
            </w:r>
          </w:p>
        </w:tc>
        <w:tc>
          <w:tcPr>
            <w:tcW w:w="0" w:type="dxa"/>
            <w:vAlign w:val="bottom"/>
          </w:tcPr>
          <w:p>
            <w:pPr>
              <w:spacing w:after="0"/>
              <w:rPr>
                <w:sz w:val="1"/>
                <w:szCs w:val="1"/>
                <w:color w:val="auto"/>
              </w:rPr>
            </w:pPr>
          </w:p>
        </w:tc>
      </w:tr>
      <w:tr>
        <w:trPr>
          <w:trHeight w:val="453"/>
        </w:trPr>
        <w:tc>
          <w:tcPr>
            <w:tcW w:w="8820" w:type="dxa"/>
            <w:vAlign w:val="bottom"/>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$251,684</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$256,555</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$10,014</w:t>
            </w:r>
          </w:p>
        </w:tc>
        <w:tc>
          <w:tcPr>
            <w:tcW w:w="0" w:type="dxa"/>
            <w:vAlign w:val="bottom"/>
          </w:tcPr>
          <w:p>
            <w:pPr>
              <w:spacing w:after="0"/>
              <w:rPr>
                <w:sz w:val="1"/>
                <w:szCs w:val="1"/>
                <w:color w:val="auto"/>
              </w:rPr>
            </w:pPr>
          </w:p>
        </w:tc>
      </w:tr>
      <w:tr>
        <w:trPr>
          <w:trHeight w:val="181"/>
        </w:trPr>
        <w:tc>
          <w:tcPr>
            <w:tcW w:w="8820" w:type="dxa"/>
            <w:vAlign w:val="bottom"/>
          </w:tcPr>
          <w:p>
            <w:pPr>
              <w:ind w:left="38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12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$8,494</w:t>
            </w: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20" w:type="dxa"/>
            <w:vAlign w:val="bottom"/>
          </w:tcPr>
          <w:p>
            <w:pPr>
              <w:ind w:left="380"/>
              <w:spacing w:after="0" w:line="202" w:lineRule="exact"/>
              <w:rPr>
                <w:sz w:val="20"/>
                <w:szCs w:val="20"/>
                <w:color w:val="auto"/>
              </w:rPr>
            </w:pPr>
            <w:r>
              <w:rPr>
                <w:rFonts w:ascii="Arial" w:cs="Arial" w:eastAsia="Arial" w:hAnsi="Arial"/>
                <w:sz w:val="18"/>
                <w:szCs w:val="18"/>
                <w:color w:val="auto"/>
              </w:rPr>
              <w:t>Accrued participations and residuals</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1,808</w:t>
            </w:r>
          </w:p>
        </w:tc>
        <w:tc>
          <w:tcPr>
            <w:tcW w:w="120" w:type="dxa"/>
            <w:vAlign w:val="bottom"/>
          </w:tcPr>
          <w:p>
            <w:pPr>
              <w:spacing w:after="0"/>
              <w:rPr>
                <w:sz w:val="17"/>
                <w:szCs w:val="17"/>
                <w:color w:val="auto"/>
              </w:rPr>
            </w:pP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1,683</w:t>
            </w:r>
          </w:p>
        </w:tc>
        <w:tc>
          <w:tcPr>
            <w:tcW w:w="0" w:type="dxa"/>
            <w:vAlign w:val="bottom"/>
          </w:tcPr>
          <w:p>
            <w:pPr>
              <w:spacing w:after="0"/>
              <w:rPr>
                <w:sz w:val="1"/>
                <w:szCs w:val="1"/>
                <w:color w:val="auto"/>
              </w:rPr>
            </w:pPr>
          </w:p>
        </w:tc>
      </w:tr>
      <w:tr>
        <w:trPr>
          <w:trHeight w:val="203"/>
        </w:trPr>
        <w:tc>
          <w:tcPr>
            <w:tcW w:w="8820" w:type="dxa"/>
            <w:vAlign w:val="bottom"/>
          </w:tcPr>
          <w:p>
            <w:pPr>
              <w:ind w:left="380"/>
              <w:spacing w:after="0" w:line="202" w:lineRule="exact"/>
              <w:rPr>
                <w:sz w:val="20"/>
                <w:szCs w:val="20"/>
                <w:color w:val="auto"/>
              </w:rPr>
            </w:pPr>
            <w:r>
              <w:rPr>
                <w:rFonts w:ascii="Arial" w:cs="Arial" w:eastAsia="Arial" w:hAnsi="Arial"/>
                <w:sz w:val="18"/>
                <w:szCs w:val="18"/>
                <w:color w:val="auto"/>
              </w:rPr>
              <w:t>Deferred revenue</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2,182</w:t>
            </w:r>
          </w:p>
        </w:tc>
        <w:tc>
          <w:tcPr>
            <w:tcW w:w="120" w:type="dxa"/>
            <w:vAlign w:val="bottom"/>
          </w:tcPr>
          <w:p>
            <w:pPr>
              <w:spacing w:after="0"/>
              <w:rPr>
                <w:sz w:val="17"/>
                <w:szCs w:val="17"/>
                <w:color w:val="auto"/>
              </w:rPr>
            </w:pP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2,642</w:t>
            </w:r>
          </w:p>
        </w:tc>
        <w:tc>
          <w:tcPr>
            <w:tcW w:w="0" w:type="dxa"/>
            <w:vAlign w:val="bottom"/>
          </w:tcPr>
          <w:p>
            <w:pPr>
              <w:spacing w:after="0"/>
              <w:rPr>
                <w:sz w:val="1"/>
                <w:szCs w:val="1"/>
                <w:color w:val="auto"/>
              </w:rPr>
            </w:pPr>
          </w:p>
        </w:tc>
      </w:tr>
      <w:tr>
        <w:trPr>
          <w:trHeight w:val="216"/>
        </w:trPr>
        <w:tc>
          <w:tcPr>
            <w:tcW w:w="882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10,721</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10,304</w:t>
            </w:r>
          </w:p>
        </w:tc>
        <w:tc>
          <w:tcPr>
            <w:tcW w:w="0" w:type="dxa"/>
            <w:vAlign w:val="bottom"/>
          </w:tcPr>
          <w:p>
            <w:pPr>
              <w:spacing w:after="0"/>
              <w:rPr>
                <w:sz w:val="1"/>
                <w:szCs w:val="1"/>
                <w:color w:val="auto"/>
              </w:rPr>
            </w:pPr>
          </w:p>
        </w:tc>
      </w:tr>
      <w:tr>
        <w:trPr>
          <w:trHeight w:val="225"/>
        </w:trPr>
        <w:tc>
          <w:tcPr>
            <w:tcW w:w="882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4,398</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6,365</w:t>
            </w:r>
          </w:p>
        </w:tc>
        <w:tc>
          <w:tcPr>
            <w:tcW w:w="0" w:type="dxa"/>
            <w:vAlign w:val="bottom"/>
          </w:tcPr>
          <w:p>
            <w:pPr>
              <w:spacing w:after="0"/>
              <w:rPr>
                <w:sz w:val="1"/>
                <w:szCs w:val="1"/>
                <w:color w:val="auto"/>
              </w:rPr>
            </w:pPr>
          </w:p>
        </w:tc>
      </w:tr>
      <w:tr>
        <w:trPr>
          <w:trHeight w:val="197"/>
        </w:trPr>
        <w:tc>
          <w:tcPr>
            <w:tcW w:w="8820" w:type="dxa"/>
            <w:vAlign w:val="bottom"/>
          </w:tcPr>
          <w:p>
            <w:pPr>
              <w:ind w:left="500"/>
              <w:spacing w:after="0" w:line="197" w:lineRule="exact"/>
              <w:rPr>
                <w:sz w:val="20"/>
                <w:szCs w:val="20"/>
                <w:color w:val="auto"/>
              </w:rPr>
            </w:pPr>
            <w:r>
              <w:rPr>
                <w:rFonts w:ascii="Arial" w:cs="Arial" w:eastAsia="Arial" w:hAnsi="Arial"/>
                <w:sz w:val="18"/>
                <w:szCs w:val="18"/>
                <w:color w:val="auto"/>
              </w:rPr>
              <w:t>Total current liabilities</w:t>
            </w:r>
          </w:p>
        </w:tc>
        <w:tc>
          <w:tcPr>
            <w:tcW w:w="124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27,603</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b w:val="1"/>
                <w:bCs w:val="1"/>
                <w:color w:val="auto"/>
              </w:rPr>
              <w:t>31,008</w:t>
            </w:r>
          </w:p>
        </w:tc>
        <w:tc>
          <w:tcPr>
            <w:tcW w:w="0" w:type="dxa"/>
            <w:vAlign w:val="bottom"/>
          </w:tcPr>
          <w:p>
            <w:pPr>
              <w:spacing w:after="0"/>
              <w:rPr>
                <w:sz w:val="1"/>
                <w:szCs w:val="1"/>
                <w:color w:val="auto"/>
              </w:rPr>
            </w:pPr>
          </w:p>
        </w:tc>
      </w:tr>
      <w:tr>
        <w:trPr>
          <w:trHeight w:val="426"/>
        </w:trPr>
        <w:tc>
          <w:tcPr>
            <w:tcW w:w="88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107,345</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101,248</w:t>
            </w:r>
          </w:p>
        </w:tc>
        <w:tc>
          <w:tcPr>
            <w:tcW w:w="0" w:type="dxa"/>
            <w:vAlign w:val="bottom"/>
          </w:tcPr>
          <w:p>
            <w:pPr>
              <w:spacing w:after="0"/>
              <w:rPr>
                <w:sz w:val="1"/>
                <w:szCs w:val="1"/>
                <w:color w:val="auto"/>
              </w:rPr>
            </w:pPr>
          </w:p>
        </w:tc>
      </w:tr>
      <w:tr>
        <w:trPr>
          <w:trHeight w:val="419"/>
        </w:trPr>
        <w:tc>
          <w:tcPr>
            <w:tcW w:w="8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27,589</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27,996</w:t>
            </w:r>
          </w:p>
        </w:tc>
        <w:tc>
          <w:tcPr>
            <w:tcW w:w="0" w:type="dxa"/>
            <w:vAlign w:val="bottom"/>
          </w:tcPr>
          <w:p>
            <w:pPr>
              <w:spacing w:after="0"/>
              <w:rPr>
                <w:sz w:val="1"/>
                <w:szCs w:val="1"/>
                <w:color w:val="auto"/>
              </w:rPr>
            </w:pPr>
          </w:p>
        </w:tc>
      </w:tr>
      <w:tr>
        <w:trPr>
          <w:trHeight w:val="419"/>
        </w:trPr>
        <w:tc>
          <w:tcPr>
            <w:tcW w:w="88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15,329</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17,144</w:t>
            </w:r>
          </w:p>
        </w:tc>
        <w:tc>
          <w:tcPr>
            <w:tcW w:w="0" w:type="dxa"/>
            <w:vAlign w:val="bottom"/>
          </w:tcPr>
          <w:p>
            <w:pPr>
              <w:spacing w:after="0"/>
              <w:rPr>
                <w:sz w:val="1"/>
                <w:szCs w:val="1"/>
                <w:color w:val="auto"/>
              </w:rPr>
            </w:pPr>
          </w:p>
        </w:tc>
      </w:tr>
      <w:tr>
        <w:trPr>
          <w:trHeight w:val="419"/>
        </w:trPr>
        <w:tc>
          <w:tcPr>
            <w:tcW w:w="882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1,329</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Equity</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76,850</w:t>
            </w:r>
          </w:p>
        </w:tc>
        <w:tc>
          <w:tcPr>
            <w:tcW w:w="0" w:type="dxa"/>
            <w:vAlign w:val="bottom"/>
          </w:tcPr>
          <w:p>
            <w:pPr>
              <w:spacing w:after="0"/>
              <w:rPr>
                <w:sz w:val="1"/>
                <w:szCs w:val="1"/>
                <w:color w:val="auto"/>
              </w:rPr>
            </w:pPr>
          </w:p>
        </w:tc>
      </w:tr>
      <w:tr>
        <w:trPr>
          <w:trHeight w:val="194"/>
        </w:trPr>
        <w:tc>
          <w:tcPr>
            <w:tcW w:w="8820" w:type="dxa"/>
            <w:vAlign w:val="bottom"/>
          </w:tcPr>
          <w:p>
            <w:pPr>
              <w:ind w:left="380"/>
              <w:spacing w:after="0" w:line="195" w:lineRule="exact"/>
              <w:rPr>
                <w:sz w:val="20"/>
                <w:szCs w:val="20"/>
                <w:color w:val="auto"/>
              </w:rPr>
            </w:pPr>
            <w:r>
              <w:rPr>
                <w:rFonts w:ascii="Arial" w:cs="Arial" w:eastAsia="Arial" w:hAnsi="Arial"/>
                <w:sz w:val="18"/>
                <w:szCs w:val="18"/>
                <w:color w:val="auto"/>
              </w:rPr>
              <w:t>Comcast Corporation shareholders' equity</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71,613</w:t>
            </w: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82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980</w:t>
            </w:r>
          </w:p>
        </w:tc>
        <w:tc>
          <w:tcPr>
            <w:tcW w:w="0" w:type="dxa"/>
            <w:vAlign w:val="bottom"/>
          </w:tcPr>
          <w:p>
            <w:pPr>
              <w:spacing w:after="0"/>
              <w:rPr>
                <w:sz w:val="1"/>
                <w:szCs w:val="1"/>
                <w:color w:val="auto"/>
              </w:rPr>
            </w:pPr>
          </w:p>
        </w:tc>
      </w:tr>
      <w:tr>
        <w:trPr>
          <w:trHeight w:val="197"/>
        </w:trPr>
        <w:tc>
          <w:tcPr>
            <w:tcW w:w="8820" w:type="dxa"/>
            <w:vAlign w:val="bottom"/>
          </w:tcPr>
          <w:p>
            <w:pPr>
              <w:ind w:left="500"/>
              <w:spacing w:after="0" w:line="197" w:lineRule="exact"/>
              <w:rPr>
                <w:sz w:val="20"/>
                <w:szCs w:val="20"/>
                <w:color w:val="auto"/>
              </w:rPr>
            </w:pPr>
            <w:r>
              <w:rPr>
                <w:rFonts w:ascii="Arial" w:cs="Arial" w:eastAsia="Arial" w:hAnsi="Arial"/>
                <w:sz w:val="18"/>
                <w:szCs w:val="18"/>
                <w:color w:val="auto"/>
              </w:rPr>
              <w:t>Total equity</w:t>
            </w:r>
          </w:p>
        </w:tc>
        <w:tc>
          <w:tcPr>
            <w:tcW w:w="124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72,502</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b w:val="1"/>
                <w:bCs w:val="1"/>
                <w:color w:val="auto"/>
              </w:rPr>
              <w:t>77,830</w:t>
            </w:r>
          </w:p>
        </w:tc>
        <w:tc>
          <w:tcPr>
            <w:tcW w:w="0" w:type="dxa"/>
            <w:vAlign w:val="bottom"/>
          </w:tcPr>
          <w:p>
            <w:pPr>
              <w:spacing w:after="0"/>
              <w:rPr>
                <w:sz w:val="1"/>
                <w:szCs w:val="1"/>
                <w:color w:val="auto"/>
              </w:rPr>
            </w:pPr>
          </w:p>
        </w:tc>
      </w:tr>
      <w:tr>
        <w:trPr>
          <w:trHeight w:val="453"/>
        </w:trPr>
        <w:tc>
          <w:tcPr>
            <w:tcW w:w="8820" w:type="dxa"/>
            <w:vAlign w:val="bottom"/>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$251,684</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$256,555</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5640"/>
              <w:spacing w:after="0"/>
              <w:rPr>
                <w:sz w:val="20"/>
                <w:szCs w:val="20"/>
                <w:color w:val="auto"/>
              </w:rPr>
            </w:pPr>
            <w:r>
              <w:rPr>
                <w:rFonts w:ascii="Arial" w:cs="Arial" w:eastAsia="Arial" w:hAnsi="Arial"/>
                <w:sz w:val="14"/>
                <w:szCs w:val="14"/>
                <w:color w:val="auto"/>
              </w:rPr>
              <w:t>12</w:t>
            </w: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88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820" w:type="dxa"/>
            <w:vAlign w:val="bottom"/>
            <w:tcBorders>
              <w:bottom w:val="single" w:sz="8" w:color="C9C9C9"/>
            </w:tcBorders>
          </w:tcPr>
          <w:p>
            <w:pPr>
              <w:spacing w:after="0"/>
              <w:rPr>
                <w:sz w:val="9"/>
                <w:szCs w:val="9"/>
                <w:color w:val="auto"/>
              </w:rPr>
            </w:pPr>
          </w:p>
        </w:tc>
        <w:tc>
          <w:tcPr>
            <w:tcW w:w="1240" w:type="dxa"/>
            <w:vAlign w:val="bottom"/>
            <w:tcBorders>
              <w:bottom w:val="single" w:sz="8" w:color="C9C9C9"/>
            </w:tcBorders>
          </w:tcPr>
          <w:p>
            <w:pPr>
              <w:spacing w:after="0"/>
              <w:rPr>
                <w:sz w:val="9"/>
                <w:szCs w:val="9"/>
                <w:color w:val="auto"/>
              </w:rPr>
            </w:pPr>
          </w:p>
        </w:tc>
        <w:tc>
          <w:tcPr>
            <w:tcW w:w="120" w:type="dxa"/>
            <w:vAlign w:val="bottom"/>
            <w:tcBorders>
              <w:bottom w:val="single" w:sz="8" w:color="C9C9C9"/>
            </w:tcBorders>
          </w:tcPr>
          <w:p>
            <w:pPr>
              <w:spacing w:after="0"/>
              <w:rPr>
                <w:sz w:val="9"/>
                <w:szCs w:val="9"/>
                <w:color w:val="auto"/>
              </w:rPr>
            </w:pPr>
          </w:p>
        </w:tc>
        <w:tc>
          <w:tcPr>
            <w:tcW w:w="1240" w:type="dxa"/>
            <w:vAlign w:val="bottom"/>
            <w:tcBorders>
              <w:bottom w:val="single" w:sz="8" w:color="C9C9C9"/>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2" w:right="2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-128270</wp:posOffset>
            </wp:positionV>
            <wp:extent cx="995045" cy="386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95045" cy="386080"/>
                    </a:xfrm>
                    <a:prstGeom prst="rect">
                      <a:avLst/>
                    </a:prstGeom>
                    <a:noFill/>
                  </pic:spPr>
                </pic:pic>
              </a:graphicData>
            </a:graphic>
          </wp:anchor>
        </w:drawing>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278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1740" w:type="dxa"/>
            <w:vAlign w:val="bottom"/>
            <w:gridSpan w:val="3"/>
          </w:tcPr>
          <w:p>
            <w:pPr>
              <w:jc w:val="center"/>
              <w:ind w:left="828"/>
              <w:spacing w:after="0"/>
              <w:rPr>
                <w:sz w:val="20"/>
                <w:szCs w:val="20"/>
                <w:color w:val="auto"/>
              </w:rPr>
            </w:pPr>
            <w:r>
              <w:rPr>
                <w:rFonts w:ascii="Arial" w:cs="Arial" w:eastAsia="Arial" w:hAnsi="Arial"/>
                <w:sz w:val="14"/>
                <w:szCs w:val="14"/>
                <w:b w:val="1"/>
                <w:bCs w:val="1"/>
                <w:color w:val="auto"/>
                <w:w w:val="99"/>
              </w:rPr>
              <w:t>June 30,</w:t>
            </w:r>
          </w:p>
        </w:tc>
        <w:tc>
          <w:tcPr>
            <w:tcW w:w="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3"/>
          </w:tcPr>
          <w:p>
            <w:pPr>
              <w:jc w:val="center"/>
              <w:ind w:left="848"/>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5"/>
        </w:trPr>
        <w:tc>
          <w:tcPr>
            <w:tcW w:w="59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$3,216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$3,125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$6,334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$6,678</w:t>
            </w:r>
          </w:p>
        </w:tc>
        <w:tc>
          <w:tcPr>
            <w:tcW w:w="0" w:type="dxa"/>
            <w:vAlign w:val="bottom"/>
          </w:tcPr>
          <w:p>
            <w:pPr>
              <w:spacing w:after="0"/>
              <w:rPr>
                <w:sz w:val="1"/>
                <w:szCs w:val="1"/>
                <w:color w:val="auto"/>
              </w:rPr>
            </w:pPr>
          </w:p>
        </w:tc>
      </w:tr>
      <w:tr>
        <w:trPr>
          <w:trHeight w:val="206"/>
        </w:trPr>
        <w:tc>
          <w:tcPr>
            <w:tcW w:w="590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 and redeemable subsidiary</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78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157</w:t>
            </w:r>
          </w:p>
        </w:tc>
        <w:tc>
          <w:tcPr>
            <w:tcW w:w="0" w:type="dxa"/>
            <w:vAlign w:val="bottom"/>
          </w:tcPr>
          <w:p>
            <w:pPr>
              <w:spacing w:after="0"/>
              <w:rPr>
                <w:sz w:val="1"/>
                <w:szCs w:val="1"/>
                <w:color w:val="auto"/>
              </w:rPr>
            </w:pPr>
          </w:p>
        </w:tc>
      </w:tr>
      <w:tr>
        <w:trPr>
          <w:trHeight w:val="172"/>
        </w:trPr>
        <w:tc>
          <w:tcPr>
            <w:tcW w:w="5900" w:type="dxa"/>
            <w:vAlign w:val="bottom"/>
          </w:tcPr>
          <w:p>
            <w:pPr>
              <w:ind w:left="60"/>
              <w:spacing w:after="0"/>
              <w:rPr>
                <w:sz w:val="20"/>
                <w:szCs w:val="20"/>
                <w:color w:val="auto"/>
              </w:rPr>
            </w:pPr>
            <w:r>
              <w:rPr>
                <w:rFonts w:ascii="Arial" w:cs="Arial" w:eastAsia="Arial" w:hAnsi="Arial"/>
                <w:sz w:val="14"/>
                <w:szCs w:val="14"/>
                <w:color w:val="auto"/>
              </w:rPr>
              <w:t>preferred stock</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4"/>
                <w:szCs w:val="14"/>
                <w:color w:val="auto"/>
              </w:rPr>
              <w:t>Income tax expense</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1,077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961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1,895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2,037</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4"/>
                <w:szCs w:val="14"/>
                <w:color w:val="auto"/>
              </w:rPr>
              <w:t>Interest expense</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806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1,137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1,583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2,287</w:t>
            </w:r>
          </w:p>
        </w:tc>
        <w:tc>
          <w:tcPr>
            <w:tcW w:w="0" w:type="dxa"/>
            <w:vAlign w:val="bottom"/>
          </w:tcPr>
          <w:p>
            <w:pPr>
              <w:spacing w:after="0"/>
              <w:rPr>
                <w:sz w:val="1"/>
                <w:szCs w:val="1"/>
                <w:color w:val="auto"/>
              </w:rPr>
            </w:pPr>
          </w:p>
        </w:tc>
      </w:tr>
      <w:tr>
        <w:trPr>
          <w:trHeight w:val="296"/>
        </w:trPr>
        <w:tc>
          <w:tcPr>
            <w:tcW w:w="5900" w:type="dxa"/>
            <w:vAlign w:val="bottom"/>
          </w:tcPr>
          <w:p>
            <w:pPr>
              <w:spacing w:after="0" w:line="295" w:lineRule="exact"/>
              <w:rPr>
                <w:sz w:val="20"/>
                <w:szCs w:val="20"/>
                <w:color w:val="auto"/>
              </w:rPr>
            </w:pPr>
            <w:r>
              <w:rPr>
                <w:rFonts w:ascii="Arial" w:cs="Arial" w:eastAsia="Arial" w:hAnsi="Arial"/>
                <w:sz w:val="14"/>
                <w:szCs w:val="14"/>
                <w:color w:val="auto"/>
              </w:rPr>
              <w:t xml:space="preserve">Investment and other (income) loss, net </w:t>
            </w:r>
            <w:r>
              <w:rPr>
                <w:rFonts w:ascii="Arial" w:cs="Arial" w:eastAsia="Arial" w:hAnsi="Arial"/>
                <w:sz w:val="27"/>
                <w:szCs w:val="27"/>
                <w:color w:val="auto"/>
                <w:vertAlign w:val="superscript"/>
              </w:rPr>
              <w:t>(1)</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55</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(621)</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20"/>
                <w:szCs w:val="20"/>
                <w:color w:val="auto"/>
              </w:rPr>
            </w:pPr>
            <w:r>
              <w:rPr>
                <w:rFonts w:ascii="Arial" w:cs="Arial" w:eastAsia="Arial" w:hAnsi="Arial"/>
                <w:sz w:val="14"/>
                <w:szCs w:val="14"/>
                <w:color w:val="auto"/>
              </w:rPr>
              <w:t>Depreciation, amortization expense and other operating gains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2,403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3,276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5,002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6,596</w:t>
            </w:r>
          </w:p>
        </w:tc>
        <w:tc>
          <w:tcPr>
            <w:tcW w:w="0" w:type="dxa"/>
            <w:vAlign w:val="bottom"/>
          </w:tcPr>
          <w:p>
            <w:pPr>
              <w:spacing w:after="0"/>
              <w:rPr>
                <w:sz w:val="1"/>
                <w:szCs w:val="1"/>
                <w:color w:val="auto"/>
              </w:rPr>
            </w:pPr>
          </w:p>
        </w:tc>
      </w:tr>
      <w:tr>
        <w:trPr>
          <w:trHeight w:val="269"/>
        </w:trPr>
        <w:tc>
          <w:tcPr>
            <w:tcW w:w="5900" w:type="dxa"/>
            <w:vAlign w:val="bottom"/>
          </w:tcPr>
          <w:p>
            <w:pPr>
              <w:spacing w:after="0" w:line="268"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27"/>
                <w:szCs w:val="27"/>
                <w:color w:val="auto"/>
                <w:vertAlign w:val="superscript"/>
              </w:rPr>
              <w:t>(2)</w:t>
            </w:r>
          </w:p>
        </w:tc>
        <w:tc>
          <w:tcPr>
            <w:tcW w:w="174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84</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135</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$7,417</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$8,716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$14,661</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$17,269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78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960" w:type="dxa"/>
            <w:vAlign w:val="bottom"/>
          </w:tcPr>
          <w:p>
            <w:pPr>
              <w:spacing w:after="0"/>
              <w:rPr>
                <w:sz w:val="16"/>
                <w:szCs w:val="16"/>
                <w:color w:val="auto"/>
              </w:rPr>
            </w:pPr>
          </w:p>
        </w:tc>
        <w:tc>
          <w:tcPr>
            <w:tcW w:w="1740" w:type="dxa"/>
            <w:vAlign w:val="bottom"/>
            <w:gridSpan w:val="3"/>
          </w:tcPr>
          <w:p>
            <w:pPr>
              <w:jc w:val="center"/>
              <w:ind w:left="828"/>
              <w:spacing w:after="0"/>
              <w:rPr>
                <w:sz w:val="20"/>
                <w:szCs w:val="20"/>
                <w:color w:val="auto"/>
              </w:rPr>
            </w:pPr>
            <w:r>
              <w:rPr>
                <w:rFonts w:ascii="Arial" w:cs="Arial" w:eastAsia="Arial" w:hAnsi="Arial"/>
                <w:sz w:val="14"/>
                <w:szCs w:val="14"/>
                <w:b w:val="1"/>
                <w:bCs w:val="1"/>
                <w:color w:val="auto"/>
                <w:w w:val="99"/>
              </w:rPr>
              <w:t>June 30,</w:t>
            </w:r>
          </w:p>
        </w:tc>
        <w:tc>
          <w:tcPr>
            <w:tcW w:w="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3"/>
          </w:tcPr>
          <w:p>
            <w:pPr>
              <w:jc w:val="center"/>
              <w:ind w:left="848"/>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60" w:type="dxa"/>
            <w:vAlign w:val="bottom"/>
          </w:tcPr>
          <w:p>
            <w:pPr>
              <w:ind w:left="60"/>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5"/>
        </w:trPr>
        <w:tc>
          <w:tcPr>
            <w:tcW w:w="5960" w:type="dxa"/>
            <w:vAlign w:val="bottom"/>
          </w:tcPr>
          <w:p>
            <w:pPr>
              <w:ind w:left="60"/>
              <w:spacing w:after="0"/>
              <w:rPr>
                <w:sz w:val="20"/>
                <w:szCs w:val="20"/>
                <w:color w:val="auto"/>
              </w:rPr>
            </w:pPr>
            <w:r>
              <w:rPr>
                <w:rFonts w:ascii="Arial" w:cs="Arial" w:eastAsia="Arial" w:hAnsi="Arial"/>
                <w:sz w:val="14"/>
                <w:szCs w:val="14"/>
                <w:b w:val="1"/>
                <w:bCs w:val="1"/>
                <w:color w:val="auto"/>
              </w:rPr>
              <w:t>Net cash provided by operating activities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$7,063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$7,040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$12,537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$14,271</w:t>
            </w:r>
          </w:p>
        </w:tc>
        <w:tc>
          <w:tcPr>
            <w:tcW w:w="0" w:type="dxa"/>
            <w:vAlign w:val="bottom"/>
          </w:tcPr>
          <w:p>
            <w:pPr>
              <w:spacing w:after="0"/>
              <w:rPr>
                <w:sz w:val="1"/>
                <w:szCs w:val="1"/>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4"/>
                <w:szCs w:val="14"/>
                <w:color w:val="auto"/>
              </w:rPr>
              <w:t>Capital expenditures</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(2,250)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(2,263)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(4,355)</w:t>
            </w:r>
          </w:p>
        </w:tc>
        <w:tc>
          <w:tcPr>
            <w:tcW w:w="0" w:type="dxa"/>
            <w:vAlign w:val="bottom"/>
          </w:tcPr>
          <w:p>
            <w:pPr>
              <w:spacing w:after="0"/>
              <w:rPr>
                <w:sz w:val="1"/>
                <w:szCs w:val="1"/>
                <w:color w:val="auto"/>
              </w:rPr>
            </w:pPr>
          </w:p>
        </w:tc>
      </w:tr>
      <w:tr>
        <w:trPr>
          <w:trHeight w:val="215"/>
        </w:trPr>
        <w:tc>
          <w:tcPr>
            <w:tcW w:w="5960" w:type="dxa"/>
            <w:vAlign w:val="bottom"/>
          </w:tcPr>
          <w:p>
            <w:pPr>
              <w:ind w:left="60"/>
              <w:spacing w:after="0"/>
              <w:rPr>
                <w:sz w:val="20"/>
                <w:szCs w:val="20"/>
                <w:color w:val="auto"/>
              </w:rPr>
            </w:pPr>
            <w:r>
              <w:rPr>
                <w:rFonts w:ascii="Arial" w:cs="Arial" w:eastAsia="Arial" w:hAnsi="Arial"/>
                <w:sz w:val="14"/>
                <w:szCs w:val="14"/>
                <w:color w:val="auto"/>
              </w:rPr>
              <w:t>Cash paid for capitalized software and other intangible assets</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(1,078)</w:t>
            </w:r>
          </w:p>
        </w:tc>
        <w:tc>
          <w:tcPr>
            <w:tcW w:w="0" w:type="dxa"/>
            <w:vAlign w:val="bottom"/>
          </w:tcPr>
          <w:p>
            <w:pPr>
              <w:spacing w:after="0"/>
              <w:rPr>
                <w:sz w:val="1"/>
                <w:szCs w:val="1"/>
                <w:color w:val="auto"/>
              </w:rPr>
            </w:pPr>
          </w:p>
        </w:tc>
      </w:tr>
      <w:tr>
        <w:trPr>
          <w:trHeight w:val="223"/>
        </w:trPr>
        <w:tc>
          <w:tcPr>
            <w:tcW w:w="5960" w:type="dxa"/>
            <w:vAlign w:val="bottom"/>
          </w:tcPr>
          <w:p>
            <w:pPr>
              <w:ind w:left="60"/>
              <w:spacing w:after="0"/>
              <w:rPr>
                <w:sz w:val="20"/>
                <w:szCs w:val="20"/>
                <w:color w:val="auto"/>
              </w:rPr>
            </w:pPr>
            <w:r>
              <w:rPr>
                <w:rFonts w:ascii="Arial" w:cs="Arial" w:eastAsia="Arial" w:hAnsi="Arial"/>
                <w:sz w:val="14"/>
                <w:szCs w:val="14"/>
                <w:b w:val="1"/>
                <w:bCs w:val="1"/>
                <w:color w:val="auto"/>
              </w:rPr>
              <w:t>Total Free Cash Flow</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$4,302</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$4,246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$7,384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$8,838</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60"/>
              <w:spacing w:after="0"/>
              <w:rPr>
                <w:sz w:val="20"/>
                <w:szCs w:val="20"/>
                <w:color w:val="auto"/>
              </w:rPr>
            </w:pPr>
            <w:r>
              <w:rPr>
                <w:rFonts w:ascii="Arial" w:cs="Arial" w:eastAsia="Arial" w:hAnsi="Arial"/>
                <w:sz w:val="18"/>
                <w:szCs w:val="18"/>
                <w:b w:val="1"/>
                <w:bCs w:val="1"/>
                <w:color w:val="828282"/>
              </w:rPr>
              <w:t>Alternate Presentation of Free Cash Flow (Unaudited)</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960" w:type="dxa"/>
            <w:vAlign w:val="bottom"/>
            <w:tcBorders>
              <w:bottom w:val="single" w:sz="8" w:color="004EA8"/>
            </w:tcBorders>
            <w:vMerge w:val="continue"/>
          </w:tcPr>
          <w:p>
            <w:pPr>
              <w:spacing w:after="0"/>
              <w:rPr>
                <w:sz w:val="24"/>
                <w:szCs w:val="24"/>
                <w:color w:val="auto"/>
              </w:rPr>
            </w:pPr>
          </w:p>
        </w:tc>
        <w:tc>
          <w:tcPr>
            <w:tcW w:w="1260" w:type="dxa"/>
            <w:vAlign w:val="bottom"/>
            <w:tcBorders>
              <w:bottom w:val="single" w:sz="8" w:color="004EA8"/>
            </w:tcBorders>
          </w:tcPr>
          <w:p>
            <w:pPr>
              <w:spacing w:after="0"/>
              <w:rPr>
                <w:sz w:val="24"/>
                <w:szCs w:val="24"/>
                <w:color w:val="auto"/>
              </w:rPr>
            </w:pPr>
          </w:p>
        </w:tc>
        <w:tc>
          <w:tcPr>
            <w:tcW w:w="120" w:type="dxa"/>
            <w:vAlign w:val="bottom"/>
            <w:tcBorders>
              <w:bottom w:val="single" w:sz="8" w:color="004EA8"/>
            </w:tcBorders>
          </w:tcPr>
          <w:p>
            <w:pPr>
              <w:spacing w:after="0"/>
              <w:rPr>
                <w:sz w:val="24"/>
                <w:szCs w:val="24"/>
                <w:color w:val="auto"/>
              </w:rPr>
            </w:pPr>
          </w:p>
        </w:tc>
        <w:tc>
          <w:tcPr>
            <w:tcW w:w="360" w:type="dxa"/>
            <w:vAlign w:val="bottom"/>
            <w:tcBorders>
              <w:bottom w:val="single" w:sz="8" w:color="004EA8"/>
            </w:tcBorders>
          </w:tcPr>
          <w:p>
            <w:pPr>
              <w:spacing w:after="0"/>
              <w:rPr>
                <w:sz w:val="24"/>
                <w:szCs w:val="24"/>
                <w:color w:val="auto"/>
              </w:rPr>
            </w:pPr>
          </w:p>
        </w:tc>
        <w:tc>
          <w:tcPr>
            <w:tcW w:w="920" w:type="dxa"/>
            <w:vAlign w:val="bottom"/>
            <w:tcBorders>
              <w:bottom w:val="single" w:sz="8" w:color="004EA8"/>
            </w:tcBorders>
          </w:tcPr>
          <w:p>
            <w:pPr>
              <w:spacing w:after="0"/>
              <w:rPr>
                <w:sz w:val="24"/>
                <w:szCs w:val="24"/>
                <w:color w:val="auto"/>
              </w:rPr>
            </w:pPr>
          </w:p>
        </w:tc>
        <w:tc>
          <w:tcPr>
            <w:tcW w:w="120" w:type="dxa"/>
            <w:vAlign w:val="bottom"/>
            <w:tcBorders>
              <w:bottom w:val="single" w:sz="8" w:color="004EA8"/>
            </w:tcBorders>
          </w:tcPr>
          <w:p>
            <w:pPr>
              <w:spacing w:after="0"/>
              <w:rPr>
                <w:sz w:val="24"/>
                <w:szCs w:val="24"/>
                <w:color w:val="auto"/>
              </w:rPr>
            </w:pPr>
          </w:p>
        </w:tc>
        <w:tc>
          <w:tcPr>
            <w:tcW w:w="80" w:type="dxa"/>
            <w:vAlign w:val="bottom"/>
            <w:tcBorders>
              <w:bottom w:val="single" w:sz="8" w:color="004EA8"/>
            </w:tcBorders>
          </w:tcPr>
          <w:p>
            <w:pPr>
              <w:spacing w:after="0"/>
              <w:rPr>
                <w:sz w:val="24"/>
                <w:szCs w:val="24"/>
                <w:color w:val="auto"/>
              </w:rPr>
            </w:pPr>
          </w:p>
        </w:tc>
        <w:tc>
          <w:tcPr>
            <w:tcW w:w="1240" w:type="dxa"/>
            <w:vAlign w:val="bottom"/>
            <w:tcBorders>
              <w:bottom w:val="single" w:sz="8" w:color="004EA8"/>
            </w:tcBorders>
          </w:tcPr>
          <w:p>
            <w:pPr>
              <w:spacing w:after="0"/>
              <w:rPr>
                <w:sz w:val="24"/>
                <w:szCs w:val="24"/>
                <w:color w:val="auto"/>
              </w:rPr>
            </w:pPr>
          </w:p>
        </w:tc>
        <w:tc>
          <w:tcPr>
            <w:tcW w:w="120" w:type="dxa"/>
            <w:vAlign w:val="bottom"/>
            <w:tcBorders>
              <w:bottom w:val="single" w:sz="8" w:color="004EA8"/>
            </w:tcBorders>
          </w:tcPr>
          <w:p>
            <w:pPr>
              <w:spacing w:after="0"/>
              <w:rPr>
                <w:sz w:val="24"/>
                <w:szCs w:val="24"/>
                <w:color w:val="auto"/>
              </w:rPr>
            </w:pPr>
          </w:p>
        </w:tc>
        <w:tc>
          <w:tcPr>
            <w:tcW w:w="340" w:type="dxa"/>
            <w:vAlign w:val="bottom"/>
            <w:tcBorders>
              <w:bottom w:val="single" w:sz="8" w:color="004EA8"/>
            </w:tcBorders>
          </w:tcPr>
          <w:p>
            <w:pPr>
              <w:spacing w:after="0"/>
              <w:rPr>
                <w:sz w:val="24"/>
                <w:szCs w:val="24"/>
                <w:color w:val="auto"/>
              </w:rPr>
            </w:pPr>
          </w:p>
        </w:tc>
        <w:tc>
          <w:tcPr>
            <w:tcW w:w="900" w:type="dxa"/>
            <w:vAlign w:val="bottom"/>
            <w:tcBorders>
              <w:bottom w:val="single" w:sz="8" w:color="004EA8"/>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2860" w:type="dxa"/>
            <w:vAlign w:val="bottom"/>
            <w:gridSpan w:val="6"/>
          </w:tcPr>
          <w:p>
            <w:pPr>
              <w:spacing w:after="0"/>
              <w:rPr>
                <w:sz w:val="18"/>
                <w:szCs w:val="18"/>
                <w:color w:val="auto"/>
              </w:rPr>
            </w:pPr>
          </w:p>
        </w:tc>
        <w:tc>
          <w:tcPr>
            <w:tcW w:w="26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278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960" w:type="dxa"/>
            <w:vAlign w:val="bottom"/>
          </w:tcPr>
          <w:p>
            <w:pPr>
              <w:spacing w:after="0"/>
              <w:rPr>
                <w:sz w:val="16"/>
                <w:szCs w:val="16"/>
                <w:color w:val="auto"/>
              </w:rPr>
            </w:pPr>
          </w:p>
        </w:tc>
        <w:tc>
          <w:tcPr>
            <w:tcW w:w="1740" w:type="dxa"/>
            <w:vAlign w:val="bottom"/>
            <w:gridSpan w:val="3"/>
          </w:tcPr>
          <w:p>
            <w:pPr>
              <w:jc w:val="center"/>
              <w:ind w:left="828"/>
              <w:spacing w:after="0"/>
              <w:rPr>
                <w:sz w:val="20"/>
                <w:szCs w:val="20"/>
                <w:color w:val="auto"/>
              </w:rPr>
            </w:pPr>
            <w:r>
              <w:rPr>
                <w:rFonts w:ascii="Arial" w:cs="Arial" w:eastAsia="Arial" w:hAnsi="Arial"/>
                <w:sz w:val="14"/>
                <w:szCs w:val="14"/>
                <w:b w:val="1"/>
                <w:bCs w:val="1"/>
                <w:color w:val="auto"/>
                <w:w w:val="99"/>
              </w:rPr>
              <w:t>June 30,</w:t>
            </w:r>
          </w:p>
        </w:tc>
        <w:tc>
          <w:tcPr>
            <w:tcW w:w="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3"/>
          </w:tcPr>
          <w:p>
            <w:pPr>
              <w:jc w:val="center"/>
              <w:ind w:left="848"/>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5"/>
        </w:trPr>
        <w:tc>
          <w:tcPr>
            <w:tcW w:w="596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$7,417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$8,716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$14,661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$17,269</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4"/>
                <w:szCs w:val="14"/>
                <w:color w:val="auto"/>
              </w:rPr>
              <w:t>Capital expenditures</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(2,250)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(2,263)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(4,355)</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(531)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(1,078)</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4"/>
                <w:szCs w:val="14"/>
                <w:color w:val="auto"/>
              </w:rPr>
              <w:t>Cash interest expense</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(1,141)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(2,111)</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4"/>
                <w:szCs w:val="14"/>
                <w:color w:val="auto"/>
              </w:rPr>
              <w:t>Cash taxes</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(1,445)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(1,634)</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630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95</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288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533</w:t>
            </w:r>
          </w:p>
        </w:tc>
        <w:tc>
          <w:tcPr>
            <w:tcW w:w="0" w:type="dxa"/>
            <w:vAlign w:val="bottom"/>
          </w:tcPr>
          <w:p>
            <w:pPr>
              <w:spacing w:after="0"/>
              <w:rPr>
                <w:sz w:val="1"/>
                <w:szCs w:val="1"/>
                <w:color w:val="auto"/>
              </w:rPr>
            </w:pPr>
          </w:p>
        </w:tc>
      </w:tr>
      <w:tr>
        <w:trPr>
          <w:trHeight w:val="242"/>
        </w:trPr>
        <w:tc>
          <w:tcPr>
            <w:tcW w:w="5960" w:type="dxa"/>
            <w:vAlign w:val="bottom"/>
          </w:tcPr>
          <w:p>
            <w:pPr>
              <w:spacing w:after="0" w:line="242"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23"/>
                <w:szCs w:val="23"/>
                <w:color w:val="auto"/>
                <w:vertAlign w:val="superscript"/>
              </w:rPr>
              <w:t>(3)</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119</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4"/>
                <w:szCs w:val="14"/>
                <w:b w:val="1"/>
                <w:bCs w:val="1"/>
                <w:color w:val="auto"/>
              </w:rPr>
              <w:t>Total Free Cash Flow</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$4,302</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$4,246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$7,384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$8,838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right="260" w:hanging="278"/>
        <w:spacing w:after="0" w:line="258"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Investment and other (income) loss, net, includes equity in net (income) losses of investees, net, realized and unrealized (gains) losses on equity securities, net, and other (income) loss, net.</w:t>
      </w:r>
    </w:p>
    <w:p>
      <w:pPr>
        <w:spacing w:after="0" w:line="194" w:lineRule="exact"/>
        <w:rPr>
          <w:rFonts w:ascii="Arial" w:cs="Arial" w:eastAsia="Arial" w:hAnsi="Arial"/>
          <w:sz w:val="14"/>
          <w:szCs w:val="14"/>
          <w:color w:val="auto"/>
        </w:rPr>
      </w:pPr>
    </w:p>
    <w:p>
      <w:pPr>
        <w:ind w:left="340" w:right="580" w:hanging="278"/>
        <w:spacing w:after="0" w:line="258"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Second quarter 2019 Adjusted EBITDA excludes $84 million of other operating and administrative expense related to the Sky transaction. 2019 year to date Adjusted EBITDA excludes $135 million of other operating and administrative expense related to the Sky transaction.</w:t>
      </w:r>
    </w:p>
    <w:p>
      <w:pPr>
        <w:spacing w:after="0" w:line="194" w:lineRule="exact"/>
        <w:rPr>
          <w:rFonts w:ascii="Arial" w:cs="Arial" w:eastAsia="Arial" w:hAnsi="Arial"/>
          <w:sz w:val="14"/>
          <w:szCs w:val="14"/>
          <w:color w:val="auto"/>
        </w:rPr>
      </w:pPr>
    </w:p>
    <w:p>
      <w:pPr>
        <w:ind w:left="340" w:right="60" w:hanging="278"/>
        <w:spacing w:after="0" w:line="258"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Other for this presentation includes decreases of $84 million and $135 million of costs related to the Sky transaction in second quarter 2019 and 2019 year to date, respectively, as these amounts are excluded from Adjusted EBITDA.</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16" w:name="page17"/>
    <w:bookmarkEnd w:id="16"/>
    <w:p>
      <w:pPr>
        <w:spacing w:after="0"/>
        <w:rPr>
          <w:sz w:val="20"/>
          <w:szCs w:val="20"/>
          <w:color w:val="auto"/>
        </w:rPr>
      </w:pPr>
      <w:r>
        <w:rPr>
          <w:rFonts w:ascii="Arial" w:cs="Arial" w:eastAsia="Arial" w:hAnsi="Arial"/>
          <w:sz w:val="25"/>
          <w:szCs w:val="25"/>
          <w:b w:val="1"/>
          <w:bCs w:val="1"/>
          <w:color w:val="828282"/>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-128270</wp:posOffset>
            </wp:positionV>
            <wp:extent cx="995045" cy="386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95045" cy="386080"/>
                    </a:xfrm>
                    <a:prstGeom prst="rect">
                      <a:avLst/>
                    </a:prstGeom>
                    <a:noFill/>
                  </pic:spPr>
                </pic:pic>
              </a:graphicData>
            </a:graphic>
          </wp:anchor>
        </w:drawing>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828282"/>
        </w:rPr>
        <w:t>Reconciliation of EPS Excluding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Six Months Ended</w:t>
            </w:r>
          </w:p>
        </w:tc>
        <w:tc>
          <w:tcPr>
            <w:tcW w:w="54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6"/>
                <w:szCs w:val="16"/>
                <w:color w:val="auto"/>
              </w:rPr>
            </w:pPr>
          </w:p>
        </w:tc>
      </w:tr>
      <w:tr>
        <w:trPr>
          <w:trHeight w:val="201"/>
        </w:trPr>
        <w:tc>
          <w:tcPr>
            <w:tcW w:w="5040" w:type="dxa"/>
            <w:vAlign w:val="bottom"/>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2018</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r>
      <w:tr>
        <w:trPr>
          <w:trHeight w:val="225"/>
        </w:trPr>
        <w:tc>
          <w:tcPr>
            <w:tcW w:w="504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01"/>
        </w:trPr>
        <w:tc>
          <w:tcPr>
            <w:tcW w:w="5040" w:type="dxa"/>
            <w:vAlign w:val="bottom"/>
          </w:tcPr>
          <w:p>
            <w:pPr>
              <w:spacing w:after="0"/>
              <w:rPr>
                <w:sz w:val="17"/>
                <w:szCs w:val="17"/>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EPS</w:t>
            </w:r>
          </w:p>
        </w:tc>
        <w:tc>
          <w:tcPr>
            <w:tcW w:w="70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EPS</w:t>
            </w:r>
          </w:p>
        </w:tc>
        <w:tc>
          <w:tcPr>
            <w:tcW w:w="100" w:type="dxa"/>
            <w:vAlign w:val="bottom"/>
          </w:tcPr>
          <w:p>
            <w:pPr>
              <w:spacing w:after="0"/>
              <w:rPr>
                <w:sz w:val="17"/>
                <w:szCs w:val="17"/>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color w:val="auto"/>
              </w:rPr>
              <w:t>EPS</w:t>
            </w: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b w:val="1"/>
                <w:bCs w:val="1"/>
                <w:color w:val="auto"/>
              </w:rPr>
              <w:t>EPS</w:t>
            </w:r>
          </w:p>
        </w:tc>
      </w:tr>
      <w:tr>
        <w:trPr>
          <w:trHeight w:val="427"/>
        </w:trPr>
        <w:tc>
          <w:tcPr>
            <w:tcW w:w="5040" w:type="dxa"/>
            <w:vAlign w:val="bottom"/>
          </w:tcPr>
          <w:p>
            <w:pPr>
              <w:ind w:left="60"/>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$3,216</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$0.69</w:t>
            </w:r>
          </w:p>
        </w:tc>
        <w:tc>
          <w:tcPr>
            <w:tcW w:w="120" w:type="dxa"/>
            <w:vAlign w:val="bottom"/>
          </w:tcPr>
          <w:p>
            <w:pPr>
              <w:spacing w:after="0"/>
              <w:rPr>
                <w:sz w:val="24"/>
                <w:szCs w:val="24"/>
                <w:color w:val="auto"/>
              </w:rPr>
            </w:pP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$3,125</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$0.68</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$6,334</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4"/>
                <w:szCs w:val="24"/>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$6,678</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$1.45</w:t>
            </w:r>
          </w:p>
        </w:tc>
      </w:tr>
      <w:tr>
        <w:trPr>
          <w:trHeight w:val="216"/>
        </w:trPr>
        <w:tc>
          <w:tcPr>
            <w:tcW w:w="5040" w:type="dxa"/>
            <w:vAlign w:val="bottom"/>
          </w:tcPr>
          <w:p>
            <w:pPr>
              <w:ind w:left="60"/>
              <w:spacing w:after="0"/>
              <w:rPr>
                <w:sz w:val="20"/>
                <w:szCs w:val="20"/>
                <w:color w:val="auto"/>
              </w:rPr>
            </w:pPr>
            <w:r>
              <w:rPr>
                <w:rFonts w:ascii="Arial" w:cs="Arial" w:eastAsia="Arial" w:hAnsi="Arial"/>
                <w:sz w:val="14"/>
                <w:szCs w:val="14"/>
                <w:i w:val="1"/>
                <w:iCs w:val="1"/>
                <w:color w:val="auto"/>
              </w:rPr>
              <w:t>Growth %</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i w:val="1"/>
                <w:iCs w:val="1"/>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i w:val="1"/>
                <w:iCs w:val="1"/>
                <w:color w:val="auto"/>
              </w:rPr>
              <w:t>(1.4%)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i w:val="1"/>
                <w:iCs w:val="1"/>
                <w:color w:val="auto"/>
              </w:rPr>
              <w:t>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i w:val="1"/>
                <w:iCs w:val="1"/>
                <w:color w:val="auto"/>
              </w:rPr>
              <w:t>6.6%</w:t>
            </w:r>
          </w:p>
        </w:tc>
      </w:tr>
      <w:tr>
        <w:trPr>
          <w:trHeight w:val="417"/>
        </w:trPr>
        <w:tc>
          <w:tcPr>
            <w:tcW w:w="5040" w:type="dxa"/>
            <w:vAlign w:val="bottom"/>
          </w:tcPr>
          <w:p>
            <w:pPr>
              <w:ind w:left="60"/>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27"/>
                <w:szCs w:val="27"/>
                <w:color w:val="auto"/>
                <w:vertAlign w:val="superscript"/>
              </w:rPr>
              <w:t>(1)</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395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0.08</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795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rPr>
              <w:t>0.17</w:t>
            </w:r>
          </w:p>
        </w:tc>
      </w:tr>
      <w:tr>
        <w:trPr>
          <w:trHeight w:val="276"/>
        </w:trPr>
        <w:tc>
          <w:tcPr>
            <w:tcW w:w="5040" w:type="dxa"/>
            <w:vAlign w:val="bottom"/>
          </w:tcPr>
          <w:p>
            <w:pPr>
              <w:ind w:left="60"/>
              <w:spacing w:after="0" w:line="275" w:lineRule="exact"/>
              <w:rPr>
                <w:sz w:val="20"/>
                <w:szCs w:val="20"/>
                <w:color w:val="auto"/>
              </w:rPr>
            </w:pPr>
            <w:r>
              <w:rPr>
                <w:rFonts w:ascii="Arial" w:cs="Arial" w:eastAsia="Arial" w:hAnsi="Arial"/>
                <w:sz w:val="14"/>
                <w:szCs w:val="14"/>
                <w:color w:val="auto"/>
              </w:rPr>
              <w:t xml:space="preserve">Investments </w:t>
            </w:r>
            <w:r>
              <w:rPr>
                <w:rFonts w:ascii="Arial" w:cs="Arial" w:eastAsia="Arial" w:hAnsi="Arial"/>
                <w:sz w:val="27"/>
                <w:szCs w:val="27"/>
                <w:color w:val="auto"/>
                <w:vertAlign w:val="superscript"/>
              </w:rPr>
              <w:t>(2)</w:t>
            </w:r>
          </w:p>
        </w:tc>
        <w:tc>
          <w:tcPr>
            <w:tcW w:w="70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(0.09)</w:t>
            </w:r>
          </w:p>
        </w:tc>
      </w:tr>
      <w:tr>
        <w:trPr>
          <w:trHeight w:val="157"/>
        </w:trPr>
        <w:tc>
          <w:tcPr>
            <w:tcW w:w="5040" w:type="dxa"/>
            <w:vAlign w:val="bottom"/>
          </w:tcPr>
          <w:p>
            <w:pPr>
              <w:ind w:left="60"/>
              <w:spacing w:after="0" w:line="157" w:lineRule="exact"/>
              <w:rPr>
                <w:sz w:val="20"/>
                <w:szCs w:val="20"/>
                <w:color w:val="auto"/>
              </w:rPr>
            </w:pPr>
            <w:r>
              <w:rPr>
                <w:rFonts w:ascii="Arial" w:cs="Arial" w:eastAsia="Arial" w:hAnsi="Arial"/>
                <w:sz w:val="14"/>
                <w:szCs w:val="14"/>
                <w:color w:val="auto"/>
              </w:rPr>
              <w:t>Items affecting period-over-period comparability:</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16"/>
        </w:trPr>
        <w:tc>
          <w:tcPr>
            <w:tcW w:w="5040" w:type="dxa"/>
            <w:vAlign w:val="bottom"/>
          </w:tcPr>
          <w:p>
            <w:pPr>
              <w:ind w:left="180"/>
              <w:spacing w:after="0" w:line="216" w:lineRule="exact"/>
              <w:rPr>
                <w:sz w:val="20"/>
                <w:szCs w:val="20"/>
                <w:color w:val="auto"/>
              </w:rPr>
            </w:pPr>
            <w:r>
              <w:rPr>
                <w:rFonts w:ascii="Arial" w:cs="Arial" w:eastAsia="Arial" w:hAnsi="Arial"/>
                <w:sz w:val="14"/>
                <w:szCs w:val="14"/>
                <w:color w:val="auto"/>
              </w:rPr>
              <w:t xml:space="preserve">Income tax adjustments </w:t>
            </w:r>
            <w:r>
              <w:rPr>
                <w:rFonts w:ascii="Arial" w:cs="Arial" w:eastAsia="Arial" w:hAnsi="Arial"/>
                <w:sz w:val="25"/>
                <w:szCs w:val="25"/>
                <w:color w:val="auto"/>
                <w:vertAlign w:val="superscript"/>
              </w:rPr>
              <w:t>(3)</w:t>
            </w:r>
          </w:p>
        </w:tc>
        <w:tc>
          <w:tcPr>
            <w:tcW w:w="980" w:type="dxa"/>
            <w:vAlign w:val="bottom"/>
            <w:gridSpan w:val="3"/>
          </w:tcPr>
          <w:p>
            <w:pPr>
              <w:jc w:val="right"/>
              <w:ind w:right="32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w:t>
            </w:r>
          </w:p>
        </w:tc>
        <w:tc>
          <w:tcPr>
            <w:tcW w:w="6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16"/>
        </w:trPr>
        <w:tc>
          <w:tcPr>
            <w:tcW w:w="5040" w:type="dxa"/>
            <w:vAlign w:val="bottom"/>
          </w:tcPr>
          <w:p>
            <w:pPr>
              <w:ind w:left="180"/>
              <w:spacing w:after="0" w:line="216" w:lineRule="exact"/>
              <w:rPr>
                <w:sz w:val="20"/>
                <w:szCs w:val="20"/>
                <w:color w:val="auto"/>
              </w:rPr>
            </w:pPr>
            <w:r>
              <w:rPr>
                <w:rFonts w:ascii="Arial" w:cs="Arial" w:eastAsia="Arial" w:hAnsi="Arial"/>
                <w:sz w:val="14"/>
                <w:szCs w:val="14"/>
                <w:color w:val="auto"/>
              </w:rPr>
              <w:t xml:space="preserve">Gains and losses related to businesses and investments </w:t>
            </w:r>
            <w:r>
              <w:rPr>
                <w:rFonts w:ascii="Arial" w:cs="Arial" w:eastAsia="Arial" w:hAnsi="Arial"/>
                <w:sz w:val="25"/>
                <w:szCs w:val="25"/>
                <w:color w:val="auto"/>
                <w:vertAlign w:val="superscript"/>
              </w:rPr>
              <w:t>(4)</w:t>
            </w:r>
          </w:p>
        </w:tc>
        <w:tc>
          <w:tcPr>
            <w:tcW w:w="70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0.01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(0.02)</w:t>
            </w:r>
          </w:p>
        </w:tc>
      </w:tr>
      <w:tr>
        <w:trPr>
          <w:trHeight w:val="216"/>
        </w:trPr>
        <w:tc>
          <w:tcPr>
            <w:tcW w:w="5040" w:type="dxa"/>
            <w:vAlign w:val="bottom"/>
          </w:tcPr>
          <w:p>
            <w:pPr>
              <w:ind w:left="180"/>
              <w:spacing w:after="0" w:line="216" w:lineRule="exact"/>
              <w:rPr>
                <w:sz w:val="20"/>
                <w:szCs w:val="20"/>
                <w:color w:val="auto"/>
              </w:rPr>
            </w:pPr>
            <w:r>
              <w:rPr>
                <w:rFonts w:ascii="Arial" w:cs="Arial" w:eastAsia="Arial" w:hAnsi="Arial"/>
                <w:sz w:val="14"/>
                <w:szCs w:val="14"/>
                <w:color w:val="auto"/>
              </w:rPr>
              <w:t xml:space="preserve">Costs related to Sky transaction and Twenty-First Century Fox offer </w:t>
            </w:r>
            <w:r>
              <w:rPr>
                <w:rFonts w:ascii="Arial" w:cs="Arial" w:eastAsia="Arial" w:hAnsi="Arial"/>
                <w:sz w:val="25"/>
                <w:szCs w:val="25"/>
                <w:color w:val="auto"/>
                <w:vertAlign w:val="superscript"/>
              </w:rPr>
              <w:t>(5)</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0.01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rPr>
              <w:t>0.02</w:t>
            </w:r>
          </w:p>
        </w:tc>
      </w:tr>
      <w:tr>
        <w:trPr>
          <w:trHeight w:val="230"/>
        </w:trPr>
        <w:tc>
          <w:tcPr>
            <w:tcW w:w="5040" w:type="dxa"/>
            <w:vAlign w:val="bottom"/>
          </w:tcPr>
          <w:p>
            <w:pPr>
              <w:ind w:left="180"/>
              <w:spacing w:after="0" w:line="230" w:lineRule="exact"/>
              <w:rPr>
                <w:sz w:val="20"/>
                <w:szCs w:val="20"/>
                <w:color w:val="auto"/>
              </w:rPr>
            </w:pPr>
            <w:r>
              <w:rPr>
                <w:rFonts w:ascii="Arial" w:cs="Arial" w:eastAsia="Arial" w:hAnsi="Arial"/>
                <w:sz w:val="14"/>
                <w:szCs w:val="14"/>
                <w:color w:val="auto"/>
              </w:rPr>
              <w:t xml:space="preserve">Purchase accounting adjustments </w:t>
            </w:r>
            <w:r>
              <w:rPr>
                <w:rFonts w:ascii="Arial" w:cs="Arial" w:eastAsia="Arial" w:hAnsi="Arial"/>
                <w:sz w:val="26"/>
                <w:szCs w:val="26"/>
                <w:color w:val="auto"/>
                <w:vertAlign w:val="superscript"/>
              </w:rPr>
              <w:t>(6)</w:t>
            </w:r>
          </w:p>
        </w:tc>
        <w:tc>
          <w:tcPr>
            <w:tcW w:w="980" w:type="dxa"/>
            <w:vAlign w:val="bottom"/>
            <w:gridSpan w:val="3"/>
          </w:tcPr>
          <w:p>
            <w:pPr>
              <w:jc w:val="right"/>
              <w:ind w:right="32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w:t>
            </w:r>
          </w:p>
        </w:tc>
        <w:tc>
          <w:tcPr>
            <w:tcW w:w="6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rPr>
              <w:t>0.01</w:t>
            </w:r>
          </w:p>
        </w:tc>
      </w:tr>
      <w:tr>
        <w:trPr>
          <w:trHeight w:val="358"/>
        </w:trPr>
        <w:tc>
          <w:tcPr>
            <w:tcW w:w="504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(excluding</w:t>
            </w: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02"/>
        </w:trPr>
        <w:tc>
          <w:tcPr>
            <w:tcW w:w="5040" w:type="dxa"/>
            <w:vAlign w:val="bottom"/>
          </w:tcPr>
          <w:p>
            <w:pPr>
              <w:ind w:left="180"/>
              <w:spacing w:after="0"/>
              <w:rPr>
                <w:sz w:val="20"/>
                <w:szCs w:val="20"/>
                <w:color w:val="auto"/>
              </w:rPr>
            </w:pPr>
            <w:r>
              <w:rPr>
                <w:rFonts w:ascii="Arial" w:cs="Arial" w:eastAsia="Arial" w:hAnsi="Arial"/>
                <w:sz w:val="14"/>
                <w:szCs w:val="14"/>
                <w:b w:val="1"/>
                <w:bCs w:val="1"/>
                <w:color w:val="auto"/>
              </w:rPr>
              <w:t>adjustments)</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$3,185</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$0.69</w:t>
            </w:r>
          </w:p>
        </w:tc>
        <w:tc>
          <w:tcPr>
            <w:tcW w:w="120" w:type="dxa"/>
            <w:vAlign w:val="bottom"/>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$3,610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$0.78</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$6,232</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$7,087</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$1.54</w:t>
            </w:r>
          </w:p>
        </w:tc>
      </w:tr>
      <w:tr>
        <w:trPr>
          <w:trHeight w:val="20"/>
        </w:trPr>
        <w:tc>
          <w:tcPr>
            <w:tcW w:w="5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97"/>
        </w:trPr>
        <w:tc>
          <w:tcPr>
            <w:tcW w:w="5040" w:type="dxa"/>
            <w:vAlign w:val="bottom"/>
          </w:tcPr>
          <w:p>
            <w:pPr>
              <w:ind w:left="60"/>
              <w:spacing w:after="0"/>
              <w:rPr>
                <w:sz w:val="20"/>
                <w:szCs w:val="20"/>
                <w:color w:val="auto"/>
              </w:rPr>
            </w:pPr>
            <w:r>
              <w:rPr>
                <w:rFonts w:ascii="Arial" w:cs="Arial" w:eastAsia="Arial" w:hAnsi="Arial"/>
                <w:sz w:val="14"/>
                <w:szCs w:val="14"/>
                <w:i w:val="1"/>
                <w:iCs w:val="1"/>
                <w:color w:val="auto"/>
              </w:rPr>
              <w:t>Growth %</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i w:val="1"/>
                <w:iCs w:val="1"/>
                <w:color w:val="auto"/>
              </w:rPr>
              <w:t>13.4%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i w:val="1"/>
                <w:iCs w:val="1"/>
                <w:color w:val="auto"/>
              </w:rPr>
              <w:t>13.0%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i w:val="1"/>
                <w:iCs w:val="1"/>
                <w:color w:val="auto"/>
              </w:rPr>
              <w:t>13.7%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i w:val="1"/>
                <w:iCs w:val="1"/>
                <w:color w:val="auto"/>
              </w:rPr>
              <w:t>15.8%</w:t>
            </w:r>
          </w:p>
        </w:tc>
      </w:tr>
    </w:tbl>
    <w:p>
      <w:pPr>
        <w:spacing w:after="0" w:line="234" w:lineRule="exact"/>
        <w:rPr>
          <w:sz w:val="20"/>
          <w:szCs w:val="20"/>
          <w:color w:val="auto"/>
        </w:rPr>
      </w:pPr>
    </w:p>
    <w:p>
      <w:pPr>
        <w:jc w:val="both"/>
        <w:ind w:left="340" w:hanging="332"/>
        <w:spacing w:after="0" w:line="260"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Acquisition-related intangible assets are recognized as a result of the application of Accounting Standards Codification Topic 805,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(such as customer relationships). Amortization of intangible assets not resulting from business combinations (such as software and acquired intellectual property rights used in our theme parks) is included in Adjusted EPS.</w:t>
      </w:r>
    </w:p>
    <w:p>
      <w:pPr>
        <w:spacing w:after="0" w:line="139"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2120" w:type="dxa"/>
            <w:vAlign w:val="bottom"/>
            <w:gridSpan w:val="4"/>
          </w:tcPr>
          <w:p>
            <w:pPr>
              <w:jc w:val="center"/>
              <w:ind w:left="348"/>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center"/>
              <w:spacing w:after="0"/>
              <w:rPr>
                <w:sz w:val="20"/>
                <w:szCs w:val="20"/>
                <w:color w:val="auto"/>
              </w:rPr>
            </w:pPr>
            <w:r>
              <w:rPr>
                <w:rFonts w:ascii="Arial" w:cs="Arial" w:eastAsia="Arial" w:hAnsi="Arial"/>
                <w:sz w:val="14"/>
                <w:szCs w:val="14"/>
                <w:color w:val="auto"/>
              </w:rPr>
              <w:t>Six Months Ended</w:t>
            </w:r>
          </w:p>
        </w:tc>
      </w:tr>
      <w:tr>
        <w:trPr>
          <w:trHeight w:val="162"/>
        </w:trPr>
        <w:tc>
          <w:tcPr>
            <w:tcW w:w="5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color w:val="auto"/>
              </w:rPr>
              <w:t>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center"/>
              <w:ind w:left="808"/>
              <w:spacing w:after="0"/>
              <w:rPr>
                <w:sz w:val="20"/>
                <w:szCs w:val="20"/>
                <w:color w:val="auto"/>
              </w:rPr>
            </w:pPr>
            <w:r>
              <w:rPr>
                <w:rFonts w:ascii="Arial" w:cs="Arial" w:eastAsia="Arial" w:hAnsi="Arial"/>
                <w:sz w:val="14"/>
                <w:szCs w:val="14"/>
                <w:color w:val="auto"/>
              </w:rPr>
              <w:t>June 30,</w:t>
            </w:r>
          </w:p>
        </w:tc>
        <w:tc>
          <w:tcPr>
            <w:tcW w:w="880" w:type="dxa"/>
            <w:vAlign w:val="bottom"/>
          </w:tcPr>
          <w:p>
            <w:pPr>
              <w:spacing w:after="0"/>
              <w:rPr>
                <w:sz w:val="14"/>
                <w:szCs w:val="14"/>
                <w:color w:val="auto"/>
              </w:rPr>
            </w:pPr>
          </w:p>
        </w:tc>
      </w:tr>
      <w:tr>
        <w:trPr>
          <w:trHeight w:val="157"/>
        </w:trPr>
        <w:tc>
          <w:tcPr>
            <w:tcW w:w="65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2018</w:t>
            </w:r>
          </w:p>
        </w:tc>
        <w:tc>
          <w:tcPr>
            <w:tcW w:w="1340" w:type="dxa"/>
            <w:vAlign w:val="bottom"/>
            <w:gridSpan w:val="3"/>
          </w:tcPr>
          <w:p>
            <w:pPr>
              <w:jc w:val="right"/>
              <w:spacing w:after="0" w:line="157" w:lineRule="exact"/>
              <w:rPr>
                <w:sz w:val="20"/>
                <w:szCs w:val="20"/>
                <w:color w:val="auto"/>
              </w:rPr>
            </w:pPr>
            <w:r>
              <w:rPr>
                <w:rFonts w:ascii="Arial" w:cs="Arial" w:eastAsia="Arial" w:hAnsi="Arial"/>
                <w:sz w:val="14"/>
                <w:szCs w:val="14"/>
                <w:color w:val="auto"/>
              </w:rPr>
              <w:t>2019</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368"/>
              <w:spacing w:after="0" w:line="157"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jc w:val="right"/>
              <w:ind w:right="368"/>
              <w:spacing w:after="0" w:line="157" w:lineRule="exact"/>
              <w:rPr>
                <w:sz w:val="20"/>
                <w:szCs w:val="20"/>
                <w:color w:val="auto"/>
              </w:rPr>
            </w:pPr>
            <w:r>
              <w:rPr>
                <w:rFonts w:ascii="Arial" w:cs="Arial" w:eastAsia="Arial" w:hAnsi="Arial"/>
                <w:sz w:val="14"/>
                <w:szCs w:val="14"/>
                <w:color w:val="auto"/>
              </w:rPr>
              <w:t>2019</w:t>
            </w:r>
          </w:p>
        </w:tc>
      </w:tr>
      <w:tr>
        <w:trPr>
          <w:trHeight w:val="156"/>
        </w:trPr>
        <w:tc>
          <w:tcPr>
            <w:tcW w:w="5720" w:type="dxa"/>
            <w:vAlign w:val="bottom"/>
          </w:tcPr>
          <w:p>
            <w:pPr>
              <w:spacing w:after="0" w:line="155" w:lineRule="exact"/>
              <w:rPr>
                <w:sz w:val="20"/>
                <w:szCs w:val="20"/>
                <w:color w:val="auto"/>
              </w:rPr>
            </w:pPr>
            <w:r>
              <w:rPr>
                <w:rFonts w:ascii="Arial" w:cs="Arial" w:eastAsia="Arial" w:hAnsi="Arial"/>
                <w:sz w:val="14"/>
                <w:szCs w:val="14"/>
                <w:color w:val="auto"/>
              </w:rPr>
              <w:t>Amortization of acquisition-related intangible assets before income taxes</w:t>
            </w:r>
          </w:p>
        </w:tc>
        <w:tc>
          <w:tcPr>
            <w:tcW w:w="7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6"/>
              </w:rPr>
              <w:t>$236</w:t>
            </w:r>
          </w:p>
        </w:tc>
        <w:tc>
          <w:tcPr>
            <w:tcW w:w="120" w:type="dxa"/>
            <w:vAlign w:val="bottom"/>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$499</w:t>
            </w:r>
          </w:p>
        </w:tc>
        <w:tc>
          <w:tcPr>
            <w:tcW w:w="100" w:type="dxa"/>
            <w:vAlign w:val="bottom"/>
          </w:tcPr>
          <w:p>
            <w:pPr>
              <w:spacing w:after="0"/>
              <w:rPr>
                <w:sz w:val="13"/>
                <w:szCs w:val="13"/>
                <w:color w:val="auto"/>
              </w:rPr>
            </w:pPr>
          </w:p>
        </w:tc>
        <w:tc>
          <w:tcPr>
            <w:tcW w:w="12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$441</w:t>
            </w:r>
          </w:p>
        </w:tc>
        <w:tc>
          <w:tcPr>
            <w:tcW w:w="1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$1,003</w:t>
            </w:r>
          </w:p>
        </w:tc>
      </w:tr>
      <w:tr>
        <w:trPr>
          <w:trHeight w:val="156"/>
        </w:trPr>
        <w:tc>
          <w:tcPr>
            <w:tcW w:w="6500" w:type="dxa"/>
            <w:vAlign w:val="bottom"/>
            <w:gridSpan w:val="2"/>
          </w:tcPr>
          <w:p>
            <w:pPr>
              <w:spacing w:after="0" w:line="155" w:lineRule="exact"/>
              <w:rPr>
                <w:sz w:val="20"/>
                <w:szCs w:val="20"/>
                <w:color w:val="auto"/>
              </w:rPr>
            </w:pPr>
            <w:r>
              <w:rPr>
                <w:rFonts w:ascii="Arial" w:cs="Arial" w:eastAsia="Arial" w:hAnsi="Arial"/>
                <w:sz w:val="14"/>
                <w:szCs w:val="14"/>
                <w:color w:val="auto"/>
              </w:rPr>
              <w:t>Amortization of acquisition-related intangible assets, net of tax</w:t>
            </w:r>
          </w:p>
        </w:tc>
        <w:tc>
          <w:tcPr>
            <w:tcW w:w="4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96"/>
              </w:rPr>
              <w:t>$176</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$395</w:t>
            </w:r>
          </w:p>
        </w:tc>
        <w:tc>
          <w:tcPr>
            <w:tcW w:w="100" w:type="dxa"/>
            <w:vAlign w:val="bottom"/>
          </w:tcPr>
          <w:p>
            <w:pPr>
              <w:spacing w:after="0"/>
              <w:rPr>
                <w:sz w:val="13"/>
                <w:szCs w:val="13"/>
                <w:color w:val="auto"/>
              </w:rPr>
            </w:pPr>
          </w:p>
        </w:tc>
        <w:tc>
          <w:tcPr>
            <w:tcW w:w="12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$328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$795</w:t>
            </w:r>
          </w:p>
        </w:tc>
      </w:tr>
      <w:tr>
        <w:trPr>
          <w:trHeight w:val="20"/>
        </w:trPr>
        <w:tc>
          <w:tcPr>
            <w:tcW w:w="5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line="258"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Adjustments for investments include realized and unrealized (gains) losses on equity securities, net (as stated in Table 1), as well as the equity in net (income) losses of investees, net, for our investments in Atairos and Hulu (following May 2019 transaction).</w:t>
      </w:r>
    </w:p>
    <w:p>
      <w:pPr>
        <w:sectPr>
          <w:pgSz w:w="11900" w:h="16838" w:orient="portrait"/>
          <w:cols w:equalWidth="0" w:num="1">
            <w:col w:w="11420"/>
          </w:cols>
          <w:pgMar w:left="240" w:top="8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right="980"/>
        <w:spacing w:after="0" w:line="258" w:lineRule="auto"/>
        <w:rPr>
          <w:sz w:val="20"/>
          <w:szCs w:val="20"/>
          <w:color w:val="auto"/>
        </w:rPr>
      </w:pPr>
      <w:r>
        <w:rPr>
          <w:rFonts w:ascii="Arial" w:cs="Arial" w:eastAsia="Arial" w:hAnsi="Arial"/>
          <w:sz w:val="14"/>
          <w:szCs w:val="14"/>
          <w:color w:val="auto"/>
        </w:rPr>
        <w:t>Realized and unrealized (gains) losses on equity securities, net Equity in net (income) losses of investees, net</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Investments before income taxes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Investments, net of tax</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60" w:type="dxa"/>
            <w:vAlign w:val="bottom"/>
            <w:gridSpan w:val="5"/>
          </w:tcPr>
          <w:p>
            <w:pPr>
              <w:jc w:val="center"/>
              <w:ind w:right="120"/>
              <w:spacing w:after="0"/>
              <w:rPr>
                <w:sz w:val="20"/>
                <w:szCs w:val="20"/>
                <w:color w:val="auto"/>
              </w:rPr>
            </w:pPr>
            <w:r>
              <w:rPr>
                <w:rFonts w:ascii="Arial" w:cs="Arial" w:eastAsia="Arial" w:hAnsi="Arial"/>
                <w:sz w:val="14"/>
                <w:szCs w:val="14"/>
                <w:color w:val="auto"/>
              </w:rPr>
              <w:t>Three Months Ended</w:t>
            </w:r>
          </w:p>
        </w:tc>
        <w:tc>
          <w:tcPr>
            <w:tcW w:w="2520" w:type="dxa"/>
            <w:vAlign w:val="bottom"/>
            <w:gridSpan w:val="4"/>
          </w:tcPr>
          <w:p>
            <w:pPr>
              <w:jc w:val="center"/>
              <w:spacing w:after="0"/>
              <w:rPr>
                <w:sz w:val="20"/>
                <w:szCs w:val="20"/>
                <w:color w:val="auto"/>
              </w:rPr>
            </w:pPr>
            <w:r>
              <w:rPr>
                <w:rFonts w:ascii="Arial" w:cs="Arial" w:eastAsia="Arial" w:hAnsi="Arial"/>
                <w:sz w:val="14"/>
                <w:szCs w:val="14"/>
                <w:color w:val="auto"/>
              </w:rPr>
              <w:t>Six Months Ended</w:t>
            </w:r>
          </w:p>
        </w:tc>
      </w:tr>
      <w:tr>
        <w:trPr>
          <w:trHeight w:val="172"/>
        </w:trPr>
        <w:tc>
          <w:tcPr>
            <w:tcW w:w="1680" w:type="dxa"/>
            <w:vAlign w:val="bottom"/>
            <w:gridSpan w:val="3"/>
          </w:tcPr>
          <w:p>
            <w:pPr>
              <w:jc w:val="center"/>
              <w:ind w:left="808"/>
              <w:spacing w:after="0"/>
              <w:rPr>
                <w:sz w:val="20"/>
                <w:szCs w:val="20"/>
                <w:color w:val="auto"/>
              </w:rPr>
            </w:pPr>
            <w:r>
              <w:rPr>
                <w:rFonts w:ascii="Arial" w:cs="Arial" w:eastAsia="Arial" w:hAnsi="Arial"/>
                <w:sz w:val="14"/>
                <w:szCs w:val="14"/>
                <w:color w:val="auto"/>
              </w:rPr>
              <w:t>June 30,</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center"/>
              <w:ind w:left="808"/>
              <w:spacing w:after="0"/>
              <w:rPr>
                <w:sz w:val="20"/>
                <w:szCs w:val="20"/>
                <w:color w:val="auto"/>
              </w:rPr>
            </w:pPr>
            <w:r>
              <w:rPr>
                <w:rFonts w:ascii="Arial" w:cs="Arial" w:eastAsia="Arial" w:hAnsi="Arial"/>
                <w:sz w:val="14"/>
                <w:szCs w:val="14"/>
                <w:color w:val="auto"/>
              </w:rPr>
              <w:t>June 30,</w:t>
            </w:r>
          </w:p>
        </w:tc>
        <w:tc>
          <w:tcPr>
            <w:tcW w:w="880" w:type="dxa"/>
            <w:vAlign w:val="bottom"/>
          </w:tcPr>
          <w:p>
            <w:pPr>
              <w:spacing w:after="0"/>
              <w:rPr>
                <w:sz w:val="14"/>
                <w:szCs w:val="14"/>
                <w:color w:val="auto"/>
              </w:rPr>
            </w:pPr>
          </w:p>
        </w:tc>
      </w:tr>
      <w:tr>
        <w:trPr>
          <w:trHeight w:val="188"/>
        </w:trPr>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2019</w:t>
            </w:r>
          </w:p>
        </w:tc>
      </w:tr>
      <w:tr>
        <w:trPr>
          <w:trHeight w:val="171"/>
        </w:trPr>
        <w:tc>
          <w:tcPr>
            <w:tcW w:w="122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4"/>
                <w:szCs w:val="1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($408)</w:t>
            </w:r>
          </w:p>
        </w:tc>
      </w:tr>
      <w:tr>
        <w:trPr>
          <w:trHeight w:val="161"/>
        </w:trPr>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r>
      <w:tr>
        <w:trPr>
          <w:trHeight w:val="171"/>
        </w:trPr>
        <w:tc>
          <w:tcPr>
            <w:tcW w:w="122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(616)</w:t>
            </w:r>
          </w:p>
        </w:tc>
      </w:tr>
      <w:tr>
        <w:trPr>
          <w:trHeight w:val="174"/>
        </w:trPr>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20" w:space="720"/>
            <w:col w:w="5180"/>
          </w:cols>
          <w:pgMar w:left="240" w:top="879" w:right="239" w:bottom="1440" w:gutter="0" w:footer="0" w:header="0"/>
          <w:type w:val="continuous"/>
        </w:sectPr>
      </w:pPr>
    </w:p>
    <w:p>
      <w:pPr>
        <w:spacing w:after="0" w:line="4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2018 year to date net income attributable to Comcast Corporation includes a $128 million net income tax benefit as a result of federal tax legislation enacted in 2018.</w:t>
      </w:r>
    </w:p>
    <w:p>
      <w:pPr>
        <w:spacing w:after="0" w:line="163" w:lineRule="exact"/>
        <w:rPr>
          <w:rFonts w:ascii="Arial" w:cs="Arial" w:eastAsia="Arial" w:hAnsi="Arial"/>
          <w:sz w:val="14"/>
          <w:szCs w:val="14"/>
          <w:color w:val="auto"/>
        </w:rPr>
      </w:pPr>
    </w:p>
    <w:p>
      <w:pPr>
        <w:jc w:val="both"/>
        <w:ind w:left="340" w:hanging="332"/>
        <w:spacing w:after="0" w:line="245"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2nd quarter 2019 net income attributable to Comcast Corporation includes $56 million of other losses, $42 million net of tax, related to an impairment of an equity method investment. 2019 year to date net income attributable to Comcast Corporation also includes $159 million of other income, $118 million net of tax, resulting from the recognition of a previously deferred gain related to our investment in Hulu. 2nd quarter and year to date 2018 net income attributable to Comcast Corporation includes $200 million of other operating gains, $148 million net of tax, resulting from the sale of a controlling interest in our arena management-related business. 2018 year to date net income attributable to Comcast Corporation also includes $64 million of other income, $48 million net of tax, resulting from a gain on the sale of our investment in The Weather Channel.</w:t>
      </w:r>
    </w:p>
    <w:p>
      <w:pPr>
        <w:spacing w:after="0" w:line="312" w:lineRule="exact"/>
        <w:rPr>
          <w:rFonts w:ascii="Arial" w:cs="Arial" w:eastAsia="Arial" w:hAnsi="Arial"/>
          <w:sz w:val="14"/>
          <w:szCs w:val="14"/>
          <w:color w:val="auto"/>
        </w:rPr>
      </w:pPr>
    </w:p>
    <w:p>
      <w:pPr>
        <w:jc w:val="both"/>
        <w:ind w:left="340" w:hanging="332"/>
        <w:spacing w:after="0" w:line="245"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2nd quarter 2019 net income attributable to Comcast Corporation includes $84 million of operating costs and expenses, $68 million net of tax, related to the Sky transaction, primarily relating to the replacement of share-based compensation awards and costs related to integration activities. 2019 year to date net income attributable to Comcast Corporation includes $135 million of operating costs and expenses, $109 million net of tax, related to the Sky transaction, primarily relating to the replacement of share-based compensation awards and costs related to integration activities. 2nd quarter 2018 net income attributable to Comcast Corporation includes $20 million of operating costs and expenses and $11 million of interest expense ($31 million in total, $23 million net of tax) related to the Sky and Twenty-First Century Fox offers.</w:t>
      </w:r>
    </w:p>
    <w:p>
      <w:pPr>
        <w:spacing w:after="0" w:line="150"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2019 year to date net income attributable to Comcast Corporation includes $53 million of depreciation and amortization expense, $39 million net of tax, related to the 4th quarter 2018, as a result of adjustments to the purchase price allocation of Sky, primarily related to intangible assets and property and equipment.</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Note: Minor differences may exist due to rounding.</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5"/>
          <w:szCs w:val="25"/>
          <w:b w:val="1"/>
          <w:bCs w:val="1"/>
          <w:color w:val="828282"/>
        </w:rPr>
        <w:t>TABLE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-119380</wp:posOffset>
            </wp:positionV>
            <wp:extent cx="995045" cy="386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95045" cy="386080"/>
                    </a:xfrm>
                    <a:prstGeom prst="rect">
                      <a:avLst/>
                    </a:prstGeom>
                    <a:noFill/>
                  </pic:spPr>
                </pic:pic>
              </a:graphicData>
            </a:graphic>
          </wp:anchor>
        </w:drawing>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828282"/>
        </w:rPr>
        <w:t>Reconciliation of Cable Networks Revenue Excluding 2018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500" w:type="dxa"/>
            <w:vAlign w:val="bottom"/>
            <w:tcBorders>
              <w:right w:val="single" w:sz="8" w:color="auto"/>
            </w:tcBorders>
            <w:gridSpan w:val="6"/>
          </w:tcPr>
          <w:p>
            <w:pPr>
              <w:jc w:val="center"/>
              <w:ind w:right="14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9"/>
                <w:szCs w:val="19"/>
                <w:color w:val="auto"/>
              </w:rPr>
            </w:pPr>
          </w:p>
        </w:tc>
        <w:tc>
          <w:tcPr>
            <w:tcW w:w="2360" w:type="dxa"/>
            <w:vAlign w:val="bottom"/>
            <w:gridSpan w:val="5"/>
          </w:tcPr>
          <w:p>
            <w:pPr>
              <w:jc w:val="center"/>
              <w:ind w:left="839"/>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19"/>
                <w:szCs w:val="19"/>
                <w:color w:val="auto"/>
              </w:rPr>
            </w:pPr>
          </w:p>
        </w:tc>
      </w:tr>
      <w:tr>
        <w:trPr>
          <w:trHeight w:val="215"/>
        </w:trPr>
        <w:tc>
          <w:tcPr>
            <w:tcW w:w="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June 30,</w:t>
            </w:r>
          </w:p>
        </w:tc>
        <w:tc>
          <w:tcPr>
            <w:tcW w:w="900" w:type="dxa"/>
            <w:vAlign w:val="bottom"/>
          </w:tcPr>
          <w:p>
            <w:pPr>
              <w:spacing w:after="0"/>
              <w:rPr>
                <w:sz w:val="18"/>
                <w:szCs w:val="18"/>
                <w:color w:val="auto"/>
              </w:rPr>
            </w:pPr>
          </w:p>
        </w:tc>
      </w:tr>
      <w:tr>
        <w:trPr>
          <w:trHeight w:val="249"/>
        </w:trPr>
        <w:tc>
          <w:tcPr>
            <w:tcW w:w="4580" w:type="dxa"/>
            <w:vAlign w:val="bottom"/>
            <w:gridSpan w:val="2"/>
          </w:tcPr>
          <w:p>
            <w:pPr>
              <w:ind w:left="60"/>
              <w:spacing w:after="0"/>
              <w:rPr>
                <w:sz w:val="20"/>
                <w:szCs w:val="20"/>
                <w:color w:val="auto"/>
              </w:rPr>
            </w:pPr>
            <w:r>
              <w:rPr>
                <w:rFonts w:ascii="Arial" w:cs="Arial" w:eastAsia="Arial" w:hAnsi="Arial"/>
                <w:sz w:val="16"/>
                <w:szCs w:val="16"/>
                <w:color w:val="auto"/>
              </w:rPr>
              <w:t>(in millions)</w:t>
            </w: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Growth %</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Growth %</w:t>
            </w:r>
          </w:p>
        </w:tc>
      </w:tr>
      <w:tr>
        <w:trPr>
          <w:trHeight w:val="244"/>
        </w:trPr>
        <w:tc>
          <w:tcPr>
            <w:tcW w:w="4580" w:type="dxa"/>
            <w:vAlign w:val="bottom"/>
            <w:gridSpan w:val="2"/>
          </w:tcPr>
          <w:p>
            <w:pPr>
              <w:ind w:left="60"/>
              <w:spacing w:after="0"/>
              <w:rPr>
                <w:sz w:val="20"/>
                <w:szCs w:val="20"/>
                <w:color w:val="auto"/>
              </w:rPr>
            </w:pPr>
            <w:r>
              <w:rPr>
                <w:rFonts w:ascii="Arial" w:cs="Arial" w:eastAsia="Arial" w:hAnsi="Arial"/>
                <w:sz w:val="16"/>
                <w:szCs w:val="16"/>
                <w:color w:val="auto"/>
              </w:rPr>
              <w:t>Revenue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$2,874</w:t>
            </w:r>
          </w:p>
        </w:tc>
        <w:tc>
          <w:tcPr>
            <w:tcW w:w="1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$2,947</w:t>
            </w:r>
          </w:p>
        </w:tc>
        <w:tc>
          <w:tcPr>
            <w:tcW w:w="1160" w:type="dxa"/>
            <w:vAlign w:val="bottom"/>
            <w:gridSpan w:val="2"/>
          </w:tcPr>
          <w:p>
            <w:pPr>
              <w:jc w:val="right"/>
              <w:ind w:right="39"/>
              <w:spacing w:after="0"/>
              <w:rPr>
                <w:sz w:val="20"/>
                <w:szCs w:val="20"/>
                <w:color w:val="auto"/>
              </w:rPr>
            </w:pPr>
            <w:r>
              <w:rPr>
                <w:rFonts w:ascii="Arial" w:cs="Arial" w:eastAsia="Arial" w:hAnsi="Arial"/>
                <w:sz w:val="16"/>
                <w:szCs w:val="16"/>
                <w:color w:val="auto"/>
              </w:rPr>
              <w:t>2.5%</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$6,031</w:t>
            </w:r>
          </w:p>
        </w:tc>
        <w:tc>
          <w:tcPr>
            <w:tcW w:w="10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$5,815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63"/>
        </w:trPr>
        <w:tc>
          <w:tcPr>
            <w:tcW w:w="440" w:type="dxa"/>
            <w:vAlign w:val="bottom"/>
          </w:tcPr>
          <w:p>
            <w:pPr>
              <w:ind w:left="60"/>
              <w:spacing w:after="0"/>
              <w:rPr>
                <w:sz w:val="20"/>
                <w:szCs w:val="20"/>
                <w:color w:val="auto"/>
              </w:rPr>
            </w:pPr>
            <w:r>
              <w:rPr>
                <w:rFonts w:ascii="Arial" w:cs="Arial" w:eastAsia="Arial" w:hAnsi="Arial"/>
                <w:sz w:val="16"/>
                <w:szCs w:val="16"/>
                <w:color w:val="auto"/>
              </w:rPr>
              <w:t>2018</w:t>
            </w:r>
          </w:p>
        </w:tc>
        <w:tc>
          <w:tcPr>
            <w:tcW w:w="4140" w:type="dxa"/>
            <w:vAlign w:val="bottom"/>
          </w:tcPr>
          <w:p>
            <w:pPr>
              <w:ind w:left="20"/>
              <w:spacing w:after="0"/>
              <w:rPr>
                <w:sz w:val="20"/>
                <w:szCs w:val="20"/>
                <w:color w:val="auto"/>
              </w:rPr>
            </w:pPr>
            <w:r>
              <w:rPr>
                <w:rFonts w:ascii="Arial" w:cs="Arial" w:eastAsia="Arial" w:hAnsi="Arial"/>
                <w:sz w:val="16"/>
                <w:szCs w:val="16"/>
                <w:color w:val="auto"/>
              </w:rPr>
              <w:t>Olympics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22"/>
                <w:szCs w:val="22"/>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spacing w:after="0"/>
              <w:rPr>
                <w:sz w:val="22"/>
                <w:szCs w:val="22"/>
                <w:color w:val="auto"/>
              </w:rPr>
            </w:pPr>
          </w:p>
        </w:tc>
      </w:tr>
      <w:tr>
        <w:trPr>
          <w:trHeight w:val="250"/>
        </w:trPr>
        <w:tc>
          <w:tcPr>
            <w:tcW w:w="4580" w:type="dxa"/>
            <w:vAlign w:val="bottom"/>
            <w:gridSpan w:val="2"/>
          </w:tcPr>
          <w:p>
            <w:pPr>
              <w:ind w:left="60"/>
              <w:spacing w:after="0"/>
              <w:rPr>
                <w:sz w:val="20"/>
                <w:szCs w:val="20"/>
                <w:color w:val="auto"/>
              </w:rPr>
            </w:pPr>
            <w:r>
              <w:rPr>
                <w:rFonts w:ascii="Arial" w:cs="Arial" w:eastAsia="Arial" w:hAnsi="Arial"/>
                <w:sz w:val="16"/>
                <w:szCs w:val="16"/>
                <w:color w:val="auto"/>
              </w:rPr>
              <w:t>Revenue excluding 2018 Olympics</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$2,874</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$2,947</w:t>
            </w:r>
          </w:p>
        </w:tc>
        <w:tc>
          <w:tcPr>
            <w:tcW w:w="1160" w:type="dxa"/>
            <w:vAlign w:val="bottom"/>
            <w:gridSpan w:val="2"/>
          </w:tcPr>
          <w:p>
            <w:pPr>
              <w:jc w:val="right"/>
              <w:ind w:right="39"/>
              <w:spacing w:after="0"/>
              <w:rPr>
                <w:sz w:val="20"/>
                <w:szCs w:val="20"/>
                <w:color w:val="auto"/>
              </w:rPr>
            </w:pPr>
            <w:r>
              <w:rPr>
                <w:rFonts w:ascii="Arial" w:cs="Arial" w:eastAsia="Arial" w:hAnsi="Arial"/>
                <w:sz w:val="16"/>
                <w:szCs w:val="16"/>
                <w:color w:val="auto"/>
              </w:rPr>
              <w:t>2.5%</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$5,653</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$5,815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20"/>
        </w:trPr>
        <w:tc>
          <w:tcPr>
            <w:tcW w:w="4580" w:type="dxa"/>
            <w:vAlign w:val="bottom"/>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20"/>
        </w:trPr>
        <w:tc>
          <w:tcPr>
            <w:tcW w:w="10520" w:type="dxa"/>
            <w:vAlign w:val="bottom"/>
            <w:tcBorders>
              <w:bottom w:val="single" w:sz="8" w:color="004EA8"/>
            </w:tcBorders>
            <w:gridSpan w:val="14"/>
          </w:tcPr>
          <w:p>
            <w:pPr>
              <w:ind w:left="60"/>
              <w:spacing w:after="0"/>
              <w:rPr>
                <w:sz w:val="20"/>
                <w:szCs w:val="20"/>
                <w:color w:val="auto"/>
              </w:rPr>
            </w:pPr>
            <w:r>
              <w:rPr>
                <w:rFonts w:ascii="Arial" w:cs="Arial" w:eastAsia="Arial" w:hAnsi="Arial"/>
                <w:sz w:val="19"/>
                <w:szCs w:val="19"/>
                <w:b w:val="1"/>
                <w:bCs w:val="1"/>
                <w:color w:val="828282"/>
              </w:rPr>
              <w:t>Reconciliation of Broadcast Television Revenue Excluding 2018 Olympics and 2018 Super Bowl (Unaudited)</w:t>
            </w:r>
          </w:p>
        </w:tc>
        <w:tc>
          <w:tcPr>
            <w:tcW w:w="900" w:type="dxa"/>
            <w:vAlign w:val="bottom"/>
            <w:tcBorders>
              <w:bottom w:val="single" w:sz="8" w:color="004EA8"/>
            </w:tcBorders>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580" w:type="dxa"/>
            <w:vAlign w:val="bottom"/>
            <w:gridSpan w:val="7"/>
          </w:tcPr>
          <w:p>
            <w:pPr>
              <w:spacing w:after="0"/>
              <w:rPr>
                <w:sz w:val="24"/>
                <w:szCs w:val="24"/>
                <w:color w:val="auto"/>
              </w:rPr>
            </w:pPr>
          </w:p>
        </w:tc>
        <w:tc>
          <w:tcPr>
            <w:tcW w:w="236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r>
      <w:tr>
        <w:trPr>
          <w:trHeight w:val="225"/>
        </w:trPr>
        <w:tc>
          <w:tcPr>
            <w:tcW w:w="4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500" w:type="dxa"/>
            <w:vAlign w:val="bottom"/>
            <w:tcBorders>
              <w:right w:val="single" w:sz="8" w:color="auto"/>
            </w:tcBorders>
            <w:gridSpan w:val="6"/>
          </w:tcPr>
          <w:p>
            <w:pPr>
              <w:jc w:val="center"/>
              <w:ind w:right="14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9"/>
                <w:szCs w:val="19"/>
                <w:color w:val="auto"/>
              </w:rPr>
            </w:pPr>
          </w:p>
        </w:tc>
        <w:tc>
          <w:tcPr>
            <w:tcW w:w="2360" w:type="dxa"/>
            <w:vAlign w:val="bottom"/>
            <w:gridSpan w:val="5"/>
          </w:tcPr>
          <w:p>
            <w:pPr>
              <w:jc w:val="center"/>
              <w:ind w:left="839"/>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19"/>
                <w:szCs w:val="19"/>
                <w:color w:val="auto"/>
              </w:rPr>
            </w:pPr>
          </w:p>
        </w:tc>
      </w:tr>
      <w:tr>
        <w:trPr>
          <w:trHeight w:val="215"/>
        </w:trPr>
        <w:tc>
          <w:tcPr>
            <w:tcW w:w="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June 30,</w:t>
            </w:r>
          </w:p>
        </w:tc>
        <w:tc>
          <w:tcPr>
            <w:tcW w:w="900" w:type="dxa"/>
            <w:vAlign w:val="bottom"/>
          </w:tcPr>
          <w:p>
            <w:pPr>
              <w:spacing w:after="0"/>
              <w:rPr>
                <w:sz w:val="18"/>
                <w:szCs w:val="18"/>
                <w:color w:val="auto"/>
              </w:rPr>
            </w:pPr>
          </w:p>
        </w:tc>
      </w:tr>
      <w:tr>
        <w:trPr>
          <w:trHeight w:val="249"/>
        </w:trPr>
        <w:tc>
          <w:tcPr>
            <w:tcW w:w="4580" w:type="dxa"/>
            <w:vAlign w:val="bottom"/>
            <w:gridSpan w:val="2"/>
          </w:tcPr>
          <w:p>
            <w:pPr>
              <w:ind w:left="60"/>
              <w:spacing w:after="0"/>
              <w:rPr>
                <w:sz w:val="20"/>
                <w:szCs w:val="20"/>
                <w:color w:val="auto"/>
              </w:rPr>
            </w:pPr>
            <w:r>
              <w:rPr>
                <w:rFonts w:ascii="Arial" w:cs="Arial" w:eastAsia="Arial" w:hAnsi="Arial"/>
                <w:sz w:val="16"/>
                <w:szCs w:val="16"/>
                <w:color w:val="auto"/>
              </w:rPr>
              <w:t>(in millions)</w:t>
            </w: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Growth %</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Growth %</w:t>
            </w:r>
          </w:p>
        </w:tc>
      </w:tr>
      <w:tr>
        <w:trPr>
          <w:trHeight w:val="244"/>
        </w:trPr>
        <w:tc>
          <w:tcPr>
            <w:tcW w:w="4580" w:type="dxa"/>
            <w:vAlign w:val="bottom"/>
            <w:gridSpan w:val="2"/>
          </w:tcPr>
          <w:p>
            <w:pPr>
              <w:ind w:left="60"/>
              <w:spacing w:after="0"/>
              <w:rPr>
                <w:sz w:val="20"/>
                <w:szCs w:val="20"/>
                <w:color w:val="auto"/>
              </w:rPr>
            </w:pPr>
            <w:r>
              <w:rPr>
                <w:rFonts w:ascii="Arial" w:cs="Arial" w:eastAsia="Arial" w:hAnsi="Arial"/>
                <w:sz w:val="16"/>
                <w:szCs w:val="16"/>
                <w:color w:val="auto"/>
              </w:rPr>
              <w:t>Revenue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$2,391</w:t>
            </w:r>
          </w:p>
        </w:tc>
        <w:tc>
          <w:tcPr>
            <w:tcW w:w="1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$2,402</w:t>
            </w:r>
          </w:p>
        </w:tc>
        <w:tc>
          <w:tcPr>
            <w:tcW w:w="1160" w:type="dxa"/>
            <w:vAlign w:val="bottom"/>
            <w:gridSpan w:val="2"/>
          </w:tcPr>
          <w:p>
            <w:pPr>
              <w:jc w:val="right"/>
              <w:ind w:right="39"/>
              <w:spacing w:after="0"/>
              <w:rPr>
                <w:sz w:val="20"/>
                <w:szCs w:val="20"/>
                <w:color w:val="auto"/>
              </w:rPr>
            </w:pPr>
            <w:r>
              <w:rPr>
                <w:rFonts w:ascii="Arial" w:cs="Arial" w:eastAsia="Arial" w:hAnsi="Arial"/>
                <w:sz w:val="16"/>
                <w:szCs w:val="16"/>
                <w:color w:val="auto"/>
              </w:rPr>
              <w:t>0.5%</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$5,888</w:t>
            </w:r>
          </w:p>
        </w:tc>
        <w:tc>
          <w:tcPr>
            <w:tcW w:w="10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$4,869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43"/>
        </w:trPr>
        <w:tc>
          <w:tcPr>
            <w:tcW w:w="440" w:type="dxa"/>
            <w:vAlign w:val="bottom"/>
          </w:tcPr>
          <w:p>
            <w:pPr>
              <w:ind w:left="60"/>
              <w:spacing w:after="0"/>
              <w:rPr>
                <w:sz w:val="20"/>
                <w:szCs w:val="20"/>
                <w:color w:val="auto"/>
              </w:rPr>
            </w:pPr>
            <w:r>
              <w:rPr>
                <w:rFonts w:ascii="Arial" w:cs="Arial" w:eastAsia="Arial" w:hAnsi="Arial"/>
                <w:sz w:val="16"/>
                <w:szCs w:val="16"/>
                <w:color w:val="auto"/>
              </w:rPr>
              <w:t>2018</w:t>
            </w:r>
          </w:p>
        </w:tc>
        <w:tc>
          <w:tcPr>
            <w:tcW w:w="4140" w:type="dxa"/>
            <w:vAlign w:val="bottom"/>
          </w:tcPr>
          <w:p>
            <w:pPr>
              <w:ind w:left="20"/>
              <w:spacing w:after="0"/>
              <w:rPr>
                <w:sz w:val="20"/>
                <w:szCs w:val="20"/>
                <w:color w:val="auto"/>
              </w:rPr>
            </w:pPr>
            <w:r>
              <w:rPr>
                <w:rFonts w:ascii="Arial" w:cs="Arial" w:eastAsia="Arial" w:hAnsi="Arial"/>
                <w:sz w:val="16"/>
                <w:szCs w:val="16"/>
                <w:color w:val="auto"/>
              </w:rPr>
              <w:t>Olympics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1"/>
                <w:szCs w:val="21"/>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spacing w:after="0"/>
              <w:rPr>
                <w:sz w:val="21"/>
                <w:szCs w:val="21"/>
                <w:color w:val="auto"/>
              </w:rPr>
            </w:pPr>
          </w:p>
        </w:tc>
      </w:tr>
      <w:tr>
        <w:trPr>
          <w:trHeight w:val="249"/>
        </w:trPr>
        <w:tc>
          <w:tcPr>
            <w:tcW w:w="440" w:type="dxa"/>
            <w:vAlign w:val="bottom"/>
          </w:tcPr>
          <w:p>
            <w:pPr>
              <w:ind w:left="60"/>
              <w:spacing w:after="0"/>
              <w:rPr>
                <w:sz w:val="20"/>
                <w:szCs w:val="20"/>
                <w:color w:val="auto"/>
              </w:rPr>
            </w:pPr>
            <w:r>
              <w:rPr>
                <w:rFonts w:ascii="Arial" w:cs="Arial" w:eastAsia="Arial" w:hAnsi="Arial"/>
                <w:sz w:val="16"/>
                <w:szCs w:val="16"/>
                <w:color w:val="auto"/>
              </w:rPr>
              <w:t>2018</w:t>
            </w:r>
          </w:p>
        </w:tc>
        <w:tc>
          <w:tcPr>
            <w:tcW w:w="4140" w:type="dxa"/>
            <w:vAlign w:val="bottom"/>
          </w:tcPr>
          <w:p>
            <w:pPr>
              <w:ind w:left="20"/>
              <w:spacing w:after="0"/>
              <w:rPr>
                <w:sz w:val="20"/>
                <w:szCs w:val="20"/>
                <w:color w:val="auto"/>
              </w:rPr>
            </w:pPr>
            <w:r>
              <w:rPr>
                <w:rFonts w:ascii="Arial" w:cs="Arial" w:eastAsia="Arial" w:hAnsi="Arial"/>
                <w:sz w:val="16"/>
                <w:szCs w:val="16"/>
                <w:color w:val="auto"/>
              </w:rPr>
              <w:t>Super Bowl</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1"/>
                <w:szCs w:val="21"/>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spacing w:after="0"/>
              <w:rPr>
                <w:sz w:val="21"/>
                <w:szCs w:val="21"/>
                <w:color w:val="auto"/>
              </w:rPr>
            </w:pPr>
          </w:p>
        </w:tc>
      </w:tr>
      <w:tr>
        <w:trPr>
          <w:trHeight w:val="250"/>
        </w:trPr>
        <w:tc>
          <w:tcPr>
            <w:tcW w:w="4580" w:type="dxa"/>
            <w:vAlign w:val="bottom"/>
            <w:gridSpan w:val="2"/>
          </w:tcPr>
          <w:p>
            <w:pPr>
              <w:ind w:left="60"/>
              <w:spacing w:after="0"/>
              <w:rPr>
                <w:sz w:val="20"/>
                <w:szCs w:val="20"/>
                <w:color w:val="auto"/>
              </w:rPr>
            </w:pPr>
            <w:r>
              <w:rPr>
                <w:rFonts w:ascii="Arial" w:cs="Arial" w:eastAsia="Arial" w:hAnsi="Arial"/>
                <w:sz w:val="16"/>
                <w:szCs w:val="16"/>
                <w:color w:val="auto"/>
              </w:rPr>
              <w:t>Revenue excluding 2018 Olympics and 2018 Super Bowl</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$2,391</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$2,402</w:t>
            </w:r>
          </w:p>
        </w:tc>
        <w:tc>
          <w:tcPr>
            <w:tcW w:w="1160" w:type="dxa"/>
            <w:vAlign w:val="bottom"/>
            <w:gridSpan w:val="2"/>
          </w:tcPr>
          <w:p>
            <w:pPr>
              <w:jc w:val="right"/>
              <w:ind w:right="39"/>
              <w:spacing w:after="0"/>
              <w:rPr>
                <w:sz w:val="20"/>
                <w:szCs w:val="20"/>
                <w:color w:val="auto"/>
              </w:rPr>
            </w:pPr>
            <w:r>
              <w:rPr>
                <w:rFonts w:ascii="Arial" w:cs="Arial" w:eastAsia="Arial" w:hAnsi="Arial"/>
                <w:sz w:val="16"/>
                <w:szCs w:val="16"/>
                <w:color w:val="auto"/>
              </w:rPr>
              <w:t>0.5%</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$4,695</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$4,869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20"/>
        </w:trPr>
        <w:tc>
          <w:tcPr>
            <w:tcW w:w="4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18" w:name="page19"/>
    <w:bookmarkEnd w:id="18"/>
    <w:p>
      <w:pPr>
        <w:spacing w:after="0"/>
        <w:rPr>
          <w:sz w:val="20"/>
          <w:szCs w:val="20"/>
          <w:color w:val="auto"/>
        </w:rPr>
      </w:pPr>
      <w:r>
        <w:rPr>
          <w:rFonts w:ascii="Arial" w:cs="Arial" w:eastAsia="Arial" w:hAnsi="Arial"/>
          <w:sz w:val="25"/>
          <w:szCs w:val="25"/>
          <w:b w:val="1"/>
          <w:bCs w:val="1"/>
          <w:color w:val="828282"/>
        </w:rPr>
        <w:t>TABLE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-85090</wp:posOffset>
            </wp:positionV>
            <wp:extent cx="995045" cy="386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95045" cy="386080"/>
                    </a:xfrm>
                    <a:prstGeom prst="rect">
                      <a:avLst/>
                    </a:prstGeom>
                    <a:noFill/>
                  </pic:spPr>
                </pic:pic>
              </a:graphicData>
            </a:graphic>
          </wp:anchor>
        </w:drawing>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828282"/>
        </w:rPr>
        <w:t>Reconciliation of As Reported to Pro Forma</w:t>
      </w:r>
      <w:r>
        <w:rPr>
          <w:rFonts w:ascii="Arial" w:cs="Arial" w:eastAsia="Arial" w:hAnsi="Arial"/>
          <w:sz w:val="33"/>
          <w:szCs w:val="33"/>
          <w:b w:val="1"/>
          <w:bCs w:val="1"/>
          <w:color w:val="828282"/>
          <w:vertAlign w:val="superscript"/>
        </w:rPr>
        <w:t>(1)</w:t>
      </w:r>
      <w:r>
        <w:rPr>
          <w:rFonts w:ascii="Arial" w:cs="Arial" w:eastAsia="Arial" w:hAnsi="Arial"/>
          <w:sz w:val="20"/>
          <w:szCs w:val="20"/>
          <w:b w:val="1"/>
          <w:bCs w:val="1"/>
          <w:color w:val="828282"/>
        </w:rPr>
        <w:t xml:space="preserve">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Sky</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Comcast</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3"/>
        </w:trPr>
        <w:tc>
          <w:tcPr>
            <w:tcW w:w="4700" w:type="dxa"/>
            <w:vAlign w:val="bottom"/>
            <w:gridSpan w:val="4"/>
          </w:tcPr>
          <w:p>
            <w:pPr>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Pro Forma</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 Forma</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Pro Forma</w:t>
            </w: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Reported</w:t>
            </w:r>
          </w:p>
        </w:tc>
        <w:tc>
          <w:tcPr>
            <w:tcW w:w="1180" w:type="dxa"/>
            <w:vAlign w:val="bottom"/>
            <w:gridSpan w:val="2"/>
          </w:tcPr>
          <w:p>
            <w:pPr>
              <w:jc w:val="center"/>
              <w:ind w:right="120"/>
              <w:spacing w:after="0" w:line="203" w:lineRule="exact"/>
              <w:rPr>
                <w:sz w:val="20"/>
                <w:szCs w:val="20"/>
                <w:color w:val="auto"/>
              </w:rPr>
            </w:pPr>
            <w:r>
              <w:rPr>
                <w:rFonts w:ascii="Arial" w:cs="Arial" w:eastAsia="Arial" w:hAnsi="Arial"/>
                <w:sz w:val="14"/>
                <w:szCs w:val="14"/>
                <w:b w:val="1"/>
                <w:bCs w:val="1"/>
                <w:color w:val="auto"/>
                <w:w w:val="98"/>
              </w:rPr>
              <w:t>Adjustments</w:t>
            </w:r>
            <w:r>
              <w:rPr>
                <w:rFonts w:ascii="Arial" w:cs="Arial" w:eastAsia="Arial" w:hAnsi="Arial"/>
                <w:sz w:val="23"/>
                <w:szCs w:val="23"/>
                <w:b w:val="1"/>
                <w:bCs w:val="1"/>
                <w:color w:val="auto"/>
                <w:w w:val="98"/>
                <w:vertAlign w:val="superscript"/>
              </w:rPr>
              <w:t>(1)</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Sky</w:t>
            </w: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Reported</w:t>
            </w:r>
          </w:p>
        </w:tc>
        <w:tc>
          <w:tcPr>
            <w:tcW w:w="1120" w:type="dxa"/>
            <w:vAlign w:val="bottom"/>
            <w:gridSpan w:val="2"/>
          </w:tcPr>
          <w:p>
            <w:pPr>
              <w:jc w:val="center"/>
              <w:ind w:right="100"/>
              <w:spacing w:after="0" w:line="203" w:lineRule="exact"/>
              <w:rPr>
                <w:sz w:val="20"/>
                <w:szCs w:val="20"/>
                <w:color w:val="auto"/>
              </w:rPr>
            </w:pPr>
            <w:r>
              <w:rPr>
                <w:rFonts w:ascii="Arial" w:cs="Arial" w:eastAsia="Arial" w:hAnsi="Arial"/>
                <w:sz w:val="14"/>
                <w:szCs w:val="14"/>
                <w:b w:val="1"/>
                <w:bCs w:val="1"/>
                <w:color w:val="auto"/>
                <w:w w:val="98"/>
              </w:rPr>
              <w:t>Adjustments</w:t>
            </w:r>
            <w:r>
              <w:rPr>
                <w:rFonts w:ascii="Arial" w:cs="Arial" w:eastAsia="Arial" w:hAnsi="Arial"/>
                <w:sz w:val="23"/>
                <w:szCs w:val="23"/>
                <w:b w:val="1"/>
                <w:bCs w:val="1"/>
                <w:color w:val="auto"/>
                <w:w w:val="98"/>
                <w:vertAlign w:val="superscript"/>
              </w:rPr>
              <w:t>(1)</w:t>
            </w:r>
          </w:p>
        </w:tc>
        <w:tc>
          <w:tcPr>
            <w:tcW w:w="1020" w:type="dxa"/>
            <w:vAlign w:val="bottom"/>
          </w:tcPr>
          <w:p>
            <w:pPr>
              <w:jc w:val="right"/>
              <w:ind w:right="128"/>
              <w:spacing w:after="0"/>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96"/>
        </w:trPr>
        <w:tc>
          <w:tcPr>
            <w:tcW w:w="470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June 30, 2018</w:t>
            </w: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7"/>
        </w:trPr>
        <w:tc>
          <w:tcPr>
            <w:tcW w:w="24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Revenue</w:t>
            </w:r>
          </w:p>
        </w:tc>
        <w:tc>
          <w:tcPr>
            <w:tcW w:w="230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$4,991</w:t>
            </w:r>
          </w:p>
        </w:tc>
        <w:tc>
          <w:tcPr>
            <w:tcW w:w="14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$4,991</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$21,735</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$4,918</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$26,653</w:t>
            </w:r>
          </w:p>
        </w:tc>
        <w:tc>
          <w:tcPr>
            <w:tcW w:w="0" w:type="dxa"/>
            <w:vAlign w:val="bottom"/>
          </w:tcPr>
          <w:p>
            <w:pPr>
              <w:spacing w:after="0"/>
              <w:rPr>
                <w:sz w:val="1"/>
                <w:szCs w:val="1"/>
                <w:color w:val="auto"/>
              </w:rPr>
            </w:pPr>
          </w:p>
        </w:tc>
      </w:tr>
      <w:tr>
        <w:trPr>
          <w:trHeight w:val="377"/>
        </w:trPr>
        <w:tc>
          <w:tcPr>
            <w:tcW w:w="4700" w:type="dxa"/>
            <w:vAlign w:val="bottom"/>
            <w:gridSpan w:val="4"/>
          </w:tcPr>
          <w:p>
            <w:pPr>
              <w:spacing w:after="0"/>
              <w:rPr>
                <w:sz w:val="20"/>
                <w:szCs w:val="20"/>
                <w:color w:val="auto"/>
              </w:rPr>
            </w:pPr>
            <w:r>
              <w:rPr>
                <w:rFonts w:ascii="Arial" w:cs="Arial" w:eastAsia="Arial" w:hAnsi="Arial"/>
                <w:sz w:val="14"/>
                <w:szCs w:val="14"/>
                <w:color w:val="auto"/>
              </w:rPr>
              <w:t>Operating costs and expenses and other</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4,311</w:t>
            </w:r>
          </w:p>
        </w:tc>
        <w:tc>
          <w:tcPr>
            <w:tcW w:w="140" w:type="dxa"/>
            <w:vAlign w:val="bottom"/>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4,311</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14,318</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4,237</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18,555</w:t>
            </w:r>
          </w:p>
        </w:tc>
        <w:tc>
          <w:tcPr>
            <w:tcW w:w="0" w:type="dxa"/>
            <w:vAlign w:val="bottom"/>
          </w:tcPr>
          <w:p>
            <w:pPr>
              <w:spacing w:after="0"/>
              <w:rPr>
                <w:sz w:val="1"/>
                <w:szCs w:val="1"/>
                <w:color w:val="auto"/>
              </w:rPr>
            </w:pPr>
          </w:p>
        </w:tc>
      </w:tr>
      <w:tr>
        <w:trPr>
          <w:trHeight w:val="399"/>
        </w:trPr>
        <w:tc>
          <w:tcPr>
            <w:tcW w:w="4700" w:type="dxa"/>
            <w:vAlign w:val="bottom"/>
            <w:gridSpan w:val="4"/>
          </w:tcPr>
          <w:p>
            <w:pPr>
              <w:spacing w:after="0"/>
              <w:rPr>
                <w:sz w:val="20"/>
                <w:szCs w:val="20"/>
                <w:color w:val="auto"/>
              </w:rPr>
            </w:pPr>
            <w:r>
              <w:rPr>
                <w:rFonts w:ascii="Arial" w:cs="Arial" w:eastAsia="Arial" w:hAnsi="Arial"/>
                <w:sz w:val="14"/>
                <w:szCs w:val="14"/>
                <w:color w:val="auto"/>
              </w:rPr>
              <w:t>Adjusted EBITDA</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$680</w:t>
            </w:r>
          </w:p>
        </w:tc>
        <w:tc>
          <w:tcPr>
            <w:tcW w:w="14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$7,417</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$8,098</w:t>
            </w:r>
          </w:p>
        </w:tc>
        <w:tc>
          <w:tcPr>
            <w:tcW w:w="0" w:type="dxa"/>
            <w:vAlign w:val="bottom"/>
          </w:tcPr>
          <w:p>
            <w:pPr>
              <w:spacing w:after="0"/>
              <w:rPr>
                <w:sz w:val="1"/>
                <w:szCs w:val="1"/>
                <w:color w:val="auto"/>
              </w:rPr>
            </w:pPr>
          </w:p>
        </w:tc>
      </w:tr>
      <w:tr>
        <w:trPr>
          <w:trHeight w:val="20"/>
        </w:trPr>
        <w:tc>
          <w:tcPr>
            <w:tcW w:w="4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Three Months Ended June 30, 2019</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00" w:type="dxa"/>
            <w:vAlign w:val="bottom"/>
            <w:gridSpan w:val="4"/>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4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Revenue</w:t>
            </w:r>
          </w:p>
        </w:tc>
        <w:tc>
          <w:tcPr>
            <w:tcW w:w="230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$4,828</w:t>
            </w:r>
          </w:p>
        </w:tc>
        <w:tc>
          <w:tcPr>
            <w:tcW w:w="12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$4,828</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$26,858</w:t>
            </w: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$26,858</w:t>
            </w:r>
          </w:p>
        </w:tc>
        <w:tc>
          <w:tcPr>
            <w:tcW w:w="0" w:type="dxa"/>
            <w:vAlign w:val="bottom"/>
          </w:tcPr>
          <w:p>
            <w:pPr>
              <w:spacing w:after="0"/>
              <w:rPr>
                <w:sz w:val="1"/>
                <w:szCs w:val="1"/>
                <w:color w:val="auto"/>
              </w:rPr>
            </w:pPr>
          </w:p>
        </w:tc>
      </w:tr>
      <w:tr>
        <w:trPr>
          <w:trHeight w:val="377"/>
        </w:trPr>
        <w:tc>
          <w:tcPr>
            <w:tcW w:w="4700" w:type="dxa"/>
            <w:vAlign w:val="bottom"/>
            <w:gridSpan w:val="4"/>
          </w:tcPr>
          <w:p>
            <w:pPr>
              <w:spacing w:after="0"/>
              <w:rPr>
                <w:sz w:val="20"/>
                <w:szCs w:val="20"/>
                <w:color w:val="auto"/>
              </w:rPr>
            </w:pPr>
            <w:r>
              <w:rPr>
                <w:rFonts w:ascii="Arial" w:cs="Arial" w:eastAsia="Arial" w:hAnsi="Arial"/>
                <w:sz w:val="14"/>
                <w:szCs w:val="14"/>
                <w:color w:val="auto"/>
              </w:rPr>
              <w:t>Operating costs and expenses and other</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4,056</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4,056</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18,142</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18,142</w:t>
            </w:r>
          </w:p>
        </w:tc>
        <w:tc>
          <w:tcPr>
            <w:tcW w:w="0" w:type="dxa"/>
            <w:vAlign w:val="bottom"/>
          </w:tcPr>
          <w:p>
            <w:pPr>
              <w:spacing w:after="0"/>
              <w:rPr>
                <w:sz w:val="1"/>
                <w:szCs w:val="1"/>
                <w:color w:val="auto"/>
              </w:rPr>
            </w:pPr>
          </w:p>
        </w:tc>
      </w:tr>
      <w:tr>
        <w:trPr>
          <w:trHeight w:val="399"/>
        </w:trPr>
        <w:tc>
          <w:tcPr>
            <w:tcW w:w="4700" w:type="dxa"/>
            <w:vAlign w:val="bottom"/>
            <w:gridSpan w:val="4"/>
          </w:tcPr>
          <w:p>
            <w:pPr>
              <w:spacing w:after="0"/>
              <w:rPr>
                <w:sz w:val="20"/>
                <w:szCs w:val="20"/>
                <w:color w:val="auto"/>
              </w:rPr>
            </w:pPr>
            <w:r>
              <w:rPr>
                <w:rFonts w:ascii="Arial" w:cs="Arial" w:eastAsia="Arial" w:hAnsi="Arial"/>
                <w:sz w:val="14"/>
                <w:szCs w:val="14"/>
                <w:color w:val="auto"/>
              </w:rPr>
              <w:t>Adjusted EBITDA</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$772</w:t>
            </w:r>
          </w:p>
        </w:tc>
        <w:tc>
          <w:tcPr>
            <w:tcW w:w="12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$8,716</w:t>
            </w: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$8,716</w:t>
            </w:r>
          </w:p>
        </w:tc>
        <w:tc>
          <w:tcPr>
            <w:tcW w:w="0" w:type="dxa"/>
            <w:vAlign w:val="bottom"/>
          </w:tcPr>
          <w:p>
            <w:pPr>
              <w:spacing w:after="0"/>
              <w:rPr>
                <w:sz w:val="1"/>
                <w:szCs w:val="1"/>
                <w:color w:val="auto"/>
              </w:rPr>
            </w:pPr>
          </w:p>
        </w:tc>
      </w:tr>
      <w:tr>
        <w:trPr>
          <w:trHeight w:val="20"/>
        </w:trPr>
        <w:tc>
          <w:tcPr>
            <w:tcW w:w="4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Growth Rates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00" w:type="dxa"/>
            <w:vAlign w:val="bottom"/>
            <w:gridSpan w:val="4"/>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Revenue</w:t>
            </w:r>
          </w:p>
        </w:tc>
        <w:tc>
          <w:tcPr>
            <w:tcW w:w="3760" w:type="dxa"/>
            <w:vAlign w:val="bottom"/>
            <w:gridSpan w:val="3"/>
          </w:tcPr>
          <w:p>
            <w:pPr>
              <w:spacing w:after="0"/>
              <w:rPr>
                <w:sz w:val="19"/>
                <w:szCs w:val="19"/>
                <w:color w:val="auto"/>
              </w:rPr>
            </w:pPr>
          </w:p>
        </w:tc>
        <w:tc>
          <w:tcPr>
            <w:tcW w:w="1160" w:type="dxa"/>
            <w:vAlign w:val="bottom"/>
            <w:gridSpan w:val="2"/>
          </w:tcPr>
          <w:p>
            <w:pPr>
              <w:ind w:left="700"/>
              <w:spacing w:after="0"/>
              <w:rPr>
                <w:sz w:val="20"/>
                <w:szCs w:val="20"/>
                <w:color w:val="auto"/>
              </w:rPr>
            </w:pPr>
            <w:r>
              <w:rPr>
                <w:rFonts w:ascii="Arial" w:cs="Arial" w:eastAsia="Arial" w:hAnsi="Arial"/>
                <w:sz w:val="14"/>
                <w:szCs w:val="14"/>
                <w:color w:val="auto"/>
              </w:rPr>
              <w:t>NM</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9"/>
                <w:szCs w:val="19"/>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16"/>
        </w:trPr>
        <w:tc>
          <w:tcPr>
            <w:tcW w:w="4700" w:type="dxa"/>
            <w:vAlign w:val="bottom"/>
            <w:gridSpan w:val="4"/>
          </w:tcPr>
          <w:p>
            <w:pPr>
              <w:spacing w:after="0"/>
              <w:rPr>
                <w:sz w:val="20"/>
                <w:szCs w:val="20"/>
                <w:color w:val="auto"/>
              </w:rPr>
            </w:pPr>
            <w:r>
              <w:rPr>
                <w:rFonts w:ascii="Arial" w:cs="Arial" w:eastAsia="Arial" w:hAnsi="Arial"/>
                <w:sz w:val="14"/>
                <w:szCs w:val="14"/>
                <w:color w:val="auto"/>
              </w:rPr>
              <w:t>Operating costs and expenses and other</w:t>
            </w:r>
          </w:p>
        </w:tc>
        <w:tc>
          <w:tcPr>
            <w:tcW w:w="1160" w:type="dxa"/>
            <w:vAlign w:val="bottom"/>
            <w:gridSpan w:val="2"/>
          </w:tcPr>
          <w:p>
            <w:pPr>
              <w:ind w:left="700"/>
              <w:spacing w:after="0"/>
              <w:rPr>
                <w:sz w:val="20"/>
                <w:szCs w:val="20"/>
                <w:color w:val="auto"/>
              </w:rPr>
            </w:pPr>
            <w:r>
              <w:rPr>
                <w:rFonts w:ascii="Arial" w:cs="Arial" w:eastAsia="Arial" w:hAnsi="Arial"/>
                <w:sz w:val="14"/>
                <w:szCs w:val="14"/>
                <w:color w:val="auto"/>
              </w:rPr>
              <w:t>NM</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16"/>
        </w:trPr>
        <w:tc>
          <w:tcPr>
            <w:tcW w:w="4700" w:type="dxa"/>
            <w:vAlign w:val="bottom"/>
            <w:gridSpan w:val="4"/>
          </w:tcPr>
          <w:p>
            <w:pPr>
              <w:spacing w:after="0"/>
              <w:rPr>
                <w:sz w:val="20"/>
                <w:szCs w:val="20"/>
                <w:color w:val="auto"/>
              </w:rPr>
            </w:pPr>
            <w:r>
              <w:rPr>
                <w:rFonts w:ascii="Arial" w:cs="Arial" w:eastAsia="Arial" w:hAnsi="Arial"/>
                <w:sz w:val="14"/>
                <w:szCs w:val="14"/>
                <w:color w:val="auto"/>
              </w:rPr>
              <w:t>Adjusted EBITDA</w:t>
            </w:r>
          </w:p>
        </w:tc>
        <w:tc>
          <w:tcPr>
            <w:tcW w:w="1160" w:type="dxa"/>
            <w:vAlign w:val="bottom"/>
            <w:gridSpan w:val="2"/>
          </w:tcPr>
          <w:p>
            <w:pPr>
              <w:ind w:left="700"/>
              <w:spacing w:after="0"/>
              <w:rPr>
                <w:sz w:val="20"/>
                <w:szCs w:val="20"/>
                <w:color w:val="auto"/>
              </w:rPr>
            </w:pPr>
            <w:r>
              <w:rPr>
                <w:rFonts w:ascii="Arial" w:cs="Arial" w:eastAsia="Arial" w:hAnsi="Arial"/>
                <w:sz w:val="14"/>
                <w:szCs w:val="14"/>
                <w:color w:val="auto"/>
              </w:rPr>
              <w:t>NM</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431"/>
        </w:trPr>
        <w:tc>
          <w:tcPr>
            <w:tcW w:w="9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Six Months Ended June 30, 2018</w:t>
            </w:r>
          </w:p>
        </w:tc>
        <w:tc>
          <w:tcPr>
            <w:tcW w:w="246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70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$10,040</w:t>
            </w:r>
          </w:p>
        </w:tc>
        <w:tc>
          <w:tcPr>
            <w:tcW w:w="14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$10,040</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$44,526</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$9,889</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$54,415</w:t>
            </w:r>
          </w:p>
        </w:tc>
        <w:tc>
          <w:tcPr>
            <w:tcW w:w="0" w:type="dxa"/>
            <w:vAlign w:val="bottom"/>
          </w:tcPr>
          <w:p>
            <w:pPr>
              <w:spacing w:after="0"/>
              <w:rPr>
                <w:sz w:val="1"/>
                <w:szCs w:val="1"/>
                <w:color w:val="auto"/>
              </w:rPr>
            </w:pPr>
          </w:p>
        </w:tc>
      </w:tr>
      <w:tr>
        <w:trPr>
          <w:trHeight w:val="377"/>
        </w:trPr>
        <w:tc>
          <w:tcPr>
            <w:tcW w:w="4700" w:type="dxa"/>
            <w:vAlign w:val="bottom"/>
            <w:gridSpan w:val="4"/>
          </w:tcPr>
          <w:p>
            <w:pPr>
              <w:spacing w:after="0"/>
              <w:rPr>
                <w:sz w:val="20"/>
                <w:szCs w:val="20"/>
                <w:color w:val="auto"/>
              </w:rPr>
            </w:pPr>
            <w:r>
              <w:rPr>
                <w:rFonts w:ascii="Arial" w:cs="Arial" w:eastAsia="Arial" w:hAnsi="Arial"/>
                <w:sz w:val="14"/>
                <w:szCs w:val="14"/>
                <w:color w:val="auto"/>
              </w:rPr>
              <w:t>Operating costs and expenses and other</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8,561</w:t>
            </w:r>
          </w:p>
        </w:tc>
        <w:tc>
          <w:tcPr>
            <w:tcW w:w="140" w:type="dxa"/>
            <w:vAlign w:val="bottom"/>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8,561</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29,865</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8,413</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38,278</w:t>
            </w:r>
          </w:p>
        </w:tc>
        <w:tc>
          <w:tcPr>
            <w:tcW w:w="0" w:type="dxa"/>
            <w:vAlign w:val="bottom"/>
          </w:tcPr>
          <w:p>
            <w:pPr>
              <w:spacing w:after="0"/>
              <w:rPr>
                <w:sz w:val="1"/>
                <w:szCs w:val="1"/>
                <w:color w:val="auto"/>
              </w:rPr>
            </w:pPr>
          </w:p>
        </w:tc>
      </w:tr>
      <w:tr>
        <w:trPr>
          <w:trHeight w:val="399"/>
        </w:trPr>
        <w:tc>
          <w:tcPr>
            <w:tcW w:w="4700" w:type="dxa"/>
            <w:vAlign w:val="bottom"/>
            <w:gridSpan w:val="4"/>
          </w:tcPr>
          <w:p>
            <w:pPr>
              <w:spacing w:after="0"/>
              <w:rPr>
                <w:sz w:val="20"/>
                <w:szCs w:val="20"/>
                <w:color w:val="auto"/>
              </w:rPr>
            </w:pPr>
            <w:r>
              <w:rPr>
                <w:rFonts w:ascii="Arial" w:cs="Arial" w:eastAsia="Arial" w:hAnsi="Arial"/>
                <w:sz w:val="14"/>
                <w:szCs w:val="14"/>
                <w:color w:val="auto"/>
              </w:rPr>
              <w:t>Adjusted EBITDA</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$1,479</w:t>
            </w:r>
          </w:p>
        </w:tc>
        <w:tc>
          <w:tcPr>
            <w:tcW w:w="14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$1,479</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$14,661</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$1,476</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$16,137</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 2019</w:t>
            </w:r>
          </w:p>
        </w:tc>
        <w:tc>
          <w:tcPr>
            <w:tcW w:w="2460" w:type="dxa"/>
            <w:vAlign w:val="bottom"/>
            <w:gridSpan w:val="2"/>
            <w:vMerge w:val="restart"/>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240" w:type="dxa"/>
            <w:vAlign w:val="bottom"/>
            <w:tcBorders>
              <w:bottom w:val="single" w:sz="8" w:color="auto"/>
            </w:tcBorders>
            <w:gridSpan w:val="2"/>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70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$9,625</w:t>
            </w:r>
          </w:p>
        </w:tc>
        <w:tc>
          <w:tcPr>
            <w:tcW w:w="12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$9,625</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$53,717</w:t>
            </w: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$53,717</w:t>
            </w:r>
          </w:p>
        </w:tc>
        <w:tc>
          <w:tcPr>
            <w:tcW w:w="0" w:type="dxa"/>
            <w:vAlign w:val="bottom"/>
          </w:tcPr>
          <w:p>
            <w:pPr>
              <w:spacing w:after="0"/>
              <w:rPr>
                <w:sz w:val="1"/>
                <w:szCs w:val="1"/>
                <w:color w:val="auto"/>
              </w:rPr>
            </w:pPr>
          </w:p>
        </w:tc>
      </w:tr>
      <w:tr>
        <w:trPr>
          <w:trHeight w:val="377"/>
        </w:trPr>
        <w:tc>
          <w:tcPr>
            <w:tcW w:w="4700" w:type="dxa"/>
            <w:vAlign w:val="bottom"/>
            <w:gridSpan w:val="4"/>
          </w:tcPr>
          <w:p>
            <w:pPr>
              <w:spacing w:after="0"/>
              <w:rPr>
                <w:sz w:val="20"/>
                <w:szCs w:val="20"/>
                <w:color w:val="auto"/>
              </w:rPr>
            </w:pPr>
            <w:r>
              <w:rPr>
                <w:rFonts w:ascii="Arial" w:cs="Arial" w:eastAsia="Arial" w:hAnsi="Arial"/>
                <w:sz w:val="14"/>
                <w:szCs w:val="14"/>
                <w:color w:val="auto"/>
              </w:rPr>
              <w:t>Operating costs and expenses and other</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8,190</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8,190</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36,448</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36,448</w:t>
            </w:r>
          </w:p>
        </w:tc>
        <w:tc>
          <w:tcPr>
            <w:tcW w:w="0" w:type="dxa"/>
            <w:vAlign w:val="bottom"/>
          </w:tcPr>
          <w:p>
            <w:pPr>
              <w:spacing w:after="0"/>
              <w:rPr>
                <w:sz w:val="1"/>
                <w:szCs w:val="1"/>
                <w:color w:val="auto"/>
              </w:rPr>
            </w:pPr>
          </w:p>
        </w:tc>
      </w:tr>
      <w:tr>
        <w:trPr>
          <w:trHeight w:val="399"/>
        </w:trPr>
        <w:tc>
          <w:tcPr>
            <w:tcW w:w="4700" w:type="dxa"/>
            <w:vAlign w:val="bottom"/>
            <w:gridSpan w:val="4"/>
          </w:tcPr>
          <w:p>
            <w:pPr>
              <w:spacing w:after="0"/>
              <w:rPr>
                <w:sz w:val="20"/>
                <w:szCs w:val="20"/>
                <w:color w:val="auto"/>
              </w:rPr>
            </w:pPr>
            <w:r>
              <w:rPr>
                <w:rFonts w:ascii="Arial" w:cs="Arial" w:eastAsia="Arial" w:hAnsi="Arial"/>
                <w:sz w:val="14"/>
                <w:szCs w:val="14"/>
                <w:color w:val="auto"/>
              </w:rPr>
              <w:t>Adjusted EBITDA</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$1,435</w:t>
            </w:r>
          </w:p>
        </w:tc>
        <w:tc>
          <w:tcPr>
            <w:tcW w:w="12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$1,435</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$17,269</w:t>
            </w: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$17,269</w:t>
            </w:r>
          </w:p>
        </w:tc>
        <w:tc>
          <w:tcPr>
            <w:tcW w:w="0" w:type="dxa"/>
            <w:vAlign w:val="bottom"/>
          </w:tcPr>
          <w:p>
            <w:pPr>
              <w:spacing w:after="0"/>
              <w:rPr>
                <w:sz w:val="1"/>
                <w:szCs w:val="1"/>
                <w:color w:val="auto"/>
              </w:rPr>
            </w:pPr>
          </w:p>
        </w:tc>
      </w:tr>
      <w:tr>
        <w:trPr>
          <w:trHeight w:val="20"/>
        </w:trPr>
        <w:tc>
          <w:tcPr>
            <w:tcW w:w="4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Growth Rates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00" w:type="dxa"/>
            <w:vAlign w:val="bottom"/>
            <w:gridSpan w:val="4"/>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Revenue</w:t>
            </w:r>
          </w:p>
        </w:tc>
        <w:tc>
          <w:tcPr>
            <w:tcW w:w="3760" w:type="dxa"/>
            <w:vAlign w:val="bottom"/>
            <w:gridSpan w:val="3"/>
          </w:tcPr>
          <w:p>
            <w:pPr>
              <w:spacing w:after="0"/>
              <w:rPr>
                <w:sz w:val="19"/>
                <w:szCs w:val="19"/>
                <w:color w:val="auto"/>
              </w:rPr>
            </w:pPr>
          </w:p>
        </w:tc>
        <w:tc>
          <w:tcPr>
            <w:tcW w:w="1160" w:type="dxa"/>
            <w:vAlign w:val="bottom"/>
            <w:gridSpan w:val="2"/>
          </w:tcPr>
          <w:p>
            <w:pPr>
              <w:ind w:left="700"/>
              <w:spacing w:after="0"/>
              <w:rPr>
                <w:sz w:val="20"/>
                <w:szCs w:val="20"/>
                <w:color w:val="auto"/>
              </w:rPr>
            </w:pPr>
            <w:r>
              <w:rPr>
                <w:rFonts w:ascii="Arial" w:cs="Arial" w:eastAsia="Arial" w:hAnsi="Arial"/>
                <w:sz w:val="14"/>
                <w:szCs w:val="14"/>
                <w:color w:val="auto"/>
              </w:rPr>
              <w:t>NM</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9"/>
                <w:szCs w:val="19"/>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6"/>
        </w:trPr>
        <w:tc>
          <w:tcPr>
            <w:tcW w:w="4700" w:type="dxa"/>
            <w:vAlign w:val="bottom"/>
            <w:gridSpan w:val="4"/>
          </w:tcPr>
          <w:p>
            <w:pPr>
              <w:spacing w:after="0"/>
              <w:rPr>
                <w:sz w:val="20"/>
                <w:szCs w:val="20"/>
                <w:color w:val="auto"/>
              </w:rPr>
            </w:pPr>
            <w:r>
              <w:rPr>
                <w:rFonts w:ascii="Arial" w:cs="Arial" w:eastAsia="Arial" w:hAnsi="Arial"/>
                <w:sz w:val="14"/>
                <w:szCs w:val="14"/>
                <w:color w:val="auto"/>
              </w:rPr>
              <w:t>Operating costs and expenses and other</w:t>
            </w:r>
          </w:p>
        </w:tc>
        <w:tc>
          <w:tcPr>
            <w:tcW w:w="1160" w:type="dxa"/>
            <w:vAlign w:val="bottom"/>
            <w:gridSpan w:val="2"/>
          </w:tcPr>
          <w:p>
            <w:pPr>
              <w:ind w:left="700"/>
              <w:spacing w:after="0"/>
              <w:rPr>
                <w:sz w:val="20"/>
                <w:szCs w:val="20"/>
                <w:color w:val="auto"/>
              </w:rPr>
            </w:pPr>
            <w:r>
              <w:rPr>
                <w:rFonts w:ascii="Arial" w:cs="Arial" w:eastAsia="Arial" w:hAnsi="Arial"/>
                <w:sz w:val="14"/>
                <w:szCs w:val="14"/>
                <w:color w:val="auto"/>
              </w:rPr>
              <w:t>NM</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16"/>
        </w:trPr>
        <w:tc>
          <w:tcPr>
            <w:tcW w:w="4700" w:type="dxa"/>
            <w:vAlign w:val="bottom"/>
            <w:gridSpan w:val="4"/>
          </w:tcPr>
          <w:p>
            <w:pPr>
              <w:spacing w:after="0"/>
              <w:rPr>
                <w:sz w:val="20"/>
                <w:szCs w:val="20"/>
                <w:color w:val="auto"/>
              </w:rPr>
            </w:pPr>
            <w:r>
              <w:rPr>
                <w:rFonts w:ascii="Arial" w:cs="Arial" w:eastAsia="Arial" w:hAnsi="Arial"/>
                <w:sz w:val="14"/>
                <w:szCs w:val="14"/>
                <w:color w:val="auto"/>
              </w:rPr>
              <w:t>Adjusted EBITDA</w:t>
            </w:r>
          </w:p>
        </w:tc>
        <w:tc>
          <w:tcPr>
            <w:tcW w:w="1160" w:type="dxa"/>
            <w:vAlign w:val="bottom"/>
            <w:gridSpan w:val="2"/>
          </w:tcPr>
          <w:p>
            <w:pPr>
              <w:ind w:left="700"/>
              <w:spacing w:after="0"/>
              <w:rPr>
                <w:sz w:val="20"/>
                <w:szCs w:val="20"/>
                <w:color w:val="auto"/>
              </w:rPr>
            </w:pPr>
            <w:r>
              <w:rPr>
                <w:rFonts w:ascii="Arial" w:cs="Arial" w:eastAsia="Arial" w:hAnsi="Arial"/>
                <w:sz w:val="14"/>
                <w:szCs w:val="14"/>
                <w:color w:val="auto"/>
              </w:rPr>
              <w:t>NM</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NM=comparison not meaningful.</w:t>
      </w:r>
    </w:p>
    <w:p>
      <w:pPr>
        <w:spacing w:after="0" w:line="125" w:lineRule="exact"/>
        <w:rPr>
          <w:sz w:val="20"/>
          <w:szCs w:val="20"/>
          <w:color w:val="auto"/>
        </w:rPr>
      </w:pPr>
    </w:p>
    <w:p>
      <w:pPr>
        <w:jc w:val="both"/>
        <w:ind w:left="340" w:hanging="332"/>
        <w:spacing w:after="0" w:line="223" w:lineRule="auto"/>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 forma information is presented as if the Sky transaction occurred January 1, 2017. Our pro forma information is based on historical results of operations and are primarily adjusted for the effects of acquisition accounting and the elimination of costs and expenses directly attributable to the transaction, but does not include adjustments for costs related to integration activities, cost savings or synergies that have been or may be achieved by the combined businesses. Our pro forma information is not necessarily indicative of future results or what our results would have been had we operated Sky since January 1, 2017.</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color w:val="828282"/>
        </w:rPr>
        <w:t>TABLE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-67945</wp:posOffset>
            </wp:positionV>
            <wp:extent cx="995045" cy="386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95045" cy="386080"/>
                    </a:xfrm>
                    <a:prstGeom prst="rect">
                      <a:avLst/>
                    </a:prstGeom>
                    <a:noFill/>
                  </pic:spPr>
                </pic:pic>
              </a:graphicData>
            </a:graphic>
          </wp:anchor>
        </w:drawing>
      </w:r>
    </w:p>
    <w:p>
      <w:pPr>
        <w:spacing w:after="0" w:line="29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828282"/>
        </w:rPr>
        <w:t>Reconciliation of Sky Constant Currency Growth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3500" w:type="dxa"/>
            <w:vAlign w:val="bottom"/>
            <w:tcBorders>
              <w:right w:val="single" w:sz="8" w:color="auto"/>
            </w:tcBorders>
            <w:gridSpan w:val="6"/>
          </w:tcPr>
          <w:p>
            <w:pPr>
              <w:jc w:val="center"/>
              <w:ind w:right="14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40" w:type="dxa"/>
            <w:vAlign w:val="bottom"/>
            <w:gridSpan w:val="5"/>
          </w:tcPr>
          <w:p>
            <w:pPr>
              <w:jc w:val="center"/>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80" w:type="dxa"/>
            <w:vAlign w:val="bottom"/>
          </w:tcPr>
          <w:p>
            <w:pPr>
              <w:spacing w:after="0"/>
              <w:rPr>
                <w:sz w:val="18"/>
                <w:szCs w:val="18"/>
                <w:color w:val="auto"/>
              </w:rPr>
            </w:pPr>
          </w:p>
        </w:tc>
        <w:tc>
          <w:tcPr>
            <w:tcW w:w="1040" w:type="dxa"/>
            <w:vAlign w:val="bottom"/>
            <w:vMerge w:val="restart"/>
          </w:tcPr>
          <w:p>
            <w:pPr>
              <w:jc w:val="right"/>
              <w:ind w:right="179"/>
              <w:spacing w:after="0"/>
              <w:rPr>
                <w:sz w:val="20"/>
                <w:szCs w:val="20"/>
                <w:color w:val="auto"/>
              </w:rPr>
            </w:pPr>
            <w:r>
              <w:rPr>
                <w:rFonts w:ascii="Arial" w:cs="Arial" w:eastAsia="Arial" w:hAnsi="Arial"/>
                <w:sz w:val="16"/>
                <w:szCs w:val="16"/>
                <w:color w:val="auto"/>
              </w:rPr>
              <w:t>2018</w:t>
            </w:r>
            <w:r>
              <w:rPr>
                <w:rFonts w:ascii="Arial" w:cs="Arial" w:eastAsia="Arial" w:hAnsi="Arial"/>
                <w:sz w:val="27"/>
                <w:szCs w:val="27"/>
                <w:color w:val="auto"/>
                <w:vertAlign w:val="superscript"/>
              </w:rPr>
              <w:t>(1)</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color w:val="auto"/>
              </w:rPr>
              <w:t>2018</w:t>
            </w:r>
            <w:r>
              <w:rPr>
                <w:rFonts w:ascii="Arial" w:cs="Arial" w:eastAsia="Arial" w:hAnsi="Arial"/>
                <w:sz w:val="27"/>
                <w:szCs w:val="27"/>
                <w:color w:val="auto"/>
                <w:vertAlign w:val="superscript"/>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June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6"/>
                <w:szCs w:val="16"/>
                <w:color w:val="auto"/>
              </w:rPr>
              <w:t>(in millions)</w:t>
            </w: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Growth %</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Growth %</w:t>
            </w:r>
          </w:p>
        </w:tc>
        <w:tc>
          <w:tcPr>
            <w:tcW w:w="0" w:type="dxa"/>
            <w:vAlign w:val="bottom"/>
          </w:tcPr>
          <w:p>
            <w:pPr>
              <w:spacing w:after="0"/>
              <w:rPr>
                <w:sz w:val="1"/>
                <w:szCs w:val="1"/>
                <w:color w:val="auto"/>
              </w:rPr>
            </w:pPr>
          </w:p>
        </w:tc>
      </w:tr>
      <w:tr>
        <w:trPr>
          <w:trHeight w:val="340"/>
        </w:trPr>
        <w:tc>
          <w:tcPr>
            <w:tcW w:w="4580" w:type="dxa"/>
            <w:vAlign w:val="bottom"/>
          </w:tcPr>
          <w:p>
            <w:pPr>
              <w:spacing w:after="0"/>
              <w:rPr>
                <w:sz w:val="20"/>
                <w:szCs w:val="20"/>
                <w:color w:val="auto"/>
              </w:rPr>
            </w:pPr>
            <w:r>
              <w:rPr>
                <w:rFonts w:ascii="Arial" w:cs="Arial" w:eastAsia="Arial" w:hAnsi="Arial"/>
                <w:sz w:val="16"/>
                <w:szCs w:val="16"/>
                <w:color w:val="auto"/>
              </w:rPr>
              <w:t>Direct-to-Consumer</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$3,824</w:t>
            </w:r>
          </w:p>
        </w:tc>
        <w:tc>
          <w:tcPr>
            <w:tcW w:w="12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$3,889</w:t>
            </w:r>
          </w:p>
        </w:tc>
        <w:tc>
          <w:tcPr>
            <w:tcW w:w="1160" w:type="dxa"/>
            <w:vAlign w:val="bottom"/>
            <w:gridSpan w:val="2"/>
          </w:tcPr>
          <w:p>
            <w:pPr>
              <w:jc w:val="right"/>
              <w:ind w:right="39"/>
              <w:spacing w:after="0"/>
              <w:rPr>
                <w:sz w:val="20"/>
                <w:szCs w:val="20"/>
                <w:color w:val="auto"/>
              </w:rPr>
            </w:pPr>
            <w:r>
              <w:rPr>
                <w:rFonts w:ascii="Arial" w:cs="Arial" w:eastAsia="Arial" w:hAnsi="Arial"/>
                <w:sz w:val="16"/>
                <w:szCs w:val="16"/>
                <w:color w:val="auto"/>
              </w:rPr>
              <w:t>1.7%</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$7,675</w:t>
            </w:r>
          </w:p>
        </w:tc>
        <w:tc>
          <w:tcPr>
            <w:tcW w:w="12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$7,723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6"/>
                <w:szCs w:val="16"/>
                <w:color w:val="auto"/>
              </w:rPr>
              <w:t>Content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376</w:t>
            </w:r>
          </w:p>
        </w:tc>
        <w:tc>
          <w:tcPr>
            <w:tcW w:w="1160" w:type="dxa"/>
            <w:vAlign w:val="bottom"/>
            <w:gridSpan w:val="2"/>
          </w:tcPr>
          <w:p>
            <w:pPr>
              <w:jc w:val="right"/>
              <w:ind w:right="39"/>
              <w:spacing w:after="0"/>
              <w:rPr>
                <w:sz w:val="20"/>
                <w:szCs w:val="20"/>
                <w:color w:val="auto"/>
              </w:rPr>
            </w:pPr>
            <w:r>
              <w:rPr>
                <w:rFonts w:ascii="Arial" w:cs="Arial" w:eastAsia="Arial" w:hAnsi="Arial"/>
                <w:sz w:val="16"/>
                <w:szCs w:val="16"/>
                <w:color w:val="auto"/>
              </w:rPr>
              <w:t>27.7%</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563</w:t>
            </w:r>
          </w:p>
        </w:tc>
        <w:tc>
          <w:tcPr>
            <w:tcW w:w="12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746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7"/>
        </w:trPr>
        <w:tc>
          <w:tcPr>
            <w:tcW w:w="4580" w:type="dxa"/>
            <w:vAlign w:val="bottom"/>
          </w:tcPr>
          <w:p>
            <w:pPr>
              <w:spacing w:after="0"/>
              <w:rPr>
                <w:sz w:val="20"/>
                <w:szCs w:val="20"/>
                <w:color w:val="auto"/>
              </w:rPr>
            </w:pPr>
            <w:r>
              <w:rPr>
                <w:rFonts w:ascii="Arial" w:cs="Arial" w:eastAsia="Arial" w:hAnsi="Arial"/>
                <w:sz w:val="16"/>
                <w:szCs w:val="16"/>
                <w:color w:val="auto"/>
              </w:rPr>
              <w:t>Advertising</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563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1,186</w:t>
            </w:r>
          </w:p>
        </w:tc>
        <w:tc>
          <w:tcPr>
            <w:tcW w:w="12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1,156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$4,716</w:t>
            </w:r>
          </w:p>
        </w:tc>
        <w:tc>
          <w:tcPr>
            <w:tcW w:w="1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$4,828</w:t>
            </w:r>
          </w:p>
        </w:tc>
        <w:tc>
          <w:tcPr>
            <w:tcW w:w="1160" w:type="dxa"/>
            <w:vAlign w:val="bottom"/>
            <w:gridSpan w:val="2"/>
          </w:tcPr>
          <w:p>
            <w:pPr>
              <w:jc w:val="right"/>
              <w:ind w:right="39"/>
              <w:spacing w:after="0" w:line="177" w:lineRule="exact"/>
              <w:rPr>
                <w:sz w:val="20"/>
                <w:szCs w:val="20"/>
                <w:color w:val="auto"/>
              </w:rPr>
            </w:pPr>
            <w:r>
              <w:rPr>
                <w:rFonts w:ascii="Arial" w:cs="Arial" w:eastAsia="Arial" w:hAnsi="Arial"/>
                <w:sz w:val="16"/>
                <w:szCs w:val="16"/>
                <w:color w:val="auto"/>
              </w:rPr>
              <w:t>2.4%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$9,424</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$9,625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9"/>
              <w:spacing w:after="0" w:line="177"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58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$4,073</w:t>
            </w:r>
          </w:p>
        </w:tc>
        <w:tc>
          <w:tcPr>
            <w:tcW w:w="12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$4,056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$8,034</w:t>
            </w:r>
          </w:p>
        </w:tc>
        <w:tc>
          <w:tcPr>
            <w:tcW w:w="12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$8,190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71"/>
        </w:trPr>
        <w:tc>
          <w:tcPr>
            <w:tcW w:w="458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$772</w:t>
            </w:r>
          </w:p>
        </w:tc>
        <w:tc>
          <w:tcPr>
            <w:tcW w:w="1160" w:type="dxa"/>
            <w:vAlign w:val="bottom"/>
            <w:gridSpan w:val="2"/>
          </w:tcPr>
          <w:p>
            <w:pPr>
              <w:jc w:val="right"/>
              <w:ind w:right="39"/>
              <w:spacing w:after="0"/>
              <w:rPr>
                <w:sz w:val="20"/>
                <w:szCs w:val="20"/>
                <w:color w:val="auto"/>
              </w:rPr>
            </w:pPr>
            <w:r>
              <w:rPr>
                <w:rFonts w:ascii="Arial" w:cs="Arial" w:eastAsia="Arial" w:hAnsi="Arial"/>
                <w:sz w:val="16"/>
                <w:szCs w:val="16"/>
                <w:color w:val="auto"/>
              </w:rPr>
              <w:t>19.9%</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$1,390</w:t>
            </w:r>
          </w:p>
        </w:tc>
        <w:tc>
          <w:tcPr>
            <w:tcW w:w="12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$1,435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60" w:hanging="252"/>
        <w:spacing w:after="0" w:line="230" w:lineRule="auto"/>
        <w:tabs>
          <w:tab w:leader="none" w:pos="2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2018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2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20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9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0"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EPS</w:t>
      </w:r>
    </w:p>
    <w:p>
      <w:pPr>
        <w:spacing w:after="0" w:line="208"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 xml:space="preserve">Adjusted EPS is a non-GAAP financial measure presenting the earnings generated by our ongoing operations that we believe is useful to investors in making meaningful comparisons to other companies, although our measure of Adjusted EPS may not be directly comparable to similar measures used by other companies, and period-over-period comparisons. Adjusted EPS is defined as our diluted earnings per common share attributable to Comcast Corporation shareholders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(such as customer relationships), and their amortization is significantly affected by the size and timing of our acquisitions. Amortization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intangible assets not resulting from business combinations (such as software and acquired intellectual property rights used in our theme parks) is included in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 -</w:t>
      </w:r>
      <w:r>
        <w:rPr>
          <w:rFonts w:ascii="Arial" w:cs="Arial" w:eastAsia="Arial" w:hAnsi="Arial"/>
          <w:sz w:val="16"/>
          <w:szCs w:val="16"/>
          <w:color w:val="auto"/>
        </w:rPr>
        <w:t xml:space="preserve"> </w:t>
      </w:r>
      <w:r>
        <w:rPr>
          <w:rFonts w:ascii="Arial" w:cs="Arial" w:eastAsia="Arial" w:hAnsi="Arial"/>
          <w:sz w:val="16"/>
          <w:szCs w:val="16"/>
          <w:i w:val="1"/>
          <w:iCs w:val="1"/>
          <w:color w:val="auto"/>
        </w:rPr>
        <w:t>Equity Securities</w:t>
      </w:r>
      <w:r>
        <w:rPr>
          <w:rFonts w:ascii="Arial" w:cs="Arial" w:eastAsia="Arial" w:hAnsi="Arial"/>
          <w:sz w:val="16"/>
          <w:szCs w:val="16"/>
          <w:color w:val="auto"/>
        </w:rPr>
        <w:t>, as well as certain investments accounted for under ASC 323,</w:t>
      </w:r>
      <w:r>
        <w:rPr>
          <w:rFonts w:ascii="Arial" w:cs="Arial" w:eastAsia="Arial" w:hAnsi="Arial"/>
          <w:sz w:val="16"/>
          <w:szCs w:val="16"/>
          <w:i w:val="1"/>
          <w:iCs w:val="1"/>
          <w:color w:val="auto"/>
        </w:rPr>
        <w:t xml:space="preserve"> Investments -Equity Method and Joint </w:t>
      </w:r>
      <w:r>
        <w:rPr>
          <w:rFonts w:ascii="Arial" w:cs="Arial" w:eastAsia="Arial" w:hAnsi="Arial"/>
          <w:sz w:val="16"/>
          <w:szCs w:val="16"/>
          <w:color w:val="auto"/>
        </w:rPr>
        <w:t>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20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19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Statement of Cash Flows and are therefore excluded from capital expenditures for Free Cash Flow.</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0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190"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08" w:lineRule="exact"/>
        <w:rPr>
          <w:sz w:val="20"/>
          <w:szCs w:val="20"/>
          <w:color w:val="auto"/>
        </w:rPr>
      </w:pPr>
    </w:p>
    <w:p>
      <w:pPr>
        <w:ind w:right="560"/>
        <w:spacing w:after="0" w:line="253"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20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60"/>
      </w:cols>
      <w:pgMar w:left="240" w:top="87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3"/>
      <w:numFmt w:val="bullet"/>
      <w:start w:val="1"/>
    </w:lvl>
  </w:abstractNum>
  <w:abstractNum w:abstractNumId="6">
    <w:nsid w:val="216231B"/>
    <w:multiLevelType w:val="hybridMultilevel"/>
    <w:lvl w:ilvl="0">
      <w:lvlJc w:val="left"/>
      <w:lvlText w:val="4"/>
      <w:numFmt w:val="bullet"/>
      <w:start w:val="1"/>
    </w:lvl>
  </w:abstractNum>
  <w:abstractNum w:abstractNumId="7">
    <w:nsid w:val="1F16E9E8"/>
    <w:multiLevelType w:val="hybridMultilevel"/>
    <w:lvl w:ilvl="0">
      <w:lvlJc w:val="left"/>
      <w:lvlText w:val="7"/>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2"/>
    </w:lvl>
  </w:abstractNum>
  <w:abstractNum w:abstractNumId="11">
    <w:nsid w:val="3352255A"/>
    <w:multiLevelType w:val="hybridMultilevel"/>
    <w:lvl w:ilvl="0">
      <w:lvlJc w:val="left"/>
      <w:lvlText w:val="(%1)"/>
      <w:numFmt w:val="decimal"/>
      <w:start w:val="3"/>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2019-12-28T10:13:19Z</dcterms:created>
  <dcterms:modified xsi:type="dcterms:W3CDTF">2019-12-28T10:13:19Z</dcterms:modified>
</cp:coreProperties>
</file>