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4318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103505</wp:posOffset>
            </wp:positionV>
            <wp:extent cx="198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5"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40" w:type="dxa"/>
            <w:vAlign w:val="bottom"/>
          </w:tcPr>
          <w:p>
            <w:pPr>
              <w:spacing w:after="0"/>
              <w:rPr>
                <w:sz w:val="24"/>
                <w:szCs w:val="24"/>
                <w:color w:val="auto"/>
              </w:rPr>
            </w:pPr>
          </w:p>
        </w:tc>
        <w:tc>
          <w:tcPr>
            <w:tcW w:w="7120" w:type="dxa"/>
            <w:vAlign w:val="bottom"/>
          </w:tcPr>
          <w:p>
            <w:pPr>
              <w:jc w:val="center"/>
              <w:ind w:right="224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24"/>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230"/>
        </w:trPr>
        <w:tc>
          <w:tcPr>
            <w:tcW w:w="2540" w:type="dxa"/>
            <w:vAlign w:val="bottom"/>
          </w:tcPr>
          <w:p>
            <w:pPr>
              <w:spacing w:after="0"/>
              <w:rPr>
                <w:sz w:val="20"/>
                <w:szCs w:val="20"/>
                <w:color w:val="auto"/>
              </w:rPr>
            </w:pPr>
          </w:p>
        </w:tc>
        <w:tc>
          <w:tcPr>
            <w:tcW w:w="7120" w:type="dxa"/>
            <w:vAlign w:val="bottom"/>
          </w:tcPr>
          <w:p>
            <w:pPr>
              <w:jc w:val="center"/>
              <w:ind w:right="2243"/>
              <w:spacing w:after="0"/>
              <w:rPr>
                <w:sz w:val="20"/>
                <w:szCs w:val="20"/>
                <w:color w:val="auto"/>
              </w:rPr>
            </w:pPr>
            <w:r>
              <w:rPr>
                <w:rFonts w:ascii="Arial" w:cs="Arial" w:eastAsia="Arial" w:hAnsi="Arial"/>
                <w:sz w:val="18"/>
                <w:szCs w:val="18"/>
                <w:color w:val="auto"/>
                <w:w w:val="90"/>
              </w:rPr>
              <w:t>Date of report (Date of earliest event reported): July 27, 2023</w:t>
            </w:r>
          </w:p>
        </w:tc>
      </w:tr>
      <w:tr>
        <w:trPr>
          <w:trHeight w:val="454"/>
        </w:trPr>
        <w:tc>
          <w:tcPr>
            <w:tcW w:w="2540" w:type="dxa"/>
            <w:vAlign w:val="bottom"/>
          </w:tcPr>
          <w:p>
            <w:pPr>
              <w:spacing w:after="0"/>
              <w:rPr>
                <w:sz w:val="24"/>
                <w:szCs w:val="24"/>
                <w:color w:val="auto"/>
              </w:rPr>
            </w:pPr>
          </w:p>
        </w:tc>
        <w:tc>
          <w:tcPr>
            <w:tcW w:w="7120" w:type="dxa"/>
            <w:vAlign w:val="bottom"/>
          </w:tcPr>
          <w:p>
            <w:pPr>
              <w:jc w:val="center"/>
              <w:ind w:right="2223"/>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540" w:type="dxa"/>
            <w:vAlign w:val="bottom"/>
          </w:tcPr>
          <w:p>
            <w:pPr>
              <w:spacing w:after="0"/>
              <w:rPr>
                <w:sz w:val="12"/>
                <w:szCs w:val="12"/>
                <w:color w:val="auto"/>
              </w:rPr>
            </w:pPr>
          </w:p>
        </w:tc>
        <w:tc>
          <w:tcPr>
            <w:tcW w:w="7120" w:type="dxa"/>
            <w:vAlign w:val="bottom"/>
          </w:tcPr>
          <w:p>
            <w:pPr>
              <w:jc w:val="center"/>
              <w:ind w:right="2243"/>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40" w:type="dxa"/>
            <w:vAlign w:val="bottom"/>
          </w:tcPr>
          <w:p>
            <w:pPr>
              <w:spacing w:after="0"/>
              <w:rPr>
                <w:sz w:val="15"/>
                <w:szCs w:val="15"/>
                <w:color w:val="auto"/>
              </w:rPr>
            </w:pPr>
          </w:p>
        </w:tc>
        <w:tc>
          <w:tcPr>
            <w:tcW w:w="7120" w:type="dxa"/>
            <w:vAlign w:val="bottom"/>
          </w:tcPr>
          <w:p>
            <w:pPr>
              <w:jc w:val="center"/>
              <w:ind w:right="2243"/>
              <w:spacing w:after="0"/>
              <w:rPr>
                <w:sz w:val="20"/>
                <w:szCs w:val="20"/>
                <w:color w:val="auto"/>
              </w:rPr>
            </w:pPr>
            <w:r>
              <w:rPr>
                <w:rFonts w:ascii="Arial" w:cs="Arial" w:eastAsia="Arial" w:hAnsi="Arial"/>
                <w:sz w:val="14"/>
                <w:szCs w:val="14"/>
                <w:color w:val="auto"/>
                <w:w w:val="93"/>
              </w:rPr>
              <w:t>as Specified in its Charter)</w:t>
            </w:r>
          </w:p>
        </w:tc>
      </w:tr>
      <w:tr>
        <w:trPr>
          <w:trHeight w:val="390"/>
        </w:trPr>
        <w:tc>
          <w:tcPr>
            <w:tcW w:w="2540" w:type="dxa"/>
            <w:vAlign w:val="bottom"/>
          </w:tcPr>
          <w:p>
            <w:pPr>
              <w:spacing w:after="0"/>
              <w:rPr>
                <w:sz w:val="24"/>
                <w:szCs w:val="24"/>
                <w:color w:val="auto"/>
              </w:rPr>
            </w:pPr>
          </w:p>
        </w:tc>
        <w:tc>
          <w:tcPr>
            <w:tcW w:w="7120" w:type="dxa"/>
            <w:vAlign w:val="bottom"/>
          </w:tcPr>
          <w:p>
            <w:pPr>
              <w:jc w:val="center"/>
              <w:ind w:right="2243"/>
              <w:spacing w:after="0"/>
              <w:rPr>
                <w:sz w:val="20"/>
                <w:szCs w:val="20"/>
                <w:color w:val="auto"/>
              </w:rPr>
            </w:pPr>
            <w:r>
              <w:rPr>
                <w:rFonts w:ascii="Arial" w:cs="Arial" w:eastAsia="Arial" w:hAnsi="Arial"/>
                <w:sz w:val="18"/>
                <w:szCs w:val="18"/>
                <w:b w:val="1"/>
                <w:bCs w:val="1"/>
                <w:color w:val="auto"/>
                <w:w w:val="88"/>
              </w:rPr>
              <w:t>Pennsylvania</w:t>
            </w:r>
          </w:p>
        </w:tc>
      </w:tr>
      <w:tr>
        <w:trPr>
          <w:trHeight w:val="190"/>
        </w:trPr>
        <w:tc>
          <w:tcPr>
            <w:tcW w:w="2540" w:type="dxa"/>
            <w:vAlign w:val="bottom"/>
          </w:tcPr>
          <w:p>
            <w:pPr>
              <w:spacing w:after="0"/>
              <w:rPr>
                <w:sz w:val="16"/>
                <w:szCs w:val="16"/>
                <w:color w:val="auto"/>
              </w:rPr>
            </w:pPr>
          </w:p>
        </w:tc>
        <w:tc>
          <w:tcPr>
            <w:tcW w:w="7120" w:type="dxa"/>
            <w:vAlign w:val="bottom"/>
          </w:tcPr>
          <w:p>
            <w:pPr>
              <w:jc w:val="center"/>
              <w:ind w:right="224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4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12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40" w:type="dxa"/>
            <w:vAlign w:val="bottom"/>
          </w:tcPr>
          <w:p>
            <w:pPr>
              <w:jc w:val="center"/>
              <w:ind w:right="97"/>
              <w:spacing w:after="0"/>
              <w:rPr>
                <w:sz w:val="20"/>
                <w:szCs w:val="20"/>
                <w:color w:val="auto"/>
              </w:rPr>
            </w:pPr>
            <w:r>
              <w:rPr>
                <w:rFonts w:ascii="Arial" w:cs="Arial" w:eastAsia="Arial" w:hAnsi="Arial"/>
                <w:sz w:val="14"/>
                <w:szCs w:val="14"/>
                <w:color w:val="auto"/>
                <w:w w:val="96"/>
              </w:rPr>
              <w:t>(Commission File Number)</w:t>
            </w:r>
          </w:p>
        </w:tc>
        <w:tc>
          <w:tcPr>
            <w:tcW w:w="7120" w:type="dxa"/>
            <w:vAlign w:val="bottom"/>
          </w:tcPr>
          <w:p>
            <w:pPr>
              <w:jc w:val="center"/>
              <w:ind w:left="5043"/>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540" w:type="dxa"/>
            <w:vAlign w:val="bottom"/>
          </w:tcPr>
          <w:p>
            <w:pPr>
              <w:jc w:val="center"/>
              <w:ind w:right="97"/>
              <w:spacing w:after="0"/>
              <w:rPr>
                <w:sz w:val="20"/>
                <w:szCs w:val="20"/>
                <w:color w:val="auto"/>
              </w:rPr>
            </w:pPr>
            <w:r>
              <w:rPr>
                <w:rFonts w:ascii="Arial" w:cs="Arial" w:eastAsia="Arial" w:hAnsi="Arial"/>
                <w:sz w:val="18"/>
                <w:szCs w:val="18"/>
                <w:b w:val="1"/>
                <w:bCs w:val="1"/>
                <w:color w:val="auto"/>
                <w:w w:val="89"/>
              </w:rPr>
              <w:t>One Comcast Center</w:t>
            </w:r>
          </w:p>
        </w:tc>
        <w:tc>
          <w:tcPr>
            <w:tcW w:w="7120" w:type="dxa"/>
            <w:vAlign w:val="bottom"/>
          </w:tcPr>
          <w:p>
            <w:pPr>
              <w:spacing w:after="0"/>
              <w:rPr>
                <w:sz w:val="24"/>
                <w:szCs w:val="24"/>
                <w:color w:val="auto"/>
              </w:rPr>
            </w:pPr>
          </w:p>
        </w:tc>
      </w:tr>
      <w:tr>
        <w:trPr>
          <w:trHeight w:val="229"/>
        </w:trPr>
        <w:tc>
          <w:tcPr>
            <w:tcW w:w="2540" w:type="dxa"/>
            <w:vAlign w:val="bottom"/>
          </w:tcPr>
          <w:p>
            <w:pPr>
              <w:ind w:left="480"/>
              <w:spacing w:after="0"/>
              <w:rPr>
                <w:sz w:val="20"/>
                <w:szCs w:val="20"/>
                <w:color w:val="auto"/>
              </w:rPr>
            </w:pPr>
            <w:r>
              <w:rPr>
                <w:rFonts w:ascii="Arial" w:cs="Arial" w:eastAsia="Arial" w:hAnsi="Arial"/>
                <w:sz w:val="18"/>
                <w:szCs w:val="18"/>
                <w:b w:val="1"/>
                <w:bCs w:val="1"/>
                <w:color w:val="auto"/>
              </w:rPr>
              <w:t>Philadelphia, PA</w:t>
            </w:r>
          </w:p>
        </w:tc>
        <w:tc>
          <w:tcPr>
            <w:tcW w:w="712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40" w:type="dxa"/>
            <w:vAlign w:val="bottom"/>
          </w:tcPr>
          <w:p>
            <w:pPr>
              <w:jc w:val="center"/>
              <w:ind w:right="97"/>
              <w:spacing w:after="0"/>
              <w:rPr>
                <w:sz w:val="20"/>
                <w:szCs w:val="20"/>
                <w:color w:val="auto"/>
              </w:rPr>
            </w:pPr>
            <w:r>
              <w:rPr>
                <w:rFonts w:ascii="Arial" w:cs="Arial" w:eastAsia="Arial" w:hAnsi="Arial"/>
                <w:sz w:val="14"/>
                <w:szCs w:val="14"/>
                <w:color w:val="auto"/>
                <w:w w:val="95"/>
              </w:rPr>
              <w:t>(Address of Principal Executive Offices)</w:t>
            </w:r>
          </w:p>
        </w:tc>
        <w:tc>
          <w:tcPr>
            <w:tcW w:w="7120" w:type="dxa"/>
            <w:vAlign w:val="bottom"/>
          </w:tcPr>
          <w:p>
            <w:pPr>
              <w:jc w:val="center"/>
              <w:ind w:left="5063"/>
              <w:spacing w:after="0"/>
              <w:rPr>
                <w:sz w:val="20"/>
                <w:szCs w:val="20"/>
                <w:color w:val="auto"/>
              </w:rPr>
            </w:pPr>
            <w:r>
              <w:rPr>
                <w:rFonts w:ascii="Arial" w:cs="Arial" w:eastAsia="Arial" w:hAnsi="Arial"/>
                <w:sz w:val="14"/>
                <w:szCs w:val="14"/>
                <w:color w:val="auto"/>
                <w:w w:val="96"/>
              </w:rPr>
              <w:t>(Zip Code)</w:t>
            </w:r>
          </w:p>
        </w:tc>
      </w:tr>
      <w:tr>
        <w:trPr>
          <w:trHeight w:val="317"/>
        </w:trPr>
        <w:tc>
          <w:tcPr>
            <w:tcW w:w="2540" w:type="dxa"/>
            <w:vAlign w:val="bottom"/>
          </w:tcPr>
          <w:p>
            <w:pPr>
              <w:spacing w:after="0"/>
              <w:rPr>
                <w:sz w:val="24"/>
                <w:szCs w:val="24"/>
                <w:color w:val="auto"/>
              </w:rPr>
            </w:pPr>
          </w:p>
        </w:tc>
        <w:tc>
          <w:tcPr>
            <w:tcW w:w="7120" w:type="dxa"/>
            <w:vAlign w:val="bottom"/>
          </w:tcPr>
          <w:p>
            <w:pPr>
              <w:jc w:val="center"/>
              <w:ind w:right="226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182"/>
        </w:trPr>
        <w:tc>
          <w:tcPr>
            <w:tcW w:w="2540" w:type="dxa"/>
            <w:vAlign w:val="bottom"/>
          </w:tcPr>
          <w:p>
            <w:pPr>
              <w:spacing w:after="0"/>
              <w:rPr>
                <w:sz w:val="15"/>
                <w:szCs w:val="15"/>
                <w:color w:val="auto"/>
              </w:rPr>
            </w:pPr>
          </w:p>
        </w:tc>
        <w:tc>
          <w:tcPr>
            <w:tcW w:w="7120" w:type="dxa"/>
            <w:vAlign w:val="bottom"/>
          </w:tcPr>
          <w:p>
            <w:pPr>
              <w:jc w:val="center"/>
              <w:ind w:right="2243"/>
              <w:spacing w:after="0"/>
              <w:rPr>
                <w:sz w:val="20"/>
                <w:szCs w:val="20"/>
                <w:color w:val="auto"/>
              </w:rPr>
            </w:pPr>
            <w:r>
              <w:rPr>
                <w:rFonts w:ascii="Arial" w:cs="Arial" w:eastAsia="Arial" w:hAnsi="Arial"/>
                <w:sz w:val="14"/>
                <w:szCs w:val="14"/>
                <w:color w:val="auto"/>
                <w:w w:val="92"/>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600" w:type="dxa"/>
            <w:vAlign w:val="bottom"/>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Trading symbol(s)</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76"/>
        </w:trPr>
        <w:tc>
          <w:tcPr>
            <w:tcW w:w="4600" w:type="dxa"/>
            <w:vAlign w:val="bottom"/>
          </w:tcPr>
          <w:p>
            <w:pPr>
              <w:jc w:val="center"/>
              <w:spacing w:after="0"/>
              <w:rPr>
                <w:sz w:val="20"/>
                <w:szCs w:val="20"/>
                <w:color w:val="auto"/>
              </w:rPr>
            </w:pPr>
            <w:r>
              <w:rPr>
                <w:rFonts w:ascii="Arial" w:cs="Arial" w:eastAsia="Arial" w:hAnsi="Arial"/>
                <w:sz w:val="14"/>
                <w:szCs w:val="14"/>
                <w:color w:val="auto"/>
                <w:w w:val="92"/>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CMCSA</w:t>
            </w:r>
          </w:p>
        </w:tc>
        <w:tc>
          <w:tcPr>
            <w:tcW w:w="12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4"/>
        </w:trPr>
        <w:tc>
          <w:tcPr>
            <w:tcW w:w="4600" w:type="dxa"/>
            <w:vAlign w:val="bottom"/>
          </w:tcPr>
          <w:p>
            <w:pPr>
              <w:jc w:val="center"/>
              <w:spacing w:after="0"/>
              <w:rPr>
                <w:sz w:val="20"/>
                <w:szCs w:val="20"/>
                <w:color w:val="auto"/>
              </w:rPr>
            </w:pPr>
            <w:r>
              <w:rPr>
                <w:rFonts w:ascii="Arial" w:cs="Arial" w:eastAsia="Arial" w:hAnsi="Arial"/>
                <w:sz w:val="14"/>
                <w:szCs w:val="14"/>
                <w:color w:val="auto"/>
                <w:w w:val="91"/>
              </w:rPr>
              <w:t>0.000% Notes due 2026</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CMCS26</w:t>
            </w:r>
          </w:p>
        </w:tc>
        <w:tc>
          <w:tcPr>
            <w:tcW w:w="12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1"/>
              </w:rPr>
              <w:t>0.250% Notes due 2027</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CMCS27</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1"/>
              </w:rPr>
              <w:t>1.500% Notes due 2029</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CMCS29</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600" w:type="dxa"/>
            <w:vAlign w:val="bottom"/>
          </w:tcPr>
          <w:p>
            <w:pPr>
              <w:jc w:val="center"/>
              <w:spacing w:after="0"/>
              <w:rPr>
                <w:sz w:val="20"/>
                <w:szCs w:val="20"/>
                <w:color w:val="auto"/>
              </w:rPr>
            </w:pPr>
            <w:r>
              <w:rPr>
                <w:rFonts w:ascii="Arial" w:cs="Arial" w:eastAsia="Arial" w:hAnsi="Arial"/>
                <w:sz w:val="14"/>
                <w:szCs w:val="14"/>
                <w:color w:val="auto"/>
                <w:w w:val="91"/>
              </w:rPr>
              <w:t>0.250% Notes due 2029</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CMCS29A</w:t>
            </w:r>
          </w:p>
        </w:tc>
        <w:tc>
          <w:tcPr>
            <w:tcW w:w="12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1"/>
              </w:rPr>
              <w:t>0.750% Notes due 2032</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CMCS32</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1"/>
              </w:rPr>
              <w:t>1.875% Notes due 2036</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CMCS36</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600" w:type="dxa"/>
            <w:vAlign w:val="bottom"/>
          </w:tcPr>
          <w:p>
            <w:pPr>
              <w:jc w:val="center"/>
              <w:spacing w:after="0"/>
              <w:rPr>
                <w:sz w:val="20"/>
                <w:szCs w:val="20"/>
                <w:color w:val="auto"/>
              </w:rPr>
            </w:pPr>
            <w:r>
              <w:rPr>
                <w:rFonts w:ascii="Arial" w:cs="Arial" w:eastAsia="Arial" w:hAnsi="Arial"/>
                <w:sz w:val="14"/>
                <w:szCs w:val="14"/>
                <w:color w:val="auto"/>
                <w:w w:val="91"/>
              </w:rPr>
              <w:t>1.250% Notes due 2040</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5"/>
              </w:rPr>
              <w:t>CMCS40</w:t>
            </w:r>
          </w:p>
        </w:tc>
        <w:tc>
          <w:tcPr>
            <w:tcW w:w="12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2"/>
              </w:rPr>
              <w:t>5.50% Notes due 2029</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CCGBP29</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4600" w:type="dxa"/>
            <w:vAlign w:val="bottom"/>
          </w:tcPr>
          <w:p>
            <w:pPr>
              <w:jc w:val="center"/>
              <w:spacing w:after="0"/>
              <w:rPr>
                <w:sz w:val="20"/>
                <w:szCs w:val="20"/>
                <w:color w:val="auto"/>
              </w:rPr>
            </w:pPr>
            <w:r>
              <w:rPr>
                <w:rFonts w:ascii="Arial" w:cs="Arial" w:eastAsia="Arial" w:hAnsi="Arial"/>
                <w:sz w:val="14"/>
                <w:szCs w:val="14"/>
                <w:color w:val="auto"/>
                <w:w w:val="91"/>
              </w:rPr>
              <w:t>2.0% Exchangeable Subordinated Debentures due 2029</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CCZ</w:t>
            </w:r>
          </w:p>
        </w:tc>
        <w:tc>
          <w:tcPr>
            <w:tcW w:w="1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2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79" w:lineRule="exact"/>
        <w:rPr>
          <w:sz w:val="24"/>
          <w:szCs w:val="24"/>
          <w:color w:val="auto"/>
        </w:rPr>
      </w:pPr>
    </w:p>
    <w:p>
      <w:pPr>
        <w:ind w:right="2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431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880"/>
          </w:cols>
          <w:pgMar w:left="320" w:top="1340" w:right="6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27, 2023, Comcast Corporation (“Comcast”) issued a press release reporting the results of its operations for the three and six months ended June 30, 2023.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w w:val="94"/>
              </w:rPr>
              <w:t>Item 9.01. Exhibits</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124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6"/>
              </w:rPr>
              <w:t>Exhibit</w:t>
            </w:r>
          </w:p>
        </w:tc>
        <w:tc>
          <w:tcPr>
            <w:tcW w:w="974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500" w:type="dxa"/>
            <w:vAlign w:val="bottom"/>
            <w:gridSpan w:val="5"/>
          </w:tcPr>
          <w:p>
            <w:pPr>
              <w:jc w:val="center"/>
              <w:ind w:right="340"/>
              <w:spacing w:after="0" w:line="189" w:lineRule="exact"/>
              <w:rPr>
                <w:sz w:val="20"/>
                <w:szCs w:val="20"/>
                <w:color w:val="auto"/>
              </w:rPr>
            </w:pPr>
            <w:r>
              <w:rPr>
                <w:rFonts w:ascii="Arial" w:cs="Arial" w:eastAsia="Arial" w:hAnsi="Arial"/>
                <w:sz w:val="18"/>
                <w:szCs w:val="18"/>
                <w:b w:val="1"/>
                <w:bCs w:val="1"/>
                <w:color w:val="auto"/>
                <w:w w:val="94"/>
              </w:rPr>
              <w:t>Number</w:t>
            </w:r>
          </w:p>
        </w:tc>
        <w:tc>
          <w:tcPr>
            <w:tcW w:w="97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480" w:type="dxa"/>
            <w:vAlign w:val="bottom"/>
            <w:gridSpan w:val="2"/>
          </w:tcPr>
          <w:p>
            <w:pPr>
              <w:jc w:val="center"/>
              <w:ind w:left="70"/>
              <w:spacing w:after="0"/>
              <w:rPr>
                <w:sz w:val="20"/>
                <w:szCs w:val="20"/>
                <w:color w:val="auto"/>
              </w:rPr>
            </w:pPr>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740" w:type="dxa"/>
            <w:vAlign w:val="bottom"/>
            <w:gridSpan w:val="5"/>
          </w:tcPr>
          <w:p>
            <w:pPr>
              <w:ind w:left="40"/>
              <w:spacing w:after="0"/>
              <w:rPr>
                <w:sz w:val="20"/>
                <w:szCs w:val="20"/>
                <w:color w:val="auto"/>
              </w:rPr>
            </w:pPr>
            <w:r>
              <w:rPr>
                <w:rFonts w:ascii="Arial" w:cs="Arial" w:eastAsia="Arial" w:hAnsi="Arial"/>
                <w:sz w:val="18"/>
                <w:szCs w:val="18"/>
                <w:color w:val="0000FF"/>
              </w:rPr>
              <w:t>Comcast Corporation press release dated July 27, 2023.</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gridSpan w:val="3"/>
          </w:tcPr>
          <w:p>
            <w:pPr>
              <w:jc w:val="center"/>
              <w:ind w:left="330"/>
              <w:spacing w:after="0"/>
              <w:rPr>
                <w:sz w:val="20"/>
                <w:szCs w:val="20"/>
                <w:color w:val="auto"/>
              </w:rPr>
            </w:pPr>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740" w:type="dxa"/>
            <w:vAlign w:val="bottom"/>
            <w:gridSpan w:val="5"/>
          </w:tcPr>
          <w:p>
            <w:pPr>
              <w:ind w:left="40"/>
              <w:spacing w:after="0"/>
              <w:rPr>
                <w:sz w:val="20"/>
                <w:szCs w:val="20"/>
                <w:color w:val="auto"/>
              </w:rPr>
            </w:pPr>
            <w:r>
              <w:rPr>
                <w:rFonts w:ascii="Arial" w:cs="Arial" w:eastAsia="Arial" w:hAnsi="Arial"/>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gridSpan w:val="2"/>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740" w:type="dxa"/>
            <w:vAlign w:val="bottom"/>
            <w:gridSpan w:val="5"/>
          </w:tcPr>
          <w:p>
            <w:pPr>
              <w:ind w:left="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0"/>
        </w:trPr>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40" w:type="dxa"/>
            <w:vAlign w:val="bottom"/>
            <w:gridSpan w:val="2"/>
          </w:tcPr>
          <w:p>
            <w:pPr>
              <w:ind w:left="190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400"/>
              <w:spacing w:after="0"/>
              <w:rPr>
                <w:sz w:val="20"/>
                <w:szCs w:val="20"/>
                <w:color w:val="auto"/>
              </w:rPr>
            </w:pPr>
            <w:r>
              <w:rPr>
                <w:rFonts w:ascii="Arial" w:cs="Arial" w:eastAsia="Arial" w:hAnsi="Arial"/>
                <w:sz w:val="18"/>
                <w:szCs w:val="18"/>
                <w:color w:val="auto"/>
              </w:rPr>
              <w:t>July 27, 2023</w:t>
            </w:r>
          </w:p>
        </w:tc>
        <w:tc>
          <w:tcPr>
            <w:tcW w:w="7140" w:type="dxa"/>
            <w:vAlign w:val="bottom"/>
            <w:gridSpan w:val="2"/>
          </w:tcPr>
          <w:p>
            <w:pPr>
              <w:ind w:left="1900"/>
              <w:spacing w:after="0"/>
              <w:rPr>
                <w:sz w:val="20"/>
                <w:szCs w:val="20"/>
                <w:color w:val="auto"/>
              </w:rPr>
            </w:pPr>
            <w:r>
              <w:rPr>
                <w:rFonts w:ascii="Arial" w:cs="Arial" w:eastAsia="Arial" w:hAnsi="Arial"/>
                <w:sz w:val="18"/>
                <w:szCs w:val="18"/>
                <w:color w:val="auto"/>
              </w:rPr>
              <w:t>By:  /s/ Daniel C. Murdock</w:t>
            </w:r>
          </w:p>
        </w:tc>
      </w:tr>
      <w:tr>
        <w:trPr>
          <w:trHeight w:val="222"/>
        </w:trPr>
        <w:tc>
          <w:tcPr>
            <w:tcW w:w="8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89"/>
        </w:trPr>
        <w:tc>
          <w:tcPr>
            <w:tcW w:w="8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80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Accounting Officer and</w:t>
            </w:r>
          </w:p>
        </w:tc>
      </w:tr>
      <w:tr>
        <w:trPr>
          <w:trHeight w:val="230"/>
        </w:trPr>
        <w:tc>
          <w:tcPr>
            <w:tcW w:w="8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2023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27, 2023… Comcast Corporation (NASDAQ: CMCSA) today reported results for the quarter ended June 30, 2023.</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consistent investments we've been making in our growth businesses continue to generate strong results and position us extremely well</w:t>
      </w:r>
      <w:r>
        <w:rPr>
          <w:rFonts w:ascii="Arial" w:cs="Arial" w:eastAsia="Arial" w:hAnsi="Arial"/>
          <w:sz w:val="18"/>
          <w:szCs w:val="18"/>
          <w:color w:val="auto"/>
        </w:rPr>
        <w:t xml:space="preserve"> </w:t>
      </w:r>
      <w:r>
        <w:rPr>
          <w:rFonts w:ascii="Arial" w:cs="Arial" w:eastAsia="Arial" w:hAnsi="Arial"/>
          <w:sz w:val="18"/>
          <w:szCs w:val="18"/>
          <w:i w:val="1"/>
          <w:iCs w:val="1"/>
          <w:color w:val="auto"/>
        </w:rPr>
        <w:t>both now and into the future. Second quarter operational and financial performance was excellent and included a double-digit increase in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Adjusted EPS and significant free cash flow generation</w:t>
      </w:r>
      <w:r>
        <w:rPr>
          <w:rFonts w:ascii="Arial" w:cs="Arial" w:eastAsia="Arial" w:hAnsi="Arial"/>
          <w:sz w:val="18"/>
          <w:szCs w:val="18"/>
          <w:color w:val="auto"/>
        </w:rPr>
        <w:t>," said Brian L. Roberts, Chairman and Chief Executive Officer of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t>
      </w:r>
      <w:r>
        <w:rPr>
          <w:rFonts w:ascii="Arial" w:cs="Arial" w:eastAsia="Arial" w:hAnsi="Arial"/>
          <w:sz w:val="18"/>
          <w:szCs w:val="18"/>
          <w:i w:val="1"/>
          <w:iCs w:val="1"/>
          <w:color w:val="auto"/>
        </w:rPr>
        <w:t>This quarter contained a number of highlights and notable achievements. We not only continued to deliver solid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growth in our connectivity businesses but also expanded our Adjusted EBITDA margin at Connectivity &amp; Platforms. We generated the best quarterly Adjusted EBITDA ever at Theme Parks, had the second-highest grossing animated film of all time in worldwide box office revenue with Super Mario Bros., and nearly doubled paid Peacock subscribers year-over-year. At the same time, we returned a healthy amount of capital to shareholders and maintained an enviable balance sheet. Our experienced and expert management team is executing at an exceptional level, and our long-term-oriented growth strategy is clearly working.</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02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56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8020" w:type="dxa"/>
            <w:vAlign w:val="bottom"/>
            <w:tcBorders>
              <w:right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56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20" w:type="dxa"/>
            <w:vAlign w:val="bottom"/>
            <w:tcBorders>
              <w:right w:val="single" w:sz="8" w:color="D9D9D6"/>
            </w:tcBorders>
            <w:vMerge w:val="continue"/>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8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8020" w:type="dxa"/>
            <w:vAlign w:val="bottom"/>
            <w:tcBorders>
              <w:right w:val="single" w:sz="8" w:color="D9D9D6"/>
            </w:tcBorders>
            <w:vMerge w:val="continue"/>
            <w:shd w:val="clear" w:color="auto" w:fill="D9D9D6"/>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18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2022</w:t>
            </w:r>
          </w:p>
        </w:tc>
        <w:tc>
          <w:tcPr>
            <w:tcW w:w="1200" w:type="dxa"/>
            <w:vAlign w:val="bottom"/>
            <w:gridSpan w:val="4"/>
            <w:shd w:val="clear" w:color="auto" w:fill="D9D9D6"/>
          </w:tcPr>
          <w:p>
            <w:pPr>
              <w:ind w:left="5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2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0" w:type="dxa"/>
            <w:vAlign w:val="bottom"/>
            <w:shd w:val="clear" w:color="auto" w:fill="D9D9D6"/>
          </w:tcPr>
          <w:p>
            <w:pPr>
              <w:spacing w:after="0"/>
              <w:rPr>
                <w:sz w:val="24"/>
                <w:szCs w:val="24"/>
                <w:color w:val="auto"/>
              </w:rPr>
            </w:pPr>
          </w:p>
        </w:tc>
        <w:tc>
          <w:tcPr>
            <w:tcW w:w="802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$30,513</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$30,016</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D9D9D6"/>
          </w:tcPr>
          <w:p>
            <w:pPr>
              <w:spacing w:after="0"/>
              <w:rPr>
                <w:sz w:val="18"/>
                <w:szCs w:val="18"/>
                <w:color w:val="auto"/>
              </w:rPr>
            </w:pPr>
          </w:p>
        </w:tc>
        <w:tc>
          <w:tcPr>
            <w:tcW w:w="8020" w:type="dxa"/>
            <w:vAlign w:val="bottom"/>
            <w:tcBorders>
              <w:right w:val="single" w:sz="8" w:color="DBDBDB"/>
            </w:tcBorders>
            <w:shd w:val="clear" w:color="auto" w:fill="D9D9D6"/>
          </w:tcPr>
          <w:p>
            <w:pPr>
              <w:ind w:left="40"/>
              <w:spacing w:after="0"/>
              <w:rPr>
                <w:sz w:val="20"/>
                <w:szCs w:val="20"/>
                <w:color w:val="auto"/>
              </w:rPr>
            </w:pPr>
            <w:r>
              <w:rPr>
                <w:rFonts w:ascii="Arial" w:cs="Arial" w:eastAsia="Arial" w:hAnsi="Arial"/>
                <w:sz w:val="14"/>
                <w:szCs w:val="14"/>
                <w:color w:val="auto"/>
              </w:rPr>
              <w:t>Net Income Attributable to Comcast</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$4,248</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$3,396</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25.1 %</w:t>
            </w:r>
          </w:p>
        </w:tc>
        <w:tc>
          <w:tcPr>
            <w:tcW w:w="14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D9D9D6"/>
          </w:tcPr>
          <w:p>
            <w:pPr>
              <w:spacing w:after="0"/>
              <w:rPr>
                <w:sz w:val="18"/>
                <w:szCs w:val="18"/>
                <w:color w:val="auto"/>
              </w:rPr>
            </w:pPr>
          </w:p>
        </w:tc>
        <w:tc>
          <w:tcPr>
            <w:tcW w:w="802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$4,723</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$4,507</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14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2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$10,244</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$9,827</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2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$0.76</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802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$1.13</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$1.01</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802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$7,197</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$6,327</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D9D9D6"/>
          </w:tcPr>
          <w:p>
            <w:pPr>
              <w:spacing w:after="0"/>
              <w:rPr>
                <w:sz w:val="17"/>
                <w:szCs w:val="17"/>
                <w:color w:val="auto"/>
              </w:rPr>
            </w:pPr>
          </w:p>
        </w:tc>
        <w:tc>
          <w:tcPr>
            <w:tcW w:w="802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$3,421</w:t>
            </w:r>
          </w:p>
        </w:tc>
        <w:tc>
          <w:tcPr>
            <w:tcW w:w="9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$3,170</w:t>
            </w:r>
          </w:p>
        </w:tc>
        <w:tc>
          <w:tcPr>
            <w:tcW w:w="9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8020" w:type="dxa"/>
            <w:vAlign w:val="bottom"/>
            <w:tcBorders>
              <w:right w:val="single" w:sz="8" w:color="D9D9D6"/>
            </w:tcBorders>
            <w:shd w:val="clear" w:color="auto" w:fill="D9D9D6"/>
          </w:tcPr>
          <w:p>
            <w:pPr>
              <w:spacing w:after="0"/>
              <w:rPr>
                <w:sz w:val="4"/>
                <w:szCs w:val="4"/>
                <w:color w:val="auto"/>
              </w:rPr>
            </w:pPr>
          </w:p>
        </w:tc>
        <w:tc>
          <w:tcPr>
            <w:tcW w:w="6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2023 Highlights:</w:t>
      </w:r>
    </w:p>
    <w:p>
      <w:pPr>
        <w:spacing w:after="0" w:line="44" w:lineRule="exact"/>
        <w:rPr>
          <w:sz w:val="20"/>
          <w:szCs w:val="20"/>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4.2% to $10.2 Billion; Adjusted EPS Increased 11.9% to $1.13; Generated Free Cash Flow of $3.4 Billion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$3.2 Billion to Shareholders Through a Combination of $1.2 Billion in Dividend Payments and $2.0 Billion in Share Repurchases</w:t>
      </w:r>
    </w:p>
    <w:p>
      <w:pPr>
        <w:ind w:left="340" w:hanging="332"/>
        <w:spacing w:after="0" w:line="25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Increased 4.4% to $8.3 Billion and Adjusted EBITDA Margin Increased 170 Basis Points to 41.0%</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4.5% and Drove Domestic Broadband Revenue Growth of 4.4%</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Content &amp; Experiences Adjusted EBITDA Increased 7.5% to $2.2 Billion, Driven by Studios and Theme Parks</w:t>
      </w:r>
    </w:p>
    <w:p>
      <w:pPr>
        <w:spacing w:after="0" w:line="21"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$258 Million to $255 Million, Driven by the Successful Theatrical Performance of </w:t>
      </w:r>
      <w:r>
        <w:rPr>
          <w:rFonts w:ascii="Arial" w:cs="Arial" w:eastAsia="Arial" w:hAnsi="Arial"/>
          <w:sz w:val="18"/>
          <w:szCs w:val="18"/>
          <w:i w:val="1"/>
          <w:iCs w:val="1"/>
          <w:color w:val="auto"/>
        </w:rPr>
        <w:t>The Super Mario</w:t>
      </w:r>
      <w:r>
        <w:rPr>
          <w:rFonts w:ascii="Arial" w:cs="Arial" w:eastAsia="Arial" w:hAnsi="Arial"/>
          <w:sz w:val="18"/>
          <w:szCs w:val="18"/>
          <w:color w:val="auto"/>
        </w:rPr>
        <w:t xml:space="preserve"> </w:t>
      </w:r>
      <w:r>
        <w:rPr>
          <w:rFonts w:ascii="Arial" w:cs="Arial" w:eastAsia="Arial" w:hAnsi="Arial"/>
          <w:sz w:val="18"/>
          <w:szCs w:val="18"/>
          <w:i w:val="1"/>
          <w:iCs w:val="1"/>
          <w:color w:val="auto"/>
        </w:rPr>
        <w:t>Bros. Movie</w:t>
      </w:r>
      <w:r>
        <w:rPr>
          <w:rFonts w:ascii="Arial" w:cs="Arial" w:eastAsia="Arial" w:hAnsi="Arial"/>
          <w:sz w:val="18"/>
          <w:szCs w:val="18"/>
          <w:color w:val="auto"/>
        </w:rPr>
        <w:t>;</w:t>
      </w:r>
      <w:r>
        <w:rPr>
          <w:rFonts w:ascii="Arial" w:cs="Arial" w:eastAsia="Arial" w:hAnsi="Arial"/>
          <w:sz w:val="18"/>
          <w:szCs w:val="18"/>
          <w:i w:val="1"/>
          <w:iCs w:val="1"/>
          <w:color w:val="auto"/>
        </w:rPr>
        <w:t xml:space="preserve"> Mario </w:t>
      </w:r>
      <w:r>
        <w:rPr>
          <w:rFonts w:ascii="Arial" w:cs="Arial" w:eastAsia="Arial" w:hAnsi="Arial"/>
          <w:sz w:val="18"/>
          <w:szCs w:val="18"/>
          <w:color w:val="auto"/>
        </w:rPr>
        <w:t>Grossed $1.3 Billion in Worldwide Box Office in the Second Quarter to Become the #2 Animated Picture of All-Time</w:t>
      </w:r>
    </w:p>
    <w:p>
      <w:pPr>
        <w:spacing w:after="0" w:line="1" w:lineRule="exact"/>
        <w:rPr>
          <w:rFonts w:ascii="Arial" w:cs="Arial" w:eastAsia="Arial" w:hAnsi="Arial"/>
          <w:sz w:val="18"/>
          <w:szCs w:val="18"/>
          <w:color w:val="auto"/>
        </w:rPr>
      </w:pPr>
    </w:p>
    <w:p>
      <w:pPr>
        <w:ind w:left="340" w:hanging="332"/>
        <w:spacing w:after="0" w:line="26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32% to $833 Million, Its Highest Adjusted EBITDA on Record, Reflecting Growth at Universal Beijing, Universal Japan and Universal Hollywood Compared to the Prior Year Period</w:t>
      </w:r>
    </w:p>
    <w:p>
      <w:pPr>
        <w:ind w:left="340" w:hanging="332"/>
        <w:spacing w:after="0" w:line="27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Nearly Doubled Compared to the Prior Year Period to 24 Million. Peacock Revenue Increased 85% to $820 Million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6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1.7%.</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Net Income Attributable to Comcast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25.1%.</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Adjusted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4.8%.</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4.2%.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increased 34.2% to $1.02.</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11.9% to $1.13.</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22.7% to $3.0 billion. Connectivity &amp; Platforms’ capital expenditures increased 11.4%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higher investment in line extensions and scalable infrastructure. Content &amp; Experiences' capital expenditures increased 74.1% to $809 million, reflecting increased investment in constructing the Epic Universe theme park in Orlando, which is scheduled to open in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$7.2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$3.4 billion.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50.5 million of its common shares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billion, resulting in a total return of capital to shareholders of $3.2 billion.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383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Business Services Connectivity</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Connectivity &amp; Platforms Adjusted EBITDA Margin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Residential Connectivity &amp; Platforms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Business Services Connectivity</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120" w:type="dxa"/>
            <w:vAlign w:val="bottom"/>
            <w:vMerge w:val="restart"/>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4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40" w:type="dxa"/>
            <w:vAlign w:val="bottom"/>
            <w:tcBorders>
              <w:right w:val="single" w:sz="8" w:color="D9D9D6"/>
            </w:tcBorders>
            <w:gridSpan w:val="2"/>
            <w:vMerge w:val="restart"/>
            <w:shd w:val="clear" w:color="auto" w:fill="D9D9D6"/>
          </w:tcPr>
          <w:p>
            <w:pPr>
              <w:jc w:val="right"/>
              <w:ind w:right="80"/>
              <w:spacing w:after="0"/>
              <w:rPr>
                <w:sz w:val="20"/>
                <w:szCs w:val="20"/>
                <w:color w:val="auto"/>
              </w:rPr>
            </w:pPr>
            <w:r>
              <w:rPr>
                <w:rFonts w:ascii="Arial" w:cs="Arial" w:eastAsia="Arial" w:hAnsi="Arial"/>
                <w:sz w:val="14"/>
                <w:szCs w:val="14"/>
                <w:color w:val="auto"/>
                <w:w w:val="98"/>
              </w:rPr>
              <w:t>2nd Quarter</w:t>
            </w:r>
          </w:p>
        </w:tc>
        <w:tc>
          <w:tcPr>
            <w:tcW w:w="500" w:type="dxa"/>
            <w:vAlign w:val="bottom"/>
            <w:shd w:val="clear" w:color="auto" w:fill="D9D9D6"/>
          </w:tcPr>
          <w:p>
            <w:pPr>
              <w:spacing w:after="0"/>
              <w:rPr>
                <w:sz w:val="8"/>
                <w:szCs w:val="8"/>
                <w:color w:val="auto"/>
              </w:rPr>
            </w:pPr>
          </w:p>
        </w:tc>
        <w:tc>
          <w:tcPr>
            <w:tcW w:w="34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1100" w:type="dxa"/>
            <w:vAlign w:val="bottom"/>
            <w:tcBorders>
              <w:right w:val="single" w:sz="8" w:color="D9D9D6"/>
            </w:tcBorders>
            <w:gridSpan w:val="2"/>
            <w:vMerge w:val="continue"/>
            <w:shd w:val="clear" w:color="auto" w:fill="D9D9D6"/>
          </w:tcPr>
          <w:p>
            <w:pPr>
              <w:spacing w:after="0"/>
              <w:rPr>
                <w:sz w:val="8"/>
                <w:szCs w:val="8"/>
                <w:color w:val="auto"/>
              </w:rPr>
            </w:pPr>
          </w:p>
        </w:tc>
        <w:tc>
          <w:tcPr>
            <w:tcW w:w="120" w:type="dxa"/>
            <w:vAlign w:val="bottom"/>
            <w:vMerge w:val="continue"/>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640" w:type="dxa"/>
            <w:vAlign w:val="bottom"/>
            <w:shd w:val="clear" w:color="auto" w:fill="D9D9D6"/>
          </w:tcPr>
          <w:p>
            <w:pPr>
              <w:spacing w:after="0"/>
              <w:rPr>
                <w:sz w:val="7"/>
                <w:szCs w:val="7"/>
                <w:color w:val="auto"/>
              </w:rPr>
            </w:pPr>
          </w:p>
        </w:tc>
        <w:tc>
          <w:tcPr>
            <w:tcW w:w="200" w:type="dxa"/>
            <w:vAlign w:val="bottom"/>
            <w:shd w:val="clear" w:color="auto" w:fill="D9D9D6"/>
          </w:tcPr>
          <w:p>
            <w:pPr>
              <w:spacing w:after="0"/>
              <w:rPr>
                <w:sz w:val="7"/>
                <w:szCs w:val="7"/>
                <w:color w:val="auto"/>
              </w:rPr>
            </w:pPr>
          </w:p>
        </w:tc>
        <w:tc>
          <w:tcPr>
            <w:tcW w:w="120" w:type="dxa"/>
            <w:vAlign w:val="bottom"/>
            <w:shd w:val="clear" w:color="auto" w:fill="D9D9D6"/>
          </w:tcPr>
          <w:p>
            <w:pPr>
              <w:spacing w:after="0"/>
              <w:rPr>
                <w:sz w:val="7"/>
                <w:szCs w:val="7"/>
                <w:color w:val="auto"/>
              </w:rPr>
            </w:pPr>
          </w:p>
        </w:tc>
        <w:tc>
          <w:tcPr>
            <w:tcW w:w="160" w:type="dxa"/>
            <w:vAlign w:val="bottom"/>
            <w:shd w:val="clear" w:color="auto" w:fill="D9D9D6"/>
          </w:tcPr>
          <w:p>
            <w:pPr>
              <w:spacing w:after="0"/>
              <w:rPr>
                <w:sz w:val="7"/>
                <w:szCs w:val="7"/>
                <w:color w:val="auto"/>
              </w:rPr>
            </w:pPr>
          </w:p>
        </w:tc>
        <w:tc>
          <w:tcPr>
            <w:tcW w:w="840" w:type="dxa"/>
            <w:vAlign w:val="bottom"/>
            <w:tcBorders>
              <w:right w:val="single" w:sz="8" w:color="D9D9D6"/>
            </w:tcBorders>
            <w:gridSpan w:val="2"/>
            <w:vMerge w:val="continue"/>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340" w:type="dxa"/>
            <w:vAlign w:val="bottom"/>
            <w:shd w:val="clear" w:color="auto" w:fill="D9D9D6"/>
          </w:tcPr>
          <w:p>
            <w:pPr>
              <w:spacing w:after="0"/>
              <w:rPr>
                <w:sz w:val="7"/>
                <w:szCs w:val="7"/>
                <w:color w:val="auto"/>
              </w:rPr>
            </w:pPr>
          </w:p>
        </w:tc>
        <w:tc>
          <w:tcPr>
            <w:tcW w:w="180" w:type="dxa"/>
            <w:vAlign w:val="bottom"/>
            <w:tcBorders>
              <w:right w:val="single" w:sz="8" w:color="D9D9D6"/>
            </w:tcBorders>
            <w:shd w:val="clear" w:color="auto" w:fill="D9D9D6"/>
          </w:tcPr>
          <w:p>
            <w:pPr>
              <w:spacing w:after="0"/>
              <w:rPr>
                <w:sz w:val="7"/>
                <w:szCs w:val="7"/>
                <w:color w:val="auto"/>
              </w:rPr>
            </w:pPr>
          </w:p>
        </w:tc>
        <w:tc>
          <w:tcPr>
            <w:tcW w:w="1100" w:type="dxa"/>
            <w:vAlign w:val="bottom"/>
            <w:tcBorders>
              <w:right w:val="single" w:sz="8" w:color="D9D9D6"/>
            </w:tcBorders>
            <w:gridSpan w:val="2"/>
            <w:vMerge w:val="restart"/>
            <w:shd w:val="clear" w:color="auto" w:fill="D9D9D6"/>
          </w:tcPr>
          <w:p>
            <w:pPr>
              <w:jc w:val="right"/>
              <w:spacing w:after="0" w:line="141" w:lineRule="exact"/>
              <w:rPr>
                <w:sz w:val="20"/>
                <w:szCs w:val="20"/>
                <w:color w:val="auto"/>
              </w:rPr>
            </w:pPr>
            <w:r>
              <w:rPr>
                <w:rFonts w:ascii="Arial" w:cs="Arial" w:eastAsia="Arial" w:hAnsi="Arial"/>
                <w:sz w:val="14"/>
                <w:szCs w:val="14"/>
                <w:color w:val="auto"/>
              </w:rPr>
              <w:t>Currency</w:t>
            </w:r>
          </w:p>
        </w:tc>
        <w:tc>
          <w:tcPr>
            <w:tcW w:w="12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right w:val="single" w:sz="8" w:color="D9D9D6"/>
            </w:tcBorders>
            <w:shd w:val="clear" w:color="auto" w:fill="000000"/>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180" w:type="dxa"/>
            <w:vAlign w:val="bottom"/>
            <w:tcBorders>
              <w:right w:val="single" w:sz="8" w:color="D9D9D6"/>
            </w:tcBorders>
            <w:shd w:val="clear" w:color="auto" w:fill="D9D9D6"/>
          </w:tcPr>
          <w:p>
            <w:pPr>
              <w:spacing w:after="0" w:line="20" w:lineRule="exact"/>
              <w:rPr>
                <w:sz w:val="1"/>
                <w:szCs w:val="1"/>
                <w:color w:val="auto"/>
              </w:rPr>
            </w:pPr>
          </w:p>
        </w:tc>
        <w:tc>
          <w:tcPr>
            <w:tcW w:w="110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640" w:type="dxa"/>
            <w:vAlign w:val="bottom"/>
            <w:vMerge w:val="restart"/>
            <w:shd w:val="clear" w:color="auto" w:fill="D9D9D6"/>
          </w:tcPr>
          <w:p>
            <w:pPr>
              <w:spacing w:after="0"/>
              <w:rPr>
                <w:sz w:val="2"/>
                <w:szCs w:val="2"/>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160" w:type="dxa"/>
            <w:vAlign w:val="bottom"/>
            <w:vMerge w:val="restart"/>
            <w:shd w:val="clear" w:color="auto" w:fill="D9D9D6"/>
          </w:tcPr>
          <w:p>
            <w:pPr>
              <w:spacing w:after="0"/>
              <w:rPr>
                <w:sz w:val="2"/>
                <w:szCs w:val="2"/>
                <w:color w:val="auto"/>
              </w:rPr>
            </w:pPr>
          </w:p>
        </w:tc>
        <w:tc>
          <w:tcPr>
            <w:tcW w:w="840" w:type="dxa"/>
            <w:vAlign w:val="bottom"/>
            <w:tcBorders>
              <w:right w:val="single" w:sz="8" w:color="D9D9D6"/>
            </w:tcBorders>
            <w:gridSpan w:val="2"/>
            <w:vMerge w:val="restart"/>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020" w:type="dxa"/>
            <w:vAlign w:val="bottom"/>
            <w:tcBorders>
              <w:right w:val="single" w:sz="8" w:color="D9D9D6"/>
            </w:tcBorders>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00" w:type="dxa"/>
            <w:vAlign w:val="bottom"/>
            <w:tcBorders>
              <w:right w:val="single" w:sz="8" w:color="D9D9D6"/>
            </w:tcBorders>
            <w:gridSpan w:val="2"/>
            <w:vMerge w:val="continue"/>
            <w:shd w:val="clear" w:color="auto" w:fill="D9D9D6"/>
          </w:tcPr>
          <w:p>
            <w:pPr>
              <w:spacing w:after="0"/>
              <w:rPr>
                <w:sz w:val="2"/>
                <w:szCs w:val="2"/>
                <w:color w:val="auto"/>
              </w:rPr>
            </w:pPr>
          </w:p>
        </w:tc>
        <w:tc>
          <w:tcPr>
            <w:tcW w:w="120" w:type="dxa"/>
            <w:vAlign w:val="bottom"/>
            <w:shd w:val="clear" w:color="auto" w:fill="D9D9D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0" w:type="dxa"/>
            <w:vAlign w:val="bottom"/>
            <w:vMerge w:val="continue"/>
            <w:shd w:val="clear" w:color="auto" w:fill="D9D9D6"/>
          </w:tcPr>
          <w:p>
            <w:pPr>
              <w:spacing w:after="0"/>
              <w:rPr>
                <w:sz w:val="12"/>
                <w:szCs w:val="12"/>
                <w:color w:val="auto"/>
              </w:rPr>
            </w:pPr>
          </w:p>
        </w:tc>
        <w:tc>
          <w:tcPr>
            <w:tcW w:w="320" w:type="dxa"/>
            <w:vAlign w:val="bottom"/>
            <w:gridSpan w:val="2"/>
            <w:vMerge w:val="continue"/>
            <w:shd w:val="clear" w:color="auto" w:fill="D9D9D6"/>
          </w:tcPr>
          <w:p>
            <w:pPr>
              <w:spacing w:after="0"/>
              <w:rPr>
                <w:sz w:val="12"/>
                <w:szCs w:val="12"/>
                <w:color w:val="auto"/>
              </w:rPr>
            </w:pPr>
          </w:p>
        </w:tc>
        <w:tc>
          <w:tcPr>
            <w:tcW w:w="160" w:type="dxa"/>
            <w:vAlign w:val="bottom"/>
            <w:vMerge w:val="continue"/>
            <w:shd w:val="clear" w:color="auto" w:fill="D9D9D6"/>
          </w:tcPr>
          <w:p>
            <w:pPr>
              <w:spacing w:after="0"/>
              <w:rPr>
                <w:sz w:val="12"/>
                <w:szCs w:val="12"/>
                <w:color w:val="auto"/>
              </w:rPr>
            </w:pPr>
          </w:p>
        </w:tc>
        <w:tc>
          <w:tcPr>
            <w:tcW w:w="840" w:type="dxa"/>
            <w:vAlign w:val="bottom"/>
            <w:tcBorders>
              <w:right w:val="single" w:sz="8" w:color="D9D9D6"/>
            </w:tcBorders>
            <w:gridSpan w:val="2"/>
            <w:vMerge w:val="continue"/>
            <w:shd w:val="clear" w:color="auto" w:fill="D9D9D6"/>
          </w:tcPr>
          <w:p>
            <w:pPr>
              <w:spacing w:after="0"/>
              <w:rPr>
                <w:sz w:val="12"/>
                <w:szCs w:val="12"/>
                <w:color w:val="auto"/>
              </w:rPr>
            </w:pPr>
          </w:p>
        </w:tc>
        <w:tc>
          <w:tcPr>
            <w:tcW w:w="1020" w:type="dxa"/>
            <w:vAlign w:val="bottom"/>
            <w:tcBorders>
              <w:right w:val="single" w:sz="8" w:color="D9D9D6"/>
            </w:tcBorders>
            <w:gridSpan w:val="3"/>
            <w:vMerge w:val="continue"/>
            <w:shd w:val="clear" w:color="auto" w:fill="D9D9D6"/>
          </w:tcPr>
          <w:p>
            <w:pPr>
              <w:spacing w:after="0"/>
              <w:rPr>
                <w:sz w:val="12"/>
                <w:szCs w:val="12"/>
                <w:color w:val="auto"/>
              </w:rPr>
            </w:pPr>
          </w:p>
        </w:tc>
        <w:tc>
          <w:tcPr>
            <w:tcW w:w="1100" w:type="dxa"/>
            <w:vAlign w:val="bottom"/>
            <w:tcBorders>
              <w:right w:val="single" w:sz="8" w:color="D9D9D6"/>
            </w:tcBorders>
            <w:gridSpan w:val="2"/>
            <w:shd w:val="clear" w:color="auto" w:fill="D9D9D6"/>
          </w:tcPr>
          <w:p>
            <w:pPr>
              <w:jc w:val="right"/>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6</w:t>
            </w:r>
          </w:p>
        </w:tc>
        <w:tc>
          <w:tcPr>
            <w:tcW w:w="1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D9D9D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D9D9D6"/>
            </w:tcBorders>
            <w:shd w:val="clear" w:color="auto" w:fill="000000"/>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8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$18,068</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$18,131</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(0.4</w:t>
            </w:r>
          </w:p>
        </w:tc>
        <w:tc>
          <w:tcPr>
            <w:tcW w:w="18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w w:val="81"/>
              </w:rPr>
              <w:t>%)</w:t>
            </w:r>
          </w:p>
        </w:tc>
        <w:tc>
          <w:tcPr>
            <w:tcW w:w="11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2,292</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2,203</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$20,360</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$20,335</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w:t>
            </w:r>
          </w:p>
        </w:tc>
        <w:tc>
          <w:tcPr>
            <w:tcW w:w="18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9D9D6"/>
          </w:tcPr>
          <w:p>
            <w:pPr>
              <w:spacing w:after="0"/>
              <w:rPr>
                <w:sz w:val="16"/>
                <w:szCs w:val="16"/>
                <w:color w:val="auto"/>
              </w:rPr>
            </w:pPr>
          </w:p>
        </w:tc>
        <w:tc>
          <w:tcPr>
            <w:tcW w:w="58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610"/>
        </w:trPr>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$7,024</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$6,733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18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1,322</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1,263</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$8,346</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$7,995</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4.4</w:t>
            </w:r>
          </w:p>
        </w:tc>
        <w:tc>
          <w:tcPr>
            <w:tcW w:w="18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4.3 %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98"/>
        </w:trPr>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37.1 %</w:t>
            </w:r>
          </w:p>
        </w:tc>
        <w:tc>
          <w:tcPr>
            <w:tcW w:w="10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180 bps</w:t>
            </w:r>
          </w:p>
        </w:tc>
        <w:tc>
          <w:tcPr>
            <w:tcW w:w="520" w:type="dxa"/>
            <w:vAlign w:val="bottom"/>
            <w:shd w:val="clear" w:color="auto" w:fill="D9D9D6"/>
          </w:tcPr>
          <w:p>
            <w:pPr>
              <w:spacing w:after="0"/>
              <w:rPr>
                <w:sz w:val="24"/>
                <w:szCs w:val="24"/>
                <w:color w:val="auto"/>
              </w:rPr>
            </w:pPr>
          </w:p>
        </w:tc>
        <w:tc>
          <w:tcPr>
            <w:tcW w:w="58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180 bps</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57.3 %</w:t>
            </w:r>
          </w:p>
        </w:tc>
        <w:tc>
          <w:tcPr>
            <w:tcW w:w="500" w:type="dxa"/>
            <w:vAlign w:val="bottom"/>
            <w:tcBorders>
              <w:bottom w:val="single" w:sz="8" w:color="auto"/>
            </w:tcBorders>
            <w:shd w:val="clear" w:color="auto" w:fill="D9D9D6"/>
          </w:tcPr>
          <w:p>
            <w:pPr>
              <w:spacing w:after="0"/>
              <w:rPr>
                <w:sz w:val="18"/>
                <w:szCs w:val="18"/>
                <w:color w:val="auto"/>
              </w:rPr>
            </w:pPr>
          </w:p>
        </w:tc>
        <w:tc>
          <w:tcPr>
            <w:tcW w:w="5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40 bps</w:t>
            </w:r>
          </w:p>
        </w:tc>
        <w:tc>
          <w:tcPr>
            <w:tcW w:w="520" w:type="dxa"/>
            <w:vAlign w:val="bottom"/>
            <w:tcBorders>
              <w:bottom w:val="single" w:sz="8" w:color="auto"/>
            </w:tcBorders>
            <w:shd w:val="clear" w:color="auto" w:fill="D9D9D6"/>
          </w:tcPr>
          <w:p>
            <w:pPr>
              <w:spacing w:after="0"/>
              <w:rPr>
                <w:sz w:val="18"/>
                <w:szCs w:val="18"/>
                <w:color w:val="auto"/>
              </w:rPr>
            </w:pPr>
          </w:p>
        </w:tc>
        <w:tc>
          <w:tcPr>
            <w:tcW w:w="58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40 bps</w:t>
            </w:r>
          </w:p>
        </w:tc>
        <w:tc>
          <w:tcPr>
            <w:tcW w:w="12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41.0</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39.3 %</w:t>
            </w:r>
          </w:p>
        </w:tc>
        <w:tc>
          <w:tcPr>
            <w:tcW w:w="10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170 bps</w:t>
            </w:r>
          </w:p>
        </w:tc>
        <w:tc>
          <w:tcPr>
            <w:tcW w:w="520" w:type="dxa"/>
            <w:vAlign w:val="bottom"/>
            <w:shd w:val="clear" w:color="auto" w:fill="D9D9D6"/>
          </w:tcPr>
          <w:p>
            <w:pPr>
              <w:spacing w:after="0"/>
              <w:rPr>
                <w:sz w:val="16"/>
                <w:szCs w:val="16"/>
                <w:color w:val="auto"/>
              </w:rPr>
            </w:pPr>
          </w:p>
        </w:tc>
        <w:tc>
          <w:tcPr>
            <w:tcW w:w="58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170 bps</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4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460" w:type="dxa"/>
            <w:vAlign w:val="bottom"/>
            <w:shd w:val="clear" w:color="auto" w:fill="D9D9D6"/>
          </w:tcPr>
          <w:p>
            <w:pPr>
              <w:spacing w:after="0"/>
              <w:rPr>
                <w:sz w:val="8"/>
                <w:szCs w:val="8"/>
                <w:color w:val="auto"/>
              </w:rPr>
            </w:pPr>
          </w:p>
        </w:tc>
        <w:tc>
          <w:tcPr>
            <w:tcW w:w="380" w:type="dxa"/>
            <w:vAlign w:val="bottom"/>
            <w:tcBorders>
              <w:right w:val="single" w:sz="8" w:color="D9D9D6"/>
            </w:tcBorders>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34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520" w:type="dxa"/>
            <w:vAlign w:val="bottom"/>
            <w:shd w:val="clear" w:color="auto" w:fill="D9D9D6"/>
          </w:tcPr>
          <w:p>
            <w:pPr>
              <w:spacing w:after="0"/>
              <w:rPr>
                <w:sz w:val="8"/>
                <w:szCs w:val="8"/>
                <w:color w:val="auto"/>
              </w:rPr>
            </w:pPr>
          </w:p>
        </w:tc>
        <w:tc>
          <w:tcPr>
            <w:tcW w:w="580" w:type="dxa"/>
            <w:vAlign w:val="bottom"/>
            <w:tcBorders>
              <w:right w:val="single" w:sz="8" w:color="D9D9D6"/>
            </w:tcBorders>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6320" w:space="720"/>
            <w:col w:w="4200"/>
          </w:cols>
          <w:pgMar w:left="320" w:top="580" w:right="339" w:bottom="1440" w:gutter="0" w:footer="0" w:header="0"/>
          <w:type w:val="continuous"/>
        </w:sect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due to growth in Residential</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Connectivity &amp; Platforms Adjusted EBITDA and Business Services Connectivity Adjusted EBITDA.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41.0%.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1"/>
        </w:trPr>
        <w:tc>
          <w:tcPr>
            <w:tcW w:w="120" w:type="dxa"/>
            <w:vAlign w:val="bottom"/>
            <w:shd w:val="clear" w:color="auto" w:fill="D9D9D6"/>
          </w:tcPr>
          <w:p>
            <w:pPr>
              <w:spacing w:after="0"/>
              <w:rPr>
                <w:sz w:val="19"/>
                <w:szCs w:val="19"/>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6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shd w:val="clear" w:color="auto" w:fill="D9D9D6"/>
          </w:tcPr>
          <w:p>
            <w:pPr>
              <w:spacing w:after="0"/>
              <w:rPr>
                <w:sz w:val="19"/>
                <w:szCs w:val="19"/>
                <w:color w:val="auto"/>
              </w:rPr>
            </w:pPr>
          </w:p>
        </w:tc>
        <w:tc>
          <w:tcPr>
            <w:tcW w:w="69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400" w:type="dxa"/>
            <w:vAlign w:val="bottom"/>
            <w:gridSpan w:val="10"/>
            <w:shd w:val="clear" w:color="auto" w:fill="D9D9D6"/>
          </w:tcPr>
          <w:p>
            <w:pPr>
              <w:jc w:val="center"/>
              <w:ind w:left="288"/>
              <w:spacing w:after="0"/>
              <w:rPr>
                <w:sz w:val="20"/>
                <w:szCs w:val="20"/>
                <w:color w:val="auto"/>
              </w:rPr>
            </w:pPr>
            <w:r>
              <w:rPr>
                <w:rFonts w:ascii="Arial" w:cs="Arial" w:eastAsia="Arial" w:hAnsi="Arial"/>
                <w:sz w:val="14"/>
                <w:szCs w:val="14"/>
                <w:color w:val="auto"/>
              </w:rPr>
              <w:t>Net Additions / (Losses)</w:t>
            </w: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694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4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46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80" w:type="dxa"/>
            <w:vAlign w:val="bottom"/>
            <w:tcBorders>
              <w:top w:val="single" w:sz="8" w:color="D9D9D6"/>
              <w:bottom w:val="single" w:sz="8" w:color="D9D9D6"/>
            </w:tcBorders>
            <w:shd w:val="clear" w:color="auto" w:fill="D9D9D6"/>
          </w:tcPr>
          <w:p>
            <w:pPr>
              <w:spacing w:after="0"/>
              <w:rPr>
                <w:sz w:val="15"/>
                <w:szCs w:val="15"/>
                <w:color w:val="auto"/>
              </w:rPr>
            </w:pPr>
          </w:p>
        </w:tc>
        <w:tc>
          <w:tcPr>
            <w:tcW w:w="620" w:type="dxa"/>
            <w:vAlign w:val="bottom"/>
            <w:tcBorders>
              <w:top w:val="single" w:sz="8" w:color="D9D9D6"/>
              <w:bottom w:val="single" w:sz="8" w:color="D9D9D6"/>
            </w:tcBorders>
            <w:shd w:val="clear" w:color="auto" w:fill="D9D9D6"/>
          </w:tcPr>
          <w:p>
            <w:pPr>
              <w:spacing w:after="0"/>
              <w:rPr>
                <w:sz w:val="15"/>
                <w:szCs w:val="15"/>
                <w:color w:val="auto"/>
              </w:rPr>
            </w:pPr>
          </w:p>
        </w:tc>
        <w:tc>
          <w:tcPr>
            <w:tcW w:w="380" w:type="dxa"/>
            <w:vAlign w:val="bottom"/>
            <w:tcBorders>
              <w:top w:val="single" w:sz="8" w:color="auto"/>
              <w:bottom w:val="single" w:sz="8" w:color="D9D9D6"/>
            </w:tcBorders>
            <w:shd w:val="clear" w:color="auto" w:fill="D9D9D6"/>
          </w:tcPr>
          <w:p>
            <w:pPr>
              <w:spacing w:after="0"/>
              <w:rPr>
                <w:sz w:val="15"/>
                <w:szCs w:val="15"/>
                <w:color w:val="auto"/>
              </w:rPr>
            </w:pPr>
          </w:p>
        </w:tc>
        <w:tc>
          <w:tcPr>
            <w:tcW w:w="78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2nd Quarter</w:t>
            </w:r>
          </w:p>
        </w:tc>
        <w:tc>
          <w:tcPr>
            <w:tcW w:w="100" w:type="dxa"/>
            <w:vAlign w:val="bottom"/>
            <w:tcBorders>
              <w:top w:val="single" w:sz="8" w:color="auto"/>
              <w:bottom w:val="single" w:sz="8" w:color="D9D9D6"/>
            </w:tcBorders>
            <w:shd w:val="clear" w:color="auto" w:fill="D9D9D6"/>
          </w:tcPr>
          <w:p>
            <w:pPr>
              <w:spacing w:after="0"/>
              <w:rPr>
                <w:sz w:val="15"/>
                <w:szCs w:val="15"/>
                <w:color w:val="auto"/>
              </w:rPr>
            </w:pPr>
          </w:p>
        </w:tc>
        <w:tc>
          <w:tcPr>
            <w:tcW w:w="260" w:type="dxa"/>
            <w:vAlign w:val="bottom"/>
            <w:tcBorders>
              <w:top w:val="single" w:sz="8" w:color="auto"/>
              <w:bottom w:val="single" w:sz="8" w:color="D9D9D6"/>
            </w:tcBorders>
            <w:shd w:val="clear" w:color="auto" w:fill="D9D9D6"/>
          </w:tcPr>
          <w:p>
            <w:pPr>
              <w:spacing w:after="0"/>
              <w:rPr>
                <w:sz w:val="15"/>
                <w:szCs w:val="15"/>
                <w:color w:val="auto"/>
              </w:rPr>
            </w:pPr>
          </w:p>
        </w:tc>
        <w:tc>
          <w:tcPr>
            <w:tcW w:w="60" w:type="dxa"/>
            <w:vAlign w:val="bottom"/>
            <w:tcBorders>
              <w:top w:val="single" w:sz="8" w:color="D9D9D6"/>
              <w:bottom w:val="single" w:sz="8" w:color="D9D9D6"/>
            </w:tcBorders>
            <w:shd w:val="clear" w:color="auto" w:fill="D9D9D6"/>
          </w:tcPr>
          <w:p>
            <w:pPr>
              <w:spacing w:after="0"/>
              <w:rPr>
                <w:sz w:val="15"/>
                <w:szCs w:val="15"/>
                <w:color w:val="auto"/>
              </w:rPr>
            </w:pPr>
          </w:p>
        </w:tc>
        <w:tc>
          <w:tcPr>
            <w:tcW w:w="8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shd w:val="clear" w:color="auto" w:fill="D9D9D6"/>
          </w:tcPr>
          <w:p>
            <w:pPr>
              <w:spacing w:after="0"/>
              <w:rPr>
                <w:sz w:val="16"/>
                <w:szCs w:val="16"/>
                <w:color w:val="auto"/>
              </w:rPr>
            </w:pPr>
          </w:p>
        </w:tc>
        <w:tc>
          <w:tcPr>
            <w:tcW w:w="360" w:type="dxa"/>
            <w:vAlign w:val="bottom"/>
            <w:gridSpan w:val="2"/>
            <w:shd w:val="clear" w:color="auto" w:fill="D9D9D6"/>
          </w:tcPr>
          <w:p>
            <w:pPr>
              <w:spacing w:after="0" w:line="149" w:lineRule="exact"/>
              <w:rPr>
                <w:sz w:val="20"/>
                <w:szCs w:val="20"/>
                <w:color w:val="auto"/>
              </w:rPr>
            </w:pPr>
            <w:r>
              <w:rPr>
                <w:rFonts w:ascii="Arial" w:cs="Arial" w:eastAsia="Arial" w:hAnsi="Arial"/>
                <w:sz w:val="14"/>
                <w:szCs w:val="14"/>
                <w:color w:val="auto"/>
                <w:w w:val="99"/>
              </w:rPr>
              <w:t>2Q23</w:t>
            </w:r>
          </w:p>
        </w:tc>
        <w:tc>
          <w:tcPr>
            <w:tcW w:w="460" w:type="dxa"/>
            <w:vAlign w:val="bottom"/>
            <w:shd w:val="clear" w:color="auto" w:fill="D9D9D6"/>
          </w:tcPr>
          <w:p>
            <w:pPr>
              <w:spacing w:after="0"/>
              <w:rPr>
                <w:sz w:val="16"/>
                <w:szCs w:val="16"/>
                <w:color w:val="auto"/>
              </w:rPr>
            </w:pPr>
          </w:p>
        </w:tc>
        <w:tc>
          <w:tcPr>
            <w:tcW w:w="440" w:type="dxa"/>
            <w:vAlign w:val="bottom"/>
            <w:gridSpan w:val="2"/>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2Q22</w:t>
            </w:r>
            <w:r>
              <w:rPr>
                <w:rFonts w:ascii="Arial" w:cs="Arial" w:eastAsia="Arial" w:hAnsi="Arial"/>
                <w:sz w:val="9"/>
                <w:szCs w:val="9"/>
                <w:color w:val="auto"/>
              </w:rPr>
              <w:t>7</w:t>
            </w:r>
          </w:p>
        </w:tc>
        <w:tc>
          <w:tcPr>
            <w:tcW w:w="1380" w:type="dxa"/>
            <w:vAlign w:val="bottom"/>
            <w:gridSpan w:val="4"/>
            <w:shd w:val="clear" w:color="auto" w:fill="D9D9D6"/>
          </w:tcPr>
          <w:p>
            <w:pPr>
              <w:jc w:val="right"/>
              <w:spacing w:after="0" w:line="155" w:lineRule="exact"/>
              <w:rPr>
                <w:sz w:val="20"/>
                <w:szCs w:val="20"/>
                <w:color w:val="auto"/>
              </w:rPr>
            </w:pPr>
            <w:r>
              <w:rPr>
                <w:rFonts w:ascii="Arial" w:cs="Arial" w:eastAsia="Arial" w:hAnsi="Arial"/>
                <w:sz w:val="14"/>
                <w:szCs w:val="14"/>
                <w:color w:val="auto"/>
              </w:rPr>
              <w:t>2023</w:t>
            </w:r>
          </w:p>
        </w:tc>
        <w:tc>
          <w:tcPr>
            <w:tcW w:w="400" w:type="dxa"/>
            <w:vAlign w:val="bottom"/>
            <w:shd w:val="clear" w:color="auto" w:fill="D9D9D6"/>
          </w:tcPr>
          <w:p>
            <w:pPr>
              <w:spacing w:after="0"/>
              <w:rPr>
                <w:sz w:val="16"/>
                <w:szCs w:val="16"/>
                <w:color w:val="auto"/>
              </w:rPr>
            </w:pPr>
          </w:p>
        </w:tc>
        <w:tc>
          <w:tcPr>
            <w:tcW w:w="500" w:type="dxa"/>
            <w:vAlign w:val="bottom"/>
            <w:gridSpan w:val="4"/>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7</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Borders>
              <w:top w:val="single" w:sz="8" w:color="D9D9D6"/>
            </w:tcBorders>
            <w:shd w:val="clear" w:color="auto" w:fill="D9D9D6"/>
          </w:tcPr>
          <w:p>
            <w:pPr>
              <w:spacing w:after="0"/>
              <w:rPr>
                <w:sz w:val="17"/>
                <w:szCs w:val="17"/>
                <w:color w:val="auto"/>
              </w:rPr>
            </w:pPr>
          </w:p>
        </w:tc>
        <w:tc>
          <w:tcPr>
            <w:tcW w:w="694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31,761</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31,955</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(65)</w:t>
            </w:r>
          </w:p>
        </w:tc>
        <w:tc>
          <w:tcPr>
            <w:tcW w:w="400" w:type="dxa"/>
            <w:vAlign w:val="bottom"/>
            <w:shd w:val="clear" w:color="auto" w:fill="D9D9D6"/>
          </w:tcPr>
          <w:p>
            <w:pPr>
              <w:spacing w:after="0"/>
              <w:rPr>
                <w:sz w:val="16"/>
                <w:szCs w:val="16"/>
                <w:color w:val="auto"/>
              </w:rPr>
            </w:pPr>
          </w:p>
        </w:tc>
        <w:tc>
          <w:tcPr>
            <w:tcW w:w="5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17,884</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17,788</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(167)</w:t>
            </w:r>
          </w:p>
        </w:tc>
        <w:tc>
          <w:tcPr>
            <w:tcW w:w="400" w:type="dxa"/>
            <w:vAlign w:val="bottom"/>
            <w:shd w:val="clear" w:color="auto" w:fill="D9D9D6"/>
          </w:tcPr>
          <w:p>
            <w:pPr>
              <w:spacing w:after="0"/>
              <w:rPr>
                <w:sz w:val="16"/>
                <w:szCs w:val="16"/>
                <w:color w:val="auto"/>
              </w:rPr>
            </w:pPr>
          </w:p>
        </w:tc>
        <w:tc>
          <w:tcPr>
            <w:tcW w:w="5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0" w:type="dxa"/>
            <w:vAlign w:val="bottom"/>
            <w:tcBorders>
              <w:bottom w:val="single" w:sz="8" w:color="D9D9D6"/>
            </w:tcBorders>
            <w:shd w:val="clear" w:color="auto" w:fill="D9D9D6"/>
          </w:tcPr>
          <w:p>
            <w:pPr>
              <w:spacing w:after="0"/>
              <w:rPr>
                <w:sz w:val="18"/>
                <w:szCs w:val="18"/>
                <w:color w:val="auto"/>
              </w:rPr>
            </w:pPr>
          </w:p>
        </w:tc>
        <w:tc>
          <w:tcPr>
            <w:tcW w:w="6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2,635</w:t>
            </w:r>
          </w:p>
        </w:tc>
        <w:tc>
          <w:tcPr>
            <w:tcW w:w="20" w:type="dxa"/>
            <w:vAlign w:val="bottom"/>
            <w:tcBorders>
              <w:bottom w:val="single" w:sz="8" w:color="auto"/>
            </w:tcBorders>
            <w:shd w:val="clear" w:color="auto" w:fill="D9D9D6"/>
          </w:tcPr>
          <w:p>
            <w:pPr>
              <w:spacing w:after="0"/>
              <w:rPr>
                <w:sz w:val="18"/>
                <w:szCs w:val="18"/>
                <w:color w:val="auto"/>
              </w:rPr>
            </w:pPr>
          </w:p>
        </w:tc>
        <w:tc>
          <w:tcPr>
            <w:tcW w:w="90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2,608</w:t>
            </w:r>
          </w:p>
        </w:tc>
        <w:tc>
          <w:tcPr>
            <w:tcW w:w="138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shd w:val="clear" w:color="auto" w:fill="D9D9D6"/>
          </w:tcPr>
          <w:p>
            <w:pPr>
              <w:spacing w:after="0"/>
              <w:rPr>
                <w:sz w:val="18"/>
                <w:szCs w:val="18"/>
                <w:color w:val="auto"/>
              </w:rPr>
            </w:pPr>
          </w:p>
        </w:tc>
        <w:tc>
          <w:tcPr>
            <w:tcW w:w="5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52,280</w:t>
            </w:r>
          </w:p>
        </w:tc>
        <w:tc>
          <w:tcPr>
            <w:tcW w:w="2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52,351</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(228)</w:t>
            </w:r>
          </w:p>
        </w:tc>
        <w:tc>
          <w:tcPr>
            <w:tcW w:w="400" w:type="dxa"/>
            <w:vAlign w:val="bottom"/>
            <w:shd w:val="clear" w:color="auto" w:fill="D9D9D6"/>
          </w:tcPr>
          <w:p>
            <w:pPr>
              <w:spacing w:after="0"/>
              <w:rPr>
                <w:sz w:val="15"/>
                <w:szCs w:val="15"/>
                <w:color w:val="auto"/>
              </w:rPr>
            </w:pPr>
          </w:p>
        </w:tc>
        <w:tc>
          <w:tcPr>
            <w:tcW w:w="5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20" w:type="dxa"/>
            <w:vAlign w:val="bottom"/>
            <w:shd w:val="clear" w:color="auto" w:fill="D9D9D6"/>
          </w:tcPr>
          <w:p>
            <w:pPr>
              <w:spacing w:after="0"/>
              <w:rPr>
                <w:sz w:val="24"/>
                <w:szCs w:val="24"/>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62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29,796</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29,826</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w:t>
            </w:r>
          </w:p>
        </w:tc>
        <w:tc>
          <w:tcPr>
            <w:tcW w:w="400" w:type="dxa"/>
            <w:vAlign w:val="bottom"/>
            <w:shd w:val="clear" w:color="auto" w:fill="D9D9D6"/>
          </w:tcPr>
          <w:p>
            <w:pPr>
              <w:spacing w:after="0"/>
              <w:rPr>
                <w:sz w:val="16"/>
                <w:szCs w:val="16"/>
                <w:color w:val="auto"/>
              </w:rPr>
            </w:pPr>
          </w:p>
        </w:tc>
        <w:tc>
          <w:tcPr>
            <w:tcW w:w="5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Borders>
              <w:bottom w:val="single" w:sz="8" w:color="D9D9D6"/>
            </w:tcBorders>
            <w:shd w:val="clear" w:color="auto" w:fill="D9D9D6"/>
          </w:tcPr>
          <w:p>
            <w:pPr>
              <w:spacing w:after="0"/>
              <w:rPr>
                <w:sz w:val="17"/>
                <w:szCs w:val="17"/>
                <w:color w:val="auto"/>
              </w:rPr>
            </w:pPr>
          </w:p>
        </w:tc>
        <w:tc>
          <w:tcPr>
            <w:tcW w:w="6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2,509</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2,497</w:t>
            </w:r>
          </w:p>
        </w:tc>
        <w:tc>
          <w:tcPr>
            <w:tcW w:w="138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shd w:val="clear" w:color="auto" w:fill="D9D9D6"/>
          </w:tcPr>
          <w:p>
            <w:pPr>
              <w:spacing w:after="0"/>
              <w:rPr>
                <w:sz w:val="17"/>
                <w:szCs w:val="17"/>
                <w:color w:val="auto"/>
              </w:rPr>
            </w:pPr>
          </w:p>
        </w:tc>
        <w:tc>
          <w:tcPr>
            <w:tcW w:w="500" w:type="dxa"/>
            <w:vAlign w:val="bottom"/>
            <w:tcBorders>
              <w:bottom w:val="single" w:sz="8" w:color="auto"/>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Domestic Broadband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32,305</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32,323</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(19)</w:t>
            </w:r>
          </w:p>
        </w:tc>
        <w:tc>
          <w:tcPr>
            <w:tcW w:w="400" w:type="dxa"/>
            <w:vAlign w:val="bottom"/>
            <w:shd w:val="clear" w:color="auto" w:fill="D9D9D6"/>
          </w:tcPr>
          <w:p>
            <w:pPr>
              <w:spacing w:after="0"/>
              <w:rPr>
                <w:sz w:val="16"/>
                <w:szCs w:val="16"/>
                <w:color w:val="auto"/>
              </w:rPr>
            </w:pPr>
          </w:p>
        </w:tc>
        <w:tc>
          <w:tcPr>
            <w:tcW w:w="5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5,984</w:t>
            </w:r>
          </w:p>
        </w:tc>
        <w:tc>
          <w:tcPr>
            <w:tcW w:w="20" w:type="dxa"/>
            <w:vAlign w:val="bottom"/>
            <w:shd w:val="clear" w:color="auto" w:fill="D9D9D6"/>
          </w:tcPr>
          <w:p>
            <w:pPr>
              <w:spacing w:after="0"/>
              <w:rPr>
                <w:sz w:val="24"/>
                <w:szCs w:val="24"/>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4,615</w:t>
            </w:r>
          </w:p>
        </w:tc>
        <w:tc>
          <w:tcPr>
            <w:tcW w:w="13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316</w:t>
            </w:r>
          </w:p>
        </w:tc>
        <w:tc>
          <w:tcPr>
            <w:tcW w:w="400" w:type="dxa"/>
            <w:vAlign w:val="bottom"/>
            <w:shd w:val="clear" w:color="auto" w:fill="D9D9D6"/>
          </w:tcPr>
          <w:p>
            <w:pPr>
              <w:spacing w:after="0"/>
              <w:rPr>
                <w:sz w:val="24"/>
                <w:szCs w:val="24"/>
                <w:color w:val="auto"/>
              </w:rPr>
            </w:pPr>
          </w:p>
        </w:tc>
        <w:tc>
          <w:tcPr>
            <w:tcW w:w="50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317</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0" w:type="dxa"/>
            <w:vAlign w:val="bottom"/>
            <w:shd w:val="clear" w:color="auto" w:fill="D9D9D6"/>
          </w:tcPr>
          <w:p>
            <w:pPr>
              <w:spacing w:after="0"/>
              <w:rPr>
                <w:sz w:val="24"/>
                <w:szCs w:val="24"/>
                <w:color w:val="auto"/>
              </w:rPr>
            </w:pPr>
          </w:p>
        </w:tc>
        <w:tc>
          <w:tcPr>
            <w:tcW w:w="694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Domestic Video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14,985</w:t>
            </w:r>
          </w:p>
        </w:tc>
        <w:tc>
          <w:tcPr>
            <w:tcW w:w="20" w:type="dxa"/>
            <w:vAlign w:val="bottom"/>
            <w:shd w:val="clear" w:color="auto" w:fill="D9D9D6"/>
          </w:tcPr>
          <w:p>
            <w:pPr>
              <w:spacing w:after="0"/>
              <w:rPr>
                <w:sz w:val="24"/>
                <w:szCs w:val="24"/>
                <w:color w:val="auto"/>
              </w:rPr>
            </w:pPr>
          </w:p>
        </w:tc>
        <w:tc>
          <w:tcPr>
            <w:tcW w:w="9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17,144</w:t>
            </w:r>
          </w:p>
        </w:tc>
        <w:tc>
          <w:tcPr>
            <w:tcW w:w="13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(543)</w:t>
            </w:r>
          </w:p>
        </w:tc>
        <w:tc>
          <w:tcPr>
            <w:tcW w:w="400" w:type="dxa"/>
            <w:vAlign w:val="bottom"/>
            <w:shd w:val="clear" w:color="auto" w:fill="D9D9D6"/>
          </w:tcPr>
          <w:p>
            <w:pPr>
              <w:spacing w:after="0"/>
              <w:rPr>
                <w:sz w:val="24"/>
                <w:szCs w:val="24"/>
                <w:color w:val="auto"/>
              </w:rPr>
            </w:pPr>
          </w:p>
        </w:tc>
        <w:tc>
          <w:tcPr>
            <w:tcW w:w="50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(521)</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69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228,000 to 52.3 million. Decreases in international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connectivity &amp; platforms customer relationships as well as domestic residential connectivity &amp; platforms customer relationships were partially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offset by an increase in business services connectivity customer relationships. Total domestic broadband customer net losses were 19,000, total domestic wireless line net additions were 316,000 and total domestic video customer net losses were 543,000.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 w:type="dxa"/>
            <w:vAlign w:val="bottom"/>
            <w:shd w:val="clear" w:color="auto" w:fill="D9D9D6"/>
          </w:tcPr>
          <w:p>
            <w:pPr>
              <w:spacing w:after="0"/>
              <w:rPr>
                <w:sz w:val="19"/>
                <w:szCs w:val="19"/>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80" w:type="dxa"/>
            <w:vAlign w:val="bottom"/>
            <w:tcBorders>
              <w:right w:val="single" w:sz="8" w:color="D9D9D6"/>
            </w:tcBorders>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20" w:type="dxa"/>
            <w:vAlign w:val="bottom"/>
            <w:shd w:val="clear" w:color="auto" w:fill="D9D9D6"/>
          </w:tcPr>
          <w:p>
            <w:pPr>
              <w:spacing w:after="0"/>
              <w:rPr>
                <w:sz w:val="13"/>
                <w:szCs w:val="13"/>
                <w:color w:val="auto"/>
              </w:rPr>
            </w:pPr>
          </w:p>
        </w:tc>
        <w:tc>
          <w:tcPr>
            <w:tcW w:w="6940" w:type="dxa"/>
            <w:vAlign w:val="bottom"/>
            <w:shd w:val="clear" w:color="auto" w:fill="D9D9D6"/>
          </w:tcPr>
          <w:p>
            <w:pPr>
              <w:spacing w:after="0"/>
              <w:rPr>
                <w:sz w:val="13"/>
                <w:szCs w:val="13"/>
                <w:color w:val="auto"/>
              </w:rPr>
            </w:pPr>
          </w:p>
        </w:tc>
        <w:tc>
          <w:tcPr>
            <w:tcW w:w="6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980" w:type="dxa"/>
            <w:vAlign w:val="bottom"/>
            <w:tcBorders>
              <w:right w:val="single" w:sz="8" w:color="D9D9D6"/>
            </w:tcBorders>
            <w:gridSpan w:val="3"/>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2nd Quarter</w:t>
            </w:r>
          </w:p>
        </w:tc>
        <w:tc>
          <w:tcPr>
            <w:tcW w:w="50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1080" w:type="dxa"/>
            <w:vAlign w:val="bottom"/>
            <w:gridSpan w:val="4"/>
            <w:shd w:val="clear" w:color="auto" w:fill="D9D9D6"/>
          </w:tcPr>
          <w:p>
            <w:pPr>
              <w:jc w:val="right"/>
              <w:ind w:right="20"/>
              <w:spacing w:after="0" w:line="152" w:lineRule="exact"/>
              <w:rPr>
                <w:sz w:val="20"/>
                <w:szCs w:val="20"/>
                <w:color w:val="auto"/>
              </w:rPr>
            </w:pPr>
            <w:r>
              <w:rPr>
                <w:rFonts w:ascii="Arial" w:cs="Arial" w:eastAsia="Arial" w:hAnsi="Arial"/>
                <w:sz w:val="14"/>
                <w:szCs w:val="14"/>
                <w:color w:val="auto"/>
              </w:rPr>
              <w:t>Constant</w:t>
            </w:r>
          </w:p>
        </w:tc>
        <w:tc>
          <w:tcPr>
            <w:tcW w:w="120" w:type="dxa"/>
            <w:vAlign w:val="bottom"/>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20" w:type="dxa"/>
            <w:vAlign w:val="bottom"/>
            <w:shd w:val="clear" w:color="auto" w:fill="D9D9D6"/>
          </w:tcPr>
          <w:p>
            <w:pPr>
              <w:spacing w:after="0"/>
              <w:rPr>
                <w:sz w:val="7"/>
                <w:szCs w:val="7"/>
                <w:color w:val="auto"/>
              </w:rPr>
            </w:pPr>
          </w:p>
        </w:tc>
        <w:tc>
          <w:tcPr>
            <w:tcW w:w="6940" w:type="dxa"/>
            <w:vAlign w:val="bottom"/>
            <w:shd w:val="clear" w:color="auto" w:fill="D9D9D6"/>
          </w:tcPr>
          <w:p>
            <w:pPr>
              <w:spacing w:after="0"/>
              <w:rPr>
                <w:sz w:val="7"/>
                <w:szCs w:val="7"/>
                <w:color w:val="auto"/>
              </w:rPr>
            </w:pPr>
          </w:p>
        </w:tc>
        <w:tc>
          <w:tcPr>
            <w:tcW w:w="6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980" w:type="dxa"/>
            <w:vAlign w:val="bottom"/>
            <w:tcBorders>
              <w:right w:val="single" w:sz="8" w:color="D9D9D6"/>
            </w:tcBorders>
            <w:gridSpan w:val="3"/>
            <w:vMerge w:val="continue"/>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18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080" w:type="dxa"/>
            <w:vAlign w:val="bottom"/>
            <w:gridSpan w:val="4"/>
            <w:vMerge w:val="restart"/>
            <w:shd w:val="clear" w:color="auto" w:fill="D9D9D6"/>
          </w:tcPr>
          <w:p>
            <w:pPr>
              <w:jc w:val="right"/>
              <w:ind w:right="20"/>
              <w:spacing w:after="0" w:line="141" w:lineRule="exact"/>
              <w:rPr>
                <w:sz w:val="20"/>
                <w:szCs w:val="20"/>
                <w:color w:val="auto"/>
              </w:rPr>
            </w:pPr>
            <w:r>
              <w:rPr>
                <w:rFonts w:ascii="Arial" w:cs="Arial" w:eastAsia="Arial" w:hAnsi="Arial"/>
                <w:sz w:val="14"/>
                <w:szCs w:val="14"/>
                <w:color w:val="auto"/>
              </w:rPr>
              <w:t>Currency</w:t>
            </w:r>
          </w:p>
        </w:tc>
        <w:tc>
          <w:tcPr>
            <w:tcW w:w="12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69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right w:val="single" w:sz="8" w:color="D9D9D6"/>
            </w:tcBorders>
            <w:shd w:val="clear" w:color="auto" w:fill="000000"/>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080" w:type="dxa"/>
            <w:vAlign w:val="bottom"/>
            <w:gridSpan w:val="4"/>
            <w:vMerge w:val="continue"/>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20" w:type="dxa"/>
            <w:vAlign w:val="bottom"/>
            <w:shd w:val="clear" w:color="auto" w:fill="D9D9D6"/>
          </w:tcPr>
          <w:p>
            <w:pPr>
              <w:spacing w:after="0"/>
              <w:rPr>
                <w:sz w:val="2"/>
                <w:szCs w:val="2"/>
                <w:color w:val="auto"/>
              </w:rPr>
            </w:pPr>
          </w:p>
        </w:tc>
        <w:tc>
          <w:tcPr>
            <w:tcW w:w="6940" w:type="dxa"/>
            <w:vAlign w:val="bottom"/>
            <w:shd w:val="clear" w:color="auto" w:fill="D9D9D6"/>
          </w:tcPr>
          <w:p>
            <w:pPr>
              <w:spacing w:after="0"/>
              <w:rPr>
                <w:sz w:val="2"/>
                <w:szCs w:val="2"/>
                <w:color w:val="auto"/>
              </w:rPr>
            </w:pPr>
          </w:p>
        </w:tc>
        <w:tc>
          <w:tcPr>
            <w:tcW w:w="96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2023</w:t>
            </w:r>
          </w:p>
        </w:tc>
        <w:tc>
          <w:tcPr>
            <w:tcW w:w="20" w:type="dxa"/>
            <w:vAlign w:val="bottom"/>
            <w:shd w:val="clear" w:color="auto" w:fill="D9D9D6"/>
          </w:tcPr>
          <w:p>
            <w:pPr>
              <w:spacing w:after="0"/>
              <w:rPr>
                <w:sz w:val="2"/>
                <w:szCs w:val="2"/>
                <w:color w:val="auto"/>
              </w:rPr>
            </w:pPr>
          </w:p>
        </w:tc>
        <w:tc>
          <w:tcPr>
            <w:tcW w:w="140" w:type="dxa"/>
            <w:vAlign w:val="bottom"/>
            <w:vMerge w:val="restart"/>
            <w:shd w:val="clear" w:color="auto" w:fill="D9D9D6"/>
          </w:tcPr>
          <w:p>
            <w:pPr>
              <w:spacing w:after="0"/>
              <w:rPr>
                <w:sz w:val="2"/>
                <w:szCs w:val="2"/>
                <w:color w:val="auto"/>
              </w:rPr>
            </w:pPr>
          </w:p>
        </w:tc>
        <w:tc>
          <w:tcPr>
            <w:tcW w:w="840" w:type="dxa"/>
            <w:vAlign w:val="bottom"/>
            <w:tcBorders>
              <w:right w:val="single" w:sz="8" w:color="D9D9D6"/>
            </w:tcBorders>
            <w:gridSpan w:val="2"/>
            <w:vMerge w:val="restart"/>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500" w:type="dxa"/>
            <w:vAlign w:val="bottom"/>
            <w:shd w:val="clear" w:color="auto" w:fill="D9D9D6"/>
          </w:tcPr>
          <w:p>
            <w:pPr>
              <w:spacing w:after="0"/>
              <w:rPr>
                <w:sz w:val="2"/>
                <w:szCs w:val="2"/>
                <w:color w:val="auto"/>
              </w:rPr>
            </w:pPr>
          </w:p>
        </w:tc>
        <w:tc>
          <w:tcPr>
            <w:tcW w:w="5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1080" w:type="dxa"/>
            <w:vAlign w:val="bottom"/>
            <w:gridSpan w:val="4"/>
            <w:vMerge w:val="continue"/>
            <w:shd w:val="clear" w:color="auto" w:fill="D9D9D6"/>
          </w:tcPr>
          <w:p>
            <w:pPr>
              <w:spacing w:after="0"/>
              <w:rPr>
                <w:sz w:val="2"/>
                <w:szCs w:val="2"/>
                <w:color w:val="auto"/>
              </w:rPr>
            </w:pPr>
          </w:p>
        </w:tc>
        <w:tc>
          <w:tcPr>
            <w:tcW w:w="120" w:type="dxa"/>
            <w:vAlign w:val="bottom"/>
            <w:shd w:val="clear" w:color="auto" w:fill="D9D9D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shd w:val="clear" w:color="auto" w:fill="D9D9D6"/>
          </w:tcPr>
          <w:p>
            <w:pPr>
              <w:spacing w:after="0"/>
              <w:rPr>
                <w:sz w:val="12"/>
                <w:szCs w:val="12"/>
                <w:color w:val="auto"/>
              </w:rPr>
            </w:pPr>
          </w:p>
        </w:tc>
        <w:tc>
          <w:tcPr>
            <w:tcW w:w="6940" w:type="dxa"/>
            <w:vAlign w:val="bottom"/>
            <w:shd w:val="clear" w:color="auto" w:fill="D9D9D6"/>
          </w:tcPr>
          <w:p>
            <w:pPr>
              <w:spacing w:after="0"/>
              <w:rPr>
                <w:sz w:val="12"/>
                <w:szCs w:val="12"/>
                <w:color w:val="auto"/>
              </w:rPr>
            </w:pPr>
          </w:p>
        </w:tc>
        <w:tc>
          <w:tcPr>
            <w:tcW w:w="960" w:type="dxa"/>
            <w:vAlign w:val="bottom"/>
            <w:gridSpan w:val="2"/>
            <w:vMerge w:val="continue"/>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40" w:type="dxa"/>
            <w:vAlign w:val="bottom"/>
            <w:vMerge w:val="continue"/>
            <w:shd w:val="clear" w:color="auto" w:fill="D9D9D6"/>
          </w:tcPr>
          <w:p>
            <w:pPr>
              <w:spacing w:after="0"/>
              <w:rPr>
                <w:sz w:val="12"/>
                <w:szCs w:val="12"/>
                <w:color w:val="auto"/>
              </w:rPr>
            </w:pPr>
          </w:p>
        </w:tc>
        <w:tc>
          <w:tcPr>
            <w:tcW w:w="840" w:type="dxa"/>
            <w:vAlign w:val="bottom"/>
            <w:tcBorders>
              <w:right w:val="single" w:sz="8" w:color="D9D9D6"/>
            </w:tcBorders>
            <w:gridSpan w:val="2"/>
            <w:vMerge w:val="continue"/>
            <w:shd w:val="clear" w:color="auto" w:fill="D9D9D6"/>
          </w:tcPr>
          <w:p>
            <w:pPr>
              <w:spacing w:after="0"/>
              <w:rPr>
                <w:sz w:val="12"/>
                <w:szCs w:val="12"/>
                <w:color w:val="auto"/>
              </w:rPr>
            </w:pPr>
          </w:p>
        </w:tc>
        <w:tc>
          <w:tcPr>
            <w:tcW w:w="500" w:type="dxa"/>
            <w:vAlign w:val="bottom"/>
            <w:shd w:val="clear" w:color="auto" w:fill="D9D9D6"/>
          </w:tcPr>
          <w:p>
            <w:pPr>
              <w:spacing w:after="0"/>
              <w:rPr>
                <w:sz w:val="12"/>
                <w:szCs w:val="12"/>
                <w:color w:val="auto"/>
              </w:rPr>
            </w:pPr>
          </w:p>
        </w:tc>
        <w:tc>
          <w:tcPr>
            <w:tcW w:w="520" w:type="dxa"/>
            <w:vAlign w:val="bottom"/>
            <w:gridSpan w:val="3"/>
            <w:vMerge w:val="continue"/>
            <w:shd w:val="clear" w:color="auto" w:fill="D9D9D6"/>
          </w:tcPr>
          <w:p>
            <w:pPr>
              <w:spacing w:after="0"/>
              <w:rPr>
                <w:sz w:val="12"/>
                <w:szCs w:val="12"/>
                <w:color w:val="auto"/>
              </w:rPr>
            </w:pPr>
          </w:p>
        </w:tc>
        <w:tc>
          <w:tcPr>
            <w:tcW w:w="1080" w:type="dxa"/>
            <w:vAlign w:val="bottom"/>
            <w:gridSpan w:val="4"/>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6</w:t>
            </w:r>
          </w:p>
        </w:tc>
        <w:tc>
          <w:tcPr>
            <w:tcW w:w="1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D9D9D6"/>
            </w:tcBorders>
            <w:shd w:val="clear" w:color="auto" w:fill="D9D9D6"/>
          </w:tcPr>
          <w:p>
            <w:pPr>
              <w:spacing w:after="0"/>
              <w:rPr>
                <w:sz w:val="24"/>
                <w:szCs w:val="24"/>
                <w:color w:val="auto"/>
              </w:rPr>
            </w:pPr>
          </w:p>
        </w:tc>
        <w:tc>
          <w:tcPr>
            <w:tcW w:w="69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6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D9D9D6"/>
            </w:tcBorders>
            <w:shd w:val="clear" w:color="auto" w:fill="D9D9D6"/>
          </w:tcPr>
          <w:p>
            <w:pPr>
              <w:spacing w:after="0"/>
              <w:rPr>
                <w:sz w:val="24"/>
                <w:szCs w:val="24"/>
                <w:color w:val="auto"/>
              </w:rPr>
            </w:pPr>
          </w:p>
        </w:tc>
        <w:tc>
          <w:tcPr>
            <w:tcW w:w="380" w:type="dxa"/>
            <w:vAlign w:val="bottom"/>
            <w:tcBorders>
              <w:top w:val="single" w:sz="8" w:color="auto"/>
              <w:right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8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6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$6,377</w:t>
            </w: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$6,107</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0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4.4 %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D9D9D6"/>
          </w:tcPr>
          <w:p>
            <w:pPr>
              <w:spacing w:after="0"/>
              <w:rPr>
                <w:sz w:val="17"/>
                <w:szCs w:val="17"/>
                <w:color w:val="auto"/>
              </w:rPr>
            </w:pPr>
          </w:p>
        </w:tc>
        <w:tc>
          <w:tcPr>
            <w:tcW w:w="694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869</w:t>
            </w:r>
          </w:p>
        </w:tc>
        <w:tc>
          <w:tcPr>
            <w:tcW w:w="20" w:type="dxa"/>
            <w:vAlign w:val="bottom"/>
            <w:shd w:val="clear" w:color="auto" w:fill="D9D9D6"/>
          </w:tcPr>
          <w:p>
            <w:pPr>
              <w:spacing w:after="0"/>
              <w:rPr>
                <w:sz w:val="17"/>
                <w:szCs w:val="17"/>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722</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20.4 %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D9D9D6"/>
            </w:tcBorders>
            <w:shd w:val="clear" w:color="auto" w:fill="D9D9D6"/>
          </w:tcPr>
          <w:p>
            <w:pPr>
              <w:spacing w:after="0"/>
              <w:rPr>
                <w:sz w:val="17"/>
                <w:szCs w:val="17"/>
                <w:color w:val="auto"/>
              </w:rPr>
            </w:pPr>
          </w:p>
        </w:tc>
        <w:tc>
          <w:tcPr>
            <w:tcW w:w="694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1,002</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791</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26.7</w:t>
            </w:r>
          </w:p>
        </w:tc>
        <w:tc>
          <w:tcPr>
            <w:tcW w:w="180" w:type="dxa"/>
            <w:vAlign w:val="bottom"/>
            <w:tcBorders>
              <w:bottom w:val="single" w:sz="8" w:color="auto"/>
            </w:tcBorders>
            <w:shd w:val="clear" w:color="auto" w:fill="D9D9D6"/>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Total Residential Connectivity</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8,248</w:t>
            </w:r>
          </w:p>
        </w:tc>
        <w:tc>
          <w:tcPr>
            <w:tcW w:w="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7,620</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7,358</w:t>
            </w:r>
          </w:p>
        </w:tc>
        <w:tc>
          <w:tcPr>
            <w:tcW w:w="20" w:type="dxa"/>
            <w:vAlign w:val="bottom"/>
            <w:shd w:val="clear" w:color="auto" w:fill="D9D9D6"/>
          </w:tcPr>
          <w:p>
            <w:pPr>
              <w:spacing w:after="0"/>
              <w:rPr>
                <w:sz w:val="17"/>
                <w:szCs w:val="17"/>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7,793</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w w:val="81"/>
              </w:rPr>
              <w:t>%)</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993</w:t>
            </w:r>
          </w:p>
        </w:tc>
        <w:tc>
          <w:tcPr>
            <w:tcW w:w="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1,112</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(10.7</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w w:val="81"/>
              </w:rPr>
              <w:t>%)</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(10.9</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6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1,469</w:t>
            </w:r>
          </w:p>
        </w:tc>
        <w:tc>
          <w:tcPr>
            <w:tcW w:w="20" w:type="dxa"/>
            <w:vAlign w:val="bottom"/>
            <w:tcBorders>
              <w:bottom w:val="single" w:sz="8" w:color="auto"/>
            </w:tcBorders>
            <w:shd w:val="clear" w:color="auto" w:fill="D9D9D6"/>
          </w:tcPr>
          <w:p>
            <w:pPr>
              <w:spacing w:after="0"/>
              <w:rPr>
                <w:sz w:val="18"/>
                <w:szCs w:val="18"/>
                <w:color w:val="auto"/>
              </w:rPr>
            </w:pPr>
          </w:p>
        </w:tc>
        <w:tc>
          <w:tcPr>
            <w:tcW w:w="98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1,607</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(8.6</w:t>
            </w:r>
          </w:p>
        </w:tc>
        <w:tc>
          <w:tcPr>
            <w:tcW w:w="180" w:type="dxa"/>
            <w:vAlign w:val="bottom"/>
            <w:tcBorders>
              <w:bottom w:val="single" w:sz="8" w:color="auto"/>
            </w:tcBorders>
            <w:shd w:val="clear" w:color="auto" w:fill="D9D9D6"/>
          </w:tcPr>
          <w:p>
            <w:pPr>
              <w:ind w:left="20"/>
              <w:spacing w:after="0"/>
              <w:rPr>
                <w:sz w:val="20"/>
                <w:szCs w:val="20"/>
                <w:color w:val="auto"/>
              </w:rPr>
            </w:pPr>
            <w:r>
              <w:rPr>
                <w:rFonts w:ascii="Arial" w:cs="Arial" w:eastAsia="Arial" w:hAnsi="Arial"/>
                <w:sz w:val="14"/>
                <w:szCs w:val="14"/>
                <w:color w:val="auto"/>
                <w:w w:val="81"/>
              </w:rPr>
              <w:t>%)</w:t>
            </w:r>
          </w:p>
        </w:tc>
        <w:tc>
          <w:tcPr>
            <w:tcW w:w="20" w:type="dxa"/>
            <w:vAlign w:val="bottom"/>
            <w:tcBorders>
              <w:bottom w:val="single" w:sz="8" w:color="auto"/>
            </w:tcBorders>
            <w:shd w:val="clear" w:color="auto" w:fill="D9D9D6"/>
          </w:tcPr>
          <w:p>
            <w:pPr>
              <w:spacing w:after="0"/>
              <w:rPr>
                <w:sz w:val="18"/>
                <w:szCs w:val="18"/>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(8.8</w:t>
            </w:r>
          </w:p>
        </w:tc>
        <w:tc>
          <w:tcPr>
            <w:tcW w:w="20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$18,068</w:t>
            </w:r>
          </w:p>
        </w:tc>
        <w:tc>
          <w:tcPr>
            <w:tcW w:w="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$18,131</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(0.4</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w w:val="81"/>
              </w:rPr>
              <w:t>%)</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(0.5</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0" w:type="dxa"/>
            <w:vAlign w:val="bottom"/>
            <w:shd w:val="clear" w:color="auto" w:fill="D9D9D6"/>
          </w:tcPr>
          <w:p>
            <w:pPr>
              <w:spacing w:after="0"/>
              <w:rPr>
                <w:sz w:val="24"/>
                <w:szCs w:val="24"/>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80" w:type="dxa"/>
            <w:vAlign w:val="bottom"/>
            <w:tcBorders>
              <w:right w:val="single" w:sz="8" w:color="D9D9D6"/>
            </w:tcBorders>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Programming</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$4,579</w:t>
            </w: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$4,679</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color w:val="auto"/>
                <w:w w:val="81"/>
              </w:rPr>
              <w:t>%)</w:t>
            </w:r>
          </w:p>
        </w:tc>
        <w:tc>
          <w:tcPr>
            <w:tcW w:w="20" w:type="dxa"/>
            <w:vAlign w:val="bottom"/>
            <w:shd w:val="clear" w:color="auto" w:fill="D9D9D6"/>
          </w:tcPr>
          <w:p>
            <w:pPr>
              <w:spacing w:after="0"/>
              <w:rPr>
                <w:sz w:val="16"/>
                <w:szCs w:val="16"/>
                <w:color w:val="auto"/>
              </w:rPr>
            </w:pPr>
          </w:p>
        </w:tc>
        <w:tc>
          <w:tcPr>
            <w:tcW w:w="10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Borders>
              <w:bottom w:val="single" w:sz="8" w:color="D9D9D6"/>
            </w:tcBorders>
            <w:shd w:val="clear" w:color="auto" w:fill="D9D9D6"/>
          </w:tcPr>
          <w:p>
            <w:pPr>
              <w:spacing w:after="0"/>
              <w:rPr>
                <w:sz w:val="17"/>
                <w:szCs w:val="17"/>
                <w:color w:val="auto"/>
              </w:rPr>
            </w:pPr>
          </w:p>
        </w:tc>
        <w:tc>
          <w:tcPr>
            <w:tcW w:w="6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Non-Programming</w:t>
            </w:r>
          </w:p>
        </w:tc>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6,465</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6,720</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shd w:val="clear" w:color="auto" w:fill="D9D9D6"/>
          </w:tcPr>
          <w:p>
            <w:pPr>
              <w:ind w:left="20"/>
              <w:spacing w:after="0"/>
              <w:rPr>
                <w:sz w:val="20"/>
                <w:szCs w:val="20"/>
                <w:color w:val="auto"/>
              </w:rPr>
            </w:pPr>
            <w:r>
              <w:rPr>
                <w:rFonts w:ascii="Arial" w:cs="Arial" w:eastAsia="Arial" w:hAnsi="Arial"/>
                <w:sz w:val="14"/>
                <w:szCs w:val="14"/>
                <w:color w:val="auto"/>
                <w:w w:val="81"/>
              </w:rPr>
              <w:t>%)</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$11,044</w:t>
            </w:r>
          </w:p>
        </w:tc>
        <w:tc>
          <w:tcPr>
            <w:tcW w:w="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$11,399</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w w:val="81"/>
              </w:rPr>
              <w:t>%)</w:t>
            </w:r>
          </w:p>
        </w:tc>
        <w:tc>
          <w:tcPr>
            <w:tcW w:w="20" w:type="dxa"/>
            <w:vAlign w:val="bottom"/>
            <w:shd w:val="clear" w:color="auto" w:fill="D9D9D6"/>
          </w:tcPr>
          <w:p>
            <w:pPr>
              <w:spacing w:after="0"/>
              <w:rPr>
                <w:sz w:val="16"/>
                <w:szCs w:val="16"/>
                <w:color w:val="auto"/>
              </w:rPr>
            </w:pPr>
          </w:p>
        </w:tc>
        <w:tc>
          <w:tcPr>
            <w:tcW w:w="10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(3.3 %)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20" w:type="dxa"/>
            <w:vAlign w:val="bottom"/>
            <w:shd w:val="clear" w:color="auto" w:fill="D9D9D6"/>
          </w:tcPr>
          <w:p>
            <w:pPr>
              <w:spacing w:after="0"/>
              <w:rPr>
                <w:sz w:val="24"/>
                <w:szCs w:val="24"/>
                <w:color w:val="auto"/>
              </w:rPr>
            </w:pPr>
          </w:p>
        </w:tc>
        <w:tc>
          <w:tcPr>
            <w:tcW w:w="694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$7,024</w:t>
            </w: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$6,733</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4.3 %</w:t>
            </w:r>
          </w:p>
        </w:tc>
        <w:tc>
          <w:tcPr>
            <w:tcW w:w="20" w:type="dxa"/>
            <w:vAlign w:val="bottom"/>
            <w:shd w:val="clear" w:color="auto" w:fill="D9D9D6"/>
          </w:tcPr>
          <w:p>
            <w:pPr>
              <w:spacing w:after="0"/>
              <w:rPr>
                <w:sz w:val="24"/>
                <w:szCs w:val="24"/>
                <w:color w:val="auto"/>
              </w:rPr>
            </w:pPr>
          </w:p>
        </w:tc>
        <w:tc>
          <w:tcPr>
            <w:tcW w:w="10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4.3 %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69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38.9 %</w:t>
            </w:r>
          </w:p>
        </w:tc>
        <w:tc>
          <w:tcPr>
            <w:tcW w:w="20" w:type="dxa"/>
            <w:vAlign w:val="bottom"/>
            <w:shd w:val="clear" w:color="auto" w:fill="D9D9D6"/>
          </w:tcPr>
          <w:p>
            <w:pPr>
              <w:spacing w:after="0"/>
              <w:rPr>
                <w:sz w:val="16"/>
                <w:szCs w:val="16"/>
                <w:color w:val="auto"/>
              </w:rPr>
            </w:pPr>
          </w:p>
        </w:tc>
        <w:tc>
          <w:tcPr>
            <w:tcW w:w="9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37.1 %</w:t>
            </w:r>
          </w:p>
        </w:tc>
        <w:tc>
          <w:tcPr>
            <w:tcW w:w="10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180 bps</w:t>
            </w:r>
          </w:p>
        </w:tc>
        <w:tc>
          <w:tcPr>
            <w:tcW w:w="500" w:type="dxa"/>
            <w:vAlign w:val="bottom"/>
            <w:shd w:val="clear" w:color="auto" w:fill="D9D9D6"/>
          </w:tcPr>
          <w:p>
            <w:pPr>
              <w:spacing w:after="0"/>
              <w:rPr>
                <w:sz w:val="16"/>
                <w:szCs w:val="16"/>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180 bps</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D9D9D6"/>
          </w:tcPr>
          <w:p>
            <w:pPr>
              <w:spacing w:after="0"/>
              <w:rPr>
                <w:sz w:val="8"/>
                <w:szCs w:val="8"/>
                <w:color w:val="auto"/>
              </w:rPr>
            </w:pPr>
          </w:p>
        </w:tc>
        <w:tc>
          <w:tcPr>
            <w:tcW w:w="694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460" w:type="dxa"/>
            <w:vAlign w:val="bottom"/>
            <w:shd w:val="clear" w:color="auto" w:fill="D9D9D6"/>
          </w:tcPr>
          <w:p>
            <w:pPr>
              <w:spacing w:after="0"/>
              <w:rPr>
                <w:sz w:val="8"/>
                <w:szCs w:val="8"/>
                <w:color w:val="auto"/>
              </w:rPr>
            </w:pPr>
          </w:p>
        </w:tc>
        <w:tc>
          <w:tcPr>
            <w:tcW w:w="380" w:type="dxa"/>
            <w:vAlign w:val="bottom"/>
            <w:tcBorders>
              <w:right w:val="single" w:sz="8" w:color="D9D9D6"/>
            </w:tcBorders>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00" w:type="dxa"/>
            <w:vAlign w:val="bottom"/>
            <w:shd w:val="clear" w:color="auto" w:fill="D9D9D6"/>
          </w:tcPr>
          <w:p>
            <w:pPr>
              <w:spacing w:after="0"/>
              <w:rPr>
                <w:sz w:val="8"/>
                <w:szCs w:val="8"/>
                <w:color w:val="auto"/>
              </w:rPr>
            </w:pPr>
          </w:p>
        </w:tc>
        <w:tc>
          <w:tcPr>
            <w:tcW w:w="3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with the prior year period. Growth in residential connectivity revenue was</w:t>
      </w:r>
    </w:p>
    <w:p>
      <w:pPr>
        <w:spacing w:after="0" w:line="1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driven by domestic broadband revenue due to higher average rates; international connectivity revenue due to an increase in wireless revenue, reflecting higher sales of devices and wireless services, as well as an increase in broadband revenue; and domestic wireless revenue due to an increase in the number of customer lines. The growth in residential connectivity revenue was offset by a decrease in video revenue due to a decline in the number of video customers, partially offset by an increase in average rates; other revenue primarily due to</w:t>
      </w:r>
    </w:p>
    <w:p>
      <w:pPr>
        <w:jc w:val="both"/>
        <w:spacing w:after="0" w:line="235" w:lineRule="auto"/>
        <w:rPr>
          <w:sz w:val="20"/>
          <w:szCs w:val="20"/>
          <w:color w:val="auto"/>
        </w:rPr>
      </w:pPr>
      <w:r>
        <w:rPr>
          <w:rFonts w:ascii="Arial" w:cs="Arial" w:eastAsia="Arial" w:hAnsi="Arial"/>
          <w:sz w:val="18"/>
          <w:szCs w:val="18"/>
          <w:color w:val="auto"/>
        </w:rPr>
        <w:t>lower voice revenue, driven by a decline in the number of residential wireline voice customers; and advertising revenue primarily due to a decline in domestic political advertising and overall market weakness.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5" w:right="339" w:bottom="1440" w:gutter="0" w:footer="0" w:header="0"/>
        </w:sectPr>
      </w:pPr>
    </w:p>
    <w:bookmarkStart w:id="6" w:name="page7"/>
    <w:bookmarkEnd w:id="6"/>
    <w:p>
      <w:pPr>
        <w:jc w:val="both"/>
        <w:spacing w:after="0" w:line="22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due to lower operating expenses. Programming expenses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decline in the number of domestic video customers, partially offset by domestic contractual rate increases and an increase in programming expenses for international sports channels. Non-programming expenses decreased primarily due to lower spending on marketing and promotion, lower technical and support costs, lower fees paid to third-party channels relating to advertising sales and lower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customer service costs. These decreases were partially offset by increased direct product costs associated with our wireless service, resulting from increases in device sales and the number of customers receiving our wireless service.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38.9%.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 w:type="dxa"/>
            <w:vAlign w:val="bottom"/>
            <w:shd w:val="clear" w:color="auto" w:fill="D9D9D6"/>
          </w:tcPr>
          <w:p>
            <w:pPr>
              <w:spacing w:after="0"/>
              <w:rPr>
                <w:sz w:val="19"/>
                <w:szCs w:val="19"/>
                <w:color w:val="auto"/>
              </w:rPr>
            </w:pPr>
          </w:p>
        </w:tc>
        <w:tc>
          <w:tcPr>
            <w:tcW w:w="70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Constant</w:t>
            </w:r>
          </w:p>
        </w:tc>
        <w:tc>
          <w:tcPr>
            <w:tcW w:w="12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20" w:type="dxa"/>
            <w:vAlign w:val="bottom"/>
            <w:shd w:val="clear" w:color="auto" w:fill="D9D9D6"/>
          </w:tcPr>
          <w:p>
            <w:pPr>
              <w:spacing w:after="0"/>
              <w:rPr>
                <w:sz w:val="12"/>
                <w:szCs w:val="12"/>
                <w:color w:val="auto"/>
              </w:rPr>
            </w:pPr>
          </w:p>
        </w:tc>
        <w:tc>
          <w:tcPr>
            <w:tcW w:w="70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120" w:type="dxa"/>
            <w:vAlign w:val="bottom"/>
            <w:vMerge w:val="restart"/>
            <w:shd w:val="clear" w:color="auto" w:fill="D9D9D6"/>
          </w:tcPr>
          <w:p>
            <w:pPr>
              <w:spacing w:after="0"/>
              <w:rPr>
                <w:sz w:val="12"/>
                <w:szCs w:val="12"/>
                <w:color w:val="auto"/>
              </w:rPr>
            </w:pPr>
          </w:p>
        </w:tc>
        <w:tc>
          <w:tcPr>
            <w:tcW w:w="78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2nd Quarter</w:t>
            </w:r>
          </w:p>
        </w:tc>
        <w:tc>
          <w:tcPr>
            <w:tcW w:w="100" w:type="dxa"/>
            <w:vAlign w:val="bottom"/>
            <w:gridSpan w:val="2"/>
            <w:vMerge w:val="restart"/>
            <w:shd w:val="clear" w:color="auto" w:fill="D9D9D6"/>
          </w:tcPr>
          <w:p>
            <w:pPr>
              <w:spacing w:after="0"/>
              <w:rPr>
                <w:sz w:val="12"/>
                <w:szCs w:val="12"/>
                <w:color w:val="auto"/>
              </w:rPr>
            </w:pPr>
          </w:p>
        </w:tc>
        <w:tc>
          <w:tcPr>
            <w:tcW w:w="460" w:type="dxa"/>
            <w:vAlign w:val="bottom"/>
            <w:shd w:val="clear" w:color="auto" w:fill="D9D9D6"/>
          </w:tcPr>
          <w:p>
            <w:pPr>
              <w:spacing w:after="0"/>
              <w:rPr>
                <w:sz w:val="12"/>
                <w:szCs w:val="12"/>
                <w:color w:val="auto"/>
              </w:rPr>
            </w:pPr>
          </w:p>
        </w:tc>
        <w:tc>
          <w:tcPr>
            <w:tcW w:w="380" w:type="dxa"/>
            <w:vAlign w:val="bottom"/>
            <w:shd w:val="clear" w:color="auto" w:fill="D9D9D6"/>
          </w:tcPr>
          <w:p>
            <w:pPr>
              <w:spacing w:after="0"/>
              <w:rPr>
                <w:sz w:val="12"/>
                <w:szCs w:val="12"/>
                <w:color w:val="auto"/>
              </w:rPr>
            </w:pPr>
          </w:p>
        </w:tc>
        <w:tc>
          <w:tcPr>
            <w:tcW w:w="1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40" w:type="dxa"/>
            <w:vAlign w:val="bottom"/>
            <w:gridSpan w:val="3"/>
            <w:vMerge w:val="continue"/>
            <w:shd w:val="clear" w:color="auto" w:fill="D9D9D6"/>
          </w:tcPr>
          <w:p>
            <w:pPr>
              <w:spacing w:after="0"/>
              <w:rPr>
                <w:sz w:val="12"/>
                <w:szCs w:val="12"/>
                <w:color w:val="auto"/>
              </w:rPr>
            </w:pPr>
          </w:p>
        </w:tc>
        <w:tc>
          <w:tcPr>
            <w:tcW w:w="1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20" w:type="dxa"/>
            <w:vAlign w:val="bottom"/>
            <w:tcBorders>
              <w:bottom w:val="single" w:sz="8" w:color="D9D9D6"/>
            </w:tcBorders>
            <w:shd w:val="clear" w:color="auto" w:fill="D9D9D6"/>
          </w:tcPr>
          <w:p>
            <w:pPr>
              <w:spacing w:after="0"/>
              <w:rPr>
                <w:sz w:val="7"/>
                <w:szCs w:val="7"/>
                <w:color w:val="auto"/>
              </w:rPr>
            </w:pPr>
          </w:p>
        </w:tc>
        <w:tc>
          <w:tcPr>
            <w:tcW w:w="7020" w:type="dxa"/>
            <w:vAlign w:val="bottom"/>
            <w:tcBorders>
              <w:bottom w:val="single" w:sz="8" w:color="D9D9D6"/>
            </w:tcBorders>
            <w:shd w:val="clear" w:color="auto" w:fill="D9D9D6"/>
          </w:tcPr>
          <w:p>
            <w:pPr>
              <w:spacing w:after="0"/>
              <w:rPr>
                <w:sz w:val="7"/>
                <w:szCs w:val="7"/>
                <w:color w:val="auto"/>
              </w:rPr>
            </w:pPr>
          </w:p>
        </w:tc>
        <w:tc>
          <w:tcPr>
            <w:tcW w:w="640" w:type="dxa"/>
            <w:vAlign w:val="bottom"/>
            <w:tcBorders>
              <w:bottom w:val="single" w:sz="8" w:color="D9D9D6"/>
            </w:tcBorders>
            <w:shd w:val="clear" w:color="auto" w:fill="D9D9D6"/>
          </w:tcPr>
          <w:p>
            <w:pPr>
              <w:spacing w:after="0"/>
              <w:rPr>
                <w:sz w:val="7"/>
                <w:szCs w:val="7"/>
                <w:color w:val="auto"/>
              </w:rPr>
            </w:pPr>
          </w:p>
        </w:tc>
        <w:tc>
          <w:tcPr>
            <w:tcW w:w="320" w:type="dxa"/>
            <w:vAlign w:val="bottom"/>
            <w:tcBorders>
              <w:bottom w:val="single" w:sz="8" w:color="D9D9D6"/>
            </w:tcBorders>
            <w:shd w:val="clear" w:color="auto" w:fill="D9D9D6"/>
          </w:tcPr>
          <w:p>
            <w:pPr>
              <w:spacing w:after="0"/>
              <w:rPr>
                <w:sz w:val="7"/>
                <w:szCs w:val="7"/>
                <w:color w:val="auto"/>
              </w:rPr>
            </w:pPr>
          </w:p>
        </w:tc>
        <w:tc>
          <w:tcPr>
            <w:tcW w:w="120" w:type="dxa"/>
            <w:vAlign w:val="bottom"/>
            <w:tcBorders>
              <w:bottom w:val="single" w:sz="8" w:color="D9D9D6"/>
            </w:tcBorders>
            <w:vMerge w:val="continue"/>
            <w:shd w:val="clear" w:color="auto" w:fill="D9D9D6"/>
          </w:tcPr>
          <w:p>
            <w:pPr>
              <w:spacing w:after="0"/>
              <w:rPr>
                <w:sz w:val="7"/>
                <w:szCs w:val="7"/>
                <w:color w:val="auto"/>
              </w:rPr>
            </w:pPr>
          </w:p>
        </w:tc>
        <w:tc>
          <w:tcPr>
            <w:tcW w:w="780" w:type="dxa"/>
            <w:vAlign w:val="bottom"/>
            <w:tcBorders>
              <w:bottom w:val="single" w:sz="8" w:color="auto"/>
            </w:tcBorders>
            <w:gridSpan w:val="2"/>
            <w:vMerge w:val="continue"/>
            <w:shd w:val="clear" w:color="auto" w:fill="D9D9D6"/>
          </w:tcPr>
          <w:p>
            <w:pPr>
              <w:spacing w:after="0"/>
              <w:rPr>
                <w:sz w:val="7"/>
                <w:szCs w:val="7"/>
                <w:color w:val="auto"/>
              </w:rPr>
            </w:pPr>
          </w:p>
        </w:tc>
        <w:tc>
          <w:tcPr>
            <w:tcW w:w="100" w:type="dxa"/>
            <w:vAlign w:val="bottom"/>
            <w:tcBorders>
              <w:bottom w:val="single" w:sz="8" w:color="D9D9D6"/>
            </w:tcBorders>
            <w:gridSpan w:val="2"/>
            <w:vMerge w:val="continue"/>
            <w:shd w:val="clear" w:color="auto" w:fill="D9D9D6"/>
          </w:tcPr>
          <w:p>
            <w:pPr>
              <w:spacing w:after="0"/>
              <w:rPr>
                <w:sz w:val="7"/>
                <w:szCs w:val="7"/>
                <w:color w:val="auto"/>
              </w:rPr>
            </w:pPr>
          </w:p>
        </w:tc>
        <w:tc>
          <w:tcPr>
            <w:tcW w:w="460" w:type="dxa"/>
            <w:vAlign w:val="bottom"/>
            <w:tcBorders>
              <w:bottom w:val="single" w:sz="8" w:color="D9D9D6"/>
            </w:tcBorders>
            <w:shd w:val="clear" w:color="auto" w:fill="D9D9D6"/>
          </w:tcPr>
          <w:p>
            <w:pPr>
              <w:spacing w:after="0"/>
              <w:rPr>
                <w:sz w:val="7"/>
                <w:szCs w:val="7"/>
                <w:color w:val="auto"/>
              </w:rPr>
            </w:pPr>
          </w:p>
        </w:tc>
        <w:tc>
          <w:tcPr>
            <w:tcW w:w="380" w:type="dxa"/>
            <w:vAlign w:val="bottom"/>
            <w:tcBorders>
              <w:bottom w:val="single" w:sz="8" w:color="D9D9D6"/>
            </w:tcBorders>
            <w:shd w:val="clear" w:color="auto" w:fill="D9D9D6"/>
          </w:tcPr>
          <w:p>
            <w:pPr>
              <w:spacing w:after="0"/>
              <w:rPr>
                <w:sz w:val="7"/>
                <w:szCs w:val="7"/>
                <w:color w:val="auto"/>
              </w:rPr>
            </w:pPr>
          </w:p>
        </w:tc>
        <w:tc>
          <w:tcPr>
            <w:tcW w:w="120" w:type="dxa"/>
            <w:vAlign w:val="bottom"/>
            <w:tcBorders>
              <w:bottom w:val="single" w:sz="8" w:color="D9D9D6"/>
            </w:tcBorders>
            <w:shd w:val="clear" w:color="auto" w:fill="D9D9D6"/>
          </w:tcPr>
          <w:p>
            <w:pPr>
              <w:spacing w:after="0"/>
              <w:rPr>
                <w:sz w:val="7"/>
                <w:szCs w:val="7"/>
                <w:color w:val="auto"/>
              </w:rPr>
            </w:pPr>
          </w:p>
        </w:tc>
        <w:tc>
          <w:tcPr>
            <w:tcW w:w="20" w:type="dxa"/>
            <w:vAlign w:val="bottom"/>
            <w:tcBorders>
              <w:bottom w:val="single" w:sz="8" w:color="D9D9D6"/>
            </w:tcBorders>
            <w:shd w:val="clear" w:color="auto" w:fill="D9D9D6"/>
          </w:tcPr>
          <w:p>
            <w:pPr>
              <w:spacing w:after="0"/>
              <w:rPr>
                <w:sz w:val="7"/>
                <w:szCs w:val="7"/>
                <w:color w:val="auto"/>
              </w:rPr>
            </w:pPr>
          </w:p>
        </w:tc>
        <w:tc>
          <w:tcPr>
            <w:tcW w:w="1040" w:type="dxa"/>
            <w:vAlign w:val="bottom"/>
            <w:tcBorders>
              <w:bottom w:val="single" w:sz="8" w:color="D9D9D6"/>
            </w:tcBorders>
            <w:gridSpan w:val="3"/>
            <w:vMerge w:val="restart"/>
            <w:shd w:val="clear" w:color="auto" w:fill="D9D9D6"/>
          </w:tcPr>
          <w:p>
            <w:pPr>
              <w:jc w:val="right"/>
              <w:ind w:right="20"/>
              <w:spacing w:after="0" w:line="144" w:lineRule="exact"/>
              <w:rPr>
                <w:sz w:val="20"/>
                <w:szCs w:val="20"/>
                <w:color w:val="auto"/>
              </w:rPr>
            </w:pPr>
            <w:r>
              <w:rPr>
                <w:rFonts w:ascii="Arial" w:cs="Arial" w:eastAsia="Arial" w:hAnsi="Arial"/>
                <w:sz w:val="14"/>
                <w:szCs w:val="14"/>
                <w:color w:val="auto"/>
              </w:rPr>
              <w:t>Currency</w:t>
            </w:r>
          </w:p>
        </w:tc>
        <w:tc>
          <w:tcPr>
            <w:tcW w:w="120" w:type="dxa"/>
            <w:vAlign w:val="bottom"/>
            <w:tcBorders>
              <w:bottom w:val="single" w:sz="8" w:color="D9D9D6"/>
            </w:tcBorders>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20" w:type="dxa"/>
            <w:vAlign w:val="bottom"/>
            <w:shd w:val="clear" w:color="auto" w:fill="D9D9D6"/>
          </w:tcPr>
          <w:p>
            <w:pPr>
              <w:spacing w:after="0"/>
              <w:rPr>
                <w:sz w:val="3"/>
                <w:szCs w:val="3"/>
                <w:color w:val="auto"/>
              </w:rPr>
            </w:pPr>
          </w:p>
        </w:tc>
        <w:tc>
          <w:tcPr>
            <w:tcW w:w="7020" w:type="dxa"/>
            <w:vAlign w:val="bottom"/>
            <w:shd w:val="clear" w:color="auto" w:fill="D9D9D6"/>
          </w:tcPr>
          <w:p>
            <w:pPr>
              <w:spacing w:after="0"/>
              <w:rPr>
                <w:sz w:val="3"/>
                <w:szCs w:val="3"/>
                <w:color w:val="auto"/>
              </w:rPr>
            </w:pPr>
          </w:p>
        </w:tc>
        <w:tc>
          <w:tcPr>
            <w:tcW w:w="96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2023</w:t>
            </w:r>
          </w:p>
        </w:tc>
        <w:tc>
          <w:tcPr>
            <w:tcW w:w="1000" w:type="dxa"/>
            <w:vAlign w:val="bottom"/>
            <w:gridSpan w:val="5"/>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5</w:t>
            </w:r>
          </w:p>
        </w:tc>
        <w:tc>
          <w:tcPr>
            <w:tcW w:w="460" w:type="dxa"/>
            <w:vAlign w:val="bottom"/>
            <w:shd w:val="clear" w:color="auto" w:fill="D9D9D6"/>
          </w:tcPr>
          <w:p>
            <w:pPr>
              <w:spacing w:after="0"/>
              <w:rPr>
                <w:sz w:val="3"/>
                <w:szCs w:val="3"/>
                <w:color w:val="auto"/>
              </w:rPr>
            </w:pPr>
          </w:p>
        </w:tc>
        <w:tc>
          <w:tcPr>
            <w:tcW w:w="52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1040" w:type="dxa"/>
            <w:vAlign w:val="bottom"/>
            <w:gridSpan w:val="3"/>
            <w:vMerge w:val="continue"/>
            <w:shd w:val="clear" w:color="auto" w:fill="D9D9D6"/>
          </w:tcPr>
          <w:p>
            <w:pPr>
              <w:spacing w:after="0"/>
              <w:rPr>
                <w:sz w:val="3"/>
                <w:szCs w:val="3"/>
                <w:color w:val="auto"/>
              </w:rPr>
            </w:pPr>
          </w:p>
        </w:tc>
        <w:tc>
          <w:tcPr>
            <w:tcW w:w="12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120" w:type="dxa"/>
            <w:vAlign w:val="bottom"/>
            <w:shd w:val="clear" w:color="auto" w:fill="D9D9D6"/>
          </w:tcPr>
          <w:p>
            <w:pPr>
              <w:spacing w:after="0"/>
              <w:rPr>
                <w:sz w:val="12"/>
                <w:szCs w:val="12"/>
                <w:color w:val="auto"/>
              </w:rPr>
            </w:pPr>
          </w:p>
        </w:tc>
        <w:tc>
          <w:tcPr>
            <w:tcW w:w="7020" w:type="dxa"/>
            <w:vAlign w:val="bottom"/>
            <w:shd w:val="clear" w:color="auto" w:fill="D9D9D6"/>
          </w:tcPr>
          <w:p>
            <w:pPr>
              <w:spacing w:after="0"/>
              <w:rPr>
                <w:sz w:val="12"/>
                <w:szCs w:val="12"/>
                <w:color w:val="auto"/>
              </w:rPr>
            </w:pPr>
          </w:p>
        </w:tc>
        <w:tc>
          <w:tcPr>
            <w:tcW w:w="960" w:type="dxa"/>
            <w:vAlign w:val="bottom"/>
            <w:gridSpan w:val="2"/>
            <w:vMerge w:val="continue"/>
            <w:shd w:val="clear" w:color="auto" w:fill="D9D9D6"/>
          </w:tcPr>
          <w:p>
            <w:pPr>
              <w:spacing w:after="0"/>
              <w:rPr>
                <w:sz w:val="12"/>
                <w:szCs w:val="12"/>
                <w:color w:val="auto"/>
              </w:rPr>
            </w:pPr>
          </w:p>
        </w:tc>
        <w:tc>
          <w:tcPr>
            <w:tcW w:w="1000" w:type="dxa"/>
            <w:vAlign w:val="bottom"/>
            <w:gridSpan w:val="5"/>
            <w:vMerge w:val="continue"/>
            <w:shd w:val="clear" w:color="auto" w:fill="D9D9D6"/>
          </w:tcPr>
          <w:p>
            <w:pPr>
              <w:spacing w:after="0"/>
              <w:rPr>
                <w:sz w:val="12"/>
                <w:szCs w:val="12"/>
                <w:color w:val="auto"/>
              </w:rPr>
            </w:pPr>
          </w:p>
        </w:tc>
        <w:tc>
          <w:tcPr>
            <w:tcW w:w="460" w:type="dxa"/>
            <w:vAlign w:val="bottom"/>
            <w:shd w:val="clear" w:color="auto" w:fill="D9D9D6"/>
          </w:tcPr>
          <w:p>
            <w:pPr>
              <w:spacing w:after="0"/>
              <w:rPr>
                <w:sz w:val="12"/>
                <w:szCs w:val="12"/>
                <w:color w:val="auto"/>
              </w:rPr>
            </w:pPr>
          </w:p>
        </w:tc>
        <w:tc>
          <w:tcPr>
            <w:tcW w:w="520" w:type="dxa"/>
            <w:vAlign w:val="bottom"/>
            <w:gridSpan w:val="3"/>
            <w:vMerge w:val="continue"/>
            <w:shd w:val="clear" w:color="auto" w:fill="D9D9D6"/>
          </w:tcPr>
          <w:p>
            <w:pPr>
              <w:spacing w:after="0"/>
              <w:rPr>
                <w:sz w:val="12"/>
                <w:szCs w:val="12"/>
                <w:color w:val="auto"/>
              </w:rPr>
            </w:pPr>
          </w:p>
        </w:tc>
        <w:tc>
          <w:tcPr>
            <w:tcW w:w="1040" w:type="dxa"/>
            <w:vAlign w:val="bottom"/>
            <w:gridSpan w:val="3"/>
            <w:shd w:val="clear" w:color="auto" w:fill="D9D9D6"/>
          </w:tcPr>
          <w:p>
            <w:pPr>
              <w:jc w:val="right"/>
              <w:ind w:right="20"/>
              <w:spacing w:after="0" w:line="125"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1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D9D9D6"/>
            </w:tcBorders>
            <w:shd w:val="clear" w:color="auto" w:fill="D9D9D6"/>
          </w:tcPr>
          <w:p>
            <w:pPr>
              <w:spacing w:after="0" w:line="20" w:lineRule="exact"/>
              <w:rPr>
                <w:sz w:val="1"/>
                <w:szCs w:val="1"/>
                <w:color w:val="auto"/>
              </w:rPr>
            </w:pPr>
          </w:p>
        </w:tc>
        <w:tc>
          <w:tcPr>
            <w:tcW w:w="702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3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380" w:type="dxa"/>
            <w:vAlign w:val="bottom"/>
            <w:tcBorders>
              <w:top w:val="single" w:sz="8" w:color="auto"/>
            </w:tcBorders>
            <w:shd w:val="clear" w:color="auto" w:fill="D9D9D6"/>
          </w:tcPr>
          <w:p>
            <w:pPr>
              <w:spacing w:after="0" w:line="20" w:lineRule="exact"/>
              <w:rPr>
                <w:sz w:val="1"/>
                <w:szCs w:val="1"/>
                <w:color w:val="auto"/>
              </w:rPr>
            </w:pPr>
          </w:p>
        </w:tc>
        <w:tc>
          <w:tcPr>
            <w:tcW w:w="1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20" w:type="dxa"/>
            <w:vAlign w:val="bottom"/>
            <w:shd w:val="clear" w:color="auto" w:fill="D9D9D6"/>
          </w:tcPr>
          <w:p>
            <w:pPr>
              <w:spacing w:after="0"/>
              <w:rPr>
                <w:sz w:val="24"/>
                <w:szCs w:val="24"/>
                <w:color w:val="auto"/>
              </w:rPr>
            </w:pPr>
          </w:p>
        </w:tc>
        <w:tc>
          <w:tcPr>
            <w:tcW w:w="7020" w:type="dxa"/>
            <w:vAlign w:val="bottom"/>
            <w:vMerge w:val="continue"/>
            <w:shd w:val="clear" w:color="auto" w:fill="D9D9D6"/>
          </w:tcPr>
          <w:p>
            <w:pPr>
              <w:spacing w:after="0"/>
              <w:rPr>
                <w:sz w:val="24"/>
                <w:szCs w:val="24"/>
                <w:color w:val="auto"/>
              </w:rPr>
            </w:pP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$2,292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$2,203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24"/>
                <w:szCs w:val="24"/>
                <w:color w:val="auto"/>
              </w:rPr>
            </w:pPr>
          </w:p>
        </w:tc>
        <w:tc>
          <w:tcPr>
            <w:tcW w:w="10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D9D9D6"/>
            </w:tcBorders>
            <w:shd w:val="clear" w:color="auto" w:fill="D9D9D6"/>
          </w:tcPr>
          <w:p>
            <w:pPr>
              <w:spacing w:after="0"/>
              <w:rPr>
                <w:sz w:val="17"/>
                <w:szCs w:val="17"/>
                <w:color w:val="auto"/>
              </w:rPr>
            </w:pPr>
          </w:p>
        </w:tc>
        <w:tc>
          <w:tcPr>
            <w:tcW w:w="70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970</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941</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0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$1,322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$1,263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6"/>
                <w:szCs w:val="16"/>
                <w:color w:val="auto"/>
              </w:rPr>
            </w:pPr>
          </w:p>
        </w:tc>
        <w:tc>
          <w:tcPr>
            <w:tcW w:w="10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70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57.7 %</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57.3 %</w:t>
            </w:r>
          </w:p>
        </w:tc>
        <w:tc>
          <w:tcPr>
            <w:tcW w:w="460" w:type="dxa"/>
            <w:vAlign w:val="bottom"/>
            <w:shd w:val="clear" w:color="auto" w:fill="D9D9D6"/>
          </w:tcPr>
          <w:p>
            <w:pPr>
              <w:spacing w:after="0"/>
              <w:rPr>
                <w:sz w:val="16"/>
                <w:szCs w:val="16"/>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 bps</w:t>
            </w:r>
          </w:p>
        </w:tc>
        <w:tc>
          <w:tcPr>
            <w:tcW w:w="460" w:type="dxa"/>
            <w:vAlign w:val="bottom"/>
            <w:shd w:val="clear" w:color="auto" w:fill="D9D9D6"/>
          </w:tcPr>
          <w:p>
            <w:pPr>
              <w:spacing w:after="0"/>
              <w:rPr>
                <w:sz w:val="16"/>
                <w:szCs w:val="16"/>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40 bps</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7020" w:type="dxa"/>
            <w:vAlign w:val="bottom"/>
            <w:shd w:val="clear" w:color="auto" w:fill="D9D9D6"/>
          </w:tcPr>
          <w:p>
            <w:pPr>
              <w:spacing w:after="0"/>
              <w:rPr>
                <w:sz w:val="4"/>
                <w:szCs w:val="4"/>
                <w:color w:val="auto"/>
              </w:rPr>
            </w:pPr>
          </w:p>
        </w:tc>
        <w:tc>
          <w:tcPr>
            <w:tcW w:w="6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small, medium-sized and enterprise customers.</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operating expenses was primarily due to higher marketing and promotion expenses and direct product costs. </w:t>
      </w:r>
      <w:r>
        <w:rPr>
          <w:rFonts w:ascii="Arial" w:cs="Arial" w:eastAsia="Arial" w:hAnsi="Arial"/>
          <w:sz w:val="18"/>
          <w:szCs w:val="18"/>
          <w:b w:val="1"/>
          <w:bCs w:val="1"/>
          <w:i w:val="1"/>
          <w:iCs w:val="1"/>
          <w:color w:val="auto"/>
        </w:rPr>
        <w:t>Adjusted EBITDA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margin </w:t>
      </w:r>
      <w:r>
        <w:rPr>
          <w:rFonts w:ascii="Arial" w:cs="Arial" w:eastAsia="Arial" w:hAnsi="Arial"/>
          <w:sz w:val="18"/>
          <w:szCs w:val="18"/>
          <w:color w:val="auto"/>
        </w:rPr>
        <w:t>increased to 57.7%.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0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23430" cy="258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580005"/>
                    </a:xfrm>
                    <a:prstGeom prst="rect">
                      <a:avLst/>
                    </a:prstGeom>
                    <a:noFill/>
                  </pic:spPr>
                </pic:pic>
              </a:graphicData>
            </a:graphic>
          </wp:anchor>
        </w:drawing>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1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54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5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right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880" w:type="dxa"/>
            <w:vAlign w:val="bottom"/>
            <w:tcBorders>
              <w:right w:val="single" w:sz="8" w:color="D9D9D6"/>
            </w:tcBorders>
            <w:gridSpan w:val="2"/>
            <w:shd w:val="clear" w:color="auto" w:fill="D9D9D6"/>
          </w:tcPr>
          <w:p>
            <w:pPr>
              <w:jc w:val="right"/>
              <w:ind w:right="20"/>
              <w:spacing w:after="0" w:line="155" w:lineRule="exact"/>
              <w:rPr>
                <w:sz w:val="20"/>
                <w:szCs w:val="20"/>
                <w:color w:val="auto"/>
              </w:rPr>
            </w:pPr>
            <w:r>
              <w:rPr>
                <w:rFonts w:ascii="Arial" w:cs="Arial" w:eastAsia="Arial" w:hAnsi="Arial"/>
                <w:sz w:val="14"/>
                <w:szCs w:val="14"/>
                <w:color w:val="auto"/>
              </w:rPr>
              <w:t>2023</w:t>
            </w:r>
          </w:p>
        </w:tc>
        <w:tc>
          <w:tcPr>
            <w:tcW w:w="920" w:type="dxa"/>
            <w:vAlign w:val="bottom"/>
            <w:gridSpan w:val="4"/>
            <w:shd w:val="clear" w:color="auto" w:fill="D9D9D6"/>
          </w:tcPr>
          <w:p>
            <w:pPr>
              <w:jc w:val="right"/>
              <w:ind w:right="40"/>
              <w:spacing w:after="0" w:line="155"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5</w:t>
            </w:r>
          </w:p>
        </w:tc>
        <w:tc>
          <w:tcPr>
            <w:tcW w:w="1140" w:type="dxa"/>
            <w:vAlign w:val="bottom"/>
            <w:gridSpan w:val="4"/>
            <w:shd w:val="clear" w:color="auto" w:fill="D9D9D6"/>
          </w:tcPr>
          <w:p>
            <w:pPr>
              <w:jc w:val="right"/>
              <w:ind w:right="140"/>
              <w:spacing w:after="0" w:line="155"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1"/>
        </w:trPr>
        <w:tc>
          <w:tcPr>
            <w:tcW w:w="8180" w:type="dxa"/>
            <w:vAlign w:val="bottom"/>
            <w:vMerge w:val="continue"/>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right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right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40"/>
              <w:spacing w:after="0"/>
              <w:rPr>
                <w:sz w:val="20"/>
                <w:szCs w:val="20"/>
                <w:color w:val="auto"/>
              </w:rPr>
            </w:pPr>
            <w:r>
              <w:rPr>
                <w:rFonts w:ascii="Arial" w:cs="Arial" w:eastAsia="Arial" w:hAnsi="Arial"/>
                <w:sz w:val="14"/>
                <w:szCs w:val="14"/>
                <w:color w:val="auto"/>
              </w:rPr>
              <w:t>Media</w:t>
            </w: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$6,195</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$6,188</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0"/>
              <w:spacing w:after="0"/>
              <w:rPr>
                <w:sz w:val="20"/>
                <w:szCs w:val="20"/>
                <w:color w:val="auto"/>
              </w:rPr>
            </w:pPr>
            <w:r>
              <w:rPr>
                <w:rFonts w:ascii="Arial" w:cs="Arial" w:eastAsia="Arial" w:hAnsi="Arial"/>
                <w:sz w:val="14"/>
                <w:szCs w:val="14"/>
                <w:color w:val="auto"/>
              </w:rPr>
              <w:t>Studios</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3,087</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3,117</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(0.9</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40"/>
              <w:spacing w:after="0"/>
              <w:rPr>
                <w:sz w:val="20"/>
                <w:szCs w:val="20"/>
                <w:color w:val="auto"/>
              </w:rPr>
            </w:pPr>
            <w:r>
              <w:rPr>
                <w:rFonts w:ascii="Arial" w:cs="Arial" w:eastAsia="Arial" w:hAnsi="Arial"/>
                <w:sz w:val="14"/>
                <w:szCs w:val="14"/>
                <w:color w:val="auto"/>
              </w:rPr>
              <w:t>Theme Parks</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2,209</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1,804</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22.4</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40"/>
              <w:spacing w:after="0"/>
              <w:rPr>
                <w:sz w:val="20"/>
                <w:szCs w:val="20"/>
                <w:color w:val="auto"/>
              </w:rPr>
            </w:pPr>
            <w:r>
              <w:rPr>
                <w:rFonts w:ascii="Arial" w:cs="Arial" w:eastAsia="Arial" w:hAnsi="Arial"/>
                <w:sz w:val="14"/>
                <w:szCs w:val="14"/>
                <w:color w:val="auto"/>
              </w:rPr>
              <w:t>Headquarters &amp; Other</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8</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60.5</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88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(631)</w:t>
            </w:r>
          </w:p>
        </w:tc>
        <w:tc>
          <w:tcPr>
            <w:tcW w:w="92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(664)</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$10,873</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$10,453</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4.0</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54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40"/>
              <w:spacing w:after="0"/>
              <w:rPr>
                <w:sz w:val="20"/>
                <w:szCs w:val="20"/>
                <w:color w:val="auto"/>
              </w:rPr>
            </w:pPr>
            <w:r>
              <w:rPr>
                <w:rFonts w:ascii="Arial" w:cs="Arial" w:eastAsia="Arial" w:hAnsi="Arial"/>
                <w:sz w:val="14"/>
                <w:szCs w:val="14"/>
                <w:color w:val="auto"/>
              </w:rPr>
              <w:t>Media</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$1,244</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$1,520</w:t>
            </w:r>
          </w:p>
        </w:tc>
        <w:tc>
          <w:tcPr>
            <w:tcW w:w="10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(18.2 %)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0"/>
              <w:spacing w:after="0"/>
              <w:rPr>
                <w:sz w:val="20"/>
                <w:szCs w:val="20"/>
                <w:color w:val="auto"/>
              </w:rPr>
            </w:pPr>
            <w:r>
              <w:rPr>
                <w:rFonts w:ascii="Arial" w:cs="Arial" w:eastAsia="Arial" w:hAnsi="Arial"/>
                <w:sz w:val="14"/>
                <w:szCs w:val="14"/>
                <w:color w:val="auto"/>
              </w:rPr>
              <w:t>Studios</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255</w:t>
            </w:r>
          </w:p>
        </w:tc>
        <w:tc>
          <w:tcPr>
            <w:tcW w:w="9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(3)</w:t>
            </w:r>
          </w:p>
        </w:tc>
        <w:tc>
          <w:tcPr>
            <w:tcW w:w="50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40"/>
              <w:spacing w:after="0"/>
              <w:rPr>
                <w:sz w:val="20"/>
                <w:szCs w:val="20"/>
                <w:color w:val="auto"/>
              </w:rPr>
            </w:pPr>
            <w:r>
              <w:rPr>
                <w:rFonts w:ascii="Arial" w:cs="Arial" w:eastAsia="Arial" w:hAnsi="Arial"/>
                <w:sz w:val="14"/>
                <w:szCs w:val="14"/>
                <w:color w:val="auto"/>
              </w:rPr>
              <w:t>Theme Parks</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833</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632</w:t>
            </w:r>
          </w:p>
        </w:tc>
        <w:tc>
          <w:tcPr>
            <w:tcW w:w="10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31.8 %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40"/>
              <w:spacing w:after="0"/>
              <w:rPr>
                <w:sz w:val="20"/>
                <w:szCs w:val="20"/>
                <w:color w:val="auto"/>
              </w:rPr>
            </w:pPr>
            <w:r>
              <w:rPr>
                <w:rFonts w:ascii="Arial" w:cs="Arial" w:eastAsia="Arial" w:hAnsi="Arial"/>
                <w:sz w:val="14"/>
                <w:szCs w:val="14"/>
                <w:color w:val="auto"/>
              </w:rPr>
              <w:t>Headquarters &amp; Other</w:t>
            </w: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(200)</w:t>
            </w:r>
          </w:p>
        </w:tc>
        <w:tc>
          <w:tcPr>
            <w:tcW w:w="9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(137)</w:t>
            </w:r>
          </w:p>
        </w:tc>
        <w:tc>
          <w:tcPr>
            <w:tcW w:w="10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(45.6 %)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88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56</w:t>
            </w:r>
          </w:p>
        </w:tc>
        <w:tc>
          <w:tcPr>
            <w:tcW w:w="92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23</w:t>
            </w:r>
          </w:p>
        </w:tc>
        <w:tc>
          <w:tcPr>
            <w:tcW w:w="8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141.8</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8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$2,187</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$2,034</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7.5</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Borders>
              <w:right w:val="single" w:sz="8" w:color="D9D9D6"/>
            </w:tcBorders>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tcBorders>
              <w:right w:val="single" w:sz="8" w:color="D9D9D6"/>
            </w:tcBorders>
            <w:shd w:val="clear" w:color="auto" w:fill="D9D9D6"/>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-2296795</wp:posOffset>
            </wp:positionV>
            <wp:extent cx="7055485" cy="2426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5485" cy="242633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driven by Theme Parks.</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Content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increased due to growth in Studios and Theme Parks, partially offset by a decrease in Media, driven by higher costs at Peacock as the service scales.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1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8180" w:type="dxa"/>
            <w:vAlign w:val="bottom"/>
            <w:tcBorders>
              <w:bottom w:val="single" w:sz="8" w:color="D9D9D6"/>
            </w:tcBorders>
            <w:shd w:val="clear" w:color="auto" w:fill="D9D9D6"/>
          </w:tcPr>
          <w:p>
            <w:pPr>
              <w:spacing w:after="0"/>
              <w:rPr>
                <w:sz w:val="16"/>
                <w:szCs w:val="16"/>
                <w:color w:val="auto"/>
              </w:rPr>
            </w:pPr>
          </w:p>
        </w:tc>
        <w:tc>
          <w:tcPr>
            <w:tcW w:w="5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50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8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60" w:type="dxa"/>
            <w:vAlign w:val="bottom"/>
            <w:gridSpan w:val="2"/>
            <w:shd w:val="clear" w:color="auto" w:fill="D9D9D6"/>
          </w:tcPr>
          <w:p>
            <w:pPr>
              <w:jc w:val="right"/>
              <w:spacing w:after="0" w:line="155" w:lineRule="exact"/>
              <w:rPr>
                <w:sz w:val="20"/>
                <w:szCs w:val="20"/>
                <w:color w:val="auto"/>
              </w:rPr>
            </w:pPr>
            <w:r>
              <w:rPr>
                <w:rFonts w:ascii="Arial" w:cs="Arial" w:eastAsia="Arial" w:hAnsi="Arial"/>
                <w:sz w:val="14"/>
                <w:szCs w:val="14"/>
                <w:color w:val="auto"/>
              </w:rPr>
              <w:t>2023</w:t>
            </w:r>
          </w:p>
        </w:tc>
        <w:tc>
          <w:tcPr>
            <w:tcW w:w="20" w:type="dxa"/>
            <w:vAlign w:val="bottom"/>
            <w:shd w:val="clear" w:color="auto" w:fill="D9D9D6"/>
          </w:tcPr>
          <w:p>
            <w:pPr>
              <w:spacing w:after="0"/>
              <w:rPr>
                <w:sz w:val="16"/>
                <w:szCs w:val="16"/>
                <w:color w:val="auto"/>
              </w:rPr>
            </w:pPr>
          </w:p>
        </w:tc>
        <w:tc>
          <w:tcPr>
            <w:tcW w:w="920" w:type="dxa"/>
            <w:vAlign w:val="bottom"/>
            <w:gridSpan w:val="4"/>
            <w:shd w:val="clear" w:color="auto" w:fill="D9D9D6"/>
          </w:tcPr>
          <w:p>
            <w:pPr>
              <w:jc w:val="right"/>
              <w:ind w:right="40"/>
              <w:spacing w:after="0" w:line="155"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5</w:t>
            </w:r>
          </w:p>
        </w:tc>
        <w:tc>
          <w:tcPr>
            <w:tcW w:w="1140" w:type="dxa"/>
            <w:vAlign w:val="bottom"/>
            <w:gridSpan w:val="5"/>
            <w:shd w:val="clear" w:color="auto" w:fill="D9D9D6"/>
          </w:tcPr>
          <w:p>
            <w:pPr>
              <w:ind w:left="500"/>
              <w:spacing w:after="0" w:line="155"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1"/>
        </w:trPr>
        <w:tc>
          <w:tcPr>
            <w:tcW w:w="120" w:type="dxa"/>
            <w:vAlign w:val="bottom"/>
            <w:tcBorders>
              <w:top w:val="single" w:sz="8" w:color="D9D9D6"/>
            </w:tcBorders>
            <w:shd w:val="clear" w:color="auto" w:fill="D9D9D6"/>
          </w:tcPr>
          <w:p>
            <w:pPr>
              <w:spacing w:after="0"/>
              <w:rPr>
                <w:sz w:val="17"/>
                <w:szCs w:val="17"/>
                <w:color w:val="auto"/>
              </w:rPr>
            </w:pPr>
          </w:p>
        </w:tc>
        <w:tc>
          <w:tcPr>
            <w:tcW w:w="8180" w:type="dxa"/>
            <w:vAlign w:val="bottom"/>
            <w:tcBorders>
              <w:top w:val="single" w:sz="8" w:color="D9D9D6"/>
            </w:tcBorders>
            <w:vMerge w:val="continue"/>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D9D9D6"/>
          </w:tcPr>
          <w:p>
            <w:pPr>
              <w:spacing w:after="0"/>
              <w:rPr>
                <w:sz w:val="16"/>
                <w:szCs w:val="16"/>
                <w:color w:val="auto"/>
              </w:rPr>
            </w:pPr>
          </w:p>
        </w:tc>
        <w:tc>
          <w:tcPr>
            <w:tcW w:w="81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$2,027</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$2,131</w:t>
            </w:r>
          </w:p>
        </w:tc>
        <w:tc>
          <w:tcPr>
            <w:tcW w:w="8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D9D9D6"/>
          </w:tcPr>
          <w:p>
            <w:pPr>
              <w:spacing w:after="0"/>
              <w:rPr>
                <w:sz w:val="17"/>
                <w:szCs w:val="17"/>
                <w:color w:val="auto"/>
              </w:rPr>
            </w:pPr>
          </w:p>
        </w:tc>
        <w:tc>
          <w:tcPr>
            <w:tcW w:w="81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2,615</w:t>
            </w:r>
          </w:p>
        </w:tc>
        <w:tc>
          <w:tcPr>
            <w:tcW w:w="20" w:type="dxa"/>
            <w:vAlign w:val="bottom"/>
            <w:shd w:val="clear" w:color="auto" w:fill="D9D9D6"/>
          </w:tcPr>
          <w:p>
            <w:pPr>
              <w:spacing w:after="0"/>
              <w:rPr>
                <w:sz w:val="17"/>
                <w:szCs w:val="17"/>
                <w:color w:val="auto"/>
              </w:rPr>
            </w:pP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2,558</w:t>
            </w:r>
          </w:p>
        </w:tc>
        <w:tc>
          <w:tcPr>
            <w:tcW w:w="8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818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1,035</w:t>
            </w:r>
          </w:p>
        </w:tc>
        <w:tc>
          <w:tcPr>
            <w:tcW w:w="20" w:type="dxa"/>
            <w:vAlign w:val="bottom"/>
            <w:shd w:val="clear" w:color="auto" w:fill="D9D9D6"/>
          </w:tcPr>
          <w:p>
            <w:pPr>
              <w:spacing w:after="0"/>
              <w:rPr>
                <w:sz w:val="16"/>
                <w:szCs w:val="16"/>
                <w:color w:val="auto"/>
              </w:rPr>
            </w:pP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970</w:t>
            </w:r>
          </w:p>
        </w:tc>
        <w:tc>
          <w:tcPr>
            <w:tcW w:w="8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Borders>
              <w:bottom w:val="single" w:sz="8" w:color="D9D9D6"/>
            </w:tcBorders>
            <w:shd w:val="clear" w:color="auto" w:fill="D9D9D6"/>
          </w:tcPr>
          <w:p>
            <w:pPr>
              <w:spacing w:after="0"/>
              <w:rPr>
                <w:sz w:val="18"/>
                <w:szCs w:val="18"/>
                <w:color w:val="auto"/>
              </w:rPr>
            </w:pPr>
          </w:p>
        </w:tc>
        <w:tc>
          <w:tcPr>
            <w:tcW w:w="818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518</w:t>
            </w:r>
          </w:p>
        </w:tc>
        <w:tc>
          <w:tcPr>
            <w:tcW w:w="20" w:type="dxa"/>
            <w:vAlign w:val="bottom"/>
            <w:tcBorders>
              <w:bottom w:val="single" w:sz="8" w:color="auto"/>
            </w:tcBorders>
            <w:shd w:val="clear" w:color="auto" w:fill="D9D9D6"/>
          </w:tcPr>
          <w:p>
            <w:pPr>
              <w:spacing w:after="0"/>
              <w:rPr>
                <w:sz w:val="18"/>
                <w:szCs w:val="18"/>
                <w:color w:val="auto"/>
              </w:rPr>
            </w:pPr>
          </w:p>
        </w:tc>
        <w:tc>
          <w:tcPr>
            <w:tcW w:w="92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529</w:t>
            </w:r>
          </w:p>
        </w:tc>
        <w:tc>
          <w:tcPr>
            <w:tcW w:w="8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8"/>
                <w:szCs w:val="18"/>
                <w:color w:val="auto"/>
              </w:rPr>
            </w:pPr>
          </w:p>
        </w:tc>
        <w:tc>
          <w:tcPr>
            <w:tcW w:w="12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shd w:val="clear" w:color="auto" w:fill="D9D9D6"/>
          </w:tcPr>
          <w:p>
            <w:pPr>
              <w:spacing w:after="0"/>
              <w:rPr>
                <w:sz w:val="17"/>
                <w:szCs w:val="17"/>
                <w:color w:val="auto"/>
              </w:rPr>
            </w:pPr>
          </w:p>
        </w:tc>
        <w:tc>
          <w:tcPr>
            <w:tcW w:w="81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$6,195</w:t>
            </w:r>
          </w:p>
        </w:tc>
        <w:tc>
          <w:tcPr>
            <w:tcW w:w="20" w:type="dxa"/>
            <w:vAlign w:val="bottom"/>
            <w:shd w:val="clear" w:color="auto" w:fill="D9D9D6"/>
          </w:tcPr>
          <w:p>
            <w:pPr>
              <w:spacing w:after="0"/>
              <w:rPr>
                <w:sz w:val="17"/>
                <w:szCs w:val="17"/>
                <w:color w:val="auto"/>
              </w:rPr>
            </w:pP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$6,188</w:t>
            </w:r>
          </w:p>
        </w:tc>
        <w:tc>
          <w:tcPr>
            <w:tcW w:w="8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tcBorders>
              <w:bottom w:val="single" w:sz="8" w:color="D9D9D6"/>
            </w:tcBorders>
            <w:shd w:val="clear" w:color="auto" w:fill="D9D9D6"/>
          </w:tcPr>
          <w:p>
            <w:pPr>
              <w:spacing w:after="0"/>
              <w:rPr>
                <w:sz w:val="16"/>
                <w:szCs w:val="16"/>
                <w:color w:val="auto"/>
              </w:rPr>
            </w:pPr>
          </w:p>
        </w:tc>
        <w:tc>
          <w:tcPr>
            <w:tcW w:w="81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4,951</w:t>
            </w:r>
          </w:p>
        </w:tc>
        <w:tc>
          <w:tcPr>
            <w:tcW w:w="20" w:type="dxa"/>
            <w:vAlign w:val="bottom"/>
            <w:tcBorders>
              <w:bottom w:val="single" w:sz="8" w:color="auto"/>
            </w:tcBorders>
            <w:shd w:val="clear" w:color="auto" w:fill="D9D9D6"/>
          </w:tcPr>
          <w:p>
            <w:pPr>
              <w:spacing w:after="0"/>
              <w:rPr>
                <w:sz w:val="16"/>
                <w:szCs w:val="16"/>
                <w:color w:val="auto"/>
              </w:rPr>
            </w:pPr>
          </w:p>
        </w:tc>
        <w:tc>
          <w:tcPr>
            <w:tcW w:w="92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4,669</w:t>
            </w:r>
          </w:p>
        </w:tc>
        <w:tc>
          <w:tcPr>
            <w:tcW w:w="8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81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$1,244</w:t>
            </w:r>
          </w:p>
        </w:tc>
        <w:tc>
          <w:tcPr>
            <w:tcW w:w="20" w:type="dxa"/>
            <w:vAlign w:val="bottom"/>
            <w:shd w:val="clear" w:color="auto" w:fill="D9D9D6"/>
          </w:tcPr>
          <w:p>
            <w:pPr>
              <w:spacing w:after="0"/>
              <w:rPr>
                <w:sz w:val="16"/>
                <w:szCs w:val="16"/>
                <w:color w:val="auto"/>
              </w:rPr>
            </w:pP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$1,520</w:t>
            </w:r>
          </w:p>
        </w:tc>
        <w:tc>
          <w:tcPr>
            <w:tcW w:w="8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(18.2</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20" w:type="dxa"/>
            <w:vAlign w:val="bottom"/>
            <w:shd w:val="clear" w:color="auto" w:fill="D9D9D6"/>
          </w:tcPr>
          <w:p>
            <w:pPr>
              <w:spacing w:after="0"/>
              <w:rPr>
                <w:sz w:val="7"/>
                <w:szCs w:val="7"/>
                <w:color w:val="auto"/>
              </w:rPr>
            </w:pPr>
          </w:p>
        </w:tc>
        <w:tc>
          <w:tcPr>
            <w:tcW w:w="8180" w:type="dxa"/>
            <w:vAlign w:val="bottom"/>
            <w:shd w:val="clear" w:color="auto" w:fill="D9D9D6"/>
          </w:tcPr>
          <w:p>
            <w:pPr>
              <w:spacing w:after="0"/>
              <w:rPr>
                <w:sz w:val="7"/>
                <w:szCs w:val="7"/>
                <w:color w:val="auto"/>
              </w:rPr>
            </w:pPr>
          </w:p>
        </w:tc>
        <w:tc>
          <w:tcPr>
            <w:tcW w:w="5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40" w:type="dxa"/>
            <w:vAlign w:val="bottom"/>
            <w:shd w:val="clear" w:color="auto" w:fill="D9D9D6"/>
          </w:tcPr>
          <w:p>
            <w:pPr>
              <w:spacing w:after="0"/>
              <w:rPr>
                <w:sz w:val="7"/>
                <w:szCs w:val="7"/>
                <w:color w:val="auto"/>
              </w:rPr>
            </w:pPr>
          </w:p>
        </w:tc>
        <w:tc>
          <w:tcPr>
            <w:tcW w:w="36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100" w:type="dxa"/>
            <w:vAlign w:val="bottom"/>
            <w:shd w:val="clear" w:color="auto" w:fill="D9D9D6"/>
          </w:tcPr>
          <w:p>
            <w:pPr>
              <w:spacing w:after="0"/>
              <w:rPr>
                <w:sz w:val="7"/>
                <w:szCs w:val="7"/>
                <w:color w:val="auto"/>
              </w:rPr>
            </w:pPr>
          </w:p>
        </w:tc>
        <w:tc>
          <w:tcPr>
            <w:tcW w:w="50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18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was consistent with the prior year period primarily due to higher international networks and domestic distribution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lower domestic advertising revenue. The decrease in domestic advertising revenue was primarily due to lower revenue at our networks, partially offset by an increase in revenue at Peacock. International networks revenue increased primarily reflecting an increase in revenue associated with the distribution of sports channels. Domestic distribution revenue increased primarily due to higher revenue at Peacock, driven by an increase in paid subscribers, partially offset by lower revenue at our networks.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primarily due to higher operating expenses. The increase in operating expenses was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programming costs at Peacock, as well as increased international sports programming costs driven by the shift of certain European football matches and the related programming expense to the first half of 2023 due to timing of the 2022 FIFA World Cup, partially offset by a decrease in content costs for our entertainment television networks. Media results in the second quarter include $820 million of revenue and an Adjusted EBITDA</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loss of $651 million related to Peacock, compared to $444 million of revenue and an Adjusted EBITDA</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loss of $467 million in the prior year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6835" cy="1474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474470"/>
                    </a:xfrm>
                    <a:prstGeom prst="rect">
                      <a:avLst/>
                    </a:prstGeom>
                    <a:noFill/>
                  </pic:spPr>
                </pic:pic>
              </a:graphicData>
            </a:graphic>
          </wp:anchor>
        </w:drawing>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1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right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5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rPr>
              <w:t>2nd Quarter</w:t>
            </w:r>
          </w:p>
        </w:tc>
        <w:tc>
          <w:tcPr>
            <w:tcW w:w="500" w:type="dxa"/>
            <w:vAlign w:val="bottom"/>
            <w:tcBorders>
              <w:bottom w:val="single" w:sz="8" w:color="D9D9D6"/>
            </w:tcBorders>
            <w:shd w:val="clear" w:color="auto" w:fill="D9D9D6"/>
          </w:tcPr>
          <w:p>
            <w:pPr>
              <w:spacing w:after="0"/>
              <w:rPr>
                <w:sz w:val="14"/>
                <w:szCs w:val="14"/>
                <w:color w:val="auto"/>
              </w:rPr>
            </w:pPr>
          </w:p>
        </w:tc>
        <w:tc>
          <w:tcPr>
            <w:tcW w:w="50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860" w:type="dxa"/>
            <w:vAlign w:val="bottom"/>
            <w:gridSpan w:val="2"/>
            <w:shd w:val="clear" w:color="auto" w:fill="D9D9D6"/>
          </w:tcPr>
          <w:p>
            <w:pPr>
              <w:jc w:val="right"/>
              <w:spacing w:after="0" w:line="155" w:lineRule="exact"/>
              <w:rPr>
                <w:sz w:val="20"/>
                <w:szCs w:val="20"/>
                <w:color w:val="auto"/>
              </w:rPr>
            </w:pPr>
            <w:r>
              <w:rPr>
                <w:rFonts w:ascii="Arial" w:cs="Arial" w:eastAsia="Arial" w:hAnsi="Arial"/>
                <w:sz w:val="14"/>
                <w:szCs w:val="14"/>
                <w:color w:val="auto"/>
              </w:rPr>
              <w:t>2023</w:t>
            </w:r>
          </w:p>
        </w:tc>
        <w:tc>
          <w:tcPr>
            <w:tcW w:w="900" w:type="dxa"/>
            <w:vAlign w:val="bottom"/>
            <w:tcBorders>
              <w:right w:val="single" w:sz="8" w:color="D9D9D6"/>
            </w:tcBorders>
            <w:gridSpan w:val="3"/>
            <w:shd w:val="clear" w:color="auto" w:fill="D9D9D6"/>
          </w:tcPr>
          <w:p>
            <w:pPr>
              <w:jc w:val="right"/>
              <w:spacing w:after="0" w:line="155" w:lineRule="exact"/>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5</w:t>
            </w:r>
          </w:p>
        </w:tc>
        <w:tc>
          <w:tcPr>
            <w:tcW w:w="40" w:type="dxa"/>
            <w:vAlign w:val="bottom"/>
            <w:shd w:val="clear" w:color="auto" w:fill="D9D9D6"/>
          </w:tcPr>
          <w:p>
            <w:pPr>
              <w:spacing w:after="0"/>
              <w:rPr>
                <w:sz w:val="16"/>
                <w:szCs w:val="16"/>
                <w:color w:val="auto"/>
              </w:rPr>
            </w:pPr>
          </w:p>
        </w:tc>
        <w:tc>
          <w:tcPr>
            <w:tcW w:w="1140" w:type="dxa"/>
            <w:vAlign w:val="bottom"/>
            <w:gridSpan w:val="4"/>
            <w:shd w:val="clear" w:color="auto" w:fill="D9D9D6"/>
          </w:tcPr>
          <w:p>
            <w:pPr>
              <w:jc w:val="right"/>
              <w:ind w:right="140"/>
              <w:spacing w:after="0" w:line="155"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1"/>
        </w:trPr>
        <w:tc>
          <w:tcPr>
            <w:tcW w:w="8180" w:type="dxa"/>
            <w:vAlign w:val="bottom"/>
            <w:vMerge w:val="continue"/>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auto"/>
              <w:right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140"/>
              <w:spacing w:after="0"/>
              <w:rPr>
                <w:sz w:val="20"/>
                <w:szCs w:val="20"/>
                <w:color w:val="auto"/>
              </w:rPr>
            </w:pPr>
            <w:r>
              <w:rPr>
                <w:rFonts w:ascii="Arial" w:cs="Arial" w:eastAsia="Arial" w:hAnsi="Arial"/>
                <w:sz w:val="14"/>
                <w:szCs w:val="14"/>
                <w:color w:val="auto"/>
              </w:rPr>
              <w:t>Content Licensing</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$1,821</w:t>
            </w: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$2,269</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4"/>
                <w:szCs w:val="14"/>
                <w:color w:val="auto"/>
              </w:rPr>
              <w:t>Theatrical</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913</w:t>
            </w: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550</w:t>
            </w:r>
          </w:p>
        </w:tc>
        <w:tc>
          <w:tcPr>
            <w:tcW w:w="40" w:type="dxa"/>
            <w:vAlign w:val="bottom"/>
            <w:shd w:val="clear" w:color="auto" w:fill="D9D9D6"/>
          </w:tcPr>
          <w:p>
            <w:pPr>
              <w:spacing w:after="0"/>
              <w:rPr>
                <w:sz w:val="16"/>
                <w:szCs w:val="16"/>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65.9 %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14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354</w:t>
            </w:r>
          </w:p>
        </w:tc>
        <w:tc>
          <w:tcPr>
            <w:tcW w:w="90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298</w:t>
            </w:r>
          </w:p>
        </w:tc>
        <w:tc>
          <w:tcPr>
            <w:tcW w:w="40" w:type="dxa"/>
            <w:vAlign w:val="bottom"/>
            <w:tcBorders>
              <w:bottom w:val="single" w:sz="8" w:color="auto"/>
            </w:tcBorders>
            <w:shd w:val="clear" w:color="auto" w:fill="D9D9D6"/>
          </w:tcPr>
          <w:p>
            <w:pPr>
              <w:spacing w:after="0"/>
              <w:rPr>
                <w:sz w:val="18"/>
                <w:szCs w:val="18"/>
                <w:color w:val="auto"/>
              </w:rPr>
            </w:pPr>
          </w:p>
        </w:tc>
        <w:tc>
          <w:tcPr>
            <w:tcW w:w="10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19.0 %</w:t>
            </w:r>
          </w:p>
        </w:tc>
        <w:tc>
          <w:tcPr>
            <w:tcW w:w="20" w:type="dxa"/>
            <w:vAlign w:val="bottom"/>
            <w:tcBorders>
              <w:bottom w:val="single" w:sz="8" w:color="auto"/>
            </w:tcBorders>
            <w:shd w:val="clear" w:color="auto" w:fill="D9D9D6"/>
          </w:tcPr>
          <w:p>
            <w:pPr>
              <w:spacing w:after="0"/>
              <w:rPr>
                <w:sz w:val="18"/>
                <w:szCs w:val="18"/>
                <w:color w:val="auto"/>
              </w:rPr>
            </w:pPr>
          </w:p>
        </w:tc>
        <w:tc>
          <w:tcPr>
            <w:tcW w:w="120" w:type="dxa"/>
            <w:vAlign w:val="bottom"/>
            <w:tcBorders>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$3,087</w:t>
            </w: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$3,117</w:t>
            </w:r>
          </w:p>
        </w:tc>
        <w:tc>
          <w:tcPr>
            <w:tcW w:w="40" w:type="dxa"/>
            <w:vAlign w:val="bottom"/>
            <w:shd w:val="clear" w:color="auto" w:fill="D9D9D6"/>
          </w:tcPr>
          <w:p>
            <w:pPr>
              <w:spacing w:after="0"/>
              <w:rPr>
                <w:sz w:val="15"/>
                <w:szCs w:val="15"/>
                <w:color w:val="auto"/>
              </w:rPr>
            </w:pPr>
          </w:p>
        </w:tc>
        <w:tc>
          <w:tcPr>
            <w:tcW w:w="10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(0.9 %)</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2,833</w:t>
            </w:r>
          </w:p>
        </w:tc>
        <w:tc>
          <w:tcPr>
            <w:tcW w:w="90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3,120</w:t>
            </w:r>
          </w:p>
        </w:tc>
        <w:tc>
          <w:tcPr>
            <w:tcW w:w="4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(9.2 %)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$255</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NM</w:t>
            </w:r>
          </w:p>
        </w:tc>
        <w:tc>
          <w:tcPr>
            <w:tcW w:w="0" w:type="dxa"/>
            <w:vAlign w:val="bottom"/>
          </w:tcPr>
          <w:p>
            <w:pPr>
              <w:spacing w:after="0"/>
              <w:rPr>
                <w:sz w:val="1"/>
                <w:szCs w:val="1"/>
                <w:color w:val="auto"/>
              </w:rPr>
            </w:pPr>
          </w:p>
        </w:tc>
      </w:tr>
      <w:tr>
        <w:trPr>
          <w:trHeight w:val="110"/>
        </w:trPr>
        <w:tc>
          <w:tcPr>
            <w:tcW w:w="8180" w:type="dxa"/>
            <w:vAlign w:val="bottom"/>
          </w:tcPr>
          <w:p>
            <w:pPr>
              <w:spacing w:after="0"/>
              <w:rPr>
                <w:sz w:val="9"/>
                <w:szCs w:val="9"/>
                <w:color w:val="auto"/>
              </w:rPr>
            </w:pPr>
          </w:p>
        </w:tc>
        <w:tc>
          <w:tcPr>
            <w:tcW w:w="540" w:type="dxa"/>
            <w:vAlign w:val="bottom"/>
            <w:shd w:val="clear" w:color="auto" w:fill="D9D9D6"/>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160" w:type="dxa"/>
            <w:vAlign w:val="bottom"/>
            <w:shd w:val="clear" w:color="auto" w:fill="D9D9D6"/>
          </w:tcPr>
          <w:p>
            <w:pPr>
              <w:spacing w:after="0"/>
              <w:rPr>
                <w:sz w:val="9"/>
                <w:szCs w:val="9"/>
                <w:color w:val="auto"/>
              </w:rPr>
            </w:pPr>
          </w:p>
        </w:tc>
        <w:tc>
          <w:tcPr>
            <w:tcW w:w="360" w:type="dxa"/>
            <w:vAlign w:val="bottom"/>
            <w:shd w:val="clear" w:color="auto" w:fill="D9D9D6"/>
          </w:tcPr>
          <w:p>
            <w:pPr>
              <w:spacing w:after="0"/>
              <w:rPr>
                <w:sz w:val="9"/>
                <w:szCs w:val="9"/>
                <w:color w:val="auto"/>
              </w:rPr>
            </w:pPr>
          </w:p>
        </w:tc>
        <w:tc>
          <w:tcPr>
            <w:tcW w:w="380" w:type="dxa"/>
            <w:vAlign w:val="bottom"/>
            <w:tcBorders>
              <w:right w:val="single" w:sz="8" w:color="D9D9D6"/>
            </w:tcBorders>
            <w:shd w:val="clear" w:color="auto" w:fill="D9D9D6"/>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-1319530</wp:posOffset>
            </wp:positionV>
            <wp:extent cx="7055485" cy="1440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5485" cy="14401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was consistent with the prior year period primarily due to higher theatrical revenue, driven by recent releases,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The Super Mario Bros. 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Fast X</w:t>
      </w:r>
      <w:r>
        <w:rPr>
          <w:rFonts w:ascii="Arial" w:cs="Arial" w:eastAsia="Arial" w:hAnsi="Arial"/>
          <w:sz w:val="18"/>
          <w:szCs w:val="18"/>
          <w:color w:val="auto"/>
        </w:rPr>
        <w:t>, offset by lower content licensing revenue, which was primarily due to the timing of when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was made available by our television studios under licensing agreements, partially offset by the timing of when content was made available by our film studios.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primarily due to lower operating expenses. The decrease in operating expenses reflected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and production expenses, primarily due to lower costs associated with lower content licensing sales, partially offset by higher spending on recent theatrical releases.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 w:type="dxa"/>
            <w:vAlign w:val="bottom"/>
            <w:shd w:val="clear" w:color="auto" w:fill="D9D9D6"/>
          </w:tcPr>
          <w:p>
            <w:pPr>
              <w:spacing w:after="0"/>
              <w:rPr>
                <w:sz w:val="19"/>
                <w:szCs w:val="19"/>
                <w:color w:val="auto"/>
              </w:rPr>
            </w:pPr>
          </w:p>
        </w:tc>
        <w:tc>
          <w:tcPr>
            <w:tcW w:w="82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Borders>
              <w:bottom w:val="single" w:sz="8" w:color="D9D9D6"/>
            </w:tcBorders>
            <w:shd w:val="clear" w:color="auto" w:fill="D9D9D6"/>
          </w:tcPr>
          <w:p>
            <w:pPr>
              <w:spacing w:after="0"/>
              <w:rPr>
                <w:sz w:val="20"/>
                <w:szCs w:val="20"/>
                <w:color w:val="auto"/>
              </w:rPr>
            </w:pPr>
          </w:p>
        </w:tc>
        <w:tc>
          <w:tcPr>
            <w:tcW w:w="8240" w:type="dxa"/>
            <w:vAlign w:val="bottom"/>
            <w:tcBorders>
              <w:bottom w:val="single" w:sz="8" w:color="D9D9D6"/>
            </w:tcBorders>
            <w:shd w:val="clear" w:color="auto" w:fill="D9D9D6"/>
          </w:tcPr>
          <w:p>
            <w:pPr>
              <w:spacing w:after="0"/>
              <w:rPr>
                <w:sz w:val="20"/>
                <w:szCs w:val="20"/>
                <w:color w:val="auto"/>
              </w:rPr>
            </w:pPr>
          </w:p>
        </w:tc>
        <w:tc>
          <w:tcPr>
            <w:tcW w:w="540" w:type="dxa"/>
            <w:vAlign w:val="bottom"/>
            <w:tcBorders>
              <w:bottom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spacing w:after="0"/>
              <w:rPr>
                <w:sz w:val="20"/>
                <w:szCs w:val="20"/>
                <w:color w:val="auto"/>
              </w:rPr>
            </w:pPr>
          </w:p>
        </w:tc>
        <w:tc>
          <w:tcPr>
            <w:tcW w:w="140" w:type="dxa"/>
            <w:vAlign w:val="bottom"/>
            <w:tcBorders>
              <w:bottom w:val="single" w:sz="8" w:color="D9D9D6"/>
            </w:tcBorders>
            <w:shd w:val="clear" w:color="auto" w:fill="D9D9D6"/>
          </w:tcPr>
          <w:p>
            <w:pPr>
              <w:spacing w:after="0"/>
              <w:rPr>
                <w:sz w:val="20"/>
                <w:szCs w:val="20"/>
                <w:color w:val="auto"/>
              </w:rPr>
            </w:pPr>
          </w:p>
        </w:tc>
        <w:tc>
          <w:tcPr>
            <w:tcW w:w="7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8"/>
              </w:rPr>
              <w:t>2nd Quarter</w:t>
            </w:r>
          </w:p>
        </w:tc>
        <w:tc>
          <w:tcPr>
            <w:tcW w:w="480" w:type="dxa"/>
            <w:vAlign w:val="bottom"/>
            <w:tcBorders>
              <w:bottom w:val="single" w:sz="8" w:color="D9D9D6"/>
            </w:tcBorders>
            <w:shd w:val="clear" w:color="auto" w:fill="D9D9D6"/>
          </w:tcPr>
          <w:p>
            <w:pPr>
              <w:spacing w:after="0"/>
              <w:rPr>
                <w:sz w:val="20"/>
                <w:szCs w:val="20"/>
                <w:color w:val="auto"/>
              </w:rPr>
            </w:pPr>
          </w:p>
        </w:tc>
        <w:tc>
          <w:tcPr>
            <w:tcW w:w="380" w:type="dxa"/>
            <w:vAlign w:val="bottom"/>
            <w:tcBorders>
              <w:bottom w:val="single" w:sz="8" w:color="D9D9D6"/>
            </w:tcBorders>
            <w:shd w:val="clear" w:color="auto" w:fill="D9D9D6"/>
          </w:tcPr>
          <w:p>
            <w:pPr>
              <w:spacing w:after="0"/>
              <w:rPr>
                <w:sz w:val="20"/>
                <w:szCs w:val="20"/>
                <w:color w:val="auto"/>
              </w:rPr>
            </w:pPr>
          </w:p>
        </w:tc>
        <w:tc>
          <w:tcPr>
            <w:tcW w:w="140" w:type="dxa"/>
            <w:vAlign w:val="bottom"/>
            <w:tcBorders>
              <w:bottom w:val="single" w:sz="8" w:color="D9D9D6"/>
              <w:right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24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560" w:type="dxa"/>
            <w:vAlign w:val="bottom"/>
            <w:gridSpan w:val="2"/>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2022</w:t>
            </w:r>
          </w:p>
        </w:tc>
        <w:tc>
          <w:tcPr>
            <w:tcW w:w="112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2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gridSpan w:val="2"/>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120" w:type="dxa"/>
            <w:vAlign w:val="bottom"/>
            <w:shd w:val="clear" w:color="auto" w:fill="D9D9D6"/>
          </w:tcPr>
          <w:p>
            <w:pPr>
              <w:spacing w:after="0"/>
              <w:rPr>
                <w:sz w:val="24"/>
                <w:szCs w:val="24"/>
                <w:color w:val="auto"/>
              </w:rPr>
            </w:pPr>
          </w:p>
        </w:tc>
        <w:tc>
          <w:tcPr>
            <w:tcW w:w="8240" w:type="dxa"/>
            <w:vAlign w:val="bottom"/>
            <w:vMerge w:val="continue"/>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$2,209</w:t>
            </w:r>
          </w:p>
        </w:tc>
        <w:tc>
          <w:tcPr>
            <w:tcW w:w="9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$1,804</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22.4</w:t>
            </w:r>
          </w:p>
        </w:tc>
        <w:tc>
          <w:tcPr>
            <w:tcW w:w="1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0" w:type="dxa"/>
            <w:vAlign w:val="bottom"/>
            <w:tcBorders>
              <w:bottom w:val="single" w:sz="8" w:color="D9D9D6"/>
            </w:tcBorders>
            <w:shd w:val="clear" w:color="auto" w:fill="D9D9D6"/>
          </w:tcPr>
          <w:p>
            <w:pPr>
              <w:spacing w:after="0"/>
              <w:rPr>
                <w:sz w:val="17"/>
                <w:szCs w:val="17"/>
                <w:color w:val="auto"/>
              </w:rPr>
            </w:pPr>
          </w:p>
        </w:tc>
        <w:tc>
          <w:tcPr>
            <w:tcW w:w="82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1,376</w:t>
            </w:r>
          </w:p>
        </w:tc>
        <w:tc>
          <w:tcPr>
            <w:tcW w:w="90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1,173</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17.4</w:t>
            </w:r>
          </w:p>
        </w:tc>
        <w:tc>
          <w:tcPr>
            <w:tcW w:w="14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24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$833</w:t>
            </w:r>
          </w:p>
        </w:tc>
        <w:tc>
          <w:tcPr>
            <w:tcW w:w="9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$632</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31.8</w:t>
            </w:r>
          </w:p>
        </w:tc>
        <w:tc>
          <w:tcPr>
            <w:tcW w:w="1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824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420" w:type="dxa"/>
            <w:vAlign w:val="bottom"/>
            <w:shd w:val="clear" w:color="auto" w:fill="D9D9D6"/>
          </w:tcPr>
          <w:p>
            <w:pPr>
              <w:spacing w:after="0"/>
              <w:rPr>
                <w:sz w:val="8"/>
                <w:szCs w:val="8"/>
                <w:color w:val="auto"/>
              </w:rPr>
            </w:pPr>
          </w:p>
        </w:tc>
        <w:tc>
          <w:tcPr>
            <w:tcW w:w="340" w:type="dxa"/>
            <w:vAlign w:val="bottom"/>
            <w:tcBorders>
              <w:right w:val="single" w:sz="8" w:color="D9D9D6"/>
            </w:tcBorders>
            <w:shd w:val="clear" w:color="auto" w:fill="D9D9D6"/>
          </w:tcPr>
          <w:p>
            <w:pPr>
              <w:spacing w:after="0"/>
              <w:rPr>
                <w:sz w:val="8"/>
                <w:szCs w:val="8"/>
                <w:color w:val="auto"/>
              </w:rPr>
            </w:pPr>
          </w:p>
        </w:tc>
        <w:tc>
          <w:tcPr>
            <w:tcW w:w="480" w:type="dxa"/>
            <w:vAlign w:val="bottom"/>
            <w:shd w:val="clear" w:color="auto" w:fill="D9D9D6"/>
          </w:tcPr>
          <w:p>
            <w:pPr>
              <w:spacing w:after="0"/>
              <w:rPr>
                <w:sz w:val="8"/>
                <w:szCs w:val="8"/>
                <w:color w:val="auto"/>
              </w:rPr>
            </w:pPr>
          </w:p>
        </w:tc>
        <w:tc>
          <w:tcPr>
            <w:tcW w:w="380" w:type="dxa"/>
            <w:vAlign w:val="bottom"/>
            <w:shd w:val="clear" w:color="auto" w:fill="D9D9D6"/>
          </w:tcPr>
          <w:p>
            <w:pPr>
              <w:spacing w:after="0"/>
              <w:rPr>
                <w:sz w:val="8"/>
                <w:szCs w:val="8"/>
                <w:color w:val="auto"/>
              </w:rPr>
            </w:pPr>
          </w:p>
        </w:tc>
        <w:tc>
          <w:tcPr>
            <w:tcW w:w="140" w:type="dxa"/>
            <w:vAlign w:val="bottom"/>
            <w:tcBorders>
              <w:right w:val="single" w:sz="8" w:color="D9D9D6"/>
            </w:tcBorders>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driven by higher revenue at our international theme parks, which had COVID-19 related restrictions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Domestic theme parks revenue remained consistent primarily due to higher revenue at our theme park in Hollywood driven by the opening of Super Nintendo World, offset by lower revenue at our theme park in Orlando which continues to be above pre-pandemic levels.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due to higher costs primarily associated with increased guest attendance.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second quarter was $200 million, compared to a loss of $137 million in the prior 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$ 631 million, compared to $664 million in the prior year period, and Adjusted EBITDA eliminations were a benefit of $56 million, compared to a benefit of $23 million in the prior year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23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6835" cy="173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7399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40" w:type="dxa"/>
            <w:vAlign w:val="bottom"/>
          </w:tcPr>
          <w:p>
            <w:pPr>
              <w:spacing w:after="0"/>
              <w:rPr>
                <w:sz w:val="14"/>
                <w:szCs w:val="14"/>
                <w:color w:val="auto"/>
              </w:rPr>
            </w:pPr>
          </w:p>
        </w:tc>
        <w:tc>
          <w:tcPr>
            <w:tcW w:w="7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2nd Quarter</w:t>
            </w:r>
          </w:p>
        </w:tc>
        <w:tc>
          <w:tcPr>
            <w:tcW w:w="140" w:type="dxa"/>
            <w:vAlign w:val="bottom"/>
            <w:tcBorders>
              <w:bottom w:val="single" w:sz="8" w:color="D9D9D6"/>
            </w:tcBorders>
            <w:gridSpan w:val="2"/>
            <w:shd w:val="clear" w:color="auto" w:fill="D9D9D6"/>
          </w:tcPr>
          <w:p>
            <w:pPr>
              <w:spacing w:after="0"/>
              <w:rPr>
                <w:sz w:val="14"/>
                <w:szCs w:val="14"/>
                <w:color w:val="auto"/>
              </w:rPr>
            </w:pPr>
          </w:p>
        </w:tc>
        <w:tc>
          <w:tcPr>
            <w:tcW w:w="58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right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2023</w:t>
            </w:r>
          </w:p>
        </w:tc>
        <w:tc>
          <w:tcPr>
            <w:tcW w:w="11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2022</w:t>
            </w:r>
            <w:r>
              <w:rPr>
                <w:rFonts w:ascii="Arial" w:cs="Arial" w:eastAsia="Arial" w:hAnsi="Arial"/>
                <w:sz w:val="9"/>
                <w:szCs w:val="9"/>
                <w:color w:val="auto"/>
              </w:rPr>
              <w:t>5</w:t>
            </w:r>
          </w:p>
        </w:tc>
        <w:tc>
          <w:tcPr>
            <w:tcW w:w="122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r>
      <w:tr>
        <w:trPr>
          <w:trHeight w:val="22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$654</w:t>
            </w:r>
          </w:p>
        </w:tc>
        <w:tc>
          <w:tcPr>
            <w:tcW w:w="11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$617</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6.0</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6"/>
                <w:szCs w:val="16"/>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957</w:t>
            </w:r>
          </w:p>
        </w:tc>
        <w:tc>
          <w:tcPr>
            <w:tcW w:w="1100" w:type="dxa"/>
            <w:vAlign w:val="bottom"/>
            <w:tcBorders>
              <w:bottom w:val="single" w:sz="8" w:color="auto"/>
            </w:tcBorders>
            <w:gridSpan w:val="5"/>
            <w:shd w:val="clear" w:color="auto" w:fill="D9D9D6"/>
          </w:tcPr>
          <w:p>
            <w:pPr>
              <w:jc w:val="right"/>
              <w:ind w:right="60"/>
              <w:spacing w:after="0"/>
              <w:rPr>
                <w:sz w:val="20"/>
                <w:szCs w:val="20"/>
                <w:color w:val="auto"/>
              </w:rPr>
            </w:pPr>
            <w:r>
              <w:rPr>
                <w:rFonts w:ascii="Arial" w:cs="Arial" w:eastAsia="Arial" w:hAnsi="Arial"/>
                <w:sz w:val="14"/>
                <w:szCs w:val="14"/>
                <w:color w:val="auto"/>
              </w:rPr>
              <w:t>784</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22.1</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194"/>
        </w:trPr>
        <w:tc>
          <w:tcPr>
            <w:tcW w:w="774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($303)</w:t>
            </w:r>
          </w:p>
        </w:tc>
        <w:tc>
          <w:tcPr>
            <w:tcW w:w="11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($167)</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(81.4</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r>
      <w:tr>
        <w:trPr>
          <w:trHeight w:val="407"/>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($1,373)</w:t>
            </w:r>
          </w:p>
        </w:tc>
        <w:tc>
          <w:tcPr>
            <w:tcW w:w="11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($1,389)</w:t>
            </w:r>
          </w:p>
        </w:tc>
        <w:tc>
          <w:tcPr>
            <w:tcW w:w="11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7"/>
                <w:szCs w:val="17"/>
                <w:color w:val="auto"/>
              </w:rPr>
            </w:pPr>
          </w:p>
        </w:tc>
      </w:tr>
      <w:tr>
        <w:trPr>
          <w:trHeight w:val="204"/>
        </w:trPr>
        <w:tc>
          <w:tcPr>
            <w:tcW w:w="77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(1,386)</w:t>
            </w:r>
          </w:p>
        </w:tc>
        <w:tc>
          <w:tcPr>
            <w:tcW w:w="11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(1,353)</w:t>
            </w:r>
          </w:p>
        </w:tc>
        <w:tc>
          <w:tcPr>
            <w:tcW w:w="110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7"/>
                <w:szCs w:val="17"/>
                <w:color w:val="auto"/>
              </w:rPr>
            </w:pPr>
          </w:p>
        </w:tc>
      </w:tr>
      <w:tr>
        <w:trPr>
          <w:trHeight w:val="183"/>
        </w:trPr>
        <w:tc>
          <w:tcPr>
            <w:tcW w:w="774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w:t>
            </w:r>
          </w:p>
        </w:tc>
        <w:tc>
          <w:tcPr>
            <w:tcW w:w="11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w:t>
            </w:r>
          </w:p>
        </w:tc>
        <w:tc>
          <w:tcPr>
            <w:tcW w:w="580" w:type="dxa"/>
            <w:vAlign w:val="bottom"/>
            <w:shd w:val="clear" w:color="auto" w:fill="D9D9D6"/>
          </w:tcPr>
          <w:p>
            <w:pPr>
              <w:spacing w:after="0"/>
              <w:rPr>
                <w:sz w:val="15"/>
                <w:szCs w:val="15"/>
                <w:color w:val="auto"/>
              </w:rPr>
            </w:pPr>
          </w:p>
        </w:tc>
        <w:tc>
          <w:tcPr>
            <w:tcW w:w="5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-1508125</wp:posOffset>
            </wp:positionV>
            <wp:extent cx="7055485" cy="1706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5485" cy="1706245"/>
                    </a:xfrm>
                    <a:prstGeom prst="rect">
                      <a:avLst/>
                    </a:prstGeom>
                    <a:noFill/>
                  </pic:spPr>
                </pic:pic>
              </a:graphicData>
            </a:graphic>
          </wp:anchor>
        </w:drawing>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&amp; Other primarily includes overhead and personnel costs; certain Sky operations; Comcast Spectacor, which owns the Philadelphia Flyers and the Wells Fargo Center arena in Philadelphia, Pennsylvania; and Xumo, our consolidated streaming platform joint venture beginning in June 2022.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loss for Corporate &amp; Other increased, reflecting higher operating expenses primarily due to higher costs related to Xumo and certain Sky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consistent with the prior year period, and Adjusted EBITDA eliminations were a benefit of $14 million compared to a loss of $36 million in the prior year period.</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823"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t>Notes:</w:t>
      </w:r>
    </w:p>
    <w:p>
      <w:pPr>
        <w:spacing w:after="0" w:line="11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38"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3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Beginning in the first quarter of 2023, we changed our presentation of segment operating results around our two primary businesses, Connectivity &amp; Platforms and Content &amp; Experiences. We have updated certain historical information as a result of these changes, including: (1) presentation of Cable Communications results in the Residential Connectivity &amp; Platforms and Business Services Connectivity segments and (2) presentation of Sky's results across the Connectivity &amp; Platforms and Content &amp; Entertainment segments, and Corporate &amp; Other.</w:t>
      </w:r>
    </w:p>
    <w:p>
      <w:pPr>
        <w:spacing w:after="0" w:line="138" w:lineRule="exact"/>
        <w:rPr>
          <w:sz w:val="20"/>
          <w:szCs w:val="20"/>
          <w:color w:val="auto"/>
        </w:rPr>
      </w:pPr>
    </w:p>
    <w:p>
      <w:pPr>
        <w:jc w:val="both"/>
        <w:ind w:left="180" w:hanging="161"/>
        <w:spacing w:after="0" w:line="263" w:lineRule="auto"/>
        <w:rPr>
          <w:sz w:val="20"/>
          <w:szCs w:val="20"/>
          <w:color w:val="auto"/>
        </w:rPr>
      </w:pPr>
      <w:r>
        <w:rPr>
          <w:rFonts w:ascii="Arial" w:cs="Arial" w:eastAsia="Arial" w:hAnsi="Arial"/>
          <w:sz w:val="18"/>
          <w:szCs w:val="18"/>
          <w:color w:val="auto"/>
        </w:rPr>
        <w:t>6 Constant currency growth rates are calculated by comparing the results for each comparable prior year period adjusted to reflect the average exchange rates from each current period presented, rather than the actual exchange rates that were in effect during the respective periods. See Table 6 for reconciliations of non-GAAP financial measures.</w:t>
      </w:r>
    </w:p>
    <w:p>
      <w:pPr>
        <w:spacing w:after="0" w:line="130" w:lineRule="exact"/>
        <w:rPr>
          <w:sz w:val="20"/>
          <w:szCs w:val="20"/>
          <w:color w:val="auto"/>
        </w:rPr>
      </w:pPr>
    </w:p>
    <w:p>
      <w:pPr>
        <w:jc w:val="both"/>
        <w:ind w:left="180" w:hanging="161"/>
        <w:spacing w:after="0" w:line="255" w:lineRule="auto"/>
        <w:rPr>
          <w:sz w:val="20"/>
          <w:szCs w:val="20"/>
          <w:color w:val="auto"/>
        </w:rPr>
      </w:pPr>
      <w:r>
        <w:rPr>
          <w:rFonts w:ascii="Arial" w:cs="Arial" w:eastAsia="Arial" w:hAnsi="Arial"/>
          <w:sz w:val="18"/>
          <w:szCs w:val="18"/>
          <w:color w:val="auto"/>
        </w:rPr>
        <w:t>7 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 Previously reported total Sky customer relationships of approximately 23 million as of December 31, 2022 also included approximately 5 million customer relationships outside of the Connectivity &amp; Platforms markets.</w:t>
      </w:r>
    </w:p>
    <w:p>
      <w:pPr>
        <w:spacing w:after="0" w:line="13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8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27, 2023,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starting at 11:30 a.m. ET on Thursday, July 27, 2023, on the Investor Relations website.</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500" w:type="dxa"/>
            <w:vAlign w:val="bottom"/>
          </w:tcPr>
          <w:p>
            <w:pPr>
              <w:jc w:val="right"/>
              <w:ind w:right="223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33"/>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500" w:type="dxa"/>
            <w:vAlign w:val="bottom"/>
          </w:tcPr>
          <w:p>
            <w:pPr>
              <w:ind w:left="162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7"/>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500" w:type="dxa"/>
            <w:vAlign w:val="bottom"/>
          </w:tcPr>
          <w:p>
            <w:pPr>
              <w:ind w:left="162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500" w:type="dxa"/>
            <w:vAlign w:val="bottom"/>
          </w:tcPr>
          <w:p>
            <w:pPr>
              <w:ind w:left="162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tcPr>
          <w:p>
            <w:pPr>
              <w:spacing w:after="0"/>
              <w:rPr>
                <w:sz w:val="19"/>
                <w:szCs w:val="19"/>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2022</w:t>
            </w:r>
          </w:p>
        </w:tc>
        <w:tc>
          <w:tcPr>
            <w:tcW w:w="12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$30,513</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$30,016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$60,205</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$61,026</w:t>
            </w:r>
          </w:p>
        </w:tc>
        <w:tc>
          <w:tcPr>
            <w:tcW w:w="0" w:type="dxa"/>
            <w:vAlign w:val="bottom"/>
          </w:tcPr>
          <w:p>
            <w:pPr>
              <w:spacing w:after="0"/>
              <w:rPr>
                <w:sz w:val="1"/>
                <w:szCs w:val="1"/>
                <w:color w:val="auto"/>
              </w:rPr>
            </w:pPr>
          </w:p>
        </w:tc>
      </w:tr>
      <w:tr>
        <w:trPr>
          <w:trHeight w:val="469"/>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8,887</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17,853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19,457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2,196</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4,063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9,317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9,098</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18,618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18,358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2,162</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4,459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21"/>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1,306</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23,804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23,649</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47,849</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49,089</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6,709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6,367</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12,355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11,936</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(998)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(968)</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474"/>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405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21"/>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261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622</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485"/>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5,726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4,502</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10,970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9,266</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4,189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7,957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$3,396</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$8,082</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$0.76</w:t>
            </w:r>
          </w:p>
        </w:tc>
        <w:tc>
          <w:tcPr>
            <w:tcW w:w="220" w:type="dxa"/>
            <w:vAlign w:val="bottom"/>
            <w:vMerge w:val="restart"/>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9"/>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4,183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4,482</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4,205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0"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346075</wp:posOffset>
            </wp:positionV>
            <wp:extent cx="102870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429"/>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$7,957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$6,717</w:t>
            </w:r>
          </w:p>
        </w:tc>
        <w:tc>
          <w:tcPr>
            <w:tcW w:w="0" w:type="dxa"/>
            <w:vAlign w:val="bottom"/>
          </w:tcPr>
          <w:p>
            <w:pPr>
              <w:spacing w:after="0"/>
              <w:rPr>
                <w:sz w:val="1"/>
                <w:szCs w:val="1"/>
                <w:color w:val="auto"/>
              </w:rPr>
            </w:pPr>
          </w:p>
        </w:tc>
      </w:tr>
      <w:tr>
        <w:trPr>
          <w:trHeight w:val="207"/>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7,315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7,016</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24"/>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7"/>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21"/>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13,584</w:t>
            </w:r>
          </w:p>
        </w:tc>
        <w:tc>
          <w:tcPr>
            <w:tcW w:w="0" w:type="dxa"/>
            <w:vAlign w:val="bottom"/>
          </w:tcPr>
          <w:p>
            <w:pPr>
              <w:spacing w:after="0"/>
              <w:rPr>
                <w:sz w:val="1"/>
                <w:szCs w:val="1"/>
                <w:color w:val="auto"/>
              </w:rPr>
            </w:pPr>
          </w:p>
        </w:tc>
      </w:tr>
      <w:tr>
        <w:trPr>
          <w:trHeight w:val="429"/>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(5,627)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21"/>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(7,528)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429"/>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6,044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(6,288)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(2,387)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21"/>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(8,636)</w:t>
            </w: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2,420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c>
          <w:tcPr>
            <w:tcW w:w="0" w:type="dxa"/>
            <w:vAlign w:val="bottom"/>
          </w:tcPr>
          <w:p>
            <w:pPr>
              <w:spacing w:after="0"/>
              <w:rPr>
                <w:sz w:val="1"/>
                <w:szCs w:val="1"/>
                <w:color w:val="auto"/>
              </w:rPr>
            </w:pP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1"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1"/>
        </w:trPr>
        <w:tc>
          <w:tcPr>
            <w:tcW w:w="5300" w:type="dxa"/>
            <w:vAlign w:val="bottom"/>
          </w:tcPr>
          <w:p>
            <w:pPr>
              <w:spacing w:after="0"/>
              <w:rPr>
                <w:sz w:val="19"/>
                <w:szCs w:val="19"/>
                <w:color w:val="auto"/>
              </w:rPr>
            </w:pP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40" w:type="dxa"/>
            <w:vAlign w:val="bottom"/>
            <w:gridSpan w:val="2"/>
          </w:tcPr>
          <w:p>
            <w:pPr>
              <w:jc w:val="right"/>
              <w:ind w:right="5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4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$7,146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12,980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12,672</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24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24,922</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12,641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12,560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7,761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 securing collateralized obligation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480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56,851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55,485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59,042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58,494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28,761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29,308</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12,323</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12,497</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$262,147</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$12,213</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$12,544</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1,812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3,327</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7,876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2,524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Collateralized obligation</w:t>
            </w:r>
          </w:p>
        </w:tc>
        <w:tc>
          <w:tcPr>
            <w:tcW w:w="24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5,173</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32,925</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27,887</w:t>
            </w:r>
          </w:p>
        </w:tc>
        <w:tc>
          <w:tcPr>
            <w:tcW w:w="0" w:type="dxa"/>
            <w:vAlign w:val="bottom"/>
          </w:tcPr>
          <w:p>
            <w:pPr>
              <w:spacing w:after="0"/>
              <w:rPr>
                <w:sz w:val="1"/>
                <w:szCs w:val="1"/>
                <w:color w:val="auto"/>
              </w:rPr>
            </w:pPr>
          </w:p>
        </w:tc>
      </w:tr>
      <w:tr>
        <w:trPr>
          <w:trHeight w:val="431"/>
        </w:trPr>
        <w:tc>
          <w:tcPr>
            <w:tcW w:w="530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94,972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Collateralized obligation</w:t>
            </w: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29,052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28,714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20,280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20,395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420"/>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84,119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80,943</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24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84,679</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81,627</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$262,147</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8"/>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-179705</wp:posOffset>
            </wp:positionV>
            <wp:extent cx="1028700"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7240" w:type="dxa"/>
            <w:vAlign w:val="bottom"/>
          </w:tcPr>
          <w:p>
            <w:pPr>
              <w:spacing w:after="0"/>
              <w:rPr>
                <w:sz w:val="16"/>
                <w:szCs w:val="16"/>
                <w:color w:val="auto"/>
              </w:rPr>
            </w:pPr>
          </w:p>
        </w:tc>
        <w:tc>
          <w:tcPr>
            <w:tcW w:w="120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r>
      <w:tr>
        <w:trPr>
          <w:trHeight w:val="202"/>
        </w:trPr>
        <w:tc>
          <w:tcPr>
            <w:tcW w:w="724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r>
      <w:tr>
        <w:trPr>
          <w:trHeight w:val="194"/>
        </w:trPr>
        <w:tc>
          <w:tcPr>
            <w:tcW w:w="72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$3,396</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$8,082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$6,945</w:t>
            </w:r>
          </w:p>
        </w:tc>
      </w:tr>
      <w:tr>
        <w:trPr>
          <w:trHeight w:val="191"/>
        </w:trPr>
        <w:tc>
          <w:tcPr>
            <w:tcW w:w="724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00"/>
        </w:trPr>
        <w:tc>
          <w:tcPr>
            <w:tcW w:w="724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2,548</w:t>
            </w:r>
          </w:p>
        </w:tc>
      </w:tr>
      <w:tr>
        <w:trPr>
          <w:trHeight w:val="203"/>
        </w:trPr>
        <w:tc>
          <w:tcPr>
            <w:tcW w:w="724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1,962</w:t>
            </w:r>
          </w:p>
        </w:tc>
      </w:tr>
      <w:tr>
        <w:trPr>
          <w:trHeight w:val="191"/>
        </w:trPr>
        <w:tc>
          <w:tcPr>
            <w:tcW w:w="724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(622)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200"/>
        </w:trPr>
        <w:tc>
          <w:tcPr>
            <w:tcW w:w="7240" w:type="dxa"/>
            <w:vAlign w:val="bottom"/>
          </w:tcPr>
          <w:p>
            <w:pPr>
              <w:spacing w:after="0"/>
              <w:rPr>
                <w:sz w:val="20"/>
                <w:szCs w:val="20"/>
                <w:color w:val="auto"/>
              </w:rPr>
            </w:pPr>
            <w:r>
              <w:rPr>
                <w:rFonts w:ascii="Arial" w:cs="Arial" w:eastAsia="Arial" w:hAnsi="Arial"/>
                <w:sz w:val="14"/>
                <w:szCs w:val="14"/>
                <w:color w:val="auto"/>
              </w:rPr>
              <w:t>Depreciation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2,162</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4,459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4,375</w:t>
            </w:r>
          </w:p>
        </w:tc>
      </w:tr>
      <w:tr>
        <w:trPr>
          <w:trHeight w:val="203"/>
        </w:trPr>
        <w:tc>
          <w:tcPr>
            <w:tcW w:w="7240" w:type="dxa"/>
            <w:vAlign w:val="bottom"/>
          </w:tcPr>
          <w:p>
            <w:pPr>
              <w:spacing w:after="0"/>
              <w:rPr>
                <w:sz w:val="20"/>
                <w:szCs w:val="20"/>
                <w:color w:val="auto"/>
              </w:rPr>
            </w:pPr>
            <w:r>
              <w:rPr>
                <w:rFonts w:ascii="Arial" w:cs="Arial" w:eastAsia="Arial" w:hAnsi="Arial"/>
                <w:sz w:val="14"/>
                <w:szCs w:val="14"/>
                <w:color w:val="auto"/>
              </w:rPr>
              <w:t>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1,306</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2,856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2,641</w:t>
            </w:r>
          </w:p>
        </w:tc>
      </w:tr>
      <w:tr>
        <w:trPr>
          <w:trHeight w:val="191"/>
        </w:trPr>
        <w:tc>
          <w:tcPr>
            <w:tcW w:w="7240" w:type="dxa"/>
            <w:vAlign w:val="bottom"/>
          </w:tcPr>
          <w:p>
            <w:pPr>
              <w:spacing w:after="0" w:line="19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36"/>
        </w:trPr>
        <w:tc>
          <w:tcPr>
            <w:tcW w:w="724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$10,244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$19,659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$18,977</w:t>
            </w:r>
          </w:p>
        </w:tc>
      </w:tr>
    </w:tbl>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4"/>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$7,197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$6,327</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$14,426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$13,584</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(2,414)</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(5,627)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(4,270)</w:t>
            </w: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$3,170</w:t>
            </w:r>
          </w:p>
        </w:tc>
        <w:tc>
          <w:tcPr>
            <w:tcW w:w="120" w:type="dxa"/>
            <w:vAlign w:val="bottom"/>
            <w:tcBorders>
              <w:right w:val="single" w:sz="8" w:color="auto"/>
            </w:tcBorders>
          </w:tcPr>
          <w:p>
            <w:pPr>
              <w:spacing w:after="0"/>
              <w:rPr>
                <w:sz w:val="20"/>
                <w:szCs w:val="20"/>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$7,221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304"/>
        </w:trPr>
        <w:tc>
          <w:tcPr>
            <w:tcW w:w="7200" w:type="dxa"/>
            <w:vAlign w:val="bottom"/>
            <w:tcBorders>
              <w:bottom w:val="single" w:sz="8" w:color="004EA8"/>
            </w:tcBorders>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860" w:type="dxa"/>
            <w:vAlign w:val="bottom"/>
            <w:tcBorders>
              <w:top w:val="single" w:sz="8" w:color="auto"/>
              <w:bottom w:val="single" w:sz="8" w:color="004EA8"/>
            </w:tcBorders>
          </w:tcPr>
          <w:p>
            <w:pPr>
              <w:spacing w:after="0"/>
              <w:rPr>
                <w:sz w:val="24"/>
                <w:szCs w:val="24"/>
                <w:color w:val="auto"/>
              </w:rPr>
            </w:pPr>
          </w:p>
        </w:tc>
        <w:tc>
          <w:tcPr>
            <w:tcW w:w="140" w:type="dxa"/>
            <w:vAlign w:val="bottom"/>
            <w:tcBorders>
              <w:bottom w:val="single" w:sz="8" w:color="004EA8"/>
            </w:tcBorders>
          </w:tcPr>
          <w:p>
            <w:pPr>
              <w:spacing w:after="0"/>
              <w:rPr>
                <w:sz w:val="24"/>
                <w:szCs w:val="24"/>
                <w:color w:val="auto"/>
              </w:rPr>
            </w:pPr>
          </w:p>
        </w:tc>
        <w:tc>
          <w:tcPr>
            <w:tcW w:w="240" w:type="dxa"/>
            <w:vAlign w:val="bottom"/>
            <w:tcBorders>
              <w:top w:val="single" w:sz="8" w:color="auto"/>
              <w:bottom w:val="single" w:sz="8" w:color="004EA8"/>
            </w:tcBorders>
          </w:tcPr>
          <w:p>
            <w:pPr>
              <w:spacing w:after="0"/>
              <w:rPr>
                <w:sz w:val="24"/>
                <w:szCs w:val="24"/>
                <w:color w:val="auto"/>
              </w:rPr>
            </w:pPr>
          </w:p>
        </w:tc>
        <w:tc>
          <w:tcPr>
            <w:tcW w:w="620" w:type="dxa"/>
            <w:vAlign w:val="bottom"/>
            <w:tcBorders>
              <w:top w:val="single" w:sz="8" w:color="auto"/>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900" w:type="dxa"/>
            <w:vAlign w:val="bottom"/>
            <w:tcBorders>
              <w:top w:val="single" w:sz="8" w:color="auto"/>
              <w:bottom w:val="single" w:sz="8" w:color="004EA8"/>
            </w:tcBorders>
          </w:tcPr>
          <w:p>
            <w:pPr>
              <w:spacing w:after="0"/>
              <w:rPr>
                <w:sz w:val="24"/>
                <w:szCs w:val="24"/>
                <w:color w:val="auto"/>
              </w:rPr>
            </w:pPr>
          </w:p>
        </w:tc>
        <w:tc>
          <w:tcPr>
            <w:tcW w:w="140" w:type="dxa"/>
            <w:vAlign w:val="bottom"/>
            <w:tcBorders>
              <w:bottom w:val="single" w:sz="8" w:color="004EA8"/>
            </w:tcBorders>
          </w:tcPr>
          <w:p>
            <w:pPr>
              <w:spacing w:after="0"/>
              <w:rPr>
                <w:sz w:val="24"/>
                <w:szCs w:val="24"/>
                <w:color w:val="auto"/>
              </w:rPr>
            </w:pPr>
          </w:p>
        </w:tc>
        <w:tc>
          <w:tcPr>
            <w:tcW w:w="240" w:type="dxa"/>
            <w:vAlign w:val="bottom"/>
            <w:tcBorders>
              <w:top w:val="single" w:sz="8" w:color="auto"/>
              <w:bottom w:val="single" w:sz="8" w:color="004EA8"/>
            </w:tcBorders>
          </w:tcPr>
          <w:p>
            <w:pPr>
              <w:spacing w:after="0"/>
              <w:rPr>
                <w:sz w:val="24"/>
                <w:szCs w:val="24"/>
                <w:color w:val="auto"/>
              </w:rPr>
            </w:pPr>
          </w:p>
        </w:tc>
        <w:tc>
          <w:tcPr>
            <w:tcW w:w="640" w:type="dxa"/>
            <w:vAlign w:val="bottom"/>
            <w:tcBorders>
              <w:top w:val="single" w:sz="8" w:color="auto"/>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200" w:type="dxa"/>
            <w:vAlign w:val="bottom"/>
          </w:tcPr>
          <w:p>
            <w:pPr>
              <w:spacing w:after="0"/>
              <w:rPr>
                <w:sz w:val="4"/>
                <w:szCs w:val="4"/>
                <w:color w:val="auto"/>
              </w:rPr>
            </w:pPr>
          </w:p>
        </w:tc>
        <w:tc>
          <w:tcPr>
            <w:tcW w:w="18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$10,244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$9,827</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$19,659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$18,977</w:t>
            </w:r>
          </w:p>
        </w:tc>
        <w:tc>
          <w:tcPr>
            <w:tcW w:w="0" w:type="dxa"/>
            <w:vAlign w:val="bottom"/>
          </w:tcPr>
          <w:p>
            <w:pPr>
              <w:spacing w:after="0"/>
              <w:rPr>
                <w:sz w:val="1"/>
                <w:szCs w:val="1"/>
                <w:color w:val="auto"/>
              </w:rPr>
            </w:pPr>
          </w:p>
        </w:tc>
      </w:tr>
      <w:tr>
        <w:trPr>
          <w:trHeight w:val="200"/>
        </w:trPr>
        <w:tc>
          <w:tcPr>
            <w:tcW w:w="72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(2,963)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(2,414)</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(5,627)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(4,270)</w:t>
            </w:r>
          </w:p>
        </w:tc>
        <w:tc>
          <w:tcPr>
            <w:tcW w:w="0" w:type="dxa"/>
            <w:vAlign w:val="bottom"/>
          </w:tcPr>
          <w:p>
            <w:pPr>
              <w:spacing w:after="0"/>
              <w:rPr>
                <w:sz w:val="1"/>
                <w:szCs w:val="1"/>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(813)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(1,577)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(1,823)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00"/>
        </w:trPr>
        <w:tc>
          <w:tcPr>
            <w:tcW w:w="720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(2,236)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(2,751)</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(2,384)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(1,975)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right w:val="single" w:sz="8" w:color="auto"/>
            </w:tcBorders>
          </w:tcPr>
          <w:p>
            <w:pPr>
              <w:spacing w:after="0"/>
              <w:rPr>
                <w:sz w:val="16"/>
                <w:szCs w:val="16"/>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668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1"/>
        </w:trPr>
        <w:tc>
          <w:tcPr>
            <w:tcW w:w="7200" w:type="dxa"/>
            <w:vAlign w:val="bottom"/>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$7,221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360" w:hanging="346"/>
        <w:spacing w:after="0" w:line="200"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2023 Adjusted EBITDA exclude $(3) million and $(11) million of other operating and administrative expenses, respectively, related to our investment portfolio. 2nd quarter and year to date 2022 Adjusted EBITDA exclude ($9) million and $24 million of other operating and administrative expense, respectively, related to our investment portfolio.</w:t>
      </w:r>
    </w:p>
    <w:p>
      <w:pPr>
        <w:spacing w:after="0" w:line="60" w:lineRule="exact"/>
        <w:rPr>
          <w:rFonts w:ascii="Arial" w:cs="Arial" w:eastAsia="Arial" w:hAnsi="Arial"/>
          <w:sz w:val="22"/>
          <w:szCs w:val="22"/>
          <w:color w:val="auto"/>
          <w:vertAlign w:val="superscript"/>
        </w:rPr>
      </w:pPr>
    </w:p>
    <w:p>
      <w:pPr>
        <w:ind w:left="360" w:right="400" w:hanging="346"/>
        <w:spacing w:after="0" w:line="200"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2023 include decreases of $(3) million and $(11) million, respectively, of costs related to our investment portfolio as these amounts are excluded from Adjusted EBITDA. 2nd quarter and year to date 2022 include decreases of ($9) million and $24 million, respectively, of costs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00"/>
          </w:cols>
          <w:pgMar w:left="340" w:top="892"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6012180</wp:posOffset>
            </wp:positionH>
            <wp:positionV relativeFrom="page">
              <wp:posOffset>526415</wp:posOffset>
            </wp:positionV>
            <wp:extent cx="108013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per share data)</w:t>
      </w:r>
    </w:p>
    <w:p>
      <w:pPr>
        <w:spacing w:after="0" w:line="290" w:lineRule="exact"/>
        <w:rPr>
          <w:sz w:val="20"/>
          <w:szCs w:val="20"/>
          <w:color w:val="auto"/>
        </w:rPr>
      </w:pPr>
    </w:p>
    <w:p>
      <w:pPr>
        <w:ind w:left="20"/>
        <w:spacing w:after="0" w:line="247" w:lineRule="auto"/>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 Corporation shareholders</w:t>
      </w:r>
    </w:p>
    <w:p>
      <w:pPr>
        <w:ind w:left="20"/>
        <w:spacing w:after="0"/>
        <w:rPr>
          <w:sz w:val="20"/>
          <w:szCs w:val="20"/>
          <w:color w:val="auto"/>
        </w:rPr>
      </w:pPr>
      <w:r>
        <w:rPr>
          <w:rFonts w:ascii="Arial" w:cs="Arial" w:eastAsia="Arial" w:hAnsi="Arial"/>
          <w:sz w:val="14"/>
          <w:szCs w:val="14"/>
          <w:i w:val="1"/>
          <w:iCs w:val="1"/>
          <w:color w:val="auto"/>
        </w:rPr>
        <w:t>Change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p>
      <w:pPr>
        <w:ind w:left="20"/>
        <w:spacing w:after="0"/>
        <w:rPr>
          <w:sz w:val="20"/>
          <w:szCs w:val="20"/>
          <w:color w:val="auto"/>
        </w:rPr>
      </w:pPr>
      <w:r>
        <w:rPr>
          <w:rFonts w:ascii="Arial" w:cs="Arial" w:eastAsia="Arial" w:hAnsi="Arial"/>
          <w:sz w:val="14"/>
          <w:szCs w:val="14"/>
          <w:color w:val="auto"/>
        </w:rPr>
        <w:t>Items affecting period-over-period comparability:</w:t>
      </w:r>
    </w:p>
    <w:p>
      <w:pPr>
        <w:spacing w:after="0" w:line="18" w:lineRule="exact"/>
        <w:rPr>
          <w:sz w:val="20"/>
          <w:szCs w:val="20"/>
          <w:color w:val="auto"/>
        </w:rPr>
      </w:pPr>
    </w:p>
    <w:p>
      <w:pPr>
        <w:ind w:left="20" w:right="220" w:firstLine="121"/>
        <w:spacing w:after="0" w:line="379" w:lineRule="auto"/>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9"/>
          <w:szCs w:val="9"/>
          <w:color w:val="auto"/>
        </w:rPr>
        <w:t>(3)</w:t>
      </w:r>
      <w:r>
        <w:rPr>
          <w:rFonts w:ascii="Arial" w:cs="Arial" w:eastAsia="Arial" w:hAnsi="Arial"/>
          <w:sz w:val="14"/>
          <w:szCs w:val="14"/>
          <w:color w:val="auto"/>
        </w:rPr>
        <w:t xml:space="preserve"> </w:t>
      </w:r>
      <w:r>
        <w:rPr>
          <w:rFonts w:ascii="Arial" w:cs="Arial" w:eastAsia="Arial" w:hAnsi="Arial"/>
          <w:sz w:val="14"/>
          <w:szCs w:val="14"/>
          <w:b w:val="1"/>
          <w:bCs w:val="1"/>
          <w:color w:val="auto"/>
        </w:rPr>
        <w:t>Adjusted Net income and Adjusted EPS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2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4"/>
          </w:tcPr>
          <w:p>
            <w:pPr>
              <w:jc w:val="center"/>
              <w:ind w:right="428"/>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00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rPr>
              <w:t>June 30,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EPS</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EPS</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525"/>
        </w:trPr>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$4,248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$3,396</w:t>
            </w:r>
          </w:p>
        </w:tc>
        <w:tc>
          <w:tcPr>
            <w:tcW w:w="540" w:type="dxa"/>
            <w:vAlign w:val="bottom"/>
          </w:tcPr>
          <w:p>
            <w:pPr>
              <w:jc w:val="right"/>
              <w:spacing w:after="0"/>
              <w:rPr>
                <w:sz w:val="20"/>
                <w:szCs w:val="20"/>
                <w:color w:val="auto"/>
              </w:rPr>
            </w:pPr>
            <w:r>
              <w:rPr>
                <w:rFonts w:ascii="Arial" w:cs="Arial" w:eastAsia="Arial" w:hAnsi="Arial"/>
                <w:sz w:val="14"/>
                <w:szCs w:val="14"/>
                <w:color w:val="auto"/>
              </w:rPr>
              <w:t>$0.76</w:t>
            </w:r>
          </w:p>
        </w:tc>
        <w:tc>
          <w:tcPr>
            <w:tcW w:w="120" w:type="dxa"/>
            <w:vAlign w:val="bottom"/>
            <w:tcBorders>
              <w:right w:val="single" w:sz="8" w:color="auto"/>
            </w:tcBorders>
          </w:tcPr>
          <w:p>
            <w:pPr>
              <w:spacing w:after="0"/>
              <w:rPr>
                <w:sz w:val="24"/>
                <w:szCs w:val="24"/>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$8,082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$6,945</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6"/>
        </w:trPr>
        <w:tc>
          <w:tcPr>
            <w:tcW w:w="1100" w:type="dxa"/>
            <w:vAlign w:val="bottom"/>
          </w:tcPr>
          <w:p>
            <w:pPr>
              <w:jc w:val="right"/>
              <w:ind w:right="228"/>
              <w:spacing w:after="0"/>
              <w:rPr>
                <w:sz w:val="20"/>
                <w:szCs w:val="20"/>
                <w:color w:val="auto"/>
              </w:rPr>
            </w:pPr>
            <w:r>
              <w:rPr>
                <w:rFonts w:ascii="Arial" w:cs="Arial" w:eastAsia="Arial" w:hAnsi="Arial"/>
                <w:sz w:val="14"/>
                <w:szCs w:val="14"/>
                <w:i w:val="1"/>
                <w:iCs w:val="1"/>
                <w:color w:val="auto"/>
              </w:rPr>
              <w:t>25.1 %</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34.2 %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i w:val="1"/>
                <w:iCs w:val="1"/>
                <w:color w:val="auto"/>
              </w:rPr>
              <w:t>16.4 %</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24.7 %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444</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460</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3"/>
                <w:szCs w:val="23"/>
                <w:color w:val="auto"/>
              </w:rPr>
            </w:pPr>
          </w:p>
        </w:tc>
        <w:tc>
          <w:tcPr>
            <w:tcW w:w="11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875</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0.21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941</w:t>
            </w:r>
          </w:p>
        </w:tc>
        <w:tc>
          <w:tcPr>
            <w:tcW w:w="560" w:type="dxa"/>
            <w:vAlign w:val="bottom"/>
          </w:tcPr>
          <w:p>
            <w:pPr>
              <w:jc w:val="center"/>
              <w:ind w:left="4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3"/>
        </w:trPr>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31</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591</w:t>
            </w: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Borders>
              <w:right w:val="single" w:sz="8" w:color="auto"/>
            </w:tcBorders>
          </w:tcPr>
          <w:p>
            <w:pPr>
              <w:spacing w:after="0"/>
              <w:rPr>
                <w:sz w:val="17"/>
                <w:szCs w:val="17"/>
                <w:color w:val="auto"/>
              </w:rPr>
            </w:pPr>
          </w:p>
        </w:tc>
        <w:tc>
          <w:tcPr>
            <w:tcW w:w="11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(358)</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(0.09)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460</w:t>
            </w:r>
          </w:p>
        </w:tc>
        <w:tc>
          <w:tcPr>
            <w:tcW w:w="560" w:type="dxa"/>
            <w:vAlign w:val="bottom"/>
          </w:tcPr>
          <w:p>
            <w:pPr>
              <w:jc w:val="center"/>
              <w:ind w:left="4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393"/>
        </w:trPr>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60</w:t>
            </w:r>
          </w:p>
        </w:tc>
        <w:tc>
          <w:tcPr>
            <w:tcW w:w="5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5"/>
        </w:trPr>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$4,723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$4,507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$8,600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$8,406</w:t>
            </w:r>
          </w:p>
        </w:tc>
        <w:tc>
          <w:tcPr>
            <w:tcW w:w="5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2">
            <w:col w:w="4120" w:space="140"/>
            <w:col w:w="6980"/>
          </w:cols>
          <w:pgMar w:left="320" w:top="852" w:right="33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2700" w:type="dxa"/>
            <w:vAlign w:val="bottom"/>
          </w:tcPr>
          <w:p>
            <w:pPr>
              <w:jc w:val="right"/>
              <w:ind w:right="168"/>
              <w:spacing w:after="0"/>
              <w:rPr>
                <w:sz w:val="20"/>
                <w:szCs w:val="20"/>
                <w:color w:val="auto"/>
              </w:rPr>
            </w:pPr>
            <w:r>
              <w:rPr>
                <w:rFonts w:ascii="Arial" w:cs="Arial" w:eastAsia="Arial" w:hAnsi="Arial"/>
                <w:sz w:val="14"/>
                <w:szCs w:val="14"/>
                <w:i w:val="1"/>
                <w:iCs w:val="1"/>
                <w:color w:val="auto"/>
              </w:rPr>
              <w:t>4.8 %</w:t>
            </w:r>
          </w:p>
        </w:tc>
        <w:tc>
          <w:tcPr>
            <w:tcW w:w="1820" w:type="dxa"/>
            <w:vAlign w:val="bottom"/>
          </w:tcPr>
          <w:p>
            <w:pPr>
              <w:jc w:val="right"/>
              <w:ind w:right="1068"/>
              <w:spacing w:after="0"/>
              <w:rPr>
                <w:sz w:val="20"/>
                <w:szCs w:val="20"/>
                <w:color w:val="auto"/>
              </w:rPr>
            </w:pPr>
            <w:r>
              <w:rPr>
                <w:rFonts w:ascii="Arial" w:cs="Arial" w:eastAsia="Arial" w:hAnsi="Arial"/>
                <w:sz w:val="14"/>
                <w:szCs w:val="14"/>
                <w:i w:val="1"/>
                <w:iCs w:val="1"/>
                <w:color w:val="auto"/>
              </w:rPr>
              <w:t>11.9 %</w:t>
            </w:r>
          </w:p>
        </w:tc>
        <w:tc>
          <w:tcPr>
            <w:tcW w:w="1760" w:type="dxa"/>
            <w:vAlign w:val="bottom"/>
          </w:tcPr>
          <w:p>
            <w:pPr>
              <w:jc w:val="right"/>
              <w:ind w:right="168"/>
              <w:spacing w:after="0"/>
              <w:rPr>
                <w:sz w:val="20"/>
                <w:szCs w:val="20"/>
                <w:color w:val="auto"/>
              </w:rPr>
            </w:pPr>
            <w:r>
              <w:rPr>
                <w:rFonts w:ascii="Arial" w:cs="Arial" w:eastAsia="Arial" w:hAnsi="Arial"/>
                <w:sz w:val="14"/>
                <w:szCs w:val="14"/>
                <w:i w:val="1"/>
                <w:iCs w:val="1"/>
                <w:color w:val="auto"/>
              </w:rPr>
              <w:t>2.3 %</w:t>
            </w: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10.2 %</w:t>
            </w:r>
          </w:p>
        </w:tc>
      </w:tr>
    </w:tbl>
    <w:p>
      <w:pPr>
        <w:spacing w:after="0" w:line="291" w:lineRule="exact"/>
        <w:rPr>
          <w:sz w:val="20"/>
          <w:szCs w:val="20"/>
          <w:color w:val="auto"/>
        </w:rPr>
      </w:pPr>
    </w:p>
    <w:p>
      <w:pPr>
        <w:ind w:left="260" w:right="60" w:hanging="252"/>
        <w:spacing w:after="0" w:line="260" w:lineRule="auto"/>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7"/>
              </w:rPr>
              <w:t>Three Months Ended</w:t>
            </w:r>
          </w:p>
        </w:tc>
        <w:tc>
          <w:tcPr>
            <w:tcW w:w="22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c>
          <w:tcPr>
            <w:tcW w:w="0" w:type="dxa"/>
            <w:vAlign w:val="bottom"/>
          </w:tcPr>
          <w:p>
            <w:pPr>
              <w:spacing w:after="0"/>
              <w:rPr>
                <w:sz w:val="1"/>
                <w:szCs w:val="1"/>
                <w:color w:val="auto"/>
              </w:rPr>
            </w:pPr>
          </w:p>
        </w:tc>
      </w:tr>
      <w:tr>
        <w:trPr>
          <w:trHeight w:val="160"/>
        </w:trPr>
        <w:tc>
          <w:tcPr>
            <w:tcW w:w="6700" w:type="dxa"/>
            <w:vAlign w:val="bottom"/>
          </w:tcPr>
          <w:p>
            <w:pPr>
              <w:spacing w:after="0"/>
              <w:rPr>
                <w:sz w:val="13"/>
                <w:szCs w:val="13"/>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left="537"/>
              <w:spacing w:after="0"/>
              <w:rPr>
                <w:sz w:val="20"/>
                <w:szCs w:val="20"/>
                <w:color w:val="auto"/>
              </w:rPr>
            </w:pPr>
            <w:r>
              <w:rPr>
                <w:rFonts w:ascii="Arial" w:cs="Arial" w:eastAsia="Arial" w:hAnsi="Arial"/>
                <w:sz w:val="13"/>
                <w:szCs w:val="13"/>
                <w:color w:val="auto"/>
              </w:rPr>
              <w:t>June 30,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2022</w:t>
            </w:r>
          </w:p>
        </w:tc>
        <w:tc>
          <w:tcPr>
            <w:tcW w:w="1020" w:type="dxa"/>
            <w:vAlign w:val="bottom"/>
            <w:gridSpan w:val="2"/>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17"/>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29"/>
        </w:trPr>
        <w:tc>
          <w:tcPr>
            <w:tcW w:w="6700" w:type="dxa"/>
            <w:vAlign w:val="bottom"/>
            <w:vMerge w:val="restart"/>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20" w:hanging="252"/>
        <w:spacing w:after="0" w:line="255" w:lineRule="auto"/>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7"/>
              </w:rPr>
              <w:t>Three Months Ended</w:t>
            </w:r>
          </w:p>
        </w:tc>
        <w:tc>
          <w:tcPr>
            <w:tcW w:w="220" w:type="dxa"/>
            <w:vAlign w:val="bottom"/>
          </w:tcPr>
          <w:p>
            <w:pPr>
              <w:spacing w:after="0"/>
              <w:rPr>
                <w:sz w:val="12"/>
                <w:szCs w:val="12"/>
                <w:color w:val="auto"/>
              </w:rPr>
            </w:pPr>
          </w:p>
        </w:tc>
        <w:tc>
          <w:tcPr>
            <w:tcW w:w="184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0"/>
        </w:trPr>
        <w:tc>
          <w:tcPr>
            <w:tcW w:w="6700" w:type="dxa"/>
            <w:vAlign w:val="bottom"/>
          </w:tcPr>
          <w:p>
            <w:pPr>
              <w:spacing w:after="0"/>
              <w:rPr>
                <w:sz w:val="13"/>
                <w:szCs w:val="13"/>
                <w:color w:val="auto"/>
              </w:rPr>
            </w:pPr>
          </w:p>
        </w:tc>
        <w:tc>
          <w:tcPr>
            <w:tcW w:w="1220" w:type="dxa"/>
            <w:vAlign w:val="bottom"/>
            <w:gridSpan w:val="3"/>
          </w:tcPr>
          <w:p>
            <w:pPr>
              <w:jc w:val="center"/>
              <w:ind w:left="55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left="557"/>
              <w:spacing w:after="0"/>
              <w:rPr>
                <w:sz w:val="20"/>
                <w:szCs w:val="20"/>
                <w:color w:val="auto"/>
              </w:rPr>
            </w:pPr>
            <w:r>
              <w:rPr>
                <w:rFonts w:ascii="Arial" w:cs="Arial" w:eastAsia="Arial" w:hAnsi="Arial"/>
                <w:sz w:val="13"/>
                <w:szCs w:val="13"/>
                <w:color w:val="auto"/>
                <w:w w:val="96"/>
              </w:rPr>
              <w:t>June 30,</w:t>
            </w:r>
          </w:p>
        </w:tc>
        <w:tc>
          <w:tcPr>
            <w:tcW w:w="620" w:type="dxa"/>
            <w:vAlign w:val="bottom"/>
          </w:tcPr>
          <w:p>
            <w:pPr>
              <w:spacing w:after="0"/>
              <w:rPr>
                <w:sz w:val="13"/>
                <w:szCs w:val="13"/>
                <w:color w:val="auto"/>
              </w:rPr>
            </w:pPr>
          </w:p>
        </w:tc>
      </w:tr>
      <w:tr>
        <w:trPr>
          <w:trHeight w:val="185"/>
        </w:trPr>
        <w:tc>
          <w:tcPr>
            <w:tcW w:w="670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2022</w:t>
            </w:r>
          </w:p>
        </w:tc>
        <w:tc>
          <w:tcPr>
            <w:tcW w:w="1020" w:type="dxa"/>
            <w:vAlign w:val="bottom"/>
            <w:gridSpan w:val="2"/>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217"/>
              <w:spacing w:after="0"/>
              <w:rPr>
                <w:sz w:val="20"/>
                <w:szCs w:val="20"/>
                <w:color w:val="auto"/>
              </w:rPr>
            </w:pPr>
            <w:r>
              <w:rPr>
                <w:rFonts w:ascii="Arial" w:cs="Arial" w:eastAsia="Arial" w:hAnsi="Arial"/>
                <w:sz w:val="13"/>
                <w:szCs w:val="13"/>
                <w:color w:val="auto"/>
              </w:rPr>
              <w:t>2022</w:t>
            </w:r>
          </w:p>
        </w:tc>
      </w:tr>
      <w:tr>
        <w:trPr>
          <w:trHeight w:val="160"/>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$205</w:t>
            </w:r>
          </w:p>
        </w:tc>
      </w:tr>
      <w:tr>
        <w:trPr>
          <w:trHeight w:val="198"/>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406</w:t>
            </w:r>
          </w:p>
        </w:tc>
      </w:tr>
      <w:tr>
        <w:trPr>
          <w:trHeight w:val="160"/>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611</w:t>
            </w:r>
          </w:p>
        </w:tc>
      </w:tr>
      <w:tr>
        <w:trPr>
          <w:trHeight w:val="191"/>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$460</w:t>
            </w:r>
          </w:p>
        </w:tc>
      </w:tr>
      <w:tr>
        <w:trPr>
          <w:trHeight w:val="20"/>
        </w:trPr>
        <w:tc>
          <w:tcPr>
            <w:tcW w:w="6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(3)  2nd quarter and year to date 2022 net income attributable to Comcast Corporation includes a loss of $60 million in other income related to an impairment of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6097905</wp:posOffset>
            </wp:positionH>
            <wp:positionV relativeFrom="page">
              <wp:posOffset>543560</wp:posOffset>
            </wp:positionV>
            <wp:extent cx="1208405" cy="52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6</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26035</wp:posOffset>
            </wp:positionV>
            <wp:extent cx="7098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420" w:type="dxa"/>
            <w:vAlign w:val="bottom"/>
          </w:tcPr>
          <w:p>
            <w:pPr>
              <w:spacing w:after="0"/>
              <w:rPr>
                <w:sz w:val="24"/>
                <w:szCs w:val="24"/>
                <w:color w:val="auto"/>
              </w:rPr>
            </w:pPr>
          </w:p>
        </w:tc>
        <w:tc>
          <w:tcPr>
            <w:tcW w:w="32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ind w:left="79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rPr>
              <w:t>June 30, 2022</w:t>
            </w: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June 30, 2022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Effects of</w:t>
            </w:r>
          </w:p>
        </w:tc>
        <w:tc>
          <w:tcPr>
            <w:tcW w:w="108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Constant</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8"/>
              </w:rPr>
              <w:t>Effects of</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Foreign</w:t>
            </w:r>
          </w:p>
        </w:tc>
        <w:tc>
          <w:tcPr>
            <w:tcW w:w="10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color w:val="auto"/>
              </w:rPr>
              <w:t>(in millions, except per customer data)</w:t>
            </w:r>
          </w:p>
        </w:tc>
        <w:tc>
          <w:tcPr>
            <w:tcW w:w="1020" w:type="dxa"/>
            <w:vAlign w:val="bottom"/>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Currency</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42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$18,131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$18,162</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$36,472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$36,154</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2,203</w:t>
            </w:r>
          </w:p>
        </w:tc>
        <w:tc>
          <w:tcPr>
            <w:tcW w:w="160" w:type="dxa"/>
            <w:vAlign w:val="bottom"/>
            <w:tcBorders>
              <w:right w:val="single" w:sz="8" w:color="auto"/>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4,375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$20,335</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$40,846</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$40,528</w:t>
            </w:r>
          </w:p>
        </w:tc>
        <w:tc>
          <w:tcPr>
            <w:tcW w:w="0" w:type="dxa"/>
            <w:vAlign w:val="bottom"/>
          </w:tcPr>
          <w:p>
            <w:pPr>
              <w:spacing w:after="0"/>
              <w:rPr>
                <w:sz w:val="1"/>
                <w:szCs w:val="1"/>
                <w:color w:val="auto"/>
              </w:rPr>
            </w:pPr>
          </w:p>
        </w:tc>
      </w:tr>
      <w:tr>
        <w:trPr>
          <w:trHeight w:val="357"/>
        </w:trPr>
        <w:tc>
          <w:tcPr>
            <w:tcW w:w="442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$6,733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$6,736</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$13,344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$13,288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1,263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1,262</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$7,995</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$7,998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$15,840</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$15,785</w:t>
            </w:r>
          </w:p>
        </w:tc>
        <w:tc>
          <w:tcPr>
            <w:tcW w:w="0" w:type="dxa"/>
            <w:vAlign w:val="bottom"/>
          </w:tcPr>
          <w:p>
            <w:pPr>
              <w:spacing w:after="0"/>
              <w:rPr>
                <w:sz w:val="1"/>
                <w:szCs w:val="1"/>
                <w:color w:val="auto"/>
              </w:rPr>
            </w:pPr>
          </w:p>
        </w:tc>
      </w:tr>
      <w:tr>
        <w:trPr>
          <w:trHeight w:val="357"/>
        </w:trPr>
        <w:tc>
          <w:tcPr>
            <w:tcW w:w="442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37.1 %</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 bps</w:t>
            </w:r>
          </w:p>
        </w:tc>
        <w:tc>
          <w:tcPr>
            <w:tcW w:w="1080" w:type="dxa"/>
            <w:vAlign w:val="bottom"/>
          </w:tcPr>
          <w:p>
            <w:pPr>
              <w:jc w:val="right"/>
              <w:spacing w:after="0"/>
              <w:rPr>
                <w:sz w:val="20"/>
                <w:szCs w:val="20"/>
                <w:color w:val="auto"/>
              </w:rPr>
            </w:pPr>
            <w:r>
              <w:rPr>
                <w:rFonts w:ascii="Arial" w:cs="Arial" w:eastAsia="Arial" w:hAnsi="Arial"/>
                <w:sz w:val="16"/>
                <w:szCs w:val="16"/>
                <w:color w:val="auto"/>
              </w:rPr>
              <w:t>37.1 %</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36.6 %</w:t>
            </w:r>
          </w:p>
        </w:tc>
        <w:tc>
          <w:tcPr>
            <w:tcW w:w="100" w:type="dxa"/>
            <w:vAlign w:val="bottom"/>
          </w:tcPr>
          <w:p>
            <w:pPr>
              <w:spacing w:after="0"/>
              <w:rPr>
                <w:sz w:val="17"/>
                <w:szCs w:val="17"/>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6"/>
                <w:szCs w:val="16"/>
                <w:color w:val="auto"/>
              </w:rPr>
              <w:t>20 bps</w:t>
            </w:r>
          </w:p>
        </w:tc>
        <w:tc>
          <w:tcPr>
            <w:tcW w:w="900" w:type="dxa"/>
            <w:vAlign w:val="bottom"/>
          </w:tcPr>
          <w:p>
            <w:pPr>
              <w:jc w:val="right"/>
              <w:spacing w:after="0"/>
              <w:rPr>
                <w:sz w:val="20"/>
                <w:szCs w:val="20"/>
                <w:color w:val="auto"/>
              </w:rPr>
            </w:pPr>
            <w:r>
              <w:rPr>
                <w:rFonts w:ascii="Arial" w:cs="Arial" w:eastAsia="Arial" w:hAnsi="Arial"/>
                <w:sz w:val="16"/>
                <w:szCs w:val="16"/>
                <w:color w:val="auto"/>
              </w:rPr>
              <w:t>36.8 %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57.3 %</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 bps</w:t>
            </w:r>
          </w:p>
        </w:tc>
        <w:tc>
          <w:tcPr>
            <w:tcW w:w="1080" w:type="dxa"/>
            <w:vAlign w:val="bottom"/>
          </w:tcPr>
          <w:p>
            <w:pPr>
              <w:jc w:val="right"/>
              <w:spacing w:after="0"/>
              <w:rPr>
                <w:sz w:val="20"/>
                <w:szCs w:val="20"/>
                <w:color w:val="auto"/>
              </w:rPr>
            </w:pPr>
            <w:r>
              <w:rPr>
                <w:rFonts w:ascii="Arial" w:cs="Arial" w:eastAsia="Arial" w:hAnsi="Arial"/>
                <w:sz w:val="16"/>
                <w:szCs w:val="16"/>
                <w:color w:val="auto"/>
              </w:rPr>
              <w:t>57.3 %</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57.1 %</w:t>
            </w:r>
          </w:p>
        </w:tc>
        <w:tc>
          <w:tcPr>
            <w:tcW w:w="10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6"/>
                <w:szCs w:val="16"/>
                <w:color w:val="auto"/>
              </w:rPr>
              <w:t>- bps</w:t>
            </w:r>
          </w:p>
        </w:tc>
        <w:tc>
          <w:tcPr>
            <w:tcW w:w="900" w:type="dxa"/>
            <w:vAlign w:val="bottom"/>
          </w:tcPr>
          <w:p>
            <w:pPr>
              <w:jc w:val="right"/>
              <w:spacing w:after="0"/>
              <w:rPr>
                <w:sz w:val="20"/>
                <w:szCs w:val="20"/>
                <w:color w:val="auto"/>
              </w:rPr>
            </w:pPr>
            <w:r>
              <w:rPr>
                <w:rFonts w:ascii="Arial" w:cs="Arial" w:eastAsia="Arial" w:hAnsi="Arial"/>
                <w:sz w:val="16"/>
                <w:szCs w:val="16"/>
                <w:color w:val="auto"/>
              </w:rPr>
              <w:t>57.1 %</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39.3 %</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bps</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38.8 %</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38.9 %</w:t>
            </w:r>
          </w:p>
        </w:tc>
        <w:tc>
          <w:tcPr>
            <w:tcW w:w="0" w:type="dxa"/>
            <w:vAlign w:val="bottom"/>
          </w:tcPr>
          <w:p>
            <w:pPr>
              <w:spacing w:after="0"/>
              <w:rPr>
                <w:sz w:val="1"/>
                <w:szCs w:val="1"/>
                <w:color w:val="auto"/>
              </w:rPr>
            </w:pPr>
          </w:p>
        </w:tc>
      </w:tr>
      <w:tr>
        <w:trPr>
          <w:trHeight w:val="421"/>
        </w:trPr>
        <w:tc>
          <w:tcPr>
            <w:tcW w:w="4420" w:type="dxa"/>
            <w:vAlign w:val="bottom"/>
          </w:tcPr>
          <w:p>
            <w:pPr>
              <w:spacing w:after="0"/>
              <w:rPr>
                <w:sz w:val="24"/>
                <w:szCs w:val="24"/>
                <w:color w:val="auto"/>
              </w:rPr>
            </w:pPr>
          </w:p>
        </w:tc>
        <w:tc>
          <w:tcPr>
            <w:tcW w:w="32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ind w:left="79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rPr>
              <w:t>June 30, 2022</w:t>
            </w: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June 30, 2022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Effects of</w:t>
            </w:r>
          </w:p>
        </w:tc>
        <w:tc>
          <w:tcPr>
            <w:tcW w:w="108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Constant</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8"/>
              </w:rPr>
              <w:t>Effects of</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420" w:type="dxa"/>
            <w:vAlign w:val="bottom"/>
            <w:vMerge w:val="restart"/>
          </w:tcPr>
          <w:p>
            <w:pPr>
              <w:spacing w:after="0"/>
              <w:rPr>
                <w:sz w:val="20"/>
                <w:szCs w:val="20"/>
                <w:color w:val="auto"/>
              </w:rPr>
            </w:pPr>
            <w:r>
              <w:rPr>
                <w:rFonts w:ascii="Arial" w:cs="Arial" w:eastAsia="Arial" w:hAnsi="Arial"/>
                <w:sz w:val="16"/>
                <w:szCs w:val="16"/>
                <w:color w:val="auto"/>
              </w:rPr>
              <w:t>(in millions, except per customer data)</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Foreign</w:t>
            </w:r>
          </w:p>
        </w:tc>
        <w:tc>
          <w:tcPr>
            <w:tcW w:w="10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4"/>
                <w:szCs w:val="14"/>
                <w:color w:val="auto"/>
              </w:rPr>
            </w:pPr>
          </w:p>
        </w:tc>
        <w:tc>
          <w:tcPr>
            <w:tcW w:w="120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w w:val="99"/>
              </w:rPr>
              <w:t>Foreign</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07"/>
        </w:trPr>
        <w:tc>
          <w:tcPr>
            <w:tcW w:w="44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Currency</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6"/>
                <w:szCs w:val="16"/>
                <w:color w:val="auto"/>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6"/>
                <w:szCs w:val="16"/>
                <w:b w:val="1"/>
                <w:bCs w:val="1"/>
                <w:color w:val="auto"/>
              </w:rPr>
              <w:t>Constant 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4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ind w:left="320"/>
              <w:spacing w:after="0"/>
              <w:rPr>
                <w:sz w:val="20"/>
                <w:szCs w:val="20"/>
                <w:color w:val="auto"/>
              </w:rPr>
            </w:pPr>
            <w:r>
              <w:rPr>
                <w:rFonts w:ascii="Arial" w:cs="Arial" w:eastAsia="Arial" w:hAnsi="Arial"/>
                <w:sz w:val="16"/>
                <w:szCs w:val="16"/>
                <w:color w:val="auto"/>
              </w:rPr>
              <w:t>Domestic broadband</w:t>
            </w:r>
          </w:p>
        </w:tc>
        <w:tc>
          <w:tcPr>
            <w:tcW w:w="1020" w:type="dxa"/>
            <w:vAlign w:val="bottom"/>
          </w:tcPr>
          <w:p>
            <w:pPr>
              <w:jc w:val="right"/>
              <w:spacing w:after="0"/>
              <w:rPr>
                <w:sz w:val="20"/>
                <w:szCs w:val="20"/>
                <w:color w:val="auto"/>
              </w:rPr>
            </w:pPr>
            <w:r>
              <w:rPr>
                <w:rFonts w:ascii="Arial" w:cs="Arial" w:eastAsia="Arial" w:hAnsi="Arial"/>
                <w:sz w:val="16"/>
                <w:szCs w:val="16"/>
                <w:color w:val="auto"/>
              </w:rPr>
              <w:t>$6,107</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$6,107</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Pr>
          <w:p>
            <w:pPr>
              <w:spacing w:after="0"/>
              <w:rPr>
                <w:sz w:val="17"/>
                <w:szCs w:val="17"/>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$12,158</w:t>
            </w:r>
          </w:p>
        </w:tc>
        <w:tc>
          <w:tcPr>
            <w:tcW w:w="0" w:type="dxa"/>
            <w:vAlign w:val="bottom"/>
          </w:tcPr>
          <w:p>
            <w:pPr>
              <w:spacing w:after="0"/>
              <w:rPr>
                <w:sz w:val="1"/>
                <w:szCs w:val="1"/>
                <w:color w:val="auto"/>
              </w:rPr>
            </w:pPr>
          </w:p>
        </w:tc>
      </w:tr>
      <w:tr>
        <w:trPr>
          <w:trHeight w:val="216"/>
        </w:trPr>
        <w:tc>
          <w:tcPr>
            <w:tcW w:w="4420" w:type="dxa"/>
            <w:vAlign w:val="bottom"/>
          </w:tcPr>
          <w:p>
            <w:pPr>
              <w:ind w:left="320"/>
              <w:spacing w:after="0"/>
              <w:rPr>
                <w:sz w:val="20"/>
                <w:szCs w:val="20"/>
                <w:color w:val="auto"/>
              </w:rPr>
            </w:pPr>
            <w:r>
              <w:rPr>
                <w:rFonts w:ascii="Arial" w:cs="Arial" w:eastAsia="Arial" w:hAnsi="Arial"/>
                <w:sz w:val="16"/>
                <w:szCs w:val="16"/>
                <w:color w:val="auto"/>
              </w:rPr>
              <w:t>Domestic wireless</w:t>
            </w:r>
          </w:p>
        </w:tc>
        <w:tc>
          <w:tcPr>
            <w:tcW w:w="102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722</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16"/>
        </w:trPr>
        <w:tc>
          <w:tcPr>
            <w:tcW w:w="4420" w:type="dxa"/>
            <w:vAlign w:val="bottom"/>
          </w:tcPr>
          <w:p>
            <w:pPr>
              <w:ind w:left="320"/>
              <w:spacing w:after="0"/>
              <w:rPr>
                <w:sz w:val="20"/>
                <w:szCs w:val="20"/>
                <w:color w:val="auto"/>
              </w:rPr>
            </w:pPr>
            <w:r>
              <w:rPr>
                <w:rFonts w:ascii="Arial" w:cs="Arial" w:eastAsia="Arial" w:hAnsi="Arial"/>
                <w:sz w:val="16"/>
                <w:szCs w:val="16"/>
                <w:color w:val="auto"/>
              </w:rPr>
              <w:t>International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791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19"/>
        </w:trPr>
        <w:tc>
          <w:tcPr>
            <w:tcW w:w="442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$7,620</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7,625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$15,187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15,114</w:t>
            </w:r>
          </w:p>
        </w:tc>
        <w:tc>
          <w:tcPr>
            <w:tcW w:w="0" w:type="dxa"/>
            <w:vAlign w:val="bottom"/>
          </w:tcPr>
          <w:p>
            <w:pPr>
              <w:spacing w:after="0"/>
              <w:rPr>
                <w:sz w:val="1"/>
                <w:szCs w:val="1"/>
                <w:color w:val="auto"/>
              </w:rPr>
            </w:pPr>
          </w:p>
        </w:tc>
      </w:tr>
      <w:tr>
        <w:trPr>
          <w:trHeight w:val="207"/>
        </w:trPr>
        <w:tc>
          <w:tcPr>
            <w:tcW w:w="4420" w:type="dxa"/>
            <w:vAlign w:val="bottom"/>
          </w:tcPr>
          <w:p>
            <w:pPr>
              <w:ind w:left="220"/>
              <w:spacing w:after="0"/>
              <w:rPr>
                <w:sz w:val="20"/>
                <w:szCs w:val="20"/>
                <w:color w:val="auto"/>
              </w:rPr>
            </w:pPr>
            <w:r>
              <w:rPr>
                <w:rFonts w:ascii="Arial" w:cs="Arial" w:eastAsia="Arial" w:hAnsi="Arial"/>
                <w:sz w:val="16"/>
                <w:szCs w:val="16"/>
                <w:color w:val="auto"/>
              </w:rPr>
              <w:t>Video</w:t>
            </w:r>
          </w:p>
        </w:tc>
        <w:tc>
          <w:tcPr>
            <w:tcW w:w="1020" w:type="dxa"/>
            <w:vAlign w:val="bottom"/>
          </w:tcPr>
          <w:p>
            <w:pPr>
              <w:jc w:val="right"/>
              <w:spacing w:after="0"/>
              <w:rPr>
                <w:sz w:val="20"/>
                <w:szCs w:val="20"/>
                <w:color w:val="auto"/>
              </w:rPr>
            </w:pPr>
            <w:r>
              <w:rPr>
                <w:rFonts w:ascii="Arial" w:cs="Arial" w:eastAsia="Arial" w:hAnsi="Arial"/>
                <w:sz w:val="16"/>
                <w:szCs w:val="16"/>
                <w:color w:val="auto"/>
              </w:rPr>
              <w:t>7,793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7,812</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15,795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15,623</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20" w:type="dxa"/>
            <w:vAlign w:val="bottom"/>
          </w:tcPr>
          <w:p>
            <w:pPr>
              <w:jc w:val="right"/>
              <w:spacing w:after="0"/>
              <w:rPr>
                <w:sz w:val="20"/>
                <w:szCs w:val="20"/>
                <w:color w:val="auto"/>
              </w:rPr>
            </w:pPr>
            <w:r>
              <w:rPr>
                <w:rFonts w:ascii="Arial" w:cs="Arial" w:eastAsia="Arial" w:hAnsi="Arial"/>
                <w:sz w:val="16"/>
                <w:szCs w:val="16"/>
                <w:color w:val="auto"/>
              </w:rPr>
              <w:t>1,112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1,115</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2,185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jc w:val="right"/>
              <w:spacing w:after="0"/>
              <w:rPr>
                <w:sz w:val="20"/>
                <w:szCs w:val="20"/>
                <w:color w:val="auto"/>
              </w:rPr>
            </w:pPr>
            <w:r>
              <w:rPr>
                <w:rFonts w:ascii="Arial" w:cs="Arial" w:eastAsia="Arial" w:hAnsi="Arial"/>
                <w:sz w:val="16"/>
                <w:szCs w:val="16"/>
                <w:color w:val="auto"/>
              </w:rPr>
              <w:t>1,607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60" w:type="dxa"/>
            <w:vAlign w:val="bottom"/>
            <w:tcBorders>
              <w:right w:val="single" w:sz="8" w:color="auto"/>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$18,131</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18,162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$36,472</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36,154</w:t>
            </w:r>
          </w:p>
        </w:tc>
        <w:tc>
          <w:tcPr>
            <w:tcW w:w="0" w:type="dxa"/>
            <w:vAlign w:val="bottom"/>
          </w:tcPr>
          <w:p>
            <w:pPr>
              <w:spacing w:after="0"/>
              <w:rPr>
                <w:sz w:val="1"/>
                <w:szCs w:val="1"/>
                <w:color w:val="auto"/>
              </w:rPr>
            </w:pPr>
          </w:p>
        </w:tc>
      </w:tr>
      <w:tr>
        <w:trPr>
          <w:trHeight w:val="344"/>
        </w:trPr>
        <w:tc>
          <w:tcPr>
            <w:tcW w:w="44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2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$4,679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$4,690</w:t>
            </w:r>
          </w:p>
        </w:tc>
        <w:tc>
          <w:tcPr>
            <w:tcW w:w="160" w:type="dxa"/>
            <w:vAlign w:val="bottom"/>
            <w:tcBorders>
              <w:right w:val="single" w:sz="8" w:color="auto"/>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$9,563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$9,471</w:t>
            </w:r>
          </w:p>
        </w:tc>
        <w:tc>
          <w:tcPr>
            <w:tcW w:w="0" w:type="dxa"/>
            <w:vAlign w:val="bottom"/>
          </w:tcPr>
          <w:p>
            <w:pPr>
              <w:spacing w:after="0"/>
              <w:rPr>
                <w:sz w:val="1"/>
                <w:szCs w:val="1"/>
                <w:color w:val="auto"/>
              </w:rPr>
            </w:pPr>
          </w:p>
        </w:tc>
      </w:tr>
      <w:tr>
        <w:trPr>
          <w:trHeight w:val="222"/>
        </w:trPr>
        <w:tc>
          <w:tcPr>
            <w:tcW w:w="4420" w:type="dxa"/>
            <w:vAlign w:val="bottom"/>
          </w:tcPr>
          <w:p>
            <w:pPr>
              <w:ind w:left="120"/>
              <w:spacing w:after="0"/>
              <w:rPr>
                <w:sz w:val="20"/>
                <w:szCs w:val="20"/>
                <w:color w:val="auto"/>
              </w:rPr>
            </w:pPr>
            <w:r>
              <w:rPr>
                <w:rFonts w:ascii="Arial" w:cs="Arial" w:eastAsia="Arial" w:hAnsi="Arial"/>
                <w:sz w:val="16"/>
                <w:szCs w:val="16"/>
                <w:color w:val="auto"/>
              </w:rPr>
              <w:t>Non-Programming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6,720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$6,736</w:t>
            </w:r>
          </w:p>
        </w:tc>
        <w:tc>
          <w:tcPr>
            <w:tcW w:w="160" w:type="dxa"/>
            <w:vAlign w:val="bottom"/>
            <w:tcBorders>
              <w:right w:val="single" w:sz="8" w:color="auto"/>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13,565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$13,395</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$11,399</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$11,426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$23,128</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$22,866</w:t>
            </w:r>
          </w:p>
        </w:tc>
        <w:tc>
          <w:tcPr>
            <w:tcW w:w="0" w:type="dxa"/>
            <w:vAlign w:val="bottom"/>
          </w:tcPr>
          <w:p>
            <w:pPr>
              <w:spacing w:after="0"/>
              <w:rPr>
                <w:sz w:val="1"/>
                <w:szCs w:val="1"/>
                <w:color w:val="auto"/>
              </w:rPr>
            </w:pPr>
          </w:p>
        </w:tc>
      </w:tr>
      <w:tr>
        <w:trPr>
          <w:trHeight w:val="349"/>
        </w:trPr>
        <w:tc>
          <w:tcPr>
            <w:tcW w:w="44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$6,733</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$6,736</w:t>
            </w:r>
          </w:p>
        </w:tc>
        <w:tc>
          <w:tcPr>
            <w:tcW w:w="160" w:type="dxa"/>
            <w:vAlign w:val="bottom"/>
            <w:tcBorders>
              <w:right w:val="single" w:sz="8" w:color="auto"/>
            </w:tcBorders>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$13,344</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$13,288</w:t>
            </w:r>
          </w:p>
        </w:tc>
        <w:tc>
          <w:tcPr>
            <w:tcW w:w="0" w:type="dxa"/>
            <w:vAlign w:val="bottom"/>
          </w:tcPr>
          <w:p>
            <w:pPr>
              <w:spacing w:after="0"/>
              <w:rPr>
                <w:sz w:val="1"/>
                <w:szCs w:val="1"/>
                <w:color w:val="auto"/>
              </w:rPr>
            </w:pPr>
          </w:p>
        </w:tc>
      </w:tr>
      <w:tr>
        <w:trPr>
          <w:trHeight w:val="221"/>
        </w:trPr>
        <w:tc>
          <w:tcPr>
            <w:tcW w:w="442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37.1 %</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 bps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37.1 %</w:t>
            </w:r>
          </w:p>
        </w:tc>
        <w:tc>
          <w:tcPr>
            <w:tcW w:w="160" w:type="dxa"/>
            <w:vAlign w:val="bottom"/>
            <w:tcBorders>
              <w:right w:val="single" w:sz="8" w:color="auto"/>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36.6 %</w:t>
            </w:r>
          </w:p>
        </w:tc>
        <w:tc>
          <w:tcPr>
            <w:tcW w:w="10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20 bps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36.8 %</w:t>
            </w:r>
          </w:p>
        </w:tc>
        <w:tc>
          <w:tcPr>
            <w:tcW w:w="0" w:type="dxa"/>
            <w:vAlign w:val="bottom"/>
          </w:tcPr>
          <w:p>
            <w:pPr>
              <w:spacing w:after="0"/>
              <w:rPr>
                <w:sz w:val="1"/>
                <w:szCs w:val="1"/>
                <w:color w:val="auto"/>
              </w:rPr>
            </w:pPr>
          </w:p>
        </w:tc>
      </w:tr>
      <w:tr>
        <w:trPr>
          <w:trHeight w:val="906"/>
        </w:trPr>
        <w:tc>
          <w:tcPr>
            <w:tcW w:w="4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gridSpan w:val="2"/>
          </w:tcPr>
          <w:p>
            <w:pPr>
              <w:jc w:val="right"/>
              <w:ind w:right="73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000" w:right="37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11"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pacing w:after="0" w:line="21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40"/>
        <w:spacing w:after="0" w:line="261"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2023-07-27T06:11:29Z</dcterms:created>
  <dcterms:modified xsi:type="dcterms:W3CDTF">2023-07-27T06:11:29Z</dcterms:modified>
</cp:coreProperties>
</file>