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NONE Beneficial ownership disclaimed pursuant to Rule 13d-4 (Please see Item 4)</w:t>
      </w:r>
    </w:p>
    <w:p>
      <w:pPr>
        <w:spacing w:after="0" w:line="208"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200300101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3039" w:hanging="535"/>
        <w:spacing w:after="0" w:line="235" w:lineRule="auto"/>
        <w:tabs>
          <w:tab w:leader="none" w:pos="13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Please note that this filing is not meant to reflect any change in the beneficial ownership of the securities being reported herein by the investment management affiliates of The Capital Group Companies, Inc. ("CGC").</w:t>
      </w:r>
    </w:p>
    <w:p>
      <w:pPr>
        <w:spacing w:after="0" w:line="207" w:lineRule="exact"/>
        <w:rPr>
          <w:sz w:val="20"/>
          <w:szCs w:val="20"/>
          <w:color w:val="auto"/>
        </w:rPr>
      </w:pPr>
    </w:p>
    <w:p>
      <w:pPr>
        <w:ind w:left="740" w:right="2619"/>
        <w:spacing w:after="0" w:line="270" w:lineRule="auto"/>
        <w:rPr>
          <w:sz w:val="20"/>
          <w:szCs w:val="20"/>
          <w:color w:val="auto"/>
        </w:rPr>
      </w:pPr>
      <w:r>
        <w:rPr>
          <w:rFonts w:ascii="Courier New" w:cs="Courier New" w:eastAsia="Courier New" w:hAnsi="Courier New"/>
          <w:sz w:val="16"/>
          <w:szCs w:val="16"/>
          <w:color w:val="auto"/>
        </w:rPr>
        <w:t>This filing reflects the fact that CGC will no longer report the beneficial ownership of securities held in accounts which are under the discretionary investment management of its investment management affiliates. The Securities and Exchange Commission ("SEC") recently provided guidance on when beneficial ownership under Rule 13d-1 should be attributed among entities under common control. (See SEC Release 34-39538.) The guidance clarifies that in circumstances where the organizational structure of a parent company and related entities is such that they exercise investment and voting powers independently, attribution among entities will not be required. Since CGC is a holding company and is not involved in investment and voting decisions, securities beneficially owned by clients of its affiliates will no longer be attributed to CGC.</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520"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2019-12-12T23:01:22Z</dcterms:created>
  <dcterms:modified xsi:type="dcterms:W3CDTF">2019-12-12T23:01:22Z</dcterms:modified>
</cp:coreProperties>
</file>