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5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5" w:lineRule="exact"/>
        <w:rPr>
          <w:sz w:val="24"/>
          <w:szCs w:val="24"/>
          <w:color w:val="auto"/>
        </w:rPr>
      </w:pPr>
    </w:p>
    <w:p>
      <w:pPr>
        <w:ind w:left="463" w:right="2659" w:hanging="463"/>
        <w:spacing w:after="0" w:line="237"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370" w:lineRule="exact"/>
        <w:rPr>
          <w:sz w:val="24"/>
          <w:szCs w:val="24"/>
          <w:color w:val="auto"/>
        </w:rPr>
      </w:pPr>
    </w:p>
    <w:p>
      <w:pPr>
        <w:ind w:left="463" w:right="2659" w:hanging="463"/>
        <w:spacing w:after="0" w:line="237" w:lineRule="auto"/>
        <w:tabs>
          <w:tab w:leader="none" w:pos="17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 ________ to ________.</w:t>
      </w:r>
    </w:p>
    <w:p>
      <w:pPr>
        <w:spacing w:after="0" w:line="184"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Commission File Number 0-6983</w:t>
      </w:r>
    </w:p>
    <w:p>
      <w:pPr>
        <w:spacing w:after="0" w:line="183"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[GRAPHIC OMITTED - LOGO]</w:t>
      </w:r>
    </w:p>
    <w:p>
      <w:pPr>
        <w:spacing w:after="0" w:line="183"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3" w:lineRule="exact"/>
        <w:rPr>
          <w:sz w:val="24"/>
          <w:szCs w:val="24"/>
          <w:color w:val="auto"/>
        </w:rPr>
      </w:pPr>
    </w:p>
    <w:tbl>
      <w:tblPr>
        <w:tblLayout w:type="fixed"/>
        <w:tblInd w:w="763" w:type="dxa"/>
        <w:tblCellMar>
          <w:top w:w="0" w:type="dxa"/>
          <w:left w:w="0" w:type="dxa"/>
          <w:bottom w:w="0" w:type="dxa"/>
          <w:right w:w="0" w:type="dxa"/>
        </w:tblCellMar>
      </w:tblPr>
      <w:tr>
        <w:trPr>
          <w:trHeight w:val="181"/>
        </w:trPr>
        <w:tc>
          <w:tcPr>
            <w:tcW w:w="326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308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352" w:lineRule="exact"/>
        <w:rPr>
          <w:sz w:val="24"/>
          <w:szCs w:val="24"/>
          <w:color w:val="auto"/>
        </w:rPr>
      </w:pPr>
    </w:p>
    <w:p>
      <w:pPr>
        <w:ind w:left="103" w:right="2659"/>
        <w:spacing w:after="0" w:line="237"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4"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(Zip Code)</w:t>
      </w:r>
    </w:p>
    <w:p>
      <w:pPr>
        <w:spacing w:after="0" w:line="183" w:lineRule="exact"/>
        <w:rPr>
          <w:sz w:val="24"/>
          <w:szCs w:val="24"/>
          <w:color w:val="auto"/>
        </w:rPr>
      </w:pPr>
    </w:p>
    <w:p>
      <w:pPr>
        <w:ind w:left="3"/>
        <w:spacing w:after="0"/>
        <w:tabs>
          <w:tab w:leader="none" w:pos="4983"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183" w:lineRule="exact"/>
        <w:rPr>
          <w:sz w:val="24"/>
          <w:szCs w:val="24"/>
          <w:color w:val="auto"/>
        </w:rPr>
      </w:pPr>
    </w:p>
    <w:p>
      <w:pPr>
        <w:ind w:left="256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both"/>
        <w:ind w:left="3" w:right="2659"/>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2"/>
          </w:cols>
          <w:pgMar w:left="237" w:top="235" w:right="1440" w:bottom="0" w:gutter="0" w:footer="0" w:header="0"/>
        </w:sectPr>
      </w:pPr>
    </w:p>
    <w:p>
      <w:pPr>
        <w:spacing w:after="0" w:line="185"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780"/>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ind w:right="27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sectPr>
          <w:pgSz w:w="11900" w:h="16838" w:orient="portrait"/>
          <w:cols w:equalWidth="0" w:num="4">
            <w:col w:w="1143" w:space="0"/>
            <w:col w:w="3240" w:space="720"/>
            <w:col w:w="200" w:space="80"/>
            <w:col w:w="4839"/>
          </w:cols>
          <w:pgMar w:left="237" w:top="235" w:right="1440" w:bottom="0" w:gutter="0" w:footer="0" w:header="0"/>
          <w:type w:val="continuous"/>
        </w:sectPr>
      </w:pPr>
    </w:p>
    <w:p>
      <w:pPr>
        <w:ind w:left="2563"/>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235" w:right="1440" w:bottom="0" w:gutter="0" w:footer="0" w:header="0"/>
          <w:type w:val="continuous"/>
        </w:sectPr>
      </w:pPr>
    </w:p>
    <w:p>
      <w:pPr>
        <w:spacing w:after="0" w:line="194" w:lineRule="exact"/>
        <w:rPr>
          <w:sz w:val="24"/>
          <w:szCs w:val="24"/>
          <w:color w:val="auto"/>
        </w:rPr>
      </w:pPr>
    </w:p>
    <w:p>
      <w:pPr>
        <w:jc w:val="both"/>
        <w:ind w:left="3" w:right="2659"/>
        <w:spacing w:after="0" w:line="238" w:lineRule="auto"/>
        <w:rPr>
          <w:sz w:val="20"/>
          <w:szCs w:val="20"/>
          <w:color w:val="auto"/>
        </w:rPr>
      </w:pPr>
      <w:r>
        <w:rPr>
          <w:rFonts w:ascii="Courier New" w:cs="Courier New" w:eastAsia="Courier New" w:hAnsi="Courier New"/>
          <w:sz w:val="16"/>
          <w:szCs w:val="16"/>
          <w:color w:val="auto"/>
        </w:rPr>
        <w:t>As of June 30, 2000, there were 872,670,649 shares of Class A Special Common Stock, 22,624,080 shares of Class A Common Stock and 9,444,375 shares of Class B Common Stock outstanding.</w:t>
      </w:r>
    </w:p>
    <w:p>
      <w:pPr>
        <w:spacing w:after="0" w:line="342"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4"/>
          <w:szCs w:val="24"/>
          <w:color w:val="auto"/>
        </w:rPr>
      </w:pPr>
    </w:p>
    <w:tbl>
      <w:tblPr>
        <w:tblLayout w:type="fixed"/>
        <w:tblInd w:w="2563" w:type="dxa"/>
        <w:tblCellMar>
          <w:top w:w="0" w:type="dxa"/>
          <w:left w:w="0" w:type="dxa"/>
          <w:bottom w:w="0" w:type="dxa"/>
          <w:right w:w="0" w:type="dxa"/>
        </w:tblCellMar>
      </w:tblPr>
      <w:tr>
        <w:trPr>
          <w:trHeight w:val="181"/>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FORM</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10-Q</w:t>
            </w:r>
          </w:p>
        </w:tc>
      </w:tr>
      <w:tr>
        <w:trPr>
          <w:trHeight w:val="182"/>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6"/>
              </w:rPr>
              <w:t>QUARTER ENDED</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w w:val="96"/>
              </w:rPr>
              <w:t>JUNE 30, 2000</w:t>
            </w:r>
          </w:p>
        </w:tc>
      </w:tr>
      <w:tr>
        <w:trPr>
          <w:trHeight w:val="364"/>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TABLE OF</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CONTENTS</w:t>
            </w:r>
          </w:p>
        </w:tc>
      </w:tr>
    </w:tbl>
    <w:p>
      <w:pPr>
        <w:spacing w:after="0" w:line="1"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69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69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r>
      <w:tr>
        <w:trPr>
          <w:trHeight w:val="182"/>
        </w:trPr>
        <w:tc>
          <w:tcPr>
            <w:tcW w:w="69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660" w:type="dxa"/>
            <w:vAlign w:val="bottom"/>
          </w:tcPr>
          <w:p>
            <w:pPr>
              <w:spacing w:after="0"/>
              <w:rPr>
                <w:sz w:val="15"/>
                <w:szCs w:val="15"/>
                <w:color w:val="auto"/>
              </w:rPr>
            </w:pPr>
          </w:p>
        </w:tc>
      </w:tr>
      <w:tr>
        <w:trPr>
          <w:trHeight w:val="182"/>
        </w:trPr>
        <w:tc>
          <w:tcPr>
            <w:tcW w:w="6900" w:type="dxa"/>
            <w:vAlign w:val="bottom"/>
          </w:tcPr>
          <w:p>
            <w:pPr>
              <w:spacing w:after="0"/>
              <w:rPr>
                <w:sz w:val="20"/>
                <w:szCs w:val="20"/>
                <w:color w:val="auto"/>
              </w:rPr>
            </w:pPr>
            <w:r>
              <w:rPr>
                <w:rFonts w:ascii="Courier New" w:cs="Courier New" w:eastAsia="Courier New" w:hAnsi="Courier New"/>
                <w:sz w:val="16"/>
                <w:szCs w:val="16"/>
                <w:color w:val="auto"/>
              </w:rPr>
              <w:t>- ------- ---------------------</w:t>
            </w:r>
          </w:p>
        </w:tc>
        <w:tc>
          <w:tcPr>
            <w:tcW w:w="660" w:type="dxa"/>
            <w:vAlign w:val="bottom"/>
          </w:tcPr>
          <w:p>
            <w:pPr>
              <w:spacing w:after="0"/>
              <w:rPr>
                <w:sz w:val="15"/>
                <w:szCs w:val="15"/>
                <w:color w:val="auto"/>
              </w:rPr>
            </w:pPr>
          </w:p>
        </w:tc>
      </w:tr>
      <w:tr>
        <w:trPr>
          <w:trHeight w:val="364"/>
        </w:trPr>
        <w:tc>
          <w:tcPr>
            <w:tcW w:w="6900" w:type="dxa"/>
            <w:vAlign w:val="bottom"/>
          </w:tcPr>
          <w:p>
            <w:pPr>
              <w:ind w:left="760"/>
              <w:spacing w:after="0"/>
              <w:rPr>
                <w:sz w:val="20"/>
                <w:szCs w:val="20"/>
                <w:color w:val="auto"/>
              </w:rPr>
            </w:pPr>
            <w:r>
              <w:rPr>
                <w:rFonts w:ascii="Courier New" w:cs="Courier New" w:eastAsia="Courier New" w:hAnsi="Courier New"/>
                <w:sz w:val="16"/>
                <w:szCs w:val="16"/>
                <w:color w:val="auto"/>
              </w:rPr>
              <w:t>ITEM 1. Financial Statements</w:t>
            </w:r>
          </w:p>
        </w:tc>
        <w:tc>
          <w:tcPr>
            <w:tcW w:w="660" w:type="dxa"/>
            <w:vAlign w:val="bottom"/>
          </w:tcPr>
          <w:p>
            <w:pPr>
              <w:spacing w:after="0"/>
              <w:rPr>
                <w:sz w:val="24"/>
                <w:szCs w:val="24"/>
                <w:color w:val="auto"/>
              </w:rPr>
            </w:pPr>
          </w:p>
        </w:tc>
      </w:tr>
      <w:tr>
        <w:trPr>
          <w:trHeight w:val="364"/>
        </w:trPr>
        <w:tc>
          <w:tcPr>
            <w:tcW w:w="6900" w:type="dxa"/>
            <w:vAlign w:val="bottom"/>
          </w:tcPr>
          <w:p>
            <w:pPr>
              <w:ind w:left="1520"/>
              <w:spacing w:after="0"/>
              <w:rPr>
                <w:sz w:val="20"/>
                <w:szCs w:val="20"/>
                <w:color w:val="auto"/>
              </w:rPr>
            </w:pPr>
            <w:r>
              <w:rPr>
                <w:rFonts w:ascii="Courier New" w:cs="Courier New" w:eastAsia="Courier New" w:hAnsi="Courier New"/>
                <w:sz w:val="16"/>
                <w:szCs w:val="16"/>
                <w:color w:val="auto"/>
              </w:rPr>
              <w:t>Condensed Consolidated Balance Sheet as of</w:t>
            </w:r>
          </w:p>
        </w:tc>
        <w:tc>
          <w:tcPr>
            <w:tcW w:w="660" w:type="dxa"/>
            <w:vAlign w:val="bottom"/>
          </w:tcPr>
          <w:p>
            <w:pPr>
              <w:spacing w:after="0"/>
              <w:rPr>
                <w:sz w:val="24"/>
                <w:szCs w:val="24"/>
                <w:color w:val="auto"/>
              </w:rPr>
            </w:pPr>
          </w:p>
        </w:tc>
      </w:tr>
      <w:tr>
        <w:trPr>
          <w:trHeight w:val="182"/>
        </w:trPr>
        <w:tc>
          <w:tcPr>
            <w:tcW w:w="6900" w:type="dxa"/>
            <w:vAlign w:val="bottom"/>
          </w:tcPr>
          <w:p>
            <w:pPr>
              <w:ind w:left="1520"/>
              <w:spacing w:after="0"/>
              <w:rPr>
                <w:sz w:val="20"/>
                <w:szCs w:val="20"/>
                <w:color w:val="auto"/>
              </w:rPr>
            </w:pPr>
            <w:r>
              <w:rPr>
                <w:rFonts w:ascii="Courier New" w:cs="Courier New" w:eastAsia="Courier New" w:hAnsi="Courier New"/>
                <w:sz w:val="16"/>
                <w:szCs w:val="16"/>
                <w:color w:val="auto"/>
                <w:w w:val="88"/>
              </w:rPr>
              <w:t>June 30, 2000 and December 31, 1999 (Unaudited)................</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364"/>
        </w:trPr>
        <w:tc>
          <w:tcPr>
            <w:tcW w:w="6900" w:type="dxa"/>
            <w:vAlign w:val="bottom"/>
          </w:tcPr>
          <w:p>
            <w:pPr>
              <w:ind w:left="1520"/>
              <w:spacing w:after="0"/>
              <w:rPr>
                <w:sz w:val="20"/>
                <w:szCs w:val="20"/>
                <w:color w:val="auto"/>
              </w:rPr>
            </w:pPr>
            <w:r>
              <w:rPr>
                <w:rFonts w:ascii="Courier New" w:cs="Courier New" w:eastAsia="Courier New" w:hAnsi="Courier New"/>
                <w:sz w:val="16"/>
                <w:szCs w:val="16"/>
                <w:color w:val="auto"/>
              </w:rPr>
              <w:t>Condensed Consolidated Statement of Operations and</w:t>
            </w:r>
          </w:p>
        </w:tc>
        <w:tc>
          <w:tcPr>
            <w:tcW w:w="660" w:type="dxa"/>
            <w:vAlign w:val="bottom"/>
          </w:tcPr>
          <w:p>
            <w:pPr>
              <w:spacing w:after="0"/>
              <w:rPr>
                <w:sz w:val="24"/>
                <w:szCs w:val="24"/>
                <w:color w:val="auto"/>
              </w:rPr>
            </w:pPr>
          </w:p>
        </w:tc>
      </w:tr>
      <w:tr>
        <w:trPr>
          <w:trHeight w:val="182"/>
        </w:trPr>
        <w:tc>
          <w:tcPr>
            <w:tcW w:w="6900" w:type="dxa"/>
            <w:vAlign w:val="bottom"/>
          </w:tcPr>
          <w:p>
            <w:pPr>
              <w:ind w:left="1520"/>
              <w:spacing w:after="0"/>
              <w:rPr>
                <w:sz w:val="20"/>
                <w:szCs w:val="20"/>
                <w:color w:val="auto"/>
              </w:rPr>
            </w:pPr>
            <w:r>
              <w:rPr>
                <w:rFonts w:ascii="Courier New" w:cs="Courier New" w:eastAsia="Courier New" w:hAnsi="Courier New"/>
                <w:sz w:val="16"/>
                <w:szCs w:val="16"/>
                <w:color w:val="auto"/>
              </w:rPr>
              <w:t>Accumulated Deficit for the Six and Three Months</w:t>
            </w:r>
          </w:p>
        </w:tc>
        <w:tc>
          <w:tcPr>
            <w:tcW w:w="660" w:type="dxa"/>
            <w:vAlign w:val="bottom"/>
          </w:tcPr>
          <w:p>
            <w:pPr>
              <w:spacing w:after="0"/>
              <w:rPr>
                <w:sz w:val="15"/>
                <w:szCs w:val="15"/>
                <w:color w:val="auto"/>
              </w:rPr>
            </w:pPr>
          </w:p>
        </w:tc>
      </w:tr>
      <w:tr>
        <w:trPr>
          <w:trHeight w:val="182"/>
        </w:trPr>
        <w:tc>
          <w:tcPr>
            <w:tcW w:w="6900" w:type="dxa"/>
            <w:vAlign w:val="bottom"/>
          </w:tcPr>
          <w:p>
            <w:pPr>
              <w:ind w:left="1520"/>
              <w:spacing w:after="0"/>
              <w:rPr>
                <w:sz w:val="20"/>
                <w:szCs w:val="20"/>
                <w:color w:val="auto"/>
              </w:rPr>
            </w:pPr>
            <w:r>
              <w:rPr>
                <w:rFonts w:ascii="Courier New" w:cs="Courier New" w:eastAsia="Courier New" w:hAnsi="Courier New"/>
                <w:sz w:val="16"/>
                <w:szCs w:val="16"/>
                <w:color w:val="auto"/>
                <w:w w:val="88"/>
              </w:rPr>
              <w:t>Ended June 30, 2000 and 1999 (Unaudited).......................</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64"/>
        </w:trPr>
        <w:tc>
          <w:tcPr>
            <w:tcW w:w="6900" w:type="dxa"/>
            <w:vAlign w:val="bottom"/>
          </w:tcPr>
          <w:p>
            <w:pPr>
              <w:ind w:left="1520"/>
              <w:spacing w:after="0"/>
              <w:rPr>
                <w:sz w:val="20"/>
                <w:szCs w:val="20"/>
                <w:color w:val="auto"/>
              </w:rPr>
            </w:pPr>
            <w:r>
              <w:rPr>
                <w:rFonts w:ascii="Courier New" w:cs="Courier New" w:eastAsia="Courier New" w:hAnsi="Courier New"/>
                <w:sz w:val="16"/>
                <w:szCs w:val="16"/>
                <w:color w:val="auto"/>
              </w:rPr>
              <w:t>Condensed Consolidated Statement of Cash Flows for the</w:t>
            </w:r>
          </w:p>
        </w:tc>
        <w:tc>
          <w:tcPr>
            <w:tcW w:w="660" w:type="dxa"/>
            <w:vAlign w:val="bottom"/>
          </w:tcPr>
          <w:p>
            <w:pPr>
              <w:spacing w:after="0"/>
              <w:rPr>
                <w:sz w:val="24"/>
                <w:szCs w:val="24"/>
                <w:color w:val="auto"/>
              </w:rPr>
            </w:pPr>
          </w:p>
        </w:tc>
      </w:tr>
      <w:tr>
        <w:trPr>
          <w:trHeight w:val="182"/>
        </w:trPr>
        <w:tc>
          <w:tcPr>
            <w:tcW w:w="6900" w:type="dxa"/>
            <w:vAlign w:val="bottom"/>
          </w:tcPr>
          <w:p>
            <w:pPr>
              <w:ind w:left="1520"/>
              <w:spacing w:after="0"/>
              <w:rPr>
                <w:sz w:val="20"/>
                <w:szCs w:val="20"/>
                <w:color w:val="auto"/>
              </w:rPr>
            </w:pPr>
            <w:r>
              <w:rPr>
                <w:rFonts w:ascii="Courier New" w:cs="Courier New" w:eastAsia="Courier New" w:hAnsi="Courier New"/>
                <w:sz w:val="16"/>
                <w:szCs w:val="16"/>
                <w:color w:val="auto"/>
                <w:w w:val="88"/>
              </w:rPr>
              <w:t>Six Months Ended June 30, 2000 and 1999 (Unaudited)............</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64"/>
        </w:trPr>
        <w:tc>
          <w:tcPr>
            <w:tcW w:w="6900" w:type="dxa"/>
            <w:vAlign w:val="bottom"/>
          </w:tcPr>
          <w:p>
            <w:pPr>
              <w:ind w:left="152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660" w:type="dxa"/>
            <w:vAlign w:val="bottom"/>
          </w:tcPr>
          <w:p>
            <w:pPr>
              <w:spacing w:after="0"/>
              <w:rPr>
                <w:sz w:val="24"/>
                <w:szCs w:val="24"/>
                <w:color w:val="auto"/>
              </w:rPr>
            </w:pPr>
          </w:p>
        </w:tc>
      </w:tr>
      <w:tr>
        <w:trPr>
          <w:trHeight w:val="182"/>
        </w:trPr>
        <w:tc>
          <w:tcPr>
            <w:tcW w:w="6900" w:type="dxa"/>
            <w:vAlign w:val="bottom"/>
          </w:tcPr>
          <w:p>
            <w:pPr>
              <w:ind w:left="1520"/>
              <w:spacing w:after="0"/>
              <w:rPr>
                <w:sz w:val="20"/>
                <w:szCs w:val="20"/>
                <w:color w:val="auto"/>
              </w:rPr>
            </w:pPr>
            <w:r>
              <w:rPr>
                <w:rFonts w:ascii="Courier New" w:cs="Courier New" w:eastAsia="Courier New" w:hAnsi="Courier New"/>
                <w:sz w:val="16"/>
                <w:szCs w:val="16"/>
                <w:color w:val="auto"/>
                <w:w w:val="96"/>
              </w:rPr>
              <w:t>(Unaudited)...............................................</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5 - 15</w:t>
            </w:r>
          </w:p>
        </w:tc>
      </w:tr>
      <w:tr>
        <w:trPr>
          <w:trHeight w:val="364"/>
        </w:trPr>
        <w:tc>
          <w:tcPr>
            <w:tcW w:w="6900" w:type="dxa"/>
            <w:vAlign w:val="bottom"/>
          </w:tcPr>
          <w:p>
            <w:pPr>
              <w:ind w:left="760"/>
              <w:spacing w:after="0"/>
              <w:rPr>
                <w:sz w:val="20"/>
                <w:szCs w:val="20"/>
                <w:color w:val="auto"/>
              </w:rPr>
            </w:pPr>
            <w:r>
              <w:rPr>
                <w:rFonts w:ascii="Courier New" w:cs="Courier New" w:eastAsia="Courier New" w:hAnsi="Courier New"/>
                <w:sz w:val="16"/>
                <w:szCs w:val="16"/>
                <w:color w:val="auto"/>
              </w:rPr>
              <w:t>ITEM 2. Management's Discussion and Analysis of Financial</w:t>
            </w:r>
          </w:p>
        </w:tc>
        <w:tc>
          <w:tcPr>
            <w:tcW w:w="660" w:type="dxa"/>
            <w:vAlign w:val="bottom"/>
          </w:tcPr>
          <w:p>
            <w:pPr>
              <w:spacing w:after="0"/>
              <w:rPr>
                <w:sz w:val="24"/>
                <w:szCs w:val="24"/>
                <w:color w:val="auto"/>
              </w:rPr>
            </w:pPr>
          </w:p>
        </w:tc>
      </w:tr>
      <w:tr>
        <w:trPr>
          <w:trHeight w:val="182"/>
        </w:trPr>
        <w:tc>
          <w:tcPr>
            <w:tcW w:w="6900" w:type="dxa"/>
            <w:vAlign w:val="bottom"/>
          </w:tcPr>
          <w:p>
            <w:pPr>
              <w:ind w:left="1520"/>
              <w:spacing w:after="0"/>
              <w:rPr>
                <w:sz w:val="20"/>
                <w:szCs w:val="20"/>
                <w:color w:val="auto"/>
              </w:rPr>
            </w:pPr>
            <w:r>
              <w:rPr>
                <w:rFonts w:ascii="Courier New" w:cs="Courier New" w:eastAsia="Courier New" w:hAnsi="Courier New"/>
                <w:sz w:val="16"/>
                <w:szCs w:val="16"/>
                <w:color w:val="auto"/>
                <w:w w:val="97"/>
              </w:rPr>
              <w:t>Condition and Results of Operations......................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16 - 22</w:t>
            </w:r>
          </w:p>
        </w:tc>
      </w:tr>
      <w:tr>
        <w:trPr>
          <w:trHeight w:val="364"/>
        </w:trPr>
        <w:tc>
          <w:tcPr>
            <w:tcW w:w="6900" w:type="dxa"/>
            <w:vAlign w:val="bottom"/>
          </w:tcPr>
          <w:p>
            <w:pPr>
              <w:spacing w:after="0"/>
              <w:rPr>
                <w:sz w:val="20"/>
                <w:szCs w:val="20"/>
                <w:color w:val="auto"/>
              </w:rPr>
            </w:pPr>
            <w:r>
              <w:rPr>
                <w:rFonts w:ascii="Courier New" w:cs="Courier New" w:eastAsia="Courier New" w:hAnsi="Courier New"/>
                <w:sz w:val="16"/>
                <w:szCs w:val="16"/>
                <w:color w:val="auto"/>
              </w:rPr>
              <w:t>PART II.   OTHER INFORMATION</w:t>
            </w:r>
          </w:p>
        </w:tc>
        <w:tc>
          <w:tcPr>
            <w:tcW w:w="660" w:type="dxa"/>
            <w:vAlign w:val="bottom"/>
          </w:tcPr>
          <w:p>
            <w:pPr>
              <w:spacing w:after="0"/>
              <w:rPr>
                <w:sz w:val="24"/>
                <w:szCs w:val="24"/>
                <w:color w:val="auto"/>
              </w:rPr>
            </w:pPr>
          </w:p>
        </w:tc>
      </w:tr>
      <w:tr>
        <w:trPr>
          <w:trHeight w:val="364"/>
        </w:trPr>
        <w:tc>
          <w:tcPr>
            <w:tcW w:w="6900" w:type="dxa"/>
            <w:vAlign w:val="bottom"/>
          </w:tcPr>
          <w:p>
            <w:pPr>
              <w:ind w:left="760"/>
              <w:spacing w:after="0"/>
              <w:rPr>
                <w:sz w:val="20"/>
                <w:szCs w:val="20"/>
                <w:color w:val="auto"/>
              </w:rPr>
            </w:pPr>
            <w:r>
              <w:rPr>
                <w:rFonts w:ascii="Courier New" w:cs="Courier New" w:eastAsia="Courier New" w:hAnsi="Courier New"/>
                <w:sz w:val="16"/>
                <w:szCs w:val="16"/>
                <w:color w:val="auto"/>
                <w:w w:val="91"/>
              </w:rPr>
              <w:t>ITEM 1. Legal Proceedings.............................................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64"/>
        </w:trPr>
        <w:tc>
          <w:tcPr>
            <w:tcW w:w="6900" w:type="dxa"/>
            <w:vAlign w:val="bottom"/>
          </w:tcPr>
          <w:p>
            <w:pPr>
              <w:ind w:left="760"/>
              <w:spacing w:after="0"/>
              <w:rPr>
                <w:sz w:val="20"/>
                <w:szCs w:val="20"/>
                <w:color w:val="auto"/>
              </w:rPr>
            </w:pPr>
            <w:r>
              <w:rPr>
                <w:rFonts w:ascii="Courier New" w:cs="Courier New" w:eastAsia="Courier New" w:hAnsi="Courier New"/>
                <w:sz w:val="16"/>
                <w:szCs w:val="16"/>
                <w:color w:val="auto"/>
                <w:w w:val="98"/>
              </w:rPr>
              <w:t>ITEM 4. Submission of Matters to a Vote of Security Holders......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23 - 24</w:t>
            </w:r>
          </w:p>
        </w:tc>
      </w:tr>
      <w:tr>
        <w:trPr>
          <w:trHeight w:val="364"/>
        </w:trPr>
        <w:tc>
          <w:tcPr>
            <w:tcW w:w="6900" w:type="dxa"/>
            <w:vAlign w:val="bottom"/>
          </w:tcPr>
          <w:p>
            <w:pPr>
              <w:ind w:left="760"/>
              <w:spacing w:after="0"/>
              <w:rPr>
                <w:sz w:val="20"/>
                <w:szCs w:val="20"/>
                <w:color w:val="auto"/>
              </w:rPr>
            </w:pPr>
            <w:r>
              <w:rPr>
                <w:rFonts w:ascii="Courier New" w:cs="Courier New" w:eastAsia="Courier New" w:hAnsi="Courier New"/>
                <w:sz w:val="16"/>
                <w:szCs w:val="16"/>
                <w:color w:val="auto"/>
                <w:w w:val="91"/>
              </w:rPr>
              <w:t>ITEM 6. Exhibits and Reports on Form 8-K..............................</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364"/>
        </w:trPr>
        <w:tc>
          <w:tcPr>
            <w:tcW w:w="6900" w:type="dxa"/>
            <w:vAlign w:val="bottom"/>
          </w:tcPr>
          <w:p>
            <w:pPr>
              <w:ind w:left="760"/>
              <w:spacing w:after="0"/>
              <w:rPr>
                <w:sz w:val="20"/>
                <w:szCs w:val="20"/>
                <w:color w:val="auto"/>
              </w:rPr>
            </w:pPr>
            <w:r>
              <w:rPr>
                <w:rFonts w:ascii="Courier New" w:cs="Courier New" w:eastAsia="Courier New" w:hAnsi="Courier New"/>
                <w:sz w:val="16"/>
                <w:szCs w:val="16"/>
                <w:color w:val="auto"/>
                <w:w w:val="91"/>
              </w:rPr>
              <w:t>SIGNATURE.............................................................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bl>
    <w:p>
      <w:pPr>
        <w:sectPr>
          <w:pgSz w:w="11900" w:h="16838" w:orient="portrait"/>
          <w:cols w:equalWidth="0" w:num="1">
            <w:col w:w="10222"/>
          </w:cols>
          <w:pgMar w:left="237" w:top="235" w:right="1440" w:bottom="0" w:gutter="0" w:footer="0" w:header="0"/>
          <w:type w:val="continuous"/>
        </w:sectPr>
      </w:pPr>
    </w:p>
    <w:bookmarkStart w:id="1" w:name="page2"/>
    <w:bookmarkEnd w:id="1"/>
    <w:p>
      <w:pPr>
        <w:ind w:left="21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This Quarterly Report on Form 10-Q is for the three months ended June 30, 2000.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In this Quarterly Report, "Comcast," "we," "us" and "our" refer to Comcast Corporation and its subsidiaries.</w:t>
      </w:r>
    </w:p>
    <w:p>
      <w:pPr>
        <w:spacing w:after="0" w:line="188"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We have in the past acquired and we will be acquiring cable communications systems in new communities in which we do not have established relationships with the franchising authority, community leaders and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192"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In addition, the cable communications industry and the provision of programming content may be affected by, among other things:</w:t>
      </w:r>
    </w:p>
    <w:p>
      <w:pPr>
        <w:spacing w:after="0" w:line="184" w:lineRule="exact"/>
        <w:rPr>
          <w:sz w:val="20"/>
          <w:szCs w:val="20"/>
          <w:color w:val="auto"/>
        </w:rPr>
      </w:pPr>
    </w:p>
    <w:p>
      <w:pPr>
        <w:ind w:left="940" w:hanging="470"/>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ind w:left="940" w:hanging="470"/>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ind w:left="940" w:hanging="470"/>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ind w:left="940" w:hanging="470"/>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4" w:lineRule="exact"/>
        <w:rPr>
          <w:rFonts w:ascii="Courier New" w:cs="Courier New" w:eastAsia="Courier New" w:hAnsi="Courier New"/>
          <w:sz w:val="16"/>
          <w:szCs w:val="16"/>
          <w:color w:val="auto"/>
        </w:rPr>
      </w:pPr>
    </w:p>
    <w:p>
      <w:pPr>
        <w:jc w:val="both"/>
        <w:ind w:left="940" w:right="2659" w:hanging="470"/>
        <w:spacing w:after="0" w:line="238" w:lineRule="auto"/>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6" w:lineRule="exact"/>
        <w:rPr>
          <w:rFonts w:ascii="Courier New" w:cs="Courier New" w:eastAsia="Courier New" w:hAnsi="Courier New"/>
          <w:sz w:val="16"/>
          <w:szCs w:val="16"/>
          <w:color w:val="auto"/>
        </w:rPr>
      </w:pPr>
    </w:p>
    <w:p>
      <w:pPr>
        <w:ind w:left="940" w:right="2659" w:hanging="470"/>
        <w:spacing w:after="0" w:line="237" w:lineRule="auto"/>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spacing w:after="0" w:line="1"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ectPr>
          <w:pgSz w:w="11900" w:h="16838" w:orient="portrait"/>
          <w:cols w:equalWidth="0" w:num="1">
            <w:col w:w="10219"/>
          </w:cols>
          <w:pgMar w:left="240" w:top="138" w:right="1440" w:bottom="1440" w:gutter="0" w:footer="0" w:header="0"/>
        </w:sectPr>
      </w:pPr>
    </w:p>
    <w:bookmarkStart w:id="2" w:name="page3"/>
    <w:bookmarkEnd w:id="2"/>
    <w:p>
      <w:pPr>
        <w:jc w:val="center"/>
        <w:ind w:right="37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QUARTER ENDED JUNE 30, 2000</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CONDENSED CONSOLIDATED BALANCE SHEET</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(Dollars in millions, except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June 30,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84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84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842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$652.3</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$922.2</w:t>
            </w:r>
          </w:p>
        </w:tc>
      </w:tr>
      <w:tr>
        <w:trPr>
          <w:trHeight w:val="182"/>
        </w:trPr>
        <w:tc>
          <w:tcPr>
            <w:tcW w:w="8420" w:type="dxa"/>
            <w:vAlign w:val="bottom"/>
          </w:tcPr>
          <w:p>
            <w:pPr>
              <w:ind w:left="280"/>
              <w:spacing w:after="0"/>
              <w:rPr>
                <w:sz w:val="20"/>
                <w:szCs w:val="20"/>
                <w:color w:val="auto"/>
              </w:rPr>
            </w:pPr>
            <w:r>
              <w:rPr>
                <w:rFonts w:ascii="Courier New" w:cs="Courier New" w:eastAsia="Courier New" w:hAnsi="Courier New"/>
                <w:sz w:val="16"/>
                <w:szCs w:val="16"/>
                <w:color w:val="auto"/>
              </w:rPr>
              <w:t>Investments.......................................................................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2,975.0</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7,606.0</w:t>
            </w:r>
          </w:p>
        </w:tc>
      </w:tr>
      <w:tr>
        <w:trPr>
          <w:trHeight w:val="182"/>
        </w:trPr>
        <w:tc>
          <w:tcPr>
            <w:tcW w:w="842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allowance for doubtful accounts of $147.3 and $136.6....</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706.5</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673.3</w:t>
            </w:r>
          </w:p>
        </w:tc>
      </w:tr>
      <w:tr>
        <w:trPr>
          <w:trHeight w:val="182"/>
        </w:trPr>
        <w:tc>
          <w:tcPr>
            <w:tcW w:w="8420" w:type="dxa"/>
            <w:vAlign w:val="bottom"/>
          </w:tcPr>
          <w:p>
            <w:pPr>
              <w:ind w:left="280"/>
              <w:spacing w:after="0"/>
              <w:rPr>
                <w:sz w:val="20"/>
                <w:szCs w:val="20"/>
                <w:color w:val="auto"/>
              </w:rPr>
            </w:pPr>
            <w:r>
              <w:rPr>
                <w:rFonts w:ascii="Courier New" w:cs="Courier New" w:eastAsia="Courier New" w:hAnsi="Courier New"/>
                <w:sz w:val="16"/>
                <w:szCs w:val="16"/>
                <w:color w:val="auto"/>
              </w:rPr>
              <w:t>Inventories, net..................................................................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373.3</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402.8</w:t>
            </w:r>
          </w:p>
        </w:tc>
      </w:tr>
      <w:tr>
        <w:trPr>
          <w:trHeight w:val="182"/>
        </w:trPr>
        <w:tc>
          <w:tcPr>
            <w:tcW w:w="8420" w:type="dxa"/>
            <w:vAlign w:val="bottom"/>
          </w:tcPr>
          <w:p>
            <w:pPr>
              <w:ind w:left="280"/>
              <w:spacing w:after="0"/>
              <w:rPr>
                <w:sz w:val="20"/>
                <w:szCs w:val="20"/>
                <w:color w:val="auto"/>
              </w:rPr>
            </w:pPr>
            <w:r>
              <w:rPr>
                <w:rFonts w:ascii="Courier New" w:cs="Courier New" w:eastAsia="Courier New" w:hAnsi="Courier New"/>
                <w:sz w:val="16"/>
                <w:szCs w:val="16"/>
                <w:color w:val="auto"/>
              </w:rPr>
              <w:t>Other current assets..............................................................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120.7</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100.1</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Total current assets..........................................................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4,827.8</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9,704.4</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INVESTMENTS..........................................................................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5,192.5</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5,548.8</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PROPERTY AND EQUIPMENT...............................................................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6,439.0</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5,153.2</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Accumulated depreciation..........................................................</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(1,773.2)</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(1,700.9)</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Property and equipment, net.......................................................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4,665.8</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3,452.3</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DEFERRED CHARGES.....................................................................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23,935.8</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12,722.1</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Accumulated amortization..........................................................</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(3,290.2)</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(2,742.0)</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Deferred charges, net.............................................................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20,645.6</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9,980.1</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$35,331.7</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$28,685.6</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84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Accounts payable and accrued expenses.............................................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$2,492.1</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$2,737.5</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Accrued interest..................................................................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97.8</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104.5</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Deferred income taxes.............................................................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1,360.5</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2,118.6</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Current portion of long-term debt.................................................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146.9</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517.5</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Total current liabilities.....................................................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4,097.3</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5,478.1</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 (including adjustment to carrying value of</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$1,064.0 and $666.0)..............................................................</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10,218.6</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8,707.2</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DEFERRED INCOME TAXES................................................................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4,936.8</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3,150.5</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MINORITY INTEREST AND OTHER..........................................................</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1,219.1</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1,008.5</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 8)</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COMMON EQUITY PUT OPTIONS............................................................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82.0</w:t>
            </w:r>
          </w:p>
        </w:tc>
        <w:tc>
          <w:tcPr>
            <w:tcW w:w="1320" w:type="dxa"/>
            <w:vAlign w:val="bottom"/>
          </w:tcPr>
          <w:p>
            <w:pPr>
              <w:spacing w:after="0"/>
              <w:rPr>
                <w:sz w:val="15"/>
                <w:szCs w:val="15"/>
                <w:color w:val="auto"/>
              </w:rPr>
            </w:pP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8420" w:type="dxa"/>
            <w:vAlign w:val="bottom"/>
          </w:tcPr>
          <w:p>
            <w:pPr>
              <w:ind w:left="280"/>
              <w:spacing w:after="0"/>
              <w:rPr>
                <w:sz w:val="20"/>
                <w:szCs w:val="20"/>
                <w:color w:val="auto"/>
              </w:rPr>
            </w:pPr>
            <w:r>
              <w:rPr>
                <w:rFonts w:ascii="Courier New" w:cs="Courier New" w:eastAsia="Courier New" w:hAnsi="Courier New"/>
                <w:sz w:val="16"/>
                <w:szCs w:val="16"/>
                <w:color w:val="auto"/>
                <w:w w:val="98"/>
              </w:rPr>
              <w:t>Preferred stock - authorized, 20,000,000 shares; 5.25% series B mandatorily redeemable</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convertible, $1,000 par value; issued, 584,691 and 569,640 at redemption value..</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584.7</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569.6</w:t>
            </w:r>
          </w:p>
        </w:tc>
      </w:tr>
      <w:tr>
        <w:trPr>
          <w:trHeight w:val="182"/>
        </w:trPr>
        <w:tc>
          <w:tcPr>
            <w:tcW w:w="8420" w:type="dxa"/>
            <w:vAlign w:val="bottom"/>
          </w:tcPr>
          <w:p>
            <w:pPr>
              <w:ind w:left="280"/>
              <w:spacing w:after="0"/>
              <w:rPr>
                <w:sz w:val="20"/>
                <w:szCs w:val="20"/>
                <w:color w:val="auto"/>
              </w:rPr>
            </w:pPr>
            <w:r>
              <w:rPr>
                <w:rFonts w:ascii="Courier New" w:cs="Courier New" w:eastAsia="Courier New" w:hAnsi="Courier New"/>
                <w:sz w:val="16"/>
                <w:szCs w:val="16"/>
                <w:color w:val="auto"/>
              </w:rPr>
              <w:t>Class A special common stock, $1 par value - authorized, 2,500,000,000 shares;</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issued, 895,995,560 and 716,442,482; outstanding, 872,670,649 and 716,442,482 ..</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872.7</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716.4</w:t>
            </w:r>
          </w:p>
        </w:tc>
      </w:tr>
      <w:tr>
        <w:trPr>
          <w:trHeight w:val="182"/>
        </w:trPr>
        <w:tc>
          <w:tcPr>
            <w:tcW w:w="8420" w:type="dxa"/>
            <w:vAlign w:val="bottom"/>
          </w:tcPr>
          <w:p>
            <w:pPr>
              <w:ind w:left="280"/>
              <w:spacing w:after="0"/>
              <w:rPr>
                <w:sz w:val="20"/>
                <w:szCs w:val="20"/>
                <w:color w:val="auto"/>
              </w:rPr>
            </w:pPr>
            <w:r>
              <w:rPr>
                <w:rFonts w:ascii="Courier New" w:cs="Courier New" w:eastAsia="Courier New" w:hAnsi="Courier New"/>
                <w:sz w:val="16"/>
                <w:szCs w:val="16"/>
                <w:color w:val="auto"/>
              </w:rPr>
              <w:t>Class A common stock, $1 par value - authorized,</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200,000,000 shares; issued, 22,624,080 and 25,993,380...........................</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22.6</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26.0</w:t>
            </w:r>
          </w:p>
        </w:tc>
      </w:tr>
      <w:tr>
        <w:trPr>
          <w:trHeight w:val="182"/>
        </w:trPr>
        <w:tc>
          <w:tcPr>
            <w:tcW w:w="8420" w:type="dxa"/>
            <w:vAlign w:val="bottom"/>
          </w:tcPr>
          <w:p>
            <w:pPr>
              <w:ind w:left="280"/>
              <w:spacing w:after="0"/>
              <w:rPr>
                <w:sz w:val="20"/>
                <w:szCs w:val="20"/>
                <w:color w:val="auto"/>
              </w:rPr>
            </w:pPr>
            <w:r>
              <w:rPr>
                <w:rFonts w:ascii="Courier New" w:cs="Courier New" w:eastAsia="Courier New" w:hAnsi="Courier New"/>
                <w:sz w:val="16"/>
                <w:szCs w:val="16"/>
                <w:color w:val="auto"/>
              </w:rPr>
              <w:t>Class B common stock, $1 par value - authorized,</w:t>
            </w: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50,000,000 shares; issued, 9,444,375............................................</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Additional capital................................................................</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11,117.7</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3,527.0</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Accumulated deficit...............................................................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(878.2)</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(619.8)</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Accumulated other comprehensive income............................................</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3,049.0</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6,112.7</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Total stockholders' equity....................................................</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14,777.9</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10,341.3</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$35,331.7</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$28,685.6</w:t>
            </w:r>
          </w:p>
        </w:tc>
      </w:tr>
      <w:tr>
        <w:trPr>
          <w:trHeight w:val="182"/>
        </w:trPr>
        <w:tc>
          <w:tcPr>
            <w:tcW w:w="842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4"/>
              </w:rPr>
              <w:t>=========</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260"/>
          </w:cols>
          <w:pgMar w:left="240" w:top="477" w:right="399" w:bottom="701" w:gutter="0" w:footer="0" w:header="0"/>
        </w:sectPr>
      </w:pPr>
    </w:p>
    <w:bookmarkStart w:id="3" w:name="page4"/>
    <w:bookmarkEnd w:id="3"/>
    <w:p>
      <w:pPr>
        <w:jc w:val="center"/>
        <w:ind w:right="39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CONDENSED CONSOLIDATED STATEMENT OF OPERATIONS AND ACCUMULATED DEFICIT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jc w:val="right"/>
              <w:ind w:right="2761"/>
              <w:spacing w:after="0"/>
              <w:rPr>
                <w:sz w:val="20"/>
                <w:szCs w:val="20"/>
                <w:color w:val="auto"/>
              </w:rPr>
            </w:pPr>
            <w:r>
              <w:rPr>
                <w:rFonts w:ascii="Courier New" w:cs="Courier New" w:eastAsia="Courier New" w:hAnsi="Courier New"/>
                <w:sz w:val="16"/>
                <w:szCs w:val="16"/>
                <w:color w:val="auto"/>
              </w:rPr>
              <w:t>(Unaudited)</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28"/>
        </w:trPr>
        <w:tc>
          <w:tcPr>
            <w:tcW w:w="7180" w:type="dxa"/>
            <w:vAlign w:val="bottom"/>
          </w:tcPr>
          <w:p>
            <w:pPr>
              <w:spacing w:after="0"/>
              <w:rPr>
                <w:sz w:val="24"/>
                <w:szCs w:val="24"/>
                <w:color w:val="auto"/>
              </w:rPr>
            </w:pPr>
          </w:p>
        </w:tc>
        <w:tc>
          <w:tcPr>
            <w:tcW w:w="434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(Amounts in millions, except per share data)</w:t>
            </w:r>
          </w:p>
        </w:tc>
      </w:tr>
      <w:tr>
        <w:trPr>
          <w:trHeight w:val="182"/>
        </w:trPr>
        <w:tc>
          <w:tcPr>
            <w:tcW w:w="7180" w:type="dxa"/>
            <w:vAlign w:val="bottom"/>
          </w:tcPr>
          <w:p>
            <w:pPr>
              <w:spacing w:after="0"/>
              <w:rPr>
                <w:sz w:val="15"/>
                <w:szCs w:val="15"/>
                <w:color w:val="auto"/>
              </w:rPr>
            </w:pPr>
          </w:p>
        </w:tc>
        <w:tc>
          <w:tcPr>
            <w:tcW w:w="22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Six Months Ended</w:t>
            </w:r>
          </w:p>
        </w:tc>
        <w:tc>
          <w:tcPr>
            <w:tcW w:w="21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7180" w:type="dxa"/>
            <w:vAlign w:val="bottom"/>
          </w:tcPr>
          <w:p>
            <w:pPr>
              <w:spacing w:after="0"/>
              <w:rPr>
                <w:sz w:val="15"/>
                <w:szCs w:val="15"/>
                <w:color w:val="auto"/>
              </w:rPr>
            </w:pPr>
          </w:p>
        </w:tc>
        <w:tc>
          <w:tcPr>
            <w:tcW w:w="222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June 30,</w:t>
            </w:r>
          </w:p>
        </w:tc>
        <w:tc>
          <w:tcPr>
            <w:tcW w:w="2120" w:type="dxa"/>
            <w:vAlign w:val="bottom"/>
            <w:gridSpan w:val="2"/>
          </w:tcPr>
          <w:p>
            <w:pPr>
              <w:jc w:val="right"/>
              <w:ind w:right="561"/>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7180" w:type="dxa"/>
            <w:vAlign w:val="bottom"/>
          </w:tcPr>
          <w:p>
            <w:pPr>
              <w:spacing w:after="0"/>
              <w:rPr>
                <w:sz w:val="15"/>
                <w:szCs w:val="15"/>
                <w:color w:val="auto"/>
              </w:rPr>
            </w:pPr>
          </w:p>
        </w:tc>
        <w:tc>
          <w:tcPr>
            <w:tcW w:w="1100" w:type="dxa"/>
            <w:vAlign w:val="bottom"/>
          </w:tcPr>
          <w:p>
            <w:pPr>
              <w:ind w:left="280"/>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Service income.........................................................</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$2,259.4</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$1,570.5</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$1,141.5</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$846.1</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sales from electronic retailing....................................</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1,591.6</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1,425.4</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770.6</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703.1</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3,851.0</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2,995.9</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1,912.1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1,549.2</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Operating..............................................................</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1,077.9</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789.5</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529.0</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415.9</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1,015.2</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912.6</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488.2</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449.4</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Selling, general and administrative....................................</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568.2</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411.3</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292.1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226.6</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Depreciation...........................................................</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376.7</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254.0</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204.8</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137.3</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Amortization...........................................................</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803.4</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292.1</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429.6</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170.2</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3,841.4</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2,659.5</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1,943.7</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1,399.4</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OPERATING INCOME (LOSS)....................................................</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336.4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(31.6)</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149.8</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expense.......................................................</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331.8</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254.7</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163.2</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143.5</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Investment income......................................................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(959.4)</w:t>
            </w: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(128.0)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(314.8)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Expense (income) related to indexed debt...............................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398.0</w:t>
            </w:r>
          </w:p>
        </w:tc>
        <w:tc>
          <w:tcPr>
            <w:tcW w:w="1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(289.5)</w:t>
            </w: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Equity in net losses of affiliates.....................................</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Other expense (income).................................................</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8.6</w:t>
            </w: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(1,430.9)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(1,430.7)</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(217.0)</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(1,302.6)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(442.2)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(1,284.7)</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 INCOME</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TAX, MINORITY INTEREST AND EXTRAORDINARY ITEMS.........................</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226.6</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1,639.0</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410.6</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1,434.5</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TAX EXPENSE.........................................................</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153.3</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723.7</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185.1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636.3</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MINORITY INTEREST AND EXTRAORDINARY ITEMS..............................</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73.3</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915.3</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225.5</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798.2</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MINORITY INTEREST..........................................................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60.9</w:t>
            </w: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(12.8)</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(28.1)</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EXTRAORDINARY ITEMS....................................................</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12.4</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928.1</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198.8</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826.3</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LOSS FROM DISCONTINUED OPERATIONS, net of income tax</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benefit of $11.9 in 1999...............................................</w:t>
            </w:r>
          </w:p>
        </w:tc>
        <w:tc>
          <w:tcPr>
            <w:tcW w:w="110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20.1</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BEFORE EXTRAORDINARY ITEMS..........................................</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12.4</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908.0</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198.8</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826.3</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EXTRAORDINARY ITEMS........................................................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(LOSS) INCOME..........................................................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905.0</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187.7</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824.0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PREFERRED DIVIDENDS........................................................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(LOSS) INCOME FOR COMMON STOCKHOLDERS..................................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$889.9</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$180.1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$816.4</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Beginning of period....................................................</w:t>
            </w:r>
          </w:p>
        </w:tc>
        <w:tc>
          <w:tcPr>
            <w:tcW w:w="2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($619.8) ($1,488.2)</w:t>
            </w: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($975.9) ($1,416.8)</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(loss) income......................................................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905.0</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187.7</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824.0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Retirement of common stock.............................................</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(254.6)</w:t>
            </w: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(90.0)</w:t>
            </w:r>
          </w:p>
        </w:tc>
        <w:tc>
          <w:tcPr>
            <w:tcW w:w="980" w:type="dxa"/>
            <w:vAlign w:val="bottom"/>
          </w:tcPr>
          <w:p>
            <w:pPr>
              <w:spacing w:after="0"/>
              <w:rPr>
                <w:sz w:val="15"/>
                <w:szCs w:val="15"/>
                <w:color w:val="auto"/>
              </w:rPr>
            </w:pP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End of period..........................................................</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($878.2)</w:t>
            </w: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($592.8)</w:t>
            </w: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($878.2)   ($592.8)</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BASIC (LOSS) EARNINGS FOR COMMON STOCKHOLDERS PER COMMON SHARE</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Income from continuing operations before extraordinary items...........</w:t>
            </w: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$1.23</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$0.21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Loss from discontinued operations......................................</w:t>
            </w:r>
          </w:p>
        </w:tc>
        <w:tc>
          <w:tcPr>
            <w:tcW w:w="1100" w:type="dxa"/>
            <w:vAlign w:val="bottom"/>
          </w:tcPr>
          <w:p>
            <w:pPr>
              <w:spacing w:after="0"/>
              <w:rPr>
                <w:sz w:val="15"/>
                <w:szCs w:val="15"/>
                <w:color w:val="auto"/>
              </w:rPr>
            </w:pP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Extraordinary items....................................................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1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980" w:type="dxa"/>
            <w:vAlign w:val="bottom"/>
          </w:tcPr>
          <w:p>
            <w:pPr>
              <w:spacing w:after="0"/>
              <w:rPr>
                <w:sz w:val="15"/>
                <w:szCs w:val="15"/>
                <w:color w:val="auto"/>
              </w:rPr>
            </w:pP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(loss) income...................................................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$1.20</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$0.20</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BASIC WEIGHTED AVERAGE NUMBER OF COMMON SHARES OUTSTANDING.................</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873.2</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742.9</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909.8</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744.4</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DILUTED (LOSS) EARNINGS FOR COMMON STOCKHOLDERS PER COMMON SHARE</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Income from continuing operations before extraordinary items...........</w:t>
            </w: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$1.13</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$0.20</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Loss from discontinued operations......................................</w:t>
            </w:r>
          </w:p>
        </w:tc>
        <w:tc>
          <w:tcPr>
            <w:tcW w:w="1100" w:type="dxa"/>
            <w:vAlign w:val="bottom"/>
          </w:tcPr>
          <w:p>
            <w:pPr>
              <w:spacing w:after="0"/>
              <w:rPr>
                <w:sz w:val="15"/>
                <w:szCs w:val="15"/>
                <w:color w:val="auto"/>
              </w:rPr>
            </w:pPr>
          </w:p>
        </w:tc>
        <w:tc>
          <w:tcPr>
            <w:tcW w:w="11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(0.02)</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Extraordinary items....................................................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1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980" w:type="dxa"/>
            <w:vAlign w:val="bottom"/>
          </w:tcPr>
          <w:p>
            <w:pPr>
              <w:spacing w:after="0"/>
              <w:rPr>
                <w:sz w:val="15"/>
                <w:szCs w:val="15"/>
                <w:color w:val="auto"/>
              </w:rPr>
            </w:pP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(loss) income...................................................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$1.11</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$0.19</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DILUTED WEIGHTED AVERAGE NUMBER OF COMMON SHARES OUTSTANDING...............</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873.2</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815.1</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974.7</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815.3</w:t>
            </w:r>
          </w:p>
        </w:tc>
      </w:tr>
      <w:tr>
        <w:trPr>
          <w:trHeight w:val="182"/>
        </w:trPr>
        <w:tc>
          <w:tcPr>
            <w:tcW w:w="71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1520"/>
          </w:cols>
          <w:pgMar w:left="240" w:top="477" w:right="139" w:bottom="0" w:gutter="0" w:footer="0" w:header="0"/>
        </w:sectPr>
      </w:pPr>
    </w:p>
    <w:bookmarkStart w:id="4" w:name="page5"/>
    <w:bookmarkEnd w:id="4"/>
    <w:p>
      <w:pPr>
        <w:ind w:left="25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20" w:right="1440" w:bottom="1440" w:gutter="0" w:footer="0" w:header="0"/>
        </w:sectPr>
      </w:pPr>
    </w:p>
    <w:bookmarkStart w:id="5" w:name="page6"/>
    <w:bookmarkEnd w:id="5"/>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140" w:type="dxa"/>
            <w:vAlign w:val="bottom"/>
          </w:tcPr>
          <w:p>
            <w:pPr>
              <w:jc w:val="right"/>
              <w:ind w:right="3721"/>
              <w:spacing w:after="0"/>
              <w:rPr>
                <w:sz w:val="20"/>
                <w:szCs w:val="20"/>
                <w:color w:val="auto"/>
              </w:rPr>
            </w:pPr>
            <w:r>
              <w:rPr>
                <w:rFonts w:ascii="Courier New" w:cs="Courier New" w:eastAsia="Courier New" w:hAnsi="Courier New"/>
                <w:sz w:val="16"/>
                <w:szCs w:val="16"/>
                <w:color w:val="auto"/>
              </w:rPr>
              <w:t>(Unaudited)</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728"/>
        </w:trPr>
        <w:tc>
          <w:tcPr>
            <w:tcW w:w="8140" w:type="dxa"/>
            <w:vAlign w:val="bottom"/>
          </w:tcPr>
          <w:p>
            <w:pPr>
              <w:spacing w:after="0"/>
              <w:rPr>
                <w:sz w:val="24"/>
                <w:szCs w:val="24"/>
                <w:color w:val="auto"/>
              </w:rPr>
            </w:pPr>
          </w:p>
        </w:tc>
        <w:tc>
          <w:tcPr>
            <w:tcW w:w="254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(Dollars in millions)</w:t>
            </w:r>
          </w:p>
        </w:tc>
      </w:tr>
      <w:tr>
        <w:trPr>
          <w:trHeight w:val="182"/>
        </w:trPr>
        <w:tc>
          <w:tcPr>
            <w:tcW w:w="8140" w:type="dxa"/>
            <w:vAlign w:val="bottom"/>
          </w:tcPr>
          <w:p>
            <w:pPr>
              <w:spacing w:after="0"/>
              <w:rPr>
                <w:sz w:val="15"/>
                <w:szCs w:val="15"/>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 June 30,</w:t>
            </w:r>
          </w:p>
        </w:tc>
      </w:tr>
      <w:tr>
        <w:trPr>
          <w:trHeight w:val="182"/>
        </w:trPr>
        <w:tc>
          <w:tcPr>
            <w:tcW w:w="8140" w:type="dxa"/>
            <w:vAlign w:val="bottom"/>
          </w:tcPr>
          <w:p>
            <w:pPr>
              <w:spacing w:after="0"/>
              <w:rPr>
                <w:sz w:val="15"/>
                <w:szCs w:val="15"/>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814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814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Net (loss) income................................................................</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$905.0</w:t>
            </w:r>
          </w:p>
        </w:tc>
      </w:tr>
      <w:tr>
        <w:trPr>
          <w:trHeight w:val="182"/>
        </w:trPr>
        <w:tc>
          <w:tcPr>
            <w:tcW w:w="814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Adjustments to reconcile net (loss) income to net cash provided</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8140" w:type="dxa"/>
            <w:vAlign w:val="bottom"/>
          </w:tcPr>
          <w:p>
            <w:pPr>
              <w:jc w:val="right"/>
              <w:ind w:right="2861"/>
              <w:spacing w:after="0"/>
              <w:rPr>
                <w:sz w:val="20"/>
                <w:szCs w:val="20"/>
                <w:color w:val="auto"/>
              </w:rPr>
            </w:pPr>
            <w:r>
              <w:rPr>
                <w:rFonts w:ascii="Courier New" w:cs="Courier New" w:eastAsia="Courier New" w:hAnsi="Courier New"/>
                <w:sz w:val="16"/>
                <w:szCs w:val="16"/>
                <w:color w:val="auto"/>
              </w:rPr>
              <w:t>by operating activities from continuing operations: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Depreciation...................................................................</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376.7</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254.0</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Amortization...................................................................</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803.4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292.1</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Non-cash interest income, net..................................................</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(25.4)</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Non-cash expense related to indexed debt.......................................</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398.0</w:t>
            </w:r>
          </w:p>
        </w:tc>
        <w:tc>
          <w:tcPr>
            <w:tcW w:w="1180" w:type="dxa"/>
            <w:vAlign w:val="bottom"/>
          </w:tcPr>
          <w:p>
            <w:pPr>
              <w:spacing w:after="0"/>
              <w:rPr>
                <w:sz w:val="15"/>
                <w:szCs w:val="15"/>
                <w:color w:val="auto"/>
              </w:rPr>
            </w:pP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Equity in net losses of affiliates.............................................</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4.0</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Gains on investments, net......................................................</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(863.2)</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(54.8)</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Minority interest..............................................................</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60.9</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Loss from discontinued operations..............................................</w:t>
            </w:r>
          </w:p>
        </w:tc>
        <w:tc>
          <w:tcPr>
            <w:tcW w:w="136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20.1</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Extraordinary items............................................................</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16.2</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Deferred income taxes and other................................................</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(109.7)</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388.0</w:t>
            </w:r>
          </w:p>
        </w:tc>
      </w:tr>
      <w:tr>
        <w:trPr>
          <w:trHeight w:val="182"/>
        </w:trPr>
        <w:tc>
          <w:tcPr>
            <w:tcW w:w="814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657.1</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1,793.6</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Changes in working capital.....................................................</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(483.4)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177.7</w:t>
            </w:r>
          </w:p>
        </w:tc>
      </w:tr>
      <w:tr>
        <w:trPr>
          <w:trHeight w:val="182"/>
        </w:trPr>
        <w:tc>
          <w:tcPr>
            <w:tcW w:w="814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Net cash provided by operating activities from continuing operations.....</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173.7</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1,971.3</w:t>
            </w:r>
          </w:p>
        </w:tc>
      </w:tr>
      <w:tr>
        <w:trPr>
          <w:trHeight w:val="182"/>
        </w:trPr>
        <w:tc>
          <w:tcPr>
            <w:tcW w:w="814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Proceeds from borrowings.........................................................</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188.8</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912.6</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Retirement and repayment of debt.................................................</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(1,078.3)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(152.8)</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Issuances of common stock and sales of put options on common stock...............</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21.5</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11.7</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Repurchases of common stock......................................................</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(219.6)</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Dividends........................................................................</w:t>
            </w:r>
          </w:p>
        </w:tc>
        <w:tc>
          <w:tcPr>
            <w:tcW w:w="136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Deferred financing costs.........................................................</w:t>
            </w:r>
          </w:p>
        </w:tc>
        <w:tc>
          <w:tcPr>
            <w:tcW w:w="136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w:t>
            </w:r>
          </w:p>
        </w:tc>
      </w:tr>
      <w:tr>
        <w:trPr>
          <w:trHeight w:val="182"/>
        </w:trPr>
        <w:tc>
          <w:tcPr>
            <w:tcW w:w="814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ind w:right="2201"/>
              <w:spacing w:after="0"/>
              <w:rPr>
                <w:sz w:val="20"/>
                <w:szCs w:val="20"/>
                <w:color w:val="auto"/>
              </w:rPr>
            </w:pPr>
            <w:r>
              <w:rPr>
                <w:rFonts w:ascii="Courier New" w:cs="Courier New" w:eastAsia="Courier New" w:hAnsi="Courier New"/>
                <w:sz w:val="16"/>
                <w:szCs w:val="16"/>
                <w:color w:val="auto"/>
              </w:rPr>
              <w:t>Net cash (used in) provided by financing activities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from continuing operations...........................................</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(1,087.6)</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733.0</w:t>
            </w:r>
          </w:p>
        </w:tc>
      </w:tr>
      <w:tr>
        <w:trPr>
          <w:trHeight w:val="182"/>
        </w:trPr>
        <w:tc>
          <w:tcPr>
            <w:tcW w:w="814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Acquisitions, net of cash acquired...............................................</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(83.8)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(708.0)</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Proceeds from sales of (purchases of) short-term investments, net................</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867.4</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(83.3)</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Purchases of investments.........................................................</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(348.7)</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(196.2)</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Proceeds from sales of investments...............................................</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983.8</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54.3</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Capital expenditures.............................................................</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(608.0)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(326.4)</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Additions to deferred charges....................................................</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(166.7)</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(121.7)</w:t>
            </w:r>
          </w:p>
        </w:tc>
      </w:tr>
      <w:tr>
        <w:trPr>
          <w:trHeight w:val="182"/>
        </w:trPr>
        <w:tc>
          <w:tcPr>
            <w:tcW w:w="814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ind w:right="2201"/>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from continuing operations...........................................</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644.0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(1,381.3)</w:t>
            </w:r>
          </w:p>
        </w:tc>
      </w:tr>
      <w:tr>
        <w:trPr>
          <w:trHeight w:val="182"/>
        </w:trPr>
        <w:tc>
          <w:tcPr>
            <w:tcW w:w="814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spacing w:after="0"/>
              <w:rPr>
                <w:sz w:val="20"/>
                <w:szCs w:val="20"/>
                <w:color w:val="auto"/>
              </w:rPr>
            </w:pPr>
            <w:r>
              <w:rPr>
                <w:rFonts w:ascii="Courier New" w:cs="Courier New" w:eastAsia="Courier New" w:hAnsi="Courier New"/>
                <w:sz w:val="16"/>
                <w:szCs w:val="16"/>
                <w:color w:val="auto"/>
              </w:rPr>
              <w:t>(DECREASE) INCREASE IN CASH AND CASH EQUIVALENTS -</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CONTINUING OPERATIONS............................................................</w:t>
            </w:r>
          </w:p>
        </w:tc>
        <w:tc>
          <w:tcPr>
            <w:tcW w:w="13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(269.9)</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1,323.0</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8"/>
              </w:rPr>
              <w:t>CASH AND CASH EQUIVALENTS, beginning of period......................................</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922.2</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870.7</w:t>
            </w:r>
          </w:p>
        </w:tc>
      </w:tr>
      <w:tr>
        <w:trPr>
          <w:trHeight w:val="182"/>
        </w:trPr>
        <w:tc>
          <w:tcPr>
            <w:tcW w:w="814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8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$652.3</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$2,193.7</w:t>
            </w:r>
          </w:p>
        </w:tc>
      </w:tr>
      <w:tr>
        <w:trPr>
          <w:trHeight w:val="182"/>
        </w:trPr>
        <w:tc>
          <w:tcPr>
            <w:tcW w:w="814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680"/>
          </w:cols>
          <w:pgMar w:left="240" w:top="477" w:right="979" w:bottom="1440" w:gutter="0" w:footer="0" w:header="0"/>
        </w:sectPr>
      </w:pPr>
    </w:p>
    <w:bookmarkStart w:id="6" w:name="page7"/>
    <w:bookmarkEnd w:id="6"/>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as of December 31, 1999 has been condensed from the audited consolidated balance sheet as of that date. The condensed consolidated balance sheet as of June 30, 2000, the condensed consolidated statement of operations and accumulated deficit for the six and three months ended June 30, 2000 and 1999, and the condensed consolidated statement of cash flows for the six months ended June 30, 2000 and 1999 have been prepared by Comcast Corporation (the "Company") and have not been audited by the Company's independent auditors. In the opinion of management, all adjustments necessary to present fairly the financial position, results of operations and cash flows as of June 30, 2000 and for all periods presented have been made.</w:t>
      </w:r>
    </w:p>
    <w:p>
      <w:pPr>
        <w:spacing w:after="0" w:line="188"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1999 Annual Report on Form 10-K filed with the Securities and Exchange Commission (the "SEC"). The results of operations for the periods ended June 30, 2000 are not necessarily indicative of operating results for the full year.</w:t>
      </w:r>
    </w:p>
    <w:p>
      <w:pPr>
        <w:spacing w:after="0" w:line="183"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Sale of Comcast Cellular Corporation</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1999, the Company sold its indirect wholly owned subsidiary, Comcast Cellular Corporation ("Comcast Cellular"), to SBC Communications, Inc. The results of operations of Comcast Cellular for the six months ended June 30, 1999 have been presented as a discontinued operation in accordance with Accounting Principles Board Opinion No. 30, "Reporting the Results of Operations - Reporting the Effects of Disposal of a Segment of a Business, and Extraordinary, Unusual and Infrequently Occurring Events and Transactions."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4"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years' condensed consolidated financial statements to conform to those classifications used in 2000 (see Note 2).</w:t>
      </w:r>
    </w:p>
    <w:p>
      <w:pPr>
        <w:spacing w:after="0" w:line="184"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133, as Amended</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1998, the Financial Accounting Standards Board (the "FASB") issued Statement of Financial Accounting Standards ("SFAS") No. 133, "Accounting for Derivative Instruments and Hedging Activities." This statement establishes the accounting and reporting standards for derivatives and hedging activity. Upon the adoption of SFAS No. 133, all derivatives are required to be recognized in the statement of financial position as either assets or liabilities and measured at fair value. In July 1999 and June 2000, the FASB issued SFAS No. 137 and SFAS No. 138 which deferred the effective date for implementation of SFAS No. 133 to fiscal years beginning after June 15, 2000 and which addressed a limited number of issues causing implementation difficulties for entities that apply SFAS No. 133, respectively. The Company is continuing to evaluate the impact the adoption of SFAS No. 133, as amended, will have on its financial position and results of operations.</w:t>
      </w:r>
    </w:p>
    <w:p>
      <w:pPr>
        <w:spacing w:after="0" w:line="186"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SAB No. 101, as Amended</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December 1999, the staff of the SEC issued Staff Accounting Bulletin ("SAB") No. 101, "Revenue Recognition in Financial Statements," which provides guidance in applying generally accepted accounting principles to selected revenue recognition issues. In March 2000 and June 2000, the staff of the SEC amended SAB No. 101 to delay the required implementation date of SAB No. 101 to the fourth quarter of fiscal years beginning after December 15, 1999. While the Company is continuing to evaluate the impact the adoption of SAB No. 101, as amended, will have on its results of operations, the Company does not expect such impact to be material.</w:t>
      </w:r>
    </w:p>
    <w:p>
      <w:pPr>
        <w:spacing w:after="0" w:line="365"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2"/>
          </w:cols>
          <w:pgMar w:left="237" w:top="477" w:right="1440" w:bottom="1440" w:gutter="0" w:footer="0" w:header="0"/>
        </w:sectPr>
      </w:pPr>
    </w:p>
    <w:bookmarkStart w:id="7" w:name="page8"/>
    <w:bookmarkEnd w:id="7"/>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EITF 00-10</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May and July 2000, the Emerging Issues Task Force (the "EITF") reached a consensus on EITF Issue No. 00-10, "Accounting for Shipping and Handling Fees and Costs." EITF No. 00-10 requires that all amounts billed to a customer in a sale transaction for shipping and handling be classified as revenue. The Company's majority-owned subsidiary, QVC, Inc. previously classified shipping and handling revenue as an offset to cost of goods sold from electronic retailing. The Company has reclassified shipping and handling revenue from cost of goods sold from electronic retailing to net sales from electronic retailing for all periods presented in the accompanying condensed consolidated statement of operations and accumulated deficit.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Lending Transactions</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may enter into securities lending transactions pursuant to which the Company requires the borrower to provide cash collateral equal to the value of the loaned securities, as adjusted for any changes in the value of the underlying loaned securities. Loaned securities for which the Company maintains effective control are included in investments in the Company's condensed consolidated balance sheet.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Earnings for Common Stockholders Per Common Share</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(Loss) earnings for common stockholders per common share is computed by dividing net (loss) income, after deduction of preferred stock dividends, when applicable, by the weighted average number of common shares outstanding during the period on a basic and diluted basis.</w:t>
      </w:r>
    </w:p>
    <w:p>
      <w:pPr>
        <w:spacing w:after="0" w:line="187"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(loss) earnings for common stockholders per common share ("Diluted EPS") for the six and three months ended June 30, 2000 and 1999, respectively.</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60" w:type="dxa"/>
            <w:vAlign w:val="bottom"/>
          </w:tcPr>
          <w:p>
            <w:pPr>
              <w:spacing w:after="0"/>
              <w:rPr>
                <w:sz w:val="15"/>
                <w:szCs w:val="15"/>
                <w:color w:val="auto"/>
              </w:rPr>
            </w:pPr>
          </w:p>
        </w:tc>
        <w:tc>
          <w:tcPr>
            <w:tcW w:w="42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(Amounts in millions, except per share data)</w:t>
            </w:r>
          </w:p>
        </w:tc>
      </w:tr>
      <w:tr>
        <w:trPr>
          <w:trHeight w:val="182"/>
        </w:trPr>
        <w:tc>
          <w:tcPr>
            <w:tcW w:w="5260" w:type="dxa"/>
            <w:vAlign w:val="bottom"/>
          </w:tcPr>
          <w:p>
            <w:pPr>
              <w:spacing w:after="0"/>
              <w:rPr>
                <w:sz w:val="15"/>
                <w:szCs w:val="15"/>
                <w:color w:val="auto"/>
              </w:rPr>
            </w:pPr>
          </w:p>
        </w:tc>
        <w:tc>
          <w:tcPr>
            <w:tcW w:w="20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Six Months Ended</w:t>
            </w:r>
          </w:p>
        </w:tc>
        <w:tc>
          <w:tcPr>
            <w:tcW w:w="21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5260" w:type="dxa"/>
            <w:vAlign w:val="bottom"/>
          </w:tcPr>
          <w:p>
            <w:pPr>
              <w:spacing w:after="0"/>
              <w:rPr>
                <w:sz w:val="15"/>
                <w:szCs w:val="15"/>
                <w:color w:val="auto"/>
              </w:rPr>
            </w:pPr>
          </w:p>
        </w:tc>
        <w:tc>
          <w:tcPr>
            <w:tcW w:w="2080" w:type="dxa"/>
            <w:vAlign w:val="bottom"/>
            <w:gridSpan w:val="2"/>
          </w:tcPr>
          <w:p>
            <w:pPr>
              <w:jc w:val="right"/>
              <w:ind w:right="621"/>
              <w:spacing w:after="0"/>
              <w:rPr>
                <w:sz w:val="20"/>
                <w:szCs w:val="20"/>
                <w:color w:val="auto"/>
              </w:rPr>
            </w:pPr>
            <w:r>
              <w:rPr>
                <w:rFonts w:ascii="Courier New" w:cs="Courier New" w:eastAsia="Courier New" w:hAnsi="Courier New"/>
                <w:sz w:val="16"/>
                <w:szCs w:val="16"/>
                <w:color w:val="auto"/>
              </w:rPr>
              <w:t>June 30,</w:t>
            </w:r>
          </w:p>
        </w:tc>
        <w:tc>
          <w:tcPr>
            <w:tcW w:w="21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5260" w:type="dxa"/>
            <w:vAlign w:val="bottom"/>
          </w:tcPr>
          <w:p>
            <w:pPr>
              <w:spacing w:after="0"/>
              <w:rPr>
                <w:sz w:val="15"/>
                <w:szCs w:val="15"/>
                <w:color w:val="auto"/>
              </w:rPr>
            </w:pP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2000</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1999</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526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260" w:type="dxa"/>
            <w:vAlign w:val="bottom"/>
          </w:tcPr>
          <w:p>
            <w:pPr>
              <w:spacing w:after="0"/>
              <w:rPr>
                <w:sz w:val="20"/>
                <w:szCs w:val="20"/>
                <w:color w:val="auto"/>
              </w:rPr>
            </w:pPr>
            <w:r>
              <w:rPr>
                <w:rFonts w:ascii="Courier New" w:cs="Courier New" w:eastAsia="Courier New" w:hAnsi="Courier New"/>
                <w:sz w:val="16"/>
                <w:szCs w:val="16"/>
                <w:color w:val="auto"/>
                <w:w w:val="99"/>
              </w:rPr>
              <w:t>Net (loss) income for common stockholders..............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$889.9</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$180.1</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$816.4</w:t>
            </w:r>
          </w:p>
        </w:tc>
      </w:tr>
      <w:tr>
        <w:trPr>
          <w:trHeight w:val="182"/>
        </w:trPr>
        <w:tc>
          <w:tcPr>
            <w:tcW w:w="5260" w:type="dxa"/>
            <w:vAlign w:val="bottom"/>
          </w:tcPr>
          <w:p>
            <w:pPr>
              <w:spacing w:after="0"/>
              <w:rPr>
                <w:sz w:val="20"/>
                <w:szCs w:val="20"/>
                <w:color w:val="auto"/>
              </w:rPr>
            </w:pPr>
            <w:r>
              <w:rPr>
                <w:rFonts w:ascii="Courier New" w:cs="Courier New" w:eastAsia="Courier New" w:hAnsi="Courier New"/>
                <w:sz w:val="16"/>
                <w:szCs w:val="16"/>
                <w:color w:val="auto"/>
                <w:w w:val="99"/>
              </w:rPr>
              <w:t>Preferred dividends....................................</w:t>
            </w:r>
          </w:p>
        </w:tc>
        <w:tc>
          <w:tcPr>
            <w:tcW w:w="10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15.1</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w:t>
            </w:r>
          </w:p>
        </w:tc>
      </w:tr>
      <w:tr>
        <w:trPr>
          <w:trHeight w:val="182"/>
        </w:trPr>
        <w:tc>
          <w:tcPr>
            <w:tcW w:w="526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260" w:type="dxa"/>
            <w:vAlign w:val="bottom"/>
          </w:tcPr>
          <w:p>
            <w:pPr>
              <w:spacing w:after="0"/>
              <w:rPr>
                <w:sz w:val="20"/>
                <w:szCs w:val="20"/>
                <w:color w:val="auto"/>
              </w:rPr>
            </w:pPr>
            <w:r>
              <w:rPr>
                <w:rFonts w:ascii="Courier New" w:cs="Courier New" w:eastAsia="Courier New" w:hAnsi="Courier New"/>
                <w:sz w:val="16"/>
                <w:szCs w:val="16"/>
                <w:color w:val="auto"/>
              </w:rPr>
              <w:t>Net (loss) income for common stockholders used</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w w:val="99"/>
              </w:rPr>
              <w:t>for Diluted EPS......................................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$905.0</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$187.7</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$824.0</w:t>
            </w:r>
          </w:p>
        </w:tc>
      </w:tr>
      <w:tr>
        <w:trPr>
          <w:trHeight w:val="182"/>
        </w:trPr>
        <w:tc>
          <w:tcPr>
            <w:tcW w:w="526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26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common shares</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w w:val="99"/>
              </w:rPr>
              <w:t>outstanding..........................................</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873.2</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742.9</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909.8</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744.4</w:t>
            </w:r>
          </w:p>
        </w:tc>
      </w:tr>
      <w:tr>
        <w:trPr>
          <w:trHeight w:val="182"/>
        </w:trPr>
        <w:tc>
          <w:tcPr>
            <w:tcW w:w="5260" w:type="dxa"/>
            <w:vAlign w:val="bottom"/>
          </w:tcPr>
          <w:p>
            <w:pPr>
              <w:spacing w:after="0"/>
              <w:rPr>
                <w:sz w:val="20"/>
                <w:szCs w:val="20"/>
                <w:color w:val="auto"/>
              </w:rPr>
            </w:pPr>
            <w:r>
              <w:rPr>
                <w:rFonts w:ascii="Courier New" w:cs="Courier New" w:eastAsia="Courier New" w:hAnsi="Courier New"/>
                <w:sz w:val="16"/>
                <w:szCs w:val="16"/>
                <w:color w:val="auto"/>
              </w:rPr>
              <w:t>Dilutive securities:</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w w:val="99"/>
              </w:rPr>
              <w:t>Series A and B convertible preferred stock...........</w:t>
            </w:r>
          </w:p>
        </w:tc>
        <w:tc>
          <w:tcPr>
            <w:tcW w:w="10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45.2</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42.5</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45.2</w:t>
            </w:r>
          </w:p>
        </w:tc>
      </w:tr>
      <w:tr>
        <w:trPr>
          <w:trHeight w:val="182"/>
        </w:trPr>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w w:val="99"/>
              </w:rPr>
              <w:t>Stock option and restricted stock plans..............</w:t>
            </w:r>
          </w:p>
        </w:tc>
        <w:tc>
          <w:tcPr>
            <w:tcW w:w="10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27.0</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22.2</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25.7</w:t>
            </w:r>
          </w:p>
        </w:tc>
      </w:tr>
      <w:tr>
        <w:trPr>
          <w:trHeight w:val="182"/>
        </w:trPr>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w w:val="99"/>
              </w:rPr>
              <w:t>Put options on Class A Special Common Stock..........</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w:t>
            </w:r>
          </w:p>
        </w:tc>
        <w:tc>
          <w:tcPr>
            <w:tcW w:w="1040" w:type="dxa"/>
            <w:vAlign w:val="bottom"/>
          </w:tcPr>
          <w:p>
            <w:pPr>
              <w:spacing w:after="0"/>
              <w:rPr>
                <w:sz w:val="15"/>
                <w:szCs w:val="15"/>
                <w:color w:val="auto"/>
              </w:rPr>
            </w:pPr>
          </w:p>
        </w:tc>
      </w:tr>
      <w:tr>
        <w:trPr>
          <w:trHeight w:val="182"/>
        </w:trPr>
        <w:tc>
          <w:tcPr>
            <w:tcW w:w="526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26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common shares</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w w:val="99"/>
              </w:rPr>
              <w:t>outstanding..........................................</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873.2</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815.1</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974.7</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815.3</w:t>
            </w:r>
          </w:p>
        </w:tc>
      </w:tr>
      <w:tr>
        <w:trPr>
          <w:trHeight w:val="182"/>
        </w:trPr>
        <w:tc>
          <w:tcPr>
            <w:tcW w:w="526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260" w:type="dxa"/>
            <w:vAlign w:val="bottom"/>
          </w:tcPr>
          <w:p>
            <w:pPr>
              <w:spacing w:after="0"/>
              <w:rPr>
                <w:sz w:val="20"/>
                <w:szCs w:val="20"/>
                <w:color w:val="auto"/>
              </w:rPr>
            </w:pPr>
            <w:r>
              <w:rPr>
                <w:rFonts w:ascii="Courier New" w:cs="Courier New" w:eastAsia="Courier New" w:hAnsi="Courier New"/>
                <w:sz w:val="16"/>
                <w:szCs w:val="16"/>
                <w:color w:val="auto"/>
              </w:rPr>
              <w:t>Diluted (loss) earnings for common stockholders</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260" w:type="dxa"/>
            <w:vAlign w:val="bottom"/>
          </w:tcPr>
          <w:p>
            <w:pPr>
              <w:ind w:left="200"/>
              <w:spacing w:after="0"/>
              <w:rPr>
                <w:sz w:val="20"/>
                <w:szCs w:val="20"/>
                <w:color w:val="auto"/>
              </w:rPr>
            </w:pPr>
            <w:r>
              <w:rPr>
                <w:rFonts w:ascii="Courier New" w:cs="Courier New" w:eastAsia="Courier New" w:hAnsi="Courier New"/>
                <w:sz w:val="16"/>
                <w:szCs w:val="16"/>
                <w:color w:val="auto"/>
                <w:w w:val="99"/>
              </w:rPr>
              <w:t>per common share.....................................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$1.11</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w:t>
            </w:r>
          </w:p>
        </w:tc>
      </w:tr>
      <w:tr>
        <w:trPr>
          <w:trHeight w:val="182"/>
        </w:trPr>
        <w:tc>
          <w:tcPr>
            <w:tcW w:w="526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Put options sold by the Company on a weighted average 1.3 million shares, 4.8 million shares, 2.0 million shares and 4.2 million shares, respectively, of its Class A Special Common stock (see Note 6) were outstanding during the six months ended June 30, 2000 and 1999 and during the three months ended June 30, 2000 and 1999, respectively. For the six months ended June 30, 2000 and for the six and three months ended June 30, 1999, such</w:t>
      </w:r>
    </w:p>
    <w:p>
      <w:pPr>
        <w:spacing w:after="0" w:line="18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59"/>
          </w:cols>
          <w:pgMar w:left="700" w:top="477" w:right="1440" w:bottom="1440" w:gutter="0" w:footer="0" w:header="0"/>
        </w:sectPr>
      </w:pPr>
    </w:p>
    <w:bookmarkStart w:id="8" w:name="page9"/>
    <w:bookmarkEnd w:id="8"/>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3" w:right="2659"/>
        <w:spacing w:after="0" w:line="238" w:lineRule="auto"/>
        <w:rPr>
          <w:sz w:val="20"/>
          <w:szCs w:val="20"/>
          <w:color w:val="auto"/>
        </w:rPr>
      </w:pPr>
      <w:r>
        <w:rPr>
          <w:rFonts w:ascii="Courier New" w:cs="Courier New" w:eastAsia="Courier New" w:hAnsi="Courier New"/>
          <w:sz w:val="16"/>
          <w:szCs w:val="16"/>
          <w:color w:val="auto"/>
        </w:rPr>
        <w:t>put options were not included in the computation of Diluted EPS as the options' exercise price was less than the average market price of the Company's Class A Special Common Stock during the periods.</w:t>
      </w:r>
    </w:p>
    <w:p>
      <w:pPr>
        <w:spacing w:after="0" w:line="188" w:lineRule="exact"/>
        <w:rPr>
          <w:sz w:val="20"/>
          <w:szCs w:val="20"/>
          <w:color w:val="auto"/>
        </w:rPr>
      </w:pPr>
    </w:p>
    <w:p>
      <w:pPr>
        <w:jc w:val="both"/>
        <w:ind w:left="463" w:right="2659"/>
        <w:spacing w:after="0" w:line="259" w:lineRule="auto"/>
        <w:rPr>
          <w:sz w:val="20"/>
          <w:szCs w:val="20"/>
          <w:color w:val="auto"/>
        </w:rPr>
      </w:pPr>
      <w:r>
        <w:rPr>
          <w:rFonts w:ascii="Courier New" w:cs="Courier New" w:eastAsia="Courier New" w:hAnsi="Courier New"/>
          <w:sz w:val="15"/>
          <w:szCs w:val="15"/>
          <w:color w:val="auto"/>
        </w:rPr>
        <w:t>For the six months ended June 30, 2000, potentially dilutive securities related to the Company's Series B convertible preferred stock, stock option and restricted stock plans have been excluded in determining the total weighted average number of common shares outstanding because of their antidilutive effect on loss for common stockholders per common share.</w:t>
      </w:r>
    </w:p>
    <w:p>
      <w:pPr>
        <w:spacing w:after="0" w:line="170" w:lineRule="exact"/>
        <w:rPr>
          <w:sz w:val="20"/>
          <w:szCs w:val="20"/>
          <w:color w:val="auto"/>
        </w:rPr>
      </w:pPr>
    </w:p>
    <w:p>
      <w:pPr>
        <w:ind w:left="463" w:hanging="463"/>
        <w:spacing w:after="0"/>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EVENTS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Lenfest Communications, Inc.</w:t>
      </w:r>
    </w:p>
    <w:p>
      <w:pPr>
        <w:spacing w:after="0" w:line="4" w:lineRule="exact"/>
        <w:rPr>
          <w:rFonts w:ascii="Courier New" w:cs="Courier New" w:eastAsia="Courier New" w:hAnsi="Courier New"/>
          <w:sz w:val="16"/>
          <w:szCs w:val="16"/>
          <w:color w:val="auto"/>
        </w:rPr>
      </w:pPr>
    </w:p>
    <w:p>
      <w:pPr>
        <w:jc w:val="both"/>
        <w:ind w:left="463" w:right="265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January 2000, the Company acquired substantially all of the assets of Lenfest Communications, Inc. ("Lenfest"), a cable communications company serving approximately 1.1 million subscribers primarily in the Philadelphia area from AT&amp;T Corp. ("AT&amp;T") and the other Lenfest stockholders for approximately 121.4 million shares of the Company's Class A Special Common Stock, subject to adjustment, with a value of $6.077 billion (the "Lenfest Acquisition"). In connection with the Lenfest Acquisition, the Company assumed approximately $1.326 billion of debt. Immediately upon closing of the Lenfest Acquisition, Lenfest was merged with and into Comcast LCI Holdings, Inc. ("LCI Holdings"), a wholly owned subsidiary of the Company, with LCI Holdings as the successor to Lenfest.</w:t>
      </w:r>
    </w:p>
    <w:p>
      <w:pPr>
        <w:spacing w:after="0" w:line="177"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Consolidation of Comcast Cablevision of Garden State, L.P.</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Cablevision of Garden State, L.P. ("Garden State Cable") (formerly Garden State Cablevision L.P.), a cable communications company serving approximately 216,000 subscribers in New Jersey, is a partnership which was owned 50% by Lenfest and 50% by the Company. The Company had accounted for its interest in Garden State Cable under the equity method (see Note 4). As a result of the Lenfest Acquisition, the Company now indirectly owns 100% of Garden State Cable. As such, the operating results of Garden State Cable have been included in the Company's condensed consolidated statement of operations and accumulated deficit from the date of the Lenfest Acquisition.</w:t>
      </w:r>
    </w:p>
    <w:p>
      <w:pPr>
        <w:spacing w:after="0" w:line="184"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CalPERS' Interest in Jointly Owned Cable Properties</w:t>
      </w:r>
    </w:p>
    <w:p>
      <w:pPr>
        <w:spacing w:after="0" w:line="4"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2000, the Company acquired the California Public Employees Retirement System's ("CalPERS") 45% interest in Comcast MHCP Holdings, L.L.C. ("Comcast MHCP"), formerly a 55% owned consolidated subsidiary of the Company which serves approximately 642,000 cable subscribers in Michigan, New Jersey and Florida. As a result, the Company now owns 100% of Comcast MHCP. The consideration was $750.0 million in cash.</w:t>
      </w:r>
    </w:p>
    <w:p>
      <w:pPr>
        <w:spacing w:after="0" w:line="186"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Jones Intercable, Inc.</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April 1999, the Company acquired a controlling interest in Jones Intercable, Inc. ("Jones Intercable"), a cable communications company serving approximately 1.1 million subscribers, for aggregate consideration of $706.3 million in cash. The acquisition was accounted for under the purchase method of accounting. As such, the operating results of Jones Intercable have been included in the Company's condensed consolidated statement of operations and accumulated deficit from the acquisition date. In June 1999, the Company purchased an additional 1.0 million shares of Jones Intercable Class A Common Stock for $50.0 million in cash in a private transaction. The Company contributed its interest in Jones Intercable to Comcast Cable Communications, Inc. ("Comcast Cable"), a wholly owned subsidiary of the Company.</w:t>
      </w:r>
    </w:p>
    <w:p>
      <w:pPr>
        <w:spacing w:after="0" w:line="189" w:lineRule="exact"/>
        <w:rPr>
          <w:rFonts w:ascii="Courier New" w:cs="Courier New" w:eastAsia="Courier New" w:hAnsi="Courier New"/>
          <w:sz w:val="16"/>
          <w:szCs w:val="16"/>
          <w:color w:val="auto"/>
        </w:rPr>
      </w:pPr>
    </w:p>
    <w:p>
      <w:pPr>
        <w:jc w:val="both"/>
        <w:ind w:left="463"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March 2000, the Jones Intercable shareholders approved a merger agreement pursuant to which the Jones Intercable shareholders, including Comcast Cable, received 1.4 shares of the Company's Class A Special Common Stock in exchange for each share of Jones Intercable Class A Common Stock and Common Stock (the "Jones Merger") and Jones Intercable was merged with and into Comcast JOIN Holdings, Inc., a wholly owned subsidiary of the Company ("JOIN Holdings"), with JOIN Holdings as the successor to Jones Intercable. In connection with the closing of the Jones Merger, the Company issued approximately 58.9 million shares of its Class A Special</w:t>
      </w:r>
    </w:p>
    <w:p>
      <w:pPr>
        <w:spacing w:after="0" w:line="17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2"/>
          </w:cols>
          <w:pgMar w:left="237" w:top="477" w:right="1440" w:bottom="1440" w:gutter="0" w:footer="0" w:header="0"/>
        </w:sectPr>
      </w:pPr>
    </w:p>
    <w:bookmarkStart w:id="9" w:name="page10"/>
    <w:bookmarkEnd w:id="9"/>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Common Stock to the Jones Intercable shareholders, including approximately 23.3 million shares to a subsidiary of the Company and 35.6 million shares with a value of $1.727 billion to the public shareholders. As required under generally accepted accounting principles, the shares held by the subsidiary of the Company are presented as issued but not outstanding (held in treasury) in the Company's June 30, 2000 condensed consolidated balance sheet.</w:t>
      </w:r>
    </w:p>
    <w:p>
      <w:pPr>
        <w:spacing w:after="0" w:line="192"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The acquisitions completed by the Company during the six months ended June 30, 2000 were accounted for under the purchase method of accounting. As such, the operating results of the acquired systems have been included in the Company's condensed consolidated statement of operations and accumulated deficit from the acquisition date. The Company adjusted the purchase price allocation related to the Company's acquisitions of CalPERS' interest in Comcast MHCP and of the public shareholders' interest in Jones Intercable during the second quarter of 2000. The allocation of the purchase price for the acquisitions of Lenfest and Garden State Cable is preliminary pending completion of final appraisals. As the consideration given in exchange for Jones Intercable, Lenfest and the additional 50% interest in Garden State Cable was shares of the Company's Class A Special Common Stock, the acquisitions of such interests had no significant impact on the Company's condensed consolidated statement of cash flows during the six months ended June 30, 2000 (see Note 7).</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w w:val="98"/>
              </w:rPr>
              <w:t>Time Warner</w:t>
            </w:r>
          </w:p>
        </w:tc>
        <w:tc>
          <w:tcPr>
            <w:tcW w:w="11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Agreement</w:t>
            </w: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2"/>
        </w:trPr>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w w:val="98"/>
              </w:rPr>
              <w:t>In November</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1999,</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Company</w:t>
            </w:r>
          </w:p>
        </w:tc>
        <w:tc>
          <w:tcPr>
            <w:tcW w:w="4260" w:type="dxa"/>
            <w:vAlign w:val="bottom"/>
            <w:gridSpan w:val="10"/>
          </w:tcPr>
          <w:p>
            <w:pPr>
              <w:spacing w:after="0"/>
              <w:rPr>
                <w:sz w:val="20"/>
                <w:szCs w:val="20"/>
                <w:color w:val="auto"/>
              </w:rPr>
            </w:pPr>
            <w:r>
              <w:rPr>
                <w:rFonts w:ascii="Courier New" w:cs="Courier New" w:eastAsia="Courier New" w:hAnsi="Courier New"/>
                <w:sz w:val="16"/>
                <w:szCs w:val="16"/>
                <w:color w:val="auto"/>
                <w:w w:val="98"/>
              </w:rPr>
              <w:t>entered into an agreement to exchange certain</w:t>
            </w:r>
          </w:p>
        </w:tc>
      </w:tr>
      <w:tr>
        <w:trPr>
          <w:trHeight w:val="182"/>
        </w:trPr>
        <w:tc>
          <w:tcPr>
            <w:tcW w:w="1620" w:type="dxa"/>
            <w:vAlign w:val="bottom"/>
            <w:gridSpan w:val="3"/>
          </w:tcPr>
          <w:p>
            <w:pPr>
              <w:spacing w:after="0"/>
              <w:rPr>
                <w:sz w:val="20"/>
                <w:szCs w:val="20"/>
                <w:color w:val="auto"/>
              </w:rPr>
            </w:pPr>
            <w:r>
              <w:rPr>
                <w:rFonts w:ascii="Courier New" w:cs="Courier New" w:eastAsia="Courier New" w:hAnsi="Courier New"/>
                <w:sz w:val="16"/>
                <w:szCs w:val="16"/>
                <w:color w:val="auto"/>
              </w:rPr>
              <w:t>of the Company's</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w w:val="91"/>
              </w:rPr>
              <w:t>cable</w:t>
            </w:r>
          </w:p>
        </w:tc>
        <w:tc>
          <w:tcPr>
            <w:tcW w:w="15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9"/>
              </w:rPr>
              <w:t>communications</w:t>
            </w:r>
          </w:p>
        </w:tc>
        <w:tc>
          <w:tcPr>
            <w:tcW w:w="3120" w:type="dxa"/>
            <w:vAlign w:val="bottom"/>
            <w:gridSpan w:val="7"/>
          </w:tcPr>
          <w:p>
            <w:pPr>
              <w:ind w:left="140"/>
              <w:spacing w:after="0"/>
              <w:rPr>
                <w:sz w:val="20"/>
                <w:szCs w:val="20"/>
                <w:color w:val="auto"/>
              </w:rPr>
            </w:pPr>
            <w:r>
              <w:rPr>
                <w:rFonts w:ascii="Courier New" w:cs="Courier New" w:eastAsia="Courier New" w:hAnsi="Courier New"/>
                <w:sz w:val="16"/>
                <w:szCs w:val="16"/>
                <w:color w:val="auto"/>
                <w:w w:val="99"/>
              </w:rPr>
              <w:t>systems with Time Warner Cable,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r>
      <w:tr>
        <w:trPr>
          <w:trHeight w:val="182"/>
        </w:trPr>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w w:val="98"/>
              </w:rPr>
              <w:t>division of</w:t>
            </w:r>
          </w:p>
        </w:tc>
        <w:tc>
          <w:tcPr>
            <w:tcW w:w="11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6"/>
              </w:rPr>
              <w:t>Time Warner</w:t>
            </w:r>
          </w:p>
        </w:tc>
        <w:tc>
          <w:tcPr>
            <w:tcW w:w="15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Entertainment</w:t>
            </w:r>
          </w:p>
        </w:tc>
        <w:tc>
          <w:tcPr>
            <w:tcW w:w="8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Company,</w:t>
            </w:r>
          </w:p>
        </w:tc>
        <w:tc>
          <w:tcPr>
            <w:tcW w:w="25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L.P. On July 1, 2000, the</w:t>
            </w:r>
          </w:p>
        </w:tc>
      </w:tr>
      <w:tr>
        <w:trPr>
          <w:trHeight w:val="182"/>
        </w:trPr>
        <w:tc>
          <w:tcPr>
            <w:tcW w:w="1620" w:type="dxa"/>
            <w:vAlign w:val="bottom"/>
            <w:gridSpan w:val="3"/>
          </w:tcPr>
          <w:p>
            <w:pPr>
              <w:spacing w:after="0"/>
              <w:rPr>
                <w:sz w:val="20"/>
                <w:szCs w:val="20"/>
                <w:color w:val="auto"/>
              </w:rPr>
            </w:pPr>
            <w:r>
              <w:rPr>
                <w:rFonts w:ascii="Courier New" w:cs="Courier New" w:eastAsia="Courier New" w:hAnsi="Courier New"/>
                <w:sz w:val="16"/>
                <w:szCs w:val="16"/>
                <w:color w:val="auto"/>
                <w:w w:val="98"/>
              </w:rPr>
              <w:t>agreement expired</w:t>
            </w:r>
          </w:p>
        </w:tc>
        <w:tc>
          <w:tcPr>
            <w:tcW w:w="3400" w:type="dxa"/>
            <w:vAlign w:val="bottom"/>
            <w:gridSpan w:val="7"/>
          </w:tcPr>
          <w:p>
            <w:pPr>
              <w:ind w:left="100"/>
              <w:spacing w:after="0"/>
              <w:rPr>
                <w:sz w:val="20"/>
                <w:szCs w:val="20"/>
                <w:color w:val="auto"/>
              </w:rPr>
            </w:pPr>
            <w:r>
              <w:rPr>
                <w:rFonts w:ascii="Courier New" w:cs="Courier New" w:eastAsia="Courier New" w:hAnsi="Courier New"/>
                <w:sz w:val="16"/>
                <w:szCs w:val="16"/>
                <w:color w:val="auto"/>
                <w:w w:val="97"/>
              </w:rPr>
              <w:t>with a closing not having occurred.</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64"/>
        </w:trPr>
        <w:tc>
          <w:tcPr>
            <w:tcW w:w="2840" w:type="dxa"/>
            <w:vAlign w:val="bottom"/>
            <w:gridSpan w:val="5"/>
          </w:tcPr>
          <w:p>
            <w:pPr>
              <w:spacing w:after="0"/>
              <w:rPr>
                <w:sz w:val="20"/>
                <w:szCs w:val="20"/>
                <w:color w:val="auto"/>
              </w:rPr>
            </w:pPr>
            <w:r>
              <w:rPr>
                <w:rFonts w:ascii="Courier New" w:cs="Courier New" w:eastAsia="Courier New" w:hAnsi="Courier New"/>
                <w:sz w:val="16"/>
                <w:szCs w:val="16"/>
                <w:color w:val="auto"/>
                <w:w w:val="97"/>
              </w:rPr>
              <w:t>Prime Communications Agreement</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2"/>
        </w:trPr>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w w:val="98"/>
              </w:rPr>
              <w:t>In December</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1998,</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Company</w:t>
            </w:r>
          </w:p>
        </w:tc>
        <w:tc>
          <w:tcPr>
            <w:tcW w:w="2520" w:type="dxa"/>
            <w:vAlign w:val="bottom"/>
            <w:gridSpan w:val="6"/>
          </w:tcPr>
          <w:p>
            <w:pPr>
              <w:spacing w:after="0"/>
              <w:rPr>
                <w:sz w:val="20"/>
                <w:szCs w:val="20"/>
                <w:color w:val="auto"/>
              </w:rPr>
            </w:pPr>
            <w:r>
              <w:rPr>
                <w:rFonts w:ascii="Courier New" w:cs="Courier New" w:eastAsia="Courier New" w:hAnsi="Courier New"/>
                <w:sz w:val="16"/>
                <w:szCs w:val="16"/>
                <w:color w:val="auto"/>
              </w:rPr>
              <w:t>agreed to invest in Prime</w:t>
            </w:r>
          </w:p>
        </w:tc>
        <w:tc>
          <w:tcPr>
            <w:tcW w:w="17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Communications LLC</w:t>
            </w:r>
          </w:p>
        </w:tc>
      </w:tr>
      <w:tr>
        <w:trPr>
          <w:trHeight w:val="182"/>
        </w:trPr>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rPr>
              <w:t>("Prime"),</w:t>
            </w:r>
          </w:p>
        </w:tc>
        <w:tc>
          <w:tcPr>
            <w:tcW w:w="2260" w:type="dxa"/>
            <w:vAlign w:val="bottom"/>
            <w:gridSpan w:val="4"/>
          </w:tcPr>
          <w:p>
            <w:pPr>
              <w:ind w:left="80"/>
              <w:spacing w:after="0"/>
              <w:rPr>
                <w:sz w:val="20"/>
                <w:szCs w:val="20"/>
                <w:color w:val="auto"/>
              </w:rPr>
            </w:pPr>
            <w:r>
              <w:rPr>
                <w:rFonts w:ascii="Courier New" w:cs="Courier New" w:eastAsia="Courier New" w:hAnsi="Courier New"/>
                <w:sz w:val="16"/>
                <w:szCs w:val="16"/>
                <w:color w:val="auto"/>
              </w:rPr>
              <w:t>a cable communications</w:t>
            </w:r>
          </w:p>
        </w:tc>
        <w:tc>
          <w:tcPr>
            <w:tcW w:w="170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company serving</w:t>
            </w:r>
          </w:p>
        </w:tc>
        <w:tc>
          <w:tcPr>
            <w:tcW w:w="1280" w:type="dxa"/>
            <w:vAlign w:val="bottom"/>
            <w:gridSpan w:val="3"/>
          </w:tcPr>
          <w:p>
            <w:pPr>
              <w:spacing w:after="0"/>
              <w:rPr>
                <w:sz w:val="20"/>
                <w:szCs w:val="20"/>
                <w:color w:val="auto"/>
              </w:rPr>
            </w:pPr>
            <w:r>
              <w:rPr>
                <w:rFonts w:ascii="Courier New" w:cs="Courier New" w:eastAsia="Courier New" w:hAnsi="Courier New"/>
                <w:sz w:val="16"/>
                <w:szCs w:val="16"/>
                <w:color w:val="auto"/>
              </w:rPr>
              <w:t>approximately</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430,000</w:t>
            </w:r>
          </w:p>
        </w:tc>
      </w:tr>
      <w:tr>
        <w:trPr>
          <w:trHeight w:val="182"/>
        </w:trPr>
        <w:tc>
          <w:tcPr>
            <w:tcW w:w="2840" w:type="dxa"/>
            <w:vAlign w:val="bottom"/>
            <w:gridSpan w:val="5"/>
          </w:tcPr>
          <w:p>
            <w:pPr>
              <w:spacing w:after="0"/>
              <w:rPr>
                <w:sz w:val="20"/>
                <w:szCs w:val="20"/>
                <w:color w:val="auto"/>
              </w:rPr>
            </w:pPr>
            <w:r>
              <w:rPr>
                <w:rFonts w:ascii="Courier New" w:cs="Courier New" w:eastAsia="Courier New" w:hAnsi="Courier New"/>
                <w:sz w:val="16"/>
                <w:szCs w:val="16"/>
                <w:color w:val="auto"/>
              </w:rPr>
              <w:t>subscribers.  Pursuant to the</w:t>
            </w:r>
          </w:p>
        </w:tc>
        <w:tc>
          <w:tcPr>
            <w:tcW w:w="3460" w:type="dxa"/>
            <w:vAlign w:val="bottom"/>
            <w:gridSpan w:val="8"/>
          </w:tcPr>
          <w:p>
            <w:pPr>
              <w:spacing w:after="0"/>
              <w:rPr>
                <w:sz w:val="20"/>
                <w:szCs w:val="20"/>
                <w:color w:val="auto"/>
              </w:rPr>
            </w:pPr>
            <w:r>
              <w:rPr>
                <w:rFonts w:ascii="Courier New" w:cs="Courier New" w:eastAsia="Courier New" w:hAnsi="Courier New"/>
                <w:sz w:val="16"/>
                <w:szCs w:val="16"/>
                <w:color w:val="auto"/>
                <w:w w:val="99"/>
              </w:rPr>
              <w:t>terms of this agreement, in December</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1998 the</w:t>
            </w:r>
          </w:p>
        </w:tc>
      </w:tr>
      <w:tr>
        <w:trPr>
          <w:trHeight w:val="182"/>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Company</w:t>
            </w:r>
          </w:p>
        </w:tc>
        <w:tc>
          <w:tcPr>
            <w:tcW w:w="9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6"/>
              </w:rPr>
              <w:t>acquired</w:t>
            </w:r>
          </w:p>
        </w:tc>
        <w:tc>
          <w:tcPr>
            <w:tcW w:w="3400" w:type="dxa"/>
            <w:vAlign w:val="bottom"/>
            <w:gridSpan w:val="7"/>
          </w:tcPr>
          <w:p>
            <w:pPr>
              <w:ind w:left="100"/>
              <w:spacing w:after="0"/>
              <w:rPr>
                <w:sz w:val="20"/>
                <w:szCs w:val="20"/>
                <w:color w:val="auto"/>
              </w:rPr>
            </w:pPr>
            <w:r>
              <w:rPr>
                <w:rFonts w:ascii="Courier New" w:cs="Courier New" w:eastAsia="Courier New" w:hAnsi="Courier New"/>
                <w:sz w:val="16"/>
                <w:szCs w:val="16"/>
                <w:color w:val="auto"/>
              </w:rPr>
              <w:t>from Prime a $50.0 million 12.75%</w:t>
            </w:r>
          </w:p>
        </w:tc>
        <w:tc>
          <w:tcPr>
            <w:tcW w:w="1280" w:type="dxa"/>
            <w:vAlign w:val="bottom"/>
            <w:gridSpan w:val="3"/>
          </w:tcPr>
          <w:p>
            <w:pPr>
              <w:spacing w:after="0"/>
              <w:rPr>
                <w:sz w:val="20"/>
                <w:szCs w:val="20"/>
                <w:color w:val="auto"/>
              </w:rPr>
            </w:pPr>
            <w:r>
              <w:rPr>
                <w:rFonts w:ascii="Courier New" w:cs="Courier New" w:eastAsia="Courier New" w:hAnsi="Courier New"/>
                <w:sz w:val="16"/>
                <w:szCs w:val="16"/>
                <w:color w:val="auto"/>
              </w:rPr>
              <w:t>subordinated</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note due</w:t>
            </w:r>
          </w:p>
        </w:tc>
      </w:tr>
      <w:tr>
        <w:trPr>
          <w:trHeight w:val="182"/>
        </w:trPr>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w w:val="98"/>
              </w:rPr>
              <w:t>2008 issued</w:t>
            </w:r>
          </w:p>
        </w:tc>
        <w:tc>
          <w:tcPr>
            <w:tcW w:w="178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by Prime. In July</w:t>
            </w:r>
          </w:p>
        </w:tc>
        <w:tc>
          <w:tcPr>
            <w:tcW w:w="900" w:type="dxa"/>
            <w:vAlign w:val="bottom"/>
            <w:gridSpan w:val="2"/>
          </w:tcPr>
          <w:p>
            <w:pPr>
              <w:spacing w:after="0"/>
              <w:rPr>
                <w:sz w:val="20"/>
                <w:szCs w:val="20"/>
                <w:color w:val="auto"/>
              </w:rPr>
            </w:pPr>
            <w:r>
              <w:rPr>
                <w:rFonts w:ascii="Courier New" w:cs="Courier New" w:eastAsia="Courier New" w:hAnsi="Courier New"/>
                <w:sz w:val="16"/>
                <w:szCs w:val="16"/>
                <w:color w:val="auto"/>
              </w:rPr>
              <w:t>1999, the</w:t>
            </w:r>
          </w:p>
        </w:tc>
        <w:tc>
          <w:tcPr>
            <w:tcW w:w="194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Company made a loan</w:t>
            </w: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to Prime in the</w:t>
            </w:r>
          </w:p>
        </w:tc>
      </w:tr>
      <w:tr>
        <w:trPr>
          <w:trHeight w:val="182"/>
        </w:trPr>
        <w:tc>
          <w:tcPr>
            <w:tcW w:w="1620" w:type="dxa"/>
            <w:vAlign w:val="bottom"/>
            <w:gridSpan w:val="3"/>
          </w:tcPr>
          <w:p>
            <w:pPr>
              <w:spacing w:after="0"/>
              <w:rPr>
                <w:sz w:val="20"/>
                <w:szCs w:val="20"/>
                <w:color w:val="auto"/>
              </w:rPr>
            </w:pPr>
            <w:r>
              <w:rPr>
                <w:rFonts w:ascii="Courier New" w:cs="Courier New" w:eastAsia="Courier New" w:hAnsi="Courier New"/>
                <w:sz w:val="16"/>
                <w:szCs w:val="16"/>
                <w:color w:val="auto"/>
              </w:rPr>
              <w:t>form of a $733.5</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million  6%</w:t>
            </w:r>
          </w:p>
        </w:tc>
        <w:tc>
          <w:tcPr>
            <w:tcW w:w="900" w:type="dxa"/>
            <w:vAlign w:val="bottom"/>
            <w:gridSpan w:val="2"/>
          </w:tcPr>
          <w:p>
            <w:pPr>
              <w:spacing w:after="0"/>
              <w:rPr>
                <w:sz w:val="20"/>
                <w:szCs w:val="20"/>
                <w:color w:val="auto"/>
              </w:rPr>
            </w:pPr>
            <w:r>
              <w:rPr>
                <w:rFonts w:ascii="Courier New" w:cs="Courier New" w:eastAsia="Courier New" w:hAnsi="Courier New"/>
                <w:sz w:val="16"/>
                <w:szCs w:val="16"/>
                <w:color w:val="auto"/>
              </w:rPr>
              <w:t>ten year</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w w:val="91"/>
              </w:rPr>
              <w:t>note,</w:t>
            </w:r>
          </w:p>
        </w:tc>
        <w:tc>
          <w:tcPr>
            <w:tcW w:w="142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convertible</w:t>
            </w: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into 90% of the</w:t>
            </w:r>
          </w:p>
        </w:tc>
      </w:tr>
      <w:tr>
        <w:trPr>
          <w:trHeight w:val="182"/>
        </w:trPr>
        <w:tc>
          <w:tcPr>
            <w:tcW w:w="1620" w:type="dxa"/>
            <w:vAlign w:val="bottom"/>
            <w:gridSpan w:val="3"/>
          </w:tcPr>
          <w:p>
            <w:pPr>
              <w:spacing w:after="0"/>
              <w:rPr>
                <w:sz w:val="20"/>
                <w:szCs w:val="20"/>
                <w:color w:val="auto"/>
              </w:rPr>
            </w:pPr>
            <w:r>
              <w:rPr>
                <w:rFonts w:ascii="Courier New" w:cs="Courier New" w:eastAsia="Courier New" w:hAnsi="Courier New"/>
                <w:sz w:val="16"/>
                <w:szCs w:val="16"/>
                <w:color w:val="auto"/>
              </w:rPr>
              <w:t>equity of Prime.</w:t>
            </w:r>
          </w:p>
        </w:tc>
        <w:tc>
          <w:tcPr>
            <w:tcW w:w="17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Since that time,</w:t>
            </w:r>
          </w:p>
        </w:tc>
        <w:tc>
          <w:tcPr>
            <w:tcW w:w="12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the Company</w:t>
            </w:r>
          </w:p>
        </w:tc>
        <w:tc>
          <w:tcPr>
            <w:tcW w:w="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made an</w:t>
            </w:r>
          </w:p>
        </w:tc>
        <w:tc>
          <w:tcPr>
            <w:tcW w:w="17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additional  $50.0</w:t>
            </w:r>
          </w:p>
        </w:tc>
      </w:tr>
      <w:tr>
        <w:trPr>
          <w:trHeight w:val="182"/>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million</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w w:val="93"/>
              </w:rPr>
              <w:t>in</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loans</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5"/>
              </w:rPr>
              <w:t>to Prime (on</w:t>
            </w:r>
          </w:p>
        </w:tc>
        <w:tc>
          <w:tcPr>
            <w:tcW w:w="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same</w:t>
            </w:r>
          </w:p>
        </w:tc>
        <w:tc>
          <w:tcPr>
            <w:tcW w:w="12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7"/>
              </w:rPr>
              <w:t>terms as the</w:t>
            </w:r>
          </w:p>
        </w:tc>
        <w:tc>
          <w:tcPr>
            <w:tcW w:w="184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original  loan).</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On</w:t>
            </w:r>
          </w:p>
        </w:tc>
      </w:tr>
      <w:tr>
        <w:trPr>
          <w:trHeight w:val="182"/>
        </w:trPr>
        <w:tc>
          <w:tcPr>
            <w:tcW w:w="1620" w:type="dxa"/>
            <w:vAlign w:val="bottom"/>
            <w:gridSpan w:val="3"/>
          </w:tcPr>
          <w:p>
            <w:pPr>
              <w:spacing w:after="0"/>
              <w:rPr>
                <w:sz w:val="20"/>
                <w:szCs w:val="20"/>
                <w:color w:val="auto"/>
              </w:rPr>
            </w:pPr>
            <w:r>
              <w:rPr>
                <w:rFonts w:ascii="Courier New" w:cs="Courier New" w:eastAsia="Courier New" w:hAnsi="Courier New"/>
                <w:sz w:val="16"/>
                <w:szCs w:val="16"/>
                <w:color w:val="auto"/>
              </w:rPr>
              <w:t>August 1, 2000,</w:t>
            </w:r>
          </w:p>
        </w:tc>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the note was</w:t>
            </w:r>
          </w:p>
        </w:tc>
        <w:tc>
          <w:tcPr>
            <w:tcW w:w="176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converted and the</w:t>
            </w:r>
          </w:p>
        </w:tc>
        <w:tc>
          <w:tcPr>
            <w:tcW w:w="250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9"/>
              </w:rPr>
              <w:t>owners of Prime sold their</w:t>
            </w:r>
          </w:p>
        </w:tc>
      </w:tr>
      <w:tr>
        <w:trPr>
          <w:trHeight w:val="182"/>
        </w:trPr>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rPr>
              <w:t>remaining</w:t>
            </w:r>
          </w:p>
        </w:tc>
        <w:tc>
          <w:tcPr>
            <w:tcW w:w="1120" w:type="dxa"/>
            <w:vAlign w:val="bottom"/>
            <w:gridSpan w:val="2"/>
          </w:tcPr>
          <w:p>
            <w:pPr>
              <w:spacing w:after="0"/>
              <w:rPr>
                <w:sz w:val="20"/>
                <w:szCs w:val="20"/>
                <w:color w:val="auto"/>
              </w:rPr>
            </w:pPr>
            <w:r>
              <w:rPr>
                <w:rFonts w:ascii="Courier New" w:cs="Courier New" w:eastAsia="Courier New" w:hAnsi="Courier New"/>
                <w:sz w:val="16"/>
                <w:szCs w:val="16"/>
                <w:color w:val="auto"/>
              </w:rPr>
              <w:t>10% equity</w:t>
            </w:r>
          </w:p>
        </w:tc>
        <w:tc>
          <w:tcPr>
            <w:tcW w:w="2420" w:type="dxa"/>
            <w:vAlign w:val="bottom"/>
            <w:gridSpan w:val="5"/>
          </w:tcPr>
          <w:p>
            <w:pPr>
              <w:spacing w:after="0"/>
              <w:rPr>
                <w:sz w:val="20"/>
                <w:szCs w:val="20"/>
                <w:color w:val="auto"/>
              </w:rPr>
            </w:pPr>
            <w:r>
              <w:rPr>
                <w:rFonts w:ascii="Courier New" w:cs="Courier New" w:eastAsia="Courier New" w:hAnsi="Courier New"/>
                <w:sz w:val="16"/>
                <w:szCs w:val="16"/>
                <w:color w:val="auto"/>
              </w:rPr>
              <w:t>interest in Prime to the</w:t>
            </w:r>
          </w:p>
        </w:tc>
        <w:tc>
          <w:tcPr>
            <w:tcW w:w="10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6"/>
              </w:rPr>
              <w:t>Company for</w:t>
            </w:r>
          </w:p>
        </w:tc>
        <w:tc>
          <w:tcPr>
            <w:tcW w:w="14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approximately</w:t>
            </w:r>
          </w:p>
        </w:tc>
      </w:tr>
      <w:tr>
        <w:trPr>
          <w:trHeight w:val="182"/>
        </w:trPr>
        <w:tc>
          <w:tcPr>
            <w:tcW w:w="680" w:type="dxa"/>
            <w:vAlign w:val="bottom"/>
          </w:tcPr>
          <w:p>
            <w:pPr>
              <w:spacing w:after="0"/>
              <w:rPr>
                <w:sz w:val="20"/>
                <w:szCs w:val="20"/>
                <w:color w:val="auto"/>
              </w:rPr>
            </w:pPr>
            <w:r>
              <w:rPr>
                <w:rFonts w:ascii="Courier New" w:cs="Courier New" w:eastAsia="Courier New" w:hAnsi="Courier New"/>
                <w:sz w:val="16"/>
                <w:szCs w:val="16"/>
                <w:color w:val="auto"/>
              </w:rPr>
              <w:t>$87.7</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million.</w:t>
            </w:r>
          </w:p>
        </w:tc>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As a result,</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the</w:t>
            </w:r>
          </w:p>
        </w:tc>
        <w:tc>
          <w:tcPr>
            <w:tcW w:w="9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Company</w:t>
            </w:r>
          </w:p>
        </w:tc>
        <w:tc>
          <w:tcPr>
            <w:tcW w:w="2840" w:type="dxa"/>
            <w:vAlign w:val="bottom"/>
            <w:gridSpan w:val="7"/>
          </w:tcPr>
          <w:p>
            <w:pPr>
              <w:jc w:val="right"/>
              <w:spacing w:after="0"/>
              <w:rPr>
                <w:sz w:val="20"/>
                <w:szCs w:val="20"/>
                <w:color w:val="auto"/>
              </w:rPr>
            </w:pPr>
            <w:r>
              <w:rPr>
                <w:rFonts w:ascii="Courier New" w:cs="Courier New" w:eastAsia="Courier New" w:hAnsi="Courier New"/>
                <w:sz w:val="16"/>
                <w:szCs w:val="16"/>
                <w:color w:val="auto"/>
                <w:w w:val="97"/>
              </w:rPr>
              <w:t>now owns 100% of Prime and has</w:t>
            </w:r>
          </w:p>
        </w:tc>
      </w:tr>
    </w:tbl>
    <w:p>
      <w:pPr>
        <w:spacing w:after="0" w:line="5"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assumed management control of Prime's operations. Upon closing, the Company repaid $535.1 million of Prime's debt with proceeds from borrowings under existing credit facilities.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Pro Forma Information</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following unaudited pro forma information for the six months ended June 30, 1999 has been presented as if the Lenfest Acquisition occurred on January 1, 1999. This information is based on historical results of operations, adjusted for acquisition costs, and, in the opinion of</w:t>
      </w:r>
    </w:p>
    <w:p>
      <w:pPr>
        <w:spacing w:after="0" w:line="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management, is not necessarily indicative of what the results would have been had the Company operated Lenfest and Garden State Cable since January 1, 1999 (dollars in millions).</w:t>
      </w:r>
    </w:p>
    <w:p>
      <w:pPr>
        <w:spacing w:after="0" w:line="184"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Six Months</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June 30, 1999</w:t>
      </w:r>
    </w:p>
    <w:p>
      <w:pPr>
        <w:spacing w:after="0" w:line="1"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759"/>
          </w:cols>
          <w:pgMar w:left="700" w:top="477" w:right="1440" w:bottom="1440" w:gutter="0" w:footer="0" w:header="0"/>
        </w:sectPr>
      </w:pP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Revenues..................................</w:t>
      </w:r>
    </w:p>
    <w:p>
      <w:pPr>
        <w:spacing w:after="0" w:line="12"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Net income................................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5"/>
          <w:szCs w:val="15"/>
          <w:color w:val="auto"/>
        </w:rPr>
        <w:t>$3,289.6</w:t>
      </w:r>
    </w:p>
    <w:p>
      <w:pPr>
        <w:spacing w:after="0" w:line="8"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6"/>
          <w:szCs w:val="16"/>
          <w:color w:val="auto"/>
        </w:rPr>
        <w:t>665.7</w:t>
      </w:r>
    </w:p>
    <w:p>
      <w:pPr>
        <w:spacing w:after="0" w:line="183" w:lineRule="exact"/>
        <w:rPr>
          <w:sz w:val="20"/>
          <w:szCs w:val="20"/>
          <w:color w:val="auto"/>
        </w:rPr>
      </w:pPr>
    </w:p>
    <w:p>
      <w:pPr>
        <w:sectPr>
          <w:pgSz w:w="11900" w:h="16838" w:orient="portrait"/>
          <w:cols w:equalWidth="0" w:num="2">
            <w:col w:w="4460" w:space="660"/>
            <w:col w:w="4639"/>
          </w:cols>
          <w:pgMar w:left="700" w:top="47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Other Expense (Income)</w:t>
      </w:r>
    </w:p>
    <w:p>
      <w:pPr>
        <w:spacing w:after="0" w:line="1" w:lineRule="exact"/>
        <w:rPr>
          <w:sz w:val="20"/>
          <w:szCs w:val="20"/>
          <w:color w:val="auto"/>
        </w:rPr>
      </w:pPr>
    </w:p>
    <w:p>
      <w:pPr>
        <w:spacing w:after="0"/>
        <w:tabs>
          <w:tab w:leader="none" w:pos="3780" w:val="left"/>
          <w:tab w:leader="none" w:pos="4440" w:val="left"/>
          <w:tab w:leader="none" w:pos="5660" w:val="left"/>
        </w:tabs>
        <w:rPr>
          <w:sz w:val="20"/>
          <w:szCs w:val="20"/>
          <w:color w:val="auto"/>
        </w:rPr>
      </w:pPr>
      <w:r>
        <w:rPr>
          <w:rFonts w:ascii="Courier New" w:cs="Courier New" w:eastAsia="Courier New" w:hAnsi="Courier New"/>
          <w:sz w:val="16"/>
          <w:szCs w:val="16"/>
          <w:color w:val="auto"/>
        </w:rPr>
        <w:t>During the three months ended June 30,</w:t>
        <w:tab/>
        <w:t>1999,</w:t>
        <w:tab/>
        <w:t>the Company</w:t>
      </w:r>
      <w:r>
        <w:rPr>
          <w:sz w:val="20"/>
          <w:szCs w:val="20"/>
          <w:color w:val="auto"/>
        </w:rPr>
        <w:tab/>
      </w:r>
      <w:r>
        <w:rPr>
          <w:rFonts w:ascii="Courier New" w:cs="Courier New" w:eastAsia="Courier New" w:hAnsi="Courier New"/>
          <w:sz w:val="15"/>
          <w:szCs w:val="15"/>
          <w:color w:val="auto"/>
        </w:rPr>
        <w:t>received a $1.5</w:t>
      </w:r>
    </w:p>
    <w:p>
      <w:pPr>
        <w:sectPr>
          <w:pgSz w:w="11900" w:h="16838" w:orient="portrait"/>
          <w:cols w:equalWidth="0" w:num="1">
            <w:col w:w="9759"/>
          </w:cols>
          <w:pgMar w:left="700" w:top="477" w:right="1440" w:bottom="1440" w:gutter="0" w:footer="0" w:header="0"/>
          <w:type w:val="continuous"/>
        </w:sectPr>
      </w:pP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billion termination fee from MediaOne Group, Inc. ("MediaOne") as a result of MediaOne's termination of its Agreement and Plan of Merger with the Company dated March 1999. The termination fee, net of transaction costs, was recorded to other expense (income) in the Company's condensed consolidated statement of operations and accumulated deficit.</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59"/>
          </w:cols>
          <w:pgMar w:left="700" w:top="477" w:right="1440" w:bottom="1440" w:gutter="0" w:footer="0" w:header="0"/>
          <w:type w:val="continuous"/>
        </w:sectPr>
      </w:pPr>
    </w:p>
    <w:bookmarkStart w:id="10" w:name="page11"/>
    <w:bookmarkEnd w:id="10"/>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hanging="463"/>
        <w:spacing w:after="0"/>
        <w:tabs>
          <w:tab w:leader="none" w:pos="4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200" w:lineRule="exact"/>
        <w:rPr>
          <w:sz w:val="20"/>
          <w:szCs w:val="20"/>
          <w:color w:val="auto"/>
        </w:rPr>
      </w:pPr>
    </w:p>
    <w:p>
      <w:pPr>
        <w:spacing w:after="0" w:line="346" w:lineRule="exact"/>
        <w:rPr>
          <w:sz w:val="20"/>
          <w:szCs w:val="20"/>
          <w:color w:val="auto"/>
        </w:rPr>
      </w:pPr>
    </w:p>
    <w:tbl>
      <w:tblPr>
        <w:tblLayout w:type="fixed"/>
        <w:tblInd w:w="1043" w:type="dxa"/>
        <w:tblCellMar>
          <w:top w:w="0" w:type="dxa"/>
          <w:left w:w="0" w:type="dxa"/>
          <w:bottom w:w="0" w:type="dxa"/>
          <w:right w:w="0" w:type="dxa"/>
        </w:tblCellMar>
      </w:tblPr>
      <w:tr>
        <w:trPr>
          <w:trHeight w:val="181"/>
        </w:trPr>
        <w:tc>
          <w:tcPr>
            <w:tcW w:w="4860" w:type="dxa"/>
            <w:vAlign w:val="bottom"/>
          </w:tcPr>
          <w:p>
            <w:pPr>
              <w:spacing w:after="0"/>
              <w:rPr>
                <w:sz w:val="15"/>
                <w:szCs w:val="15"/>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June 30,</w:t>
            </w:r>
          </w:p>
        </w:tc>
        <w:tc>
          <w:tcPr>
            <w:tcW w:w="1460" w:type="dxa"/>
            <w:vAlign w:val="bottom"/>
          </w:tcPr>
          <w:p>
            <w:pPr>
              <w:ind w:left="320"/>
              <w:spacing w:after="0"/>
              <w:rPr>
                <w:sz w:val="20"/>
                <w:szCs w:val="20"/>
                <w:color w:val="auto"/>
              </w:rPr>
            </w:pPr>
            <w:r>
              <w:rPr>
                <w:rFonts w:ascii="Courier New" w:cs="Courier New" w:eastAsia="Courier New" w:hAnsi="Courier New"/>
                <w:sz w:val="16"/>
                <w:szCs w:val="16"/>
                <w:color w:val="auto"/>
                <w:w w:val="97"/>
              </w:rPr>
              <w:t>December 31,</w:t>
            </w:r>
          </w:p>
        </w:tc>
      </w:tr>
      <w:tr>
        <w:trPr>
          <w:trHeight w:val="182"/>
        </w:trPr>
        <w:tc>
          <w:tcPr>
            <w:tcW w:w="486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4860" w:type="dxa"/>
            <w:vAlign w:val="bottom"/>
          </w:tcPr>
          <w:p>
            <w:pPr>
              <w:spacing w:after="0"/>
              <w:rPr>
                <w:sz w:val="15"/>
                <w:szCs w:val="15"/>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tcPr>
          <w:p>
            <w:pPr>
              <w:spacing w:after="0"/>
              <w:rPr>
                <w:sz w:val="15"/>
                <w:szCs w:val="15"/>
                <w:color w:val="auto"/>
              </w:rPr>
            </w:pPr>
          </w:p>
        </w:tc>
        <w:tc>
          <w:tcPr>
            <w:tcW w:w="2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(Dollars in millions)</w:t>
            </w:r>
          </w:p>
        </w:tc>
      </w:tr>
      <w:tr>
        <w:trPr>
          <w:trHeight w:val="364"/>
        </w:trPr>
        <w:tc>
          <w:tcPr>
            <w:tcW w:w="486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8"/>
              </w:rPr>
              <w:t>Fair value method................................</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$7,579.5</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$11,972.1</w:t>
            </w:r>
          </w:p>
        </w:tc>
      </w:tr>
      <w:tr>
        <w:trPr>
          <w:trHeight w:val="182"/>
        </w:trPr>
        <w:tc>
          <w:tcPr>
            <w:tcW w:w="486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8"/>
              </w:rPr>
              <w:t>Cost method......................................</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313.1</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1,134.6</w:t>
            </w:r>
          </w:p>
        </w:tc>
      </w:tr>
      <w:tr>
        <w:trPr>
          <w:trHeight w:val="182"/>
        </w:trPr>
        <w:tc>
          <w:tcPr>
            <w:tcW w:w="486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8"/>
              </w:rPr>
              <w:t>Equity method....................................</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274.9</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48.1</w:t>
            </w:r>
          </w:p>
        </w:tc>
      </w:tr>
      <w:tr>
        <w:trPr>
          <w:trHeight w:val="182"/>
        </w:trPr>
        <w:tc>
          <w:tcPr>
            <w:tcW w:w="4860" w:type="dxa"/>
            <w:vAlign w:val="bottom"/>
          </w:tcPr>
          <w:p>
            <w:pPr>
              <w:spacing w:after="0"/>
              <w:rPr>
                <w:sz w:val="15"/>
                <w:szCs w:val="15"/>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Total investments.........................</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8,167.5</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13,154.8</w:t>
            </w:r>
          </w:p>
        </w:tc>
      </w:tr>
      <w:tr>
        <w:trPr>
          <w:trHeight w:val="182"/>
        </w:trPr>
        <w:tc>
          <w:tcPr>
            <w:tcW w:w="486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8"/>
              </w:rPr>
              <w:t>Less, current investments........................</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2,975.0</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7,606.0</w:t>
            </w:r>
          </w:p>
        </w:tc>
      </w:tr>
      <w:tr>
        <w:trPr>
          <w:trHeight w:val="182"/>
        </w:trPr>
        <w:tc>
          <w:tcPr>
            <w:tcW w:w="4860" w:type="dxa"/>
            <w:vAlign w:val="bottom"/>
          </w:tcPr>
          <w:p>
            <w:pPr>
              <w:spacing w:after="0"/>
              <w:rPr>
                <w:sz w:val="15"/>
                <w:szCs w:val="15"/>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8"/>
              </w:rPr>
              <w:t>Non-current investments..........................</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$5,192.5</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$5,548.8</w:t>
            </w:r>
          </w:p>
        </w:tc>
      </w:tr>
      <w:tr>
        <w:trPr>
          <w:trHeight w:val="182"/>
        </w:trPr>
        <w:tc>
          <w:tcPr>
            <w:tcW w:w="4860" w:type="dxa"/>
            <w:vAlign w:val="bottom"/>
          </w:tcPr>
          <w:p>
            <w:pPr>
              <w:spacing w:after="0"/>
              <w:rPr>
                <w:sz w:val="15"/>
                <w:szCs w:val="15"/>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Fair Value Method</w:t>
      </w:r>
    </w:p>
    <w:p>
      <w:pPr>
        <w:spacing w:after="0" w:line="5"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The Company holds unrestricted equity investments in certain publicly traded companies, with an historical cost (including $2.025 billion and $2.033 billion of aggregate pre-tax gains recognized through June 30, 2000 and December 31, 1999, respectively) of $2.806 billion and $2.558 billion as of June 30, 2000 and December 31, 1999, respectively. The unrealized pre-tax gains as of June 30, 2000 and December 31, 1999 of $4.774 billion and $9.414 billion, respectively, have been reported in the Company's condensed consolidated balance sheet as a component of accumulated other comprehensive income, net of related deferred income tax expense of $1.671 billion and $3.294 billion, respectively.</w:t>
      </w:r>
    </w:p>
    <w:p>
      <w:pPr>
        <w:spacing w:after="0" w:line="188" w:lineRule="exact"/>
        <w:rPr>
          <w:sz w:val="20"/>
          <w:szCs w:val="20"/>
          <w:color w:val="auto"/>
        </w:rPr>
      </w:pPr>
    </w:p>
    <w:p>
      <w:pPr>
        <w:jc w:val="both"/>
        <w:ind w:left="463" w:right="2659"/>
        <w:spacing w:after="0" w:line="257" w:lineRule="auto"/>
        <w:rPr>
          <w:sz w:val="20"/>
          <w:szCs w:val="20"/>
          <w:color w:val="auto"/>
        </w:rPr>
      </w:pPr>
      <w:r>
        <w:rPr>
          <w:rFonts w:ascii="Courier New" w:cs="Courier New" w:eastAsia="Courier New" w:hAnsi="Courier New"/>
          <w:sz w:val="15"/>
          <w:szCs w:val="15"/>
          <w:color w:val="auto"/>
        </w:rPr>
        <w:t>Sprint PCS. As of June 30, 2000 and December 31, 1999, as adjusted for Sprint PCS' 2-for-1 stock split in February 2000, the Company holds approximately 88.2 million shares and 93.8 million shares of unregistered Series 2 Sprint PCS common stock, 123,452 shares of Sprint PCS convertible preferred stock (convertible into approximately 4.0 million shares of unregistered Series 2 Sprint PCS common stock) and a warrant to purchase approximately 6.0 million shares of unregistered Series 2 Sprint PCS common stock at $12.01 per share (the "Sprint PCS Stock"). The Company has registration rights, subject to customary restrictions, which will allow the Company to sell its Sprint PCS Stock. During the six and three months ended June 30, 2000, the Company sold approximately 5.6 million of its shares of Sprint PCS common stock for total proceeds of $312.0 million and recognized a pre-tax gain of $265.3 million. Such gain was recorded as a reclassification from accumulated other comprehensive income to investment income. As of June 30, 2000 and December 31, 1999, the Company has recorded its investment in Sprint PCS at its estimated fair value of $4.423 billion and $4.234 billion, respectively (see Note 5).</w:t>
      </w:r>
    </w:p>
    <w:p>
      <w:pPr>
        <w:spacing w:after="0" w:line="181"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AT&amp;T. As of June 30, 2000 and December 31, 1999, the Company holds approximately 39.9 million shares of unregistered AT&amp;T common stock. As of June 30, 2000 and December 31, 1999, the Company has recorded its investment in AT&amp;T at its estimated fair value of $1.261 billion and $2.026 billion, respectively. The Company has registration rights, subject to customary restrictions, which allow the Company to sell its AT&amp;T common stock.</w:t>
      </w:r>
    </w:p>
    <w:p>
      <w:pPr>
        <w:spacing w:after="0" w:line="192" w:lineRule="exact"/>
        <w:rPr>
          <w:sz w:val="20"/>
          <w:szCs w:val="20"/>
          <w:color w:val="auto"/>
        </w:rPr>
      </w:pPr>
    </w:p>
    <w:p>
      <w:pPr>
        <w:jc w:val="both"/>
        <w:ind w:left="463" w:right="2659"/>
        <w:spacing w:after="0" w:line="257" w:lineRule="auto"/>
        <w:rPr>
          <w:sz w:val="20"/>
          <w:szCs w:val="20"/>
          <w:color w:val="auto"/>
        </w:rPr>
      </w:pPr>
      <w:r>
        <w:rPr>
          <w:rFonts w:ascii="Courier New" w:cs="Courier New" w:eastAsia="Courier New" w:hAnsi="Courier New"/>
          <w:sz w:val="15"/>
          <w:szCs w:val="15"/>
          <w:color w:val="auto"/>
        </w:rPr>
        <w:t>In May 1999, the Company entered into an agreement with AT&amp;T to exchange various cable communications systems. Under the terms of the agreement, the Company will receive cable communications systems serving approximately 1.5 million subscribers. In exchange, AT&amp;T will receive systems that the Company currently owns or will acquire serving 750,000 subscribers. At closing, the Company will pay AT&amp;T an equalizing payment of approximately $3.4 billion (subject to adjustment based on the actual number of net subscribers acquired and the per subscriber price of certain subscribers) for the 750,000 net subscribers to be acquired as a result of the exchanges. The Company will pay for the net subscribers acquired in connection with the exchanges with shares of AT&amp;T common stock that the Company currently owns or may acquire and other securities or assets which would permit the exchanges to be tax-free to the maximum extent possible. The agreed upon value of any AT&amp;T common stock used in the exchange that was owned by the Company at the time of the agreement is $54.41 per share.</w:t>
      </w:r>
    </w:p>
    <w:p>
      <w:pPr>
        <w:spacing w:after="0" w:line="177"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2"/>
          </w:cols>
          <w:pgMar w:left="237" w:top="477" w:right="1440" w:bottom="1065" w:gutter="0" w:footer="0" w:header="0"/>
        </w:sectPr>
      </w:pPr>
    </w:p>
    <w:bookmarkStart w:id="11" w:name="page12"/>
    <w:bookmarkEnd w:id="11"/>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Internet Capital Group. In August 1999, Internet Capital Group ("ICG"), an investee of the Company previously accounted for under the cost method, completed an initial public offering of its common stock. ICG is an Internet holding company engaged in managing and operating a network of business-to-business e-commerce companies. During the six months ended June 30, 2000, the Company sold approximately 2.3 million shares of its ICG common stock for proceeds of $327.1 million and recognized a pre-tax gain of $325.9 million. Such gain was recorded as a reclassification from accumulated other comprehensive income to investment income. As of June 30, 2000 and December 31, 1999, the Company holds approximately 21.4 million shares and 23.7 million shares of ICG common stock and warrants and options to purchase approximately 0.6 million shares of ICG common stock, respectively. As of June 30, 2000 and December 31, 1999, the Company has recorded its investment in ICG at its estimated fair value of $813.0 million and $4.127 billion, respectively.</w:t>
      </w:r>
    </w:p>
    <w:p>
      <w:pPr>
        <w:spacing w:after="0" w:line="191"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Excite@Home. Excite@Home provides Internet services to subscribers and businesses over the cable communications infrastructure in a limited number of cities in the United States. As of June 30, 2000 and December 31, 1999, the Company holds approximately 29.1 million shares of Excite@Home Series A Common Stock (the "Excite@Home Series A Stock") and warrants and options to purchase an additional 2.0 million shares and 0.6 million shares, respectively, of Excite@Home Series A Stock. As of June 30, 2000 and December 31, 1999, 10% and 30% of the Excite@Home Series A shares held by the Company were contractually restricted shares (the "Restricted Shares") and 90% and 70% of the Excite@Home Series A shares held by the Company were unrestricted shares (the "Unrestricted Shares"). The Company has recorded the Restricted Shares at their historical cost of $0.3 million and $0.6 million and the Unrestricted Shares and warrants, which are classified as available for sale, at their estimated fair value of $655.8 million and $918.0 million, respectively, as of June 30, 2000 and December 31, 1999.</w:t>
      </w:r>
    </w:p>
    <w:p>
      <w:pPr>
        <w:spacing w:after="0" w:line="181"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March 2000, Excite@Home and its principal cable partners, including the Company, entered into an agreement (the "March Agreement") pursuant to which the Company agreed to enter into a new non-exclusive distribution agreement with Excite@Home for the period from June 2002 through June 2006, give up its Board level veto rights and resign from the Excite@Home Board of Directors. Also under the March Agreement, the Company may elect to terminate the existing exclusive distribution agreement (which would otherwise expire in June 2002) or the new distribution agreement at any time beginning June 2001 on at least six months notice. Under the terms of the March Agreement, AT&amp;T agreed to give the Company the right to sell its Excite@Home Series A shares to AT&amp;T at any time between January 1, 2001 and June 4, 2002 at a price equal to the higher of $48 per share or the average per share trading price for a 30-day trading period (as defined). The aggregate value of the Excite@Home Series A shares that AT&amp;T would be required to purchase from the Company is limited to $1.5 billion. The Company has the right to elect payment in the form of cash or in shares of AT&amp;T common stock.</w:t>
      </w:r>
    </w:p>
    <w:p>
      <w:pPr>
        <w:spacing w:after="0" w:line="193"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In addition, the existing Excite@Home warrants held by the Company would be amended to eliminate any performance vesting conditions and the Company would receive new warrants with an exercise price of $29.54 per share to purchase two shares of Excite@Home Series A Stock for each home passed by the Company's cable communications systems. The new warrants would vest in installments every six months beginning in June 2001 and would be fully vested in June 2006 provided that the Company has not elected to earlier terminate its existing or the new distribution agreement. The new warrants would include customary registration rights and would expire in March 2015.</w:t>
      </w:r>
    </w:p>
    <w:p>
      <w:pPr>
        <w:spacing w:after="0" w:line="175"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All necessary stockholder and other approvals required to close under the March Agreement have been received. However, in June 2000 Cablevision Systems Corporation ("Cablevision"), a warrant holder in Excite@Home and also a party to various agreements with Excite@Home and its principal cable partners, brought an action in Delaware Chancery Court against Excite@Home and its principal cable partners seeking to enjoin the closing and alleging that the March Agreement breached certain contractual rights of Cablevision. The parties have agreed not to consummate the transactions contemplated by the March Agreement until the conclusion of a trial on the merits of the Cablevision action, which is scheduled to begin on September 11, 2000. Although the Company believes that the defendants have valid defenses and counterclaims to Cablevision's action, there can be no assurance that the defendants will prevail in this litigation and that the closing under the March Agreement will occur.</w:t>
      </w:r>
    </w:p>
    <w:p>
      <w:pPr>
        <w:spacing w:after="0" w:line="17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59"/>
          </w:cols>
          <w:pgMar w:left="700" w:top="477" w:right="1440" w:bottom="883" w:gutter="0" w:footer="0" w:header="0"/>
        </w:sectPr>
      </w:pPr>
    </w:p>
    <w:bookmarkStart w:id="12" w:name="page13"/>
    <w:bookmarkEnd w:id="12"/>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Gains on Exchanges of Fair Value Method Investments</w:t>
      </w:r>
    </w:p>
    <w:p>
      <w:pPr>
        <w:spacing w:after="0" w:line="5"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During the six months ended June 30, 2000 and 1999, in connection with certain mergers of publicly traded companies held by the Company accounted for as investments available for sale, the Company recognized pre-tax gains of $33.0 million and $187.6 million, respectively, representing the difference between the fair value of the securities received by the Company and the Company's cost basis in the securities exchanged. Such gains were recorded as a reclassification from accumulated other comprehensive income to investment income.</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Impairment Losses</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During the six months ended June 30, 2000 and 1999 and during the three months ended June 30, 2000 and 1999, the Company recorded pre-tax losses of $7.4 million, $35.5 million, $2.5 million and $0.2 million, respectively, on certain of its investments based on a decline in value that was considered other than temporary. Such losses are included in investment income in the Company's condensed consolidated statement of operations and accumulated deficit.</w:t>
      </w:r>
    </w:p>
    <w:p>
      <w:pPr>
        <w:spacing w:after="0" w:line="188"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Investment Expense Related to Call Options</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During the six and three months ended June 30, 1999, the Company recorded $100.8 million and $49.4 million, respectively, of investment expense related to changes in the value of and the settlement of call options on certain of the Company's fair value method investments, all of which expired by November 1999.</w:t>
      </w:r>
    </w:p>
    <w:p>
      <w:pPr>
        <w:spacing w:after="0" w:line="18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Equity Method</w:t>
      </w:r>
    </w:p>
    <w:p>
      <w:pPr>
        <w:spacing w:after="0" w:line="5"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The Company records its proportionate interests in the net income (loss) of certain of its equity method investees in arrears. The Company's recorded investments exceed its proportionate interests in the book value of the investees' net assets by $179.8 million as of June 30, 2000 (related to the Company's investment in The Golf Channel). Such excess is being amortized to equity in net income or loss, over a period of twenty years, which is consistent with the estimated lives of the underlying assets. The original cost of investments accounted for under the equity method totaled $363.1 million and $235.6 million as of June 30, 2000 and December 31, 1999, respectively.</w:t>
      </w:r>
    </w:p>
    <w:p>
      <w:pPr>
        <w:spacing w:after="0" w:line="188"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During February 2000, the Company exercised a call option to purchase shares held by certain founding members and members of management of The Golf Channel for a total purchase price of $99.0 million. In addition, the Company purchased shares held by other minority shareholders for $26.3 million during March 2000 and $11.2 million during April 2000, respectively. The Company's current ownership after these transactions is 60.3%. The Company will continue to record its investment in The Golf Channel under the equity method due to certain veto rights that are held by one of the remaining minority partners.</w:t>
      </w:r>
    </w:p>
    <w:p>
      <w:pPr>
        <w:spacing w:after="0" w:line="188" w:lineRule="exact"/>
        <w:rPr>
          <w:sz w:val="20"/>
          <w:szCs w:val="20"/>
          <w:color w:val="auto"/>
        </w:rPr>
      </w:pPr>
    </w:p>
    <w:p>
      <w:pPr>
        <w:jc w:val="both"/>
        <w:ind w:left="463" w:right="2659"/>
        <w:spacing w:after="0" w:line="238" w:lineRule="auto"/>
        <w:rPr>
          <w:sz w:val="20"/>
          <w:szCs w:val="20"/>
          <w:color w:val="auto"/>
        </w:rPr>
      </w:pPr>
      <w:r>
        <w:rPr>
          <w:rFonts w:ascii="Courier New" w:cs="Courier New" w:eastAsia="Courier New" w:hAnsi="Courier New"/>
          <w:sz w:val="16"/>
          <w:szCs w:val="16"/>
          <w:color w:val="auto"/>
        </w:rPr>
        <w:t>As a result of the Lenfest Acquisition (see Note 3), the Company has consolidated the results of Garden State Cable, previously accounted for under the equity method, effective January 2000.</w:t>
      </w:r>
    </w:p>
    <w:p>
      <w:pPr>
        <w:spacing w:after="0" w:line="184"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54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of Other</w:t>
            </w:r>
          </w:p>
        </w:tc>
        <w:tc>
          <w:tcPr>
            <w:tcW w:w="1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Investments</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2"/>
        </w:trPr>
        <w:tc>
          <w:tcPr>
            <w:tcW w:w="2100" w:type="dxa"/>
            <w:vAlign w:val="bottom"/>
            <w:gridSpan w:val="3"/>
          </w:tcPr>
          <w:p>
            <w:pPr>
              <w:spacing w:after="0"/>
              <w:rPr>
                <w:sz w:val="20"/>
                <w:szCs w:val="20"/>
                <w:color w:val="auto"/>
              </w:rPr>
            </w:pPr>
            <w:r>
              <w:rPr>
                <w:rFonts w:ascii="Courier New" w:cs="Courier New" w:eastAsia="Courier New" w:hAnsi="Courier New"/>
                <w:sz w:val="16"/>
                <w:szCs w:val="16"/>
                <w:color w:val="auto"/>
                <w:w w:val="98"/>
              </w:rPr>
              <w:t>During  the six months</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ended</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2000 and</w:t>
            </w:r>
          </w:p>
        </w:tc>
        <w:tc>
          <w:tcPr>
            <w:tcW w:w="900" w:type="dxa"/>
            <w:vAlign w:val="bottom"/>
          </w:tcPr>
          <w:p>
            <w:pPr>
              <w:ind w:left="100"/>
              <w:spacing w:after="0"/>
              <w:rPr>
                <w:sz w:val="20"/>
                <w:szCs w:val="20"/>
                <w:color w:val="auto"/>
              </w:rPr>
            </w:pPr>
            <w:r>
              <w:rPr>
                <w:rFonts w:ascii="Courier New" w:cs="Courier New" w:eastAsia="Courier New" w:hAnsi="Courier New"/>
                <w:sz w:val="16"/>
                <w:szCs w:val="16"/>
                <w:color w:val="auto"/>
              </w:rPr>
              <w:t>1999 and</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during the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three</w:t>
            </w:r>
          </w:p>
        </w:tc>
      </w:tr>
      <w:tr>
        <w:trPr>
          <w:trHeight w:val="182"/>
        </w:trPr>
        <w:tc>
          <w:tcPr>
            <w:tcW w:w="2100" w:type="dxa"/>
            <w:vAlign w:val="bottom"/>
            <w:gridSpan w:val="3"/>
          </w:tcPr>
          <w:p>
            <w:pPr>
              <w:spacing w:after="0"/>
              <w:rPr>
                <w:sz w:val="20"/>
                <w:szCs w:val="20"/>
                <w:color w:val="auto"/>
              </w:rPr>
            </w:pPr>
            <w:r>
              <w:rPr>
                <w:rFonts w:ascii="Courier New" w:cs="Courier New" w:eastAsia="Courier New" w:hAnsi="Courier New"/>
                <w:sz w:val="16"/>
                <w:szCs w:val="16"/>
                <w:color w:val="auto"/>
              </w:rPr>
              <w:t>months ended June 30,</w:t>
            </w:r>
          </w:p>
        </w:tc>
        <w:tc>
          <w:tcPr>
            <w:tcW w:w="840" w:type="dxa"/>
            <w:vAlign w:val="bottom"/>
          </w:tcPr>
          <w:p>
            <w:pPr>
              <w:spacing w:after="0"/>
              <w:rPr>
                <w:sz w:val="20"/>
                <w:szCs w:val="20"/>
                <w:color w:val="auto"/>
              </w:rPr>
            </w:pPr>
            <w:r>
              <w:rPr>
                <w:rFonts w:ascii="Courier New" w:cs="Courier New" w:eastAsia="Courier New" w:hAnsi="Courier New"/>
                <w:sz w:val="16"/>
                <w:szCs w:val="16"/>
                <w:color w:val="auto"/>
              </w:rPr>
              <w:t>2000 and</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1999, the</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Company</w:t>
            </w:r>
          </w:p>
        </w:tc>
        <w:tc>
          <w:tcPr>
            <w:tcW w:w="11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recognized</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pre-tax</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gains</w:t>
            </w:r>
          </w:p>
        </w:tc>
      </w:tr>
      <w:tr>
        <w:trPr>
          <w:trHeight w:val="182"/>
        </w:trPr>
        <w:tc>
          <w:tcPr>
            <w:tcW w:w="1380" w:type="dxa"/>
            <w:vAlign w:val="bottom"/>
            <w:gridSpan w:val="2"/>
          </w:tcPr>
          <w:p>
            <w:pPr>
              <w:spacing w:after="0"/>
              <w:rPr>
                <w:sz w:val="20"/>
                <w:szCs w:val="20"/>
                <w:color w:val="auto"/>
              </w:rPr>
            </w:pPr>
            <w:r>
              <w:rPr>
                <w:rFonts w:ascii="Courier New" w:cs="Courier New" w:eastAsia="Courier New" w:hAnsi="Courier New"/>
                <w:sz w:val="16"/>
                <w:szCs w:val="16"/>
                <w:color w:val="auto"/>
              </w:rPr>
              <w:t>to investment</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income</w:t>
            </w:r>
          </w:p>
        </w:tc>
        <w:tc>
          <w:tcPr>
            <w:tcW w:w="840" w:type="dxa"/>
            <w:vAlign w:val="bottom"/>
          </w:tcPr>
          <w:p>
            <w:pPr>
              <w:spacing w:after="0"/>
              <w:rPr>
                <w:sz w:val="20"/>
                <w:szCs w:val="20"/>
                <w:color w:val="auto"/>
              </w:rPr>
            </w:pPr>
            <w:r>
              <w:rPr>
                <w:rFonts w:ascii="Courier New" w:cs="Courier New" w:eastAsia="Courier New" w:hAnsi="Courier New"/>
                <w:sz w:val="16"/>
                <w:szCs w:val="16"/>
                <w:color w:val="auto"/>
                <w:w w:val="94"/>
              </w:rPr>
              <w:t>of $237.4</w:t>
            </w: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w w:val="93"/>
              </w:rPr>
              <w:t>million,</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$14.9</w:t>
            </w:r>
          </w:p>
        </w:tc>
        <w:tc>
          <w:tcPr>
            <w:tcW w:w="900" w:type="dxa"/>
            <w:vAlign w:val="bottom"/>
          </w:tcPr>
          <w:p>
            <w:pPr>
              <w:spacing w:after="0"/>
              <w:rPr>
                <w:sz w:val="20"/>
                <w:szCs w:val="20"/>
                <w:color w:val="auto"/>
              </w:rPr>
            </w:pPr>
            <w:r>
              <w:rPr>
                <w:rFonts w:ascii="Courier New" w:cs="Courier New" w:eastAsia="Courier New" w:hAnsi="Courier New"/>
                <w:sz w:val="16"/>
                <w:szCs w:val="16"/>
                <w:color w:val="auto"/>
              </w:rPr>
              <w:t>million,</w:t>
            </w:r>
          </w:p>
        </w:tc>
        <w:tc>
          <w:tcPr>
            <w:tcW w:w="15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$6.9 million and</w:t>
            </w:r>
          </w:p>
        </w:tc>
      </w:tr>
      <w:tr>
        <w:trPr>
          <w:trHeight w:val="182"/>
        </w:trPr>
        <w:tc>
          <w:tcPr>
            <w:tcW w:w="540" w:type="dxa"/>
            <w:vAlign w:val="bottom"/>
          </w:tcPr>
          <w:p>
            <w:pPr>
              <w:spacing w:after="0"/>
              <w:rPr>
                <w:sz w:val="20"/>
                <w:szCs w:val="20"/>
                <w:color w:val="auto"/>
              </w:rPr>
            </w:pPr>
            <w:r>
              <w:rPr>
                <w:rFonts w:ascii="Courier New" w:cs="Courier New" w:eastAsia="Courier New" w:hAnsi="Courier New"/>
                <w:sz w:val="16"/>
                <w:szCs w:val="16"/>
                <w:color w:val="auto"/>
              </w:rPr>
              <w:t>$14.6</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million,</w:t>
            </w:r>
          </w:p>
        </w:tc>
        <w:tc>
          <w:tcPr>
            <w:tcW w:w="25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respectively, on sales of</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certain</w:t>
            </w:r>
          </w:p>
        </w:tc>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of its other</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investments.</w:t>
            </w:r>
          </w:p>
        </w:tc>
      </w:tr>
    </w:tbl>
    <w:p>
      <w:pPr>
        <w:spacing w:after="0" w:line="183" w:lineRule="exact"/>
        <w:rPr>
          <w:sz w:val="20"/>
          <w:szCs w:val="20"/>
          <w:color w:val="auto"/>
        </w:rPr>
      </w:pPr>
    </w:p>
    <w:p>
      <w:pPr>
        <w:ind w:left="463" w:hanging="463"/>
        <w:spacing w:after="0"/>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ZONES</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fourth quarter of 1999, the Company issued an aggregate of approximately 48.3 million (as adjusted for Sprint PCS' 2-for-1 stock split in February 2000) 2.0% Exchangeable Subordinated Debentures due 2029 (the "ZONES") for aggregate gross proceeds of $1.807 billion. At maturity, holders of the ZONES are entitled to receive in cash an amount equal to the higher of (a) the principal amount of the ZONES, or (b) the market value of Sprint PCS Stock. Prior to maturity, each ZONES is exchangeable at the holders option for an amount of cash equal to 95% of the market value of Sprint PCS Stock.</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2"/>
          </w:cols>
          <w:pgMar w:left="237" w:top="477" w:right="1440" w:bottom="1440" w:gutter="0" w:footer="0" w:header="0"/>
        </w:sectPr>
      </w:pPr>
    </w:p>
    <w:bookmarkStart w:id="13" w:name="page14"/>
    <w:bookmarkEnd w:id="13"/>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463" w:right="2659"/>
        <w:spacing w:after="0" w:line="257" w:lineRule="auto"/>
        <w:rPr>
          <w:sz w:val="20"/>
          <w:szCs w:val="20"/>
          <w:color w:val="auto"/>
        </w:rPr>
      </w:pPr>
      <w:r>
        <w:rPr>
          <w:rFonts w:ascii="Courier New" w:cs="Courier New" w:eastAsia="Courier New" w:hAnsi="Courier New"/>
          <w:sz w:val="15"/>
          <w:szCs w:val="15"/>
          <w:color w:val="auto"/>
        </w:rPr>
        <w:t>The ZONES are being accounted for as an indexed debt instrument since the maturity value is dependent upon the fair value of Sprint PCS Stock. Therefore, the carrying value of the ZONES is marked to market each balance sheet date to reflect the fair value of the underlying Sprint PCS Stock with the change included in expense (income) related to indexed debt in the Company's condensed consolidated statement of operations and accumulated deficit. During the six and three months ended June 30, 2000, the Company recorded expense (income) related to indexed debt of $398.0 million and ($289.5) million, respectively. The Company's investment in Sprint PCS is accounted for as available for sale, with changes in fair value being reflected in accumulated other comprehensive income (see Note 4).</w:t>
      </w:r>
    </w:p>
    <w:p>
      <w:pPr>
        <w:spacing w:after="0" w:line="177"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Debt Assumed</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In connection with the Lenfest Acquisition and the consolidation of Garden State Cable (see Note 3), the Company assumed aggregate debt of $1.612 billion with interest rates ranging between 6.95% and 10.5%, and maturities between 2001 and 2008.</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Extraordinary Items</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Extraordinary items during the six months ended June 30, 2000 and 1999 and during the three months ended June 30, 2000 and 1999 of $16.2 million, $3.0 million, $11.1 million and $2.3 million, respectively, consist of unamortized debt issue costs and debt extinguishment costs, net of related tax benefits, expensed principally in connection with the redemption and retirement of certain indebtedness.</w:t>
      </w:r>
    </w:p>
    <w:p>
      <w:pPr>
        <w:spacing w:after="0" w:line="186"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Interest Rates</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As of June 30, 2000 and December 31, 1999, the Company's effective weighted average interest rate on its long-term debt outstanding was 6.71% and 6.55%, respectively. The Company's effective weighted average interest rate excludes the effects of the ZONES mark to market adjustments for both dates presented.</w:t>
      </w:r>
    </w:p>
    <w:p>
      <w:pPr>
        <w:spacing w:after="0" w:line="18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Lines of Credit</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As of June 30, 2000, certain subsidiaries of the Company had unused lines of credit of $1.281 billion, $681.4 million of which is restricted by the covenants of the related debt agreements and to subsidiary general purposes and dividend declaration.</w:t>
      </w:r>
    </w:p>
    <w:p>
      <w:pPr>
        <w:spacing w:after="0" w:line="183" w:lineRule="exact"/>
        <w:rPr>
          <w:sz w:val="20"/>
          <w:szCs w:val="20"/>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Program</w:t>
      </w:r>
    </w:p>
    <w:p>
      <w:pPr>
        <w:spacing w:after="0" w:line="4" w:lineRule="exact"/>
        <w:rPr>
          <w:rFonts w:ascii="Courier New" w:cs="Courier New" w:eastAsia="Courier New" w:hAnsi="Courier New"/>
          <w:sz w:val="16"/>
          <w:szCs w:val="16"/>
          <w:color w:val="auto"/>
        </w:rPr>
      </w:pPr>
    </w:p>
    <w:p>
      <w:pPr>
        <w:jc w:val="both"/>
        <w:ind w:left="463"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Based on the trade date for stock repurchases, during the six months ended June 30, 2000 and 1999 and the three months ended June 30, 2000, the Company repurchased approximately 6.0 million shares, 0.2 million shares and 2.7 million shares, respectively, of its common stock for aggregate consideration of $219.6 million, $11.5 million and $91.7 million, respectively, pursuant to its Board-authorized repurchase program.</w:t>
      </w:r>
    </w:p>
    <w:p>
      <w:pPr>
        <w:spacing w:after="0" w:line="177"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part of the repurchase program, during the six months ended June 30, 2000, the Company sold put options on 2.0 million shares of its Class A Special Common Stock. The put options mature on specific dates from September through November 2000. The amount the Company would be obligated to pay to repurchase such shares upon exercise of the put options, totaling $82.0 million, was reclassified from additional capital to common equity put options in the Company's June 30, 2000 condensed consolidated balance sheet.</w:t>
      </w:r>
    </w:p>
    <w:p>
      <w:pPr>
        <w:spacing w:after="0" w:line="186"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August 4, 2000, the Company's Board of Directors authorized a continuation of its stock repurchase program, pursuant to which the Company may purchase, in the open market or in private transactions up to $500.0 million of its outstanding common equity securities.</w:t>
      </w:r>
    </w:p>
    <w:p>
      <w:pPr>
        <w:spacing w:after="0" w:line="36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2"/>
          </w:cols>
          <w:pgMar w:left="237" w:top="477" w:right="1440" w:bottom="1440" w:gutter="0" w:footer="0" w:header="0"/>
        </w:sectPr>
      </w:pPr>
    </w:p>
    <w:bookmarkStart w:id="14" w:name="page15"/>
    <w:bookmarkEnd w:id="14"/>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Share Exchange</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During the six months ended June 30, 2000, the Company issued approximately 1.0 million shares of its Class A Special Common Stock in exchange for approximately 1.1 million shares of its Class A Common Stock. The Class A Common Stock was subsequently retired.</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Comprehensive (Loss) Income</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Total comprehensive (loss) income for the six months ended June 30, 2000 and 1999 and for the three months ended June 30, 2000 and 1999 was ($3.068) billion, $2.573 billion, ($1.884) billion and $1.358 billion, respectively. Total comprehensive (loss) income includes net income (loss), unrealized gains (losses) on marketable securities and foreign currency translation gains (losses) for the periods presented.</w:t>
      </w:r>
    </w:p>
    <w:p>
      <w:pPr>
        <w:spacing w:after="0" w:line="186" w:lineRule="exact"/>
        <w:rPr>
          <w:sz w:val="20"/>
          <w:szCs w:val="20"/>
          <w:color w:val="auto"/>
        </w:rPr>
      </w:pPr>
    </w:p>
    <w:p>
      <w:pPr>
        <w:ind w:left="463" w:hanging="463"/>
        <w:spacing w:after="0"/>
        <w:tabs>
          <w:tab w:leader="none" w:pos="4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6"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six months ended June 30, 2000, the Company acquired all of the capital stock and/or partnership interests not previously owned by the Company of Lenfest, Garden State Cable, Jones Intercable and Comcast MHCP, principally through the issuance of the Company's Class A Special Common Stock (see Note 3). The fair values of the assets and liabilities acquired by the Company during the six months ended June 30, 2000 are presented as follows (in millions):</w:t>
      </w:r>
    </w:p>
    <w:p>
      <w:pPr>
        <w:spacing w:after="0" w:line="369" w:lineRule="exact"/>
        <w:rPr>
          <w:sz w:val="20"/>
          <w:szCs w:val="20"/>
          <w:color w:val="auto"/>
        </w:rPr>
      </w:pPr>
    </w:p>
    <w:tbl>
      <w:tblPr>
        <w:tblLayout w:type="fixed"/>
        <w:tblInd w:w="943" w:type="dxa"/>
        <w:tblCellMar>
          <w:top w:w="0" w:type="dxa"/>
          <w:left w:w="0" w:type="dxa"/>
          <w:bottom w:w="0" w:type="dxa"/>
          <w:right w:w="0" w:type="dxa"/>
        </w:tblCellMar>
      </w:tblPr>
      <w:tr>
        <w:trPr>
          <w:trHeight w:val="181"/>
        </w:trPr>
        <w:tc>
          <w:tcPr>
            <w:tcW w:w="4880" w:type="dxa"/>
            <w:vAlign w:val="bottom"/>
          </w:tcPr>
          <w:p>
            <w:pPr>
              <w:jc w:val="right"/>
              <w:spacing w:after="0"/>
              <w:rPr>
                <w:sz w:val="20"/>
                <w:szCs w:val="20"/>
                <w:color w:val="auto"/>
              </w:rPr>
            </w:pPr>
            <w:r>
              <w:rPr>
                <w:rFonts w:ascii="Courier New" w:cs="Courier New" w:eastAsia="Courier New" w:hAnsi="Courier New"/>
                <w:sz w:val="16"/>
                <w:szCs w:val="16"/>
                <w:color w:val="auto"/>
                <w:w w:val="98"/>
              </w:rPr>
              <w:t>Current assets.....................................</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$268.7</w:t>
            </w:r>
          </w:p>
        </w:tc>
      </w:tr>
      <w:tr>
        <w:trPr>
          <w:trHeight w:val="182"/>
        </w:trPr>
        <w:tc>
          <w:tcPr>
            <w:tcW w:w="4880" w:type="dxa"/>
            <w:vAlign w:val="bottom"/>
          </w:tcPr>
          <w:p>
            <w:pPr>
              <w:jc w:val="right"/>
              <w:spacing w:after="0"/>
              <w:rPr>
                <w:sz w:val="20"/>
                <w:szCs w:val="20"/>
                <w:color w:val="auto"/>
              </w:rPr>
            </w:pPr>
            <w:r>
              <w:rPr>
                <w:rFonts w:ascii="Courier New" w:cs="Courier New" w:eastAsia="Courier New" w:hAnsi="Courier New"/>
                <w:sz w:val="16"/>
                <w:szCs w:val="16"/>
                <w:color w:val="auto"/>
                <w:w w:val="98"/>
              </w:rPr>
              <w:t>Investments........................................</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147.6</w:t>
            </w:r>
          </w:p>
        </w:tc>
      </w:tr>
      <w:tr>
        <w:trPr>
          <w:trHeight w:val="182"/>
        </w:trPr>
        <w:tc>
          <w:tcPr>
            <w:tcW w:w="4880" w:type="dxa"/>
            <w:vAlign w:val="bottom"/>
          </w:tcPr>
          <w:p>
            <w:pPr>
              <w:jc w:val="right"/>
              <w:spacing w:after="0"/>
              <w:rPr>
                <w:sz w:val="20"/>
                <w:szCs w:val="20"/>
                <w:color w:val="auto"/>
              </w:rPr>
            </w:pPr>
            <w:r>
              <w:rPr>
                <w:rFonts w:ascii="Courier New" w:cs="Courier New" w:eastAsia="Courier New" w:hAnsi="Courier New"/>
                <w:sz w:val="16"/>
                <w:szCs w:val="16"/>
                <w:color w:val="auto"/>
                <w:w w:val="98"/>
              </w:rPr>
              <w:t>Property, plant &amp; equipment........................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1,081.7</w:t>
            </w:r>
          </w:p>
        </w:tc>
      </w:tr>
      <w:tr>
        <w:trPr>
          <w:trHeight w:val="182"/>
        </w:trPr>
        <w:tc>
          <w:tcPr>
            <w:tcW w:w="4880" w:type="dxa"/>
            <w:vAlign w:val="bottom"/>
          </w:tcPr>
          <w:p>
            <w:pPr>
              <w:jc w:val="right"/>
              <w:spacing w:after="0"/>
              <w:rPr>
                <w:sz w:val="20"/>
                <w:szCs w:val="20"/>
                <w:color w:val="auto"/>
              </w:rPr>
            </w:pPr>
            <w:r>
              <w:rPr>
                <w:rFonts w:ascii="Courier New" w:cs="Courier New" w:eastAsia="Courier New" w:hAnsi="Courier New"/>
                <w:sz w:val="16"/>
                <w:szCs w:val="16"/>
                <w:color w:val="auto"/>
                <w:w w:val="98"/>
              </w:rPr>
              <w:t>Deferred charges...................................</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11,009.5</w:t>
            </w:r>
          </w:p>
        </w:tc>
      </w:tr>
      <w:tr>
        <w:trPr>
          <w:trHeight w:val="182"/>
        </w:trPr>
        <w:tc>
          <w:tcPr>
            <w:tcW w:w="4880" w:type="dxa"/>
            <w:vAlign w:val="bottom"/>
          </w:tcPr>
          <w:p>
            <w:pPr>
              <w:jc w:val="right"/>
              <w:spacing w:after="0"/>
              <w:rPr>
                <w:sz w:val="20"/>
                <w:szCs w:val="20"/>
                <w:color w:val="auto"/>
              </w:rPr>
            </w:pPr>
            <w:r>
              <w:rPr>
                <w:rFonts w:ascii="Courier New" w:cs="Courier New" w:eastAsia="Courier New" w:hAnsi="Courier New"/>
                <w:sz w:val="16"/>
                <w:szCs w:val="16"/>
                <w:color w:val="auto"/>
                <w:w w:val="98"/>
              </w:rPr>
              <w:t>Current liabilities................................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(237.5)</w:t>
            </w:r>
          </w:p>
        </w:tc>
      </w:tr>
      <w:tr>
        <w:trPr>
          <w:trHeight w:val="182"/>
        </w:trPr>
        <w:tc>
          <w:tcPr>
            <w:tcW w:w="4880" w:type="dxa"/>
            <w:vAlign w:val="bottom"/>
          </w:tcPr>
          <w:p>
            <w:pPr>
              <w:jc w:val="right"/>
              <w:spacing w:after="0"/>
              <w:rPr>
                <w:sz w:val="20"/>
                <w:szCs w:val="20"/>
                <w:color w:val="auto"/>
              </w:rPr>
            </w:pPr>
            <w:r>
              <w:rPr>
                <w:rFonts w:ascii="Courier New" w:cs="Courier New" w:eastAsia="Courier New" w:hAnsi="Courier New"/>
                <w:sz w:val="16"/>
                <w:szCs w:val="16"/>
                <w:color w:val="auto"/>
                <w:w w:val="98"/>
              </w:rPr>
              <w:t>Long-term debt.....................................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(1,611.6)</w:t>
            </w:r>
          </w:p>
        </w:tc>
      </w:tr>
      <w:tr>
        <w:trPr>
          <w:trHeight w:val="182"/>
        </w:trPr>
        <w:tc>
          <w:tcPr>
            <w:tcW w:w="4880" w:type="dxa"/>
            <w:vAlign w:val="bottom"/>
          </w:tcPr>
          <w:p>
            <w:pPr>
              <w:jc w:val="right"/>
              <w:spacing w:after="0"/>
              <w:rPr>
                <w:sz w:val="20"/>
                <w:szCs w:val="20"/>
                <w:color w:val="auto"/>
              </w:rPr>
            </w:pPr>
            <w:r>
              <w:rPr>
                <w:rFonts w:ascii="Courier New" w:cs="Courier New" w:eastAsia="Courier New" w:hAnsi="Courier New"/>
                <w:sz w:val="16"/>
                <w:szCs w:val="16"/>
                <w:color w:val="auto"/>
                <w:w w:val="98"/>
              </w:rPr>
              <w:t>Deferred incomes taxes.............................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(2,854.3)</w:t>
            </w:r>
          </w:p>
        </w:tc>
      </w:tr>
      <w:tr>
        <w:trPr>
          <w:trHeight w:val="182"/>
        </w:trPr>
        <w:tc>
          <w:tcPr>
            <w:tcW w:w="4880" w:type="dxa"/>
            <w:vAlign w:val="bottom"/>
          </w:tcPr>
          <w:p>
            <w:pPr>
              <w:spacing w:after="0"/>
              <w:rPr>
                <w:sz w:val="15"/>
                <w:szCs w:val="15"/>
                <w:color w:val="auto"/>
              </w:rPr>
            </w:pP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880" w:type="dxa"/>
            <w:vAlign w:val="bottom"/>
          </w:tcPr>
          <w:p>
            <w:pPr>
              <w:jc w:val="right"/>
              <w:spacing w:after="0"/>
              <w:rPr>
                <w:sz w:val="20"/>
                <w:szCs w:val="20"/>
                <w:color w:val="auto"/>
              </w:rPr>
            </w:pPr>
            <w:r>
              <w:rPr>
                <w:rFonts w:ascii="Courier New" w:cs="Courier New" w:eastAsia="Courier New" w:hAnsi="Courier New"/>
                <w:sz w:val="16"/>
                <w:szCs w:val="16"/>
                <w:color w:val="auto"/>
              </w:rPr>
              <w:t>Net assets acquired.......................</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$7,804.1</w:t>
            </w:r>
          </w:p>
        </w:tc>
      </w:tr>
      <w:tr>
        <w:trPr>
          <w:trHeight w:val="182"/>
        </w:trPr>
        <w:tc>
          <w:tcPr>
            <w:tcW w:w="4880" w:type="dxa"/>
            <w:vAlign w:val="bottom"/>
          </w:tcPr>
          <w:p>
            <w:pPr>
              <w:spacing w:after="0"/>
              <w:rPr>
                <w:sz w:val="15"/>
                <w:szCs w:val="15"/>
                <w:color w:val="auto"/>
              </w:rPr>
            </w:pP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The Company made cash payments for interest of $358.4 million, $255.2 million, $231.6 million and $198.8 million during the six months ended June 30, 2000 and 1999 and during the three months ended June 30, 2000 and 1999, respectively.</w:t>
      </w:r>
    </w:p>
    <w:p>
      <w:pPr>
        <w:spacing w:after="0" w:line="187"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The Company made cash payments for income taxes of $596.9 million, $112.5 million, $140.9 million and $93.6 million during the six months ended June 30, 2000 and 1999 and during the three months ended June 30, 2000 and 1999, respectively.</w:t>
      </w:r>
    </w:p>
    <w:p>
      <w:pPr>
        <w:spacing w:after="0" w:line="183" w:lineRule="exact"/>
        <w:rPr>
          <w:sz w:val="20"/>
          <w:szCs w:val="20"/>
          <w:color w:val="auto"/>
        </w:rPr>
      </w:pPr>
    </w:p>
    <w:p>
      <w:pPr>
        <w:ind w:left="463" w:hanging="463"/>
        <w:spacing w:after="0"/>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6"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188"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$500 million; however the Company's current estimate of the amount of expenditures (principally in the form of capital expenditures) that will be made by the affiliate necessary to comply with the performance requirements will not exceed $150 million.</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2"/>
          </w:cols>
          <w:pgMar w:left="237" w:top="477" w:right="1440" w:bottom="1440" w:gutter="0" w:footer="0" w:header="0"/>
        </w:sectPr>
      </w:pPr>
    </w:p>
    <w:bookmarkStart w:id="15" w:name="page16"/>
    <w:bookmarkEnd w:id="15"/>
    <w:p>
      <w:pPr>
        <w:jc w:val="center"/>
        <w:ind w:right="331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21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217"/>
        <w:spacing w:after="0"/>
        <w:rPr>
          <w:sz w:val="20"/>
          <w:szCs w:val="20"/>
          <w:color w:val="auto"/>
        </w:rPr>
      </w:pPr>
      <w:r>
        <w:rPr>
          <w:rFonts w:ascii="Courier New" w:cs="Courier New" w:eastAsia="Courier New" w:hAnsi="Courier New"/>
          <w:sz w:val="16"/>
          <w:szCs w:val="16"/>
          <w:color w:val="auto"/>
        </w:rPr>
        <w:t>QUARTER ENDED JUNE 30, 2000</w:t>
      </w:r>
    </w:p>
    <w:p>
      <w:pPr>
        <w:spacing w:after="0" w:line="1" w:lineRule="exact"/>
        <w:rPr>
          <w:sz w:val="20"/>
          <w:szCs w:val="20"/>
          <w:color w:val="auto"/>
        </w:rPr>
      </w:pPr>
    </w:p>
    <w:p>
      <w:pPr>
        <w:jc w:val="center"/>
        <w:ind w:right="3317"/>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217"/>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hanging="463"/>
        <w:spacing w:after="0"/>
        <w:tabs>
          <w:tab w:leader="none" w:pos="4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86" w:lineRule="exact"/>
        <w:rPr>
          <w:rFonts w:ascii="Courier New" w:cs="Courier New" w:eastAsia="Courier New" w:hAnsi="Courier New"/>
          <w:sz w:val="16"/>
          <w:szCs w:val="16"/>
          <w:color w:val="auto"/>
        </w:rPr>
      </w:pPr>
    </w:p>
    <w:p>
      <w:pPr>
        <w:jc w:val="both"/>
        <w:ind w:left="463" w:right="332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represents the Company's significant business segments, "Cable" and "Commerce." The components of net income (loss) below operating income (loss) are not separately evaluated by the Company's management on a segment basis (see the Company's condensed consolidated statement of operations and accumulated deficit) (dollars in millions).</w:t>
      </w:r>
    </w:p>
    <w:p>
      <w:pPr>
        <w:spacing w:after="0" w:line="200" w:lineRule="exact"/>
        <w:rPr>
          <w:sz w:val="20"/>
          <w:szCs w:val="20"/>
          <w:color w:val="auto"/>
        </w:rPr>
      </w:pPr>
    </w:p>
    <w:p>
      <w:pPr>
        <w:spacing w:after="0" w:line="349"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Cable</w:t>
            </w:r>
          </w:p>
        </w:tc>
        <w:tc>
          <w:tcPr>
            <w:tcW w:w="10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Corporate and</w:t>
            </w:r>
          </w:p>
        </w:tc>
        <w:tc>
          <w:tcPr>
            <w:tcW w:w="960" w:type="dxa"/>
            <w:vAlign w:val="bottom"/>
          </w:tcPr>
          <w:p>
            <w:pPr>
              <w:spacing w:after="0"/>
              <w:rPr>
                <w:sz w:val="15"/>
                <w:szCs w:val="15"/>
                <w:color w:val="auto"/>
              </w:rPr>
            </w:pPr>
          </w:p>
        </w:tc>
      </w:tr>
      <w:tr>
        <w:trPr>
          <w:trHeight w:val="182"/>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Communications</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Commerce</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Other (1)</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Six Months Ended</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rPr>
              <w:t>June 30, 2000</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5"/>
                <w:szCs w:val="5"/>
                <w:color w:val="auto"/>
                <w:w w:val="83"/>
              </w:rPr>
              <w:t>Revenues, net...............................................</w:t>
            </w:r>
          </w:p>
        </w:tc>
        <w:tc>
          <w:tcPr>
            <w:tcW w:w="416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$1,591.6</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$261.1</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$3,851.0</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Operating income</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w w:val="97"/>
              </w:rPr>
              <w:t>before depreciation and amortization (2)...</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904.3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278.7</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1,189.7</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Depreciation and</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w w:val="97"/>
              </w:rPr>
              <w:t>amortization...............................</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1,072.1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49.0</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1,180.1</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Operating (loss)</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w w:val="97"/>
              </w:rPr>
              <w:t>income.....................................</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(167.8)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219.7</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(42.3)</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Interest expense</w:t>
            </w:r>
          </w:p>
        </w:tc>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243.0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70.8</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331.8</w:t>
            </w:r>
          </w:p>
        </w:tc>
      </w:tr>
      <w:tr>
        <w:trPr>
          <w:trHeight w:val="182"/>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w w:val="98"/>
              </w:rPr>
              <w:t>Capital expenditures........................................</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491.3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77.9</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38.8</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608.0</w:t>
            </w:r>
          </w:p>
        </w:tc>
      </w:tr>
      <w:tr>
        <w:trPr>
          <w:trHeight w:val="364"/>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rPr>
              <w:t>Three Months Ended June 30, 2000</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5"/>
                <w:szCs w:val="5"/>
                <w:color w:val="auto"/>
                <w:w w:val="83"/>
              </w:rPr>
              <w:t>Revenues, net...............................................</w:t>
            </w:r>
          </w:p>
        </w:tc>
        <w:tc>
          <w:tcPr>
            <w:tcW w:w="416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$1,022.0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$770.6</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$119.5</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$1,912.1</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Operating income</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w w:val="97"/>
              </w:rPr>
              <w:t>before depreciation and amortization (2)...</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467.5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134.0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602.8</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Depreciation and</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w w:val="97"/>
              </w:rPr>
              <w:t>amortization...............................</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569.6</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29.5</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35.3</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634.4</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Operating (loss)</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w w:val="97"/>
              </w:rPr>
              <w:t>income.....................................</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(102.1)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104.5</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(31.6)</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Interest expense</w:t>
            </w:r>
          </w:p>
        </w:tc>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118.9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35.3</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163.2</w:t>
            </w:r>
          </w:p>
        </w:tc>
      </w:tr>
      <w:tr>
        <w:trPr>
          <w:trHeight w:val="182"/>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w w:val="98"/>
              </w:rPr>
              <w:t>Capital expenditures........................................</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262.8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43.2</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12.9</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318.9</w:t>
            </w:r>
          </w:p>
        </w:tc>
      </w:tr>
      <w:tr>
        <w:trPr>
          <w:trHeight w:val="364"/>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rPr>
              <w:t>As of June 30, 2000</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5"/>
                <w:szCs w:val="5"/>
                <w:color w:val="auto"/>
                <w:w w:val="83"/>
              </w:rPr>
              <w:t>Assets......................................................</w:t>
            </w:r>
          </w:p>
        </w:tc>
        <w:tc>
          <w:tcPr>
            <w:tcW w:w="416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$22,528.5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$2,232.0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$10,571.2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$35,331.7</w:t>
            </w:r>
          </w:p>
        </w:tc>
      </w:tr>
      <w:tr>
        <w:trPr>
          <w:trHeight w:val="182"/>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w w:val="98"/>
              </w:rPr>
              <w:t>Long-term debt, less current portion........................</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6,039.4</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421.7</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3,757.5</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10,218.6</w:t>
            </w:r>
          </w:p>
        </w:tc>
      </w:tr>
      <w:tr>
        <w:trPr>
          <w:trHeight w:val="364"/>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Six Months Ended</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rPr>
              <w:t>June 30, 1999</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5"/>
                <w:szCs w:val="5"/>
                <w:color w:val="auto"/>
                <w:w w:val="83"/>
              </w:rPr>
              <w:t>Revenues, net...............................................</w:t>
            </w:r>
          </w:p>
        </w:tc>
        <w:tc>
          <w:tcPr>
            <w:tcW w:w="416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$1,353.7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$1,425.4</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$216.8</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$2,995.9</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Operating income</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w w:val="97"/>
              </w:rPr>
              <w:t>before depreciation and amortization (2)...</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623.9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252.4</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882.5</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Depreciation and</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w w:val="97"/>
              </w:rPr>
              <w:t>amortization...............................</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454.7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57.6</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33.8</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546.1</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Operating income</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w w:val="97"/>
              </w:rPr>
              <w:t>(loss).....................................</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169.2</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194.8</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(27.6)</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336.4</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Interest expense</w:t>
            </w:r>
          </w:p>
        </w:tc>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159.0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20.6</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75.1</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254.7</w:t>
            </w:r>
          </w:p>
        </w:tc>
      </w:tr>
      <w:tr>
        <w:trPr>
          <w:trHeight w:val="182"/>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w w:val="98"/>
              </w:rPr>
              <w:t>Capital expenditures........................................</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290.0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326.4</w:t>
            </w:r>
          </w:p>
        </w:tc>
      </w:tr>
      <w:tr>
        <w:trPr>
          <w:trHeight w:val="364"/>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rPr>
              <w:t>Three Months Ended June 30, 1999</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5"/>
                <w:szCs w:val="5"/>
                <w:color w:val="auto"/>
                <w:w w:val="83"/>
              </w:rPr>
              <w:t>Revenues, net...............................................</w:t>
            </w:r>
          </w:p>
        </w:tc>
        <w:tc>
          <w:tcPr>
            <w:tcW w:w="416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$748.9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$703.1</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$97.2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$1,549.2</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Operating income</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rPr>
              <w:t>(loss) before depreciation and</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amortization</w:t>
            </w:r>
          </w:p>
        </w:tc>
        <w:tc>
          <w:tcPr>
            <w:tcW w:w="4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(2)..........................................</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343.4</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121.5</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(7.6)</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457.3</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Depreciation and</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w w:val="97"/>
              </w:rPr>
              <w:t>amortization...............................</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260.5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29.2</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17.8</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307.5</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Operating income</w:t>
            </w:r>
          </w:p>
        </w:tc>
        <w:tc>
          <w:tcPr>
            <w:tcW w:w="4160" w:type="dxa"/>
            <w:vAlign w:val="bottom"/>
          </w:tcPr>
          <w:p>
            <w:pPr>
              <w:ind w:left="100"/>
              <w:spacing w:after="0"/>
              <w:rPr>
                <w:sz w:val="20"/>
                <w:szCs w:val="20"/>
                <w:color w:val="auto"/>
              </w:rPr>
            </w:pPr>
            <w:r>
              <w:rPr>
                <w:rFonts w:ascii="Courier New" w:cs="Courier New" w:eastAsia="Courier New" w:hAnsi="Courier New"/>
                <w:sz w:val="16"/>
                <w:szCs w:val="16"/>
                <w:color w:val="auto"/>
                <w:w w:val="97"/>
              </w:rPr>
              <w:t>(loss).....................................</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92.3</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(25.4)</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149.8</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Interest expense</w:t>
            </w:r>
          </w:p>
        </w:tc>
        <w:tc>
          <w:tcPr>
            <w:tcW w:w="41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10.2</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40.0</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143.5</w:t>
            </w:r>
          </w:p>
        </w:tc>
      </w:tr>
      <w:tr>
        <w:trPr>
          <w:trHeight w:val="182"/>
        </w:trPr>
        <w:tc>
          <w:tcPr>
            <w:tcW w:w="5680" w:type="dxa"/>
            <w:vAlign w:val="bottom"/>
            <w:gridSpan w:val="3"/>
          </w:tcPr>
          <w:p>
            <w:pPr>
              <w:spacing w:after="0"/>
              <w:rPr>
                <w:sz w:val="20"/>
                <w:szCs w:val="20"/>
                <w:color w:val="auto"/>
              </w:rPr>
            </w:pPr>
            <w:r>
              <w:rPr>
                <w:rFonts w:ascii="Courier New" w:cs="Courier New" w:eastAsia="Courier New" w:hAnsi="Courier New"/>
                <w:sz w:val="16"/>
                <w:szCs w:val="16"/>
                <w:color w:val="auto"/>
                <w:w w:val="98"/>
              </w:rPr>
              <w:t>Capital expenditures........................................</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184.4</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14.1</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204.0</w:t>
            </w:r>
          </w:p>
        </w:tc>
      </w:tr>
    </w:tbl>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943" w:right="3320" w:hanging="470"/>
        <w:spacing w:after="0" w:line="239" w:lineRule="auto"/>
        <w:tabs>
          <w:tab w:leader="none" w:pos="94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Other includes certain other operating businesses, such as Comcast-Spectacor, L.P., E! Entertainment Television, Inc. and elimination entries related to the segments presented. Corporate and other assets consist primarily of the Company's investments (see Note 4).</w:t>
      </w:r>
    </w:p>
    <w:p>
      <w:pPr>
        <w:spacing w:after="0" w:line="8" w:lineRule="exact"/>
        <w:rPr>
          <w:rFonts w:ascii="Courier New" w:cs="Courier New" w:eastAsia="Courier New" w:hAnsi="Courier New"/>
          <w:sz w:val="16"/>
          <w:szCs w:val="16"/>
          <w:color w:val="auto"/>
        </w:rPr>
      </w:pPr>
    </w:p>
    <w:p>
      <w:pPr>
        <w:jc w:val="both"/>
        <w:ind w:left="943" w:right="3320" w:hanging="470"/>
        <w:spacing w:after="0" w:line="239" w:lineRule="auto"/>
        <w:tabs>
          <w:tab w:leader="none" w:pos="94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the Company's businesses as "operating cash flow." Operating cash flow is a measure of a company's ability to generate cash to service</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883"/>
          </w:cols>
          <w:pgMar w:left="237" w:top="477" w:right="779" w:bottom="1440" w:gutter="0" w:footer="0" w:header="0"/>
        </w:sectPr>
      </w:pPr>
    </w:p>
    <w:bookmarkStart w:id="16" w:name="page17"/>
    <w:bookmarkEnd w:id="16"/>
    <w:p>
      <w:pPr>
        <w:jc w:val="center"/>
        <w:ind w:right="34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QUARTER ENDED JUNE 30, 2000</w:t>
      </w:r>
    </w:p>
    <w:p>
      <w:pPr>
        <w:spacing w:after="0" w:line="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NOTES TO CONDENSED CONSOLIDATED FINANCIAL STATEMENTS - CONCLUDED</w:t>
      </w:r>
    </w:p>
    <w:p>
      <w:pPr>
        <w:spacing w:after="0" w:line="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80" w:right="2659"/>
        <w:spacing w:after="0"/>
        <w:rPr>
          <w:sz w:val="20"/>
          <w:szCs w:val="20"/>
          <w:color w:val="auto"/>
        </w:rPr>
      </w:pPr>
      <w:r>
        <w:rPr>
          <w:rFonts w:ascii="Courier New" w:cs="Courier New" w:eastAsia="Courier New" w:hAnsi="Courier New"/>
          <w:sz w:val="16"/>
          <w:szCs w:val="16"/>
          <w:color w:val="auto"/>
        </w:rPr>
        <w:t>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350"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459"/>
          </w:cols>
          <w:pgMar w:left="1000" w:top="477" w:right="1440" w:bottom="1440" w:gutter="0" w:footer="0" w:header="0"/>
        </w:sectPr>
      </w:pPr>
    </w:p>
    <w:bookmarkStart w:id="17" w:name="page18"/>
    <w:bookmarkEnd w:id="17"/>
    <w:p>
      <w:pPr>
        <w:spacing w:after="0" w:line="3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QUARTER ENDED JUNE 30, 2000</w:t>
      </w:r>
    </w:p>
    <w:p>
      <w:pPr>
        <w:spacing w:after="0" w:line="186" w:lineRule="exact"/>
        <w:rPr>
          <w:sz w:val="20"/>
          <w:szCs w:val="20"/>
          <w:color w:val="auto"/>
        </w:rPr>
      </w:pPr>
    </w:p>
    <w:p>
      <w:pPr>
        <w:ind w:left="760" w:right="3499" w:hanging="756"/>
        <w:spacing w:after="0" w:line="237"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20"/>
                <w:szCs w:val="20"/>
                <w:color w:val="auto"/>
              </w:rPr>
            </w:pPr>
            <w:r>
              <w:rPr>
                <w:rFonts w:ascii="Courier New" w:cs="Courier New" w:eastAsia="Courier New" w:hAnsi="Courier New"/>
                <w:sz w:val="16"/>
                <w:szCs w:val="16"/>
                <w:color w:val="auto"/>
              </w:rPr>
              <w:t>Overview</w:t>
            </w: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64"/>
        </w:trPr>
        <w:tc>
          <w:tcPr>
            <w:tcW w:w="1140" w:type="dxa"/>
            <w:vAlign w:val="bottom"/>
          </w:tcPr>
          <w:p>
            <w:pPr>
              <w:ind w:left="460"/>
              <w:spacing w:after="0"/>
              <w:rPr>
                <w:sz w:val="20"/>
                <w:szCs w:val="20"/>
                <w:color w:val="auto"/>
              </w:rPr>
            </w:pPr>
            <w:r>
              <w:rPr>
                <w:rFonts w:ascii="Courier New" w:cs="Courier New" w:eastAsia="Courier New" w:hAnsi="Courier New"/>
                <w:sz w:val="16"/>
                <w:szCs w:val="16"/>
                <w:color w:val="auto"/>
                <w:w w:val="98"/>
              </w:rPr>
              <w:t>We have</w:t>
            </w:r>
          </w:p>
        </w:tc>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rPr>
              <w:t>experienced</w:t>
            </w:r>
          </w:p>
        </w:tc>
        <w:tc>
          <w:tcPr>
            <w:tcW w:w="11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significant</w:t>
            </w: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w w:val="93"/>
              </w:rPr>
              <w:t>growth</w:t>
            </w:r>
          </w:p>
        </w:tc>
        <w:tc>
          <w:tcPr>
            <w:tcW w:w="32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  recent  years  both  through</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strategic</w:t>
            </w:r>
          </w:p>
        </w:tc>
        <w:tc>
          <w:tcPr>
            <w:tcW w:w="1320" w:type="dxa"/>
            <w:vAlign w:val="bottom"/>
          </w:tcPr>
          <w:p>
            <w:pPr>
              <w:spacing w:after="0"/>
              <w:rPr>
                <w:sz w:val="20"/>
                <w:szCs w:val="20"/>
                <w:color w:val="auto"/>
              </w:rPr>
            </w:pPr>
            <w:r>
              <w:rPr>
                <w:rFonts w:ascii="Courier New" w:cs="Courier New" w:eastAsia="Courier New" w:hAnsi="Courier New"/>
                <w:sz w:val="16"/>
                <w:szCs w:val="16"/>
                <w:color w:val="auto"/>
              </w:rPr>
              <w:t>acquisitions</w:t>
            </w:r>
          </w:p>
        </w:tc>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and  growth</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w w:val="95"/>
              </w:rPr>
              <w:t>in  our</w:t>
            </w:r>
          </w:p>
        </w:tc>
        <w:tc>
          <w:tcPr>
            <w:tcW w:w="1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existing</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businesses.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We  have</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historically</w:t>
            </w:r>
          </w:p>
        </w:tc>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w w:val="97"/>
              </w:rPr>
              <w:t>met our cash</w:t>
            </w:r>
          </w:p>
        </w:tc>
        <w:tc>
          <w:tcPr>
            <w:tcW w:w="11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needs for</w:t>
            </w:r>
          </w:p>
        </w:tc>
        <w:tc>
          <w:tcPr>
            <w:tcW w:w="1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operations</w:t>
            </w:r>
          </w:p>
        </w:tc>
        <w:tc>
          <w:tcPr>
            <w:tcW w:w="17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w w:val="96"/>
              </w:rPr>
              <w:t>through  our cash</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flows from</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1320" w:type="dxa"/>
            <w:vAlign w:val="bottom"/>
          </w:tcPr>
          <w:p>
            <w:pPr>
              <w:spacing w:after="0"/>
              <w:rPr>
                <w:sz w:val="20"/>
                <w:szCs w:val="20"/>
                <w:color w:val="auto"/>
              </w:rPr>
            </w:pPr>
            <w:r>
              <w:rPr>
                <w:rFonts w:ascii="Courier New" w:cs="Courier New" w:eastAsia="Courier New" w:hAnsi="Courier New"/>
                <w:sz w:val="16"/>
                <w:szCs w:val="16"/>
                <w:color w:val="auto"/>
              </w:rPr>
              <w:t>activities.</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requirements</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for</w:t>
            </w:r>
          </w:p>
        </w:tc>
        <w:tc>
          <w:tcPr>
            <w:tcW w:w="2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acquisitions  and  capital</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expenditures</w:t>
            </w:r>
          </w:p>
        </w:tc>
        <w:tc>
          <w:tcPr>
            <w:tcW w:w="19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have been provided</w:t>
            </w:r>
          </w:p>
        </w:tc>
        <w:tc>
          <w:tcPr>
            <w:tcW w:w="226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through our financing</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activities and sales of</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investments,</w:t>
            </w:r>
          </w:p>
        </w:tc>
        <w:tc>
          <w:tcPr>
            <w:tcW w:w="250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as well as our existing</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7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equivalents  and</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short-term</w:t>
            </w:r>
          </w:p>
        </w:tc>
      </w:tr>
      <w:tr>
        <w:trPr>
          <w:trHeight w:val="182"/>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investments.</w:t>
            </w: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86" w:lineRule="exact"/>
        <w:rPr>
          <w:sz w:val="20"/>
          <w:szCs w:val="20"/>
          <w:color w:val="auto"/>
        </w:rPr>
      </w:pPr>
    </w:p>
    <w:p>
      <w:pPr>
        <w:jc w:val="both"/>
        <w:ind w:right="2659" w:firstLine="473"/>
        <w:spacing w:after="0" w:line="258" w:lineRule="auto"/>
        <w:rPr>
          <w:sz w:val="20"/>
          <w:szCs w:val="20"/>
          <w:color w:val="auto"/>
        </w:rPr>
      </w:pPr>
      <w:r>
        <w:rPr>
          <w:rFonts w:ascii="Courier New" w:cs="Courier New" w:eastAsia="Courier New" w:hAnsi="Courier New"/>
          <w:sz w:val="15"/>
          <w:szCs w:val="15"/>
          <w:color w:val="auto"/>
        </w:rPr>
        <w:t>We have in the past acquired and we will be acquiring cable communications systems in new communities in which we do not have established relationships with the franchising authority, community leaders and cable subscribers. Further, a substantial number of new employees must be integrated into our business practices and operations. We assumed management control of the operations of Prime Communications LLC in August 2000. Our previously announced cable system exchanges with Adelphia Communications and AT&amp;T Corp. are subject to closing conditions and regulatory approvals and are expected to close in the fourth quarter of 2000. Our results of operations may be significantly affected by our ability to efficiently and effectively manage these changes.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86"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See Note 3 to our condensed consolidated financial statements included in Item 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cable communications and the electronic retailing industry are experiencing increasing competition and rapid technological changes. Our future results of operations will be affected by our ability to react to changes in the competitive environment and by our ability to implement new technologies. However, we believe that competition and technological changes will not significantly affect our ability to obtain financing.</w:t>
      </w:r>
    </w:p>
    <w:p>
      <w:pPr>
        <w:spacing w:after="0" w:line="190"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We believe that we will be able to meet our current and long-term liquidity and capital requirements, including fixed charges, principally through our cash flows from operating activities, existing cash, cash equivalents and investments.</w:t>
      </w:r>
    </w:p>
    <w:p>
      <w:pPr>
        <w:spacing w:after="0" w:line="187"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See Note 8 to our condensed consolidated financial statements included in Item 1.</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June 30, 2000 were $3.627 billion, substantially all of which is unrestricted.</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Investments</w:t>
      </w:r>
    </w:p>
    <w:p>
      <w:pPr>
        <w:spacing w:after="0" w:line="186" w:lineRule="exact"/>
        <w:rPr>
          <w:sz w:val="20"/>
          <w:szCs w:val="20"/>
          <w:color w:val="auto"/>
        </w:rPr>
      </w:pPr>
    </w:p>
    <w:p>
      <w:pPr>
        <w:jc w:val="both"/>
        <w:ind w:right="2659" w:firstLine="473"/>
        <w:spacing w:after="0" w:line="262" w:lineRule="auto"/>
        <w:rPr>
          <w:sz w:val="20"/>
          <w:szCs w:val="20"/>
          <w:color w:val="auto"/>
        </w:rPr>
      </w:pPr>
      <w:r>
        <w:rPr>
          <w:rFonts w:ascii="Courier New" w:cs="Courier New" w:eastAsia="Courier New" w:hAnsi="Courier New"/>
          <w:sz w:val="15"/>
          <w:szCs w:val="15"/>
          <w:color w:val="auto"/>
        </w:rPr>
        <w:t>See Note 4 to our condensed consolidated financial statements included in Item 1. A significant portion of our investments are in publicly traded companies and are reflected at fair value which fluctuates with market changes.</w:t>
      </w:r>
    </w:p>
    <w:p>
      <w:pPr>
        <w:spacing w:after="0" w:line="171"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We do not have any significant contractual funding commitments with respect to any of our investments. However, to the extent we do not fund our investees' non-binding capital calls, we are subject to dilution of our ownership interests. We continually evaluate our existing investments, as well as new investment opportunities.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Financing</w:t>
      </w:r>
    </w:p>
    <w:p>
      <w:pPr>
        <w:spacing w:after="0" w:line="186"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See Notes 5 and 6 to our condensed consolidated financial statements included in Item 1.</w:t>
      </w:r>
    </w:p>
    <w:p>
      <w:pPr>
        <w:spacing w:after="0" w:line="18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As of June 30, 2000 and December 31, 1999, our long-term debt, including current portion, was $10.365 billion and $9.225 billion, respectively. Excluding the effects of interest rate risk management instruments, 23.5% and 25.4% of our long-term debt as of June 30, 2000 and December 31, 1999, respectively, was at variable rates.</w:t>
      </w:r>
    </w:p>
    <w:p>
      <w:pPr>
        <w:spacing w:after="0" w:line="189" w:lineRule="exact"/>
        <w:rPr>
          <w:sz w:val="20"/>
          <w:szCs w:val="20"/>
          <w:color w:val="auto"/>
        </w:rPr>
      </w:pPr>
    </w:p>
    <w:p>
      <w:pPr>
        <w:jc w:val="both"/>
        <w:ind w:right="2659" w:firstLine="473"/>
        <w:spacing w:after="0" w:line="258" w:lineRule="auto"/>
        <w:rPr>
          <w:sz w:val="20"/>
          <w:szCs w:val="20"/>
          <w:color w:val="auto"/>
        </w:rPr>
      </w:pPr>
      <w:r>
        <w:rPr>
          <w:rFonts w:ascii="Courier New" w:cs="Courier New" w:eastAsia="Courier New" w:hAnsi="Courier New"/>
          <w:sz w:val="15"/>
          <w:szCs w:val="15"/>
          <w:color w:val="auto"/>
        </w:rPr>
        <w:t>The $1.140 billion increase in our long-term debt, including current portion, results principally from the $1.326 billion of Lenfest Communications, Inc. ("Lenfest") debt that we assumed and the $286.0 million of Comcast Cablevision of Garden State, L.P. ("Garden State Cable") (formerly Garden State Cablevision L.P.) debt that we consolidated in connection with the acquisition of Lenfest in January 2000 (see Notes 3 and 5 to our condensed consolidated financial statements included in Item 1), the $398.0 million non-cash, non-interest bearing adjustment to the carrying value of the Company's 2.0%</w:t>
      </w:r>
    </w:p>
    <w:p>
      <w:pPr>
        <w:sectPr>
          <w:pgSz w:w="11900" w:h="16875" w:orient="portrait"/>
          <w:cols w:equalWidth="0" w:num="1">
            <w:col w:w="10219"/>
          </w:cols>
          <w:pgMar w:left="240" w:top="477" w:right="1440" w:bottom="0" w:gutter="0" w:footer="0" w:header="0"/>
        </w:sectPr>
      </w:pPr>
    </w:p>
    <w:bookmarkStart w:id="18" w:name="page19"/>
    <w:bookmarkEnd w:id="18"/>
    <w:p>
      <w:pPr>
        <w:ind w:right="2659"/>
        <w:spacing w:after="0" w:line="237" w:lineRule="auto"/>
        <w:rPr>
          <w:sz w:val="20"/>
          <w:szCs w:val="20"/>
          <w:color w:val="auto"/>
        </w:rPr>
      </w:pPr>
      <w:r>
        <w:rPr>
          <w:rFonts w:ascii="Courier New" w:cs="Courier New" w:eastAsia="Courier New" w:hAnsi="Courier New"/>
          <w:sz w:val="16"/>
          <w:szCs w:val="16"/>
          <w:color w:val="auto"/>
        </w:rPr>
        <w:t>Exchangeable Subordinated Debentures due 2029 (the "ZONES") during the six months ended June 30, 2000 (see Note 5 to our condensed consolidated</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42" w:right="1440" w:bottom="1440" w:gutter="0" w:footer="0" w:header="0"/>
        </w:sectPr>
      </w:pPr>
    </w:p>
    <w:bookmarkStart w:id="19" w:name="page20"/>
    <w:bookmarkEnd w:id="19"/>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QUARTER ENDED JUNE 30, 2000</w:t>
      </w:r>
    </w:p>
    <w:p>
      <w:pPr>
        <w:spacing w:after="0" w:line="368"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financial statements included in Item 1) and $188.8 million of borrowings, offset in part by retirements and repayments of our long-term debt of $1.078 billion during the six months ended June 30, 2000.</w:t>
      </w:r>
    </w:p>
    <w:p>
      <w:pPr>
        <w:spacing w:after="0" w:line="188"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We have and may from time to time in the future, depending on certain factors including market conditions, make optional repayments on our debt obligations, which may include open market repurchases of our outstanding public notes and debentures.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Equity Price Risk</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At maturity, holders of the ZONES are entitled to receive in cash an amount equal to the higher of (a) the principal amount of the ZONES, or (b) the market value of Sprint PCS stock. The ZONES are being accounted for as an indexed debt instrument since the maturity value is dependent upon the fair value of Sprint PCS stock.</w:t>
      </w:r>
    </w:p>
    <w:p>
      <w:pPr>
        <w:spacing w:after="0" w:line="189"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During 1999, we entered into cashless collar agreements (the "Equity Collars") covering $1.365 billion notional amount of investment securities accounted for at fair value. The Equity Collars limit our exposure to and benefits from price fluctuations in the underlying equity securities. The Equity Collars mature between 2001 and 2003. As we account for the Equity Collars as a hedge, changes in the value of the Equity Collars are substantially offset by changes in the value of the underlying investment securities which are also marked to market through accumulated other comprehensive income in our condensed consolidated balance sheet.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Interest Rate Risk</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During the six months ended June 30, 2000, in connection with our acquisition of Lenfest (see Note 3 to our condensed consolidated financial statements included in Item 1), we acquired interest rate exchange agreements ("Swaps") with an aggregate notional amount of $275.0 million. Swaps with an aggregate notional amount of $840.0 million either were terminated or expired during the six months ended June 30, 2000. As of June 30, 2000, we have Swaps with an aggregate notional amount of $1.187 billion having an average pay rate of 6.93% and an average receive rate of 7.31%.</w:t>
      </w:r>
    </w:p>
    <w:p>
      <w:pPr>
        <w:spacing w:after="0" w:line="36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Cash and cash equivalents decreased $269.9 million as of June 30, 2000 from December 31, 1999. The decrease in cash and cash equivalents resulted from cash flows from operating, financing and investing activities which are explained below.</w:t>
      </w:r>
    </w:p>
    <w:p>
      <w:pPr>
        <w:spacing w:after="0" w:line="187"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Net cash provided by operating activities from continuing operations amounted to $173.7 million for the six months ended June 30, 2000, due principally to the effects of our acquisition of Lenfest in January 2000 (see Note 3 to our condensed consolidated financial statements included in Item 1) and increases in our operating income before depreciation and amortization (see "Results of Operations"), offset by changes in working capital as a result of the timing of receipts and disbursements.</w:t>
      </w:r>
    </w:p>
    <w:p>
      <w:pPr>
        <w:spacing w:after="0" w:line="192"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Net cash used in financing activities from continuing operations, which includes borrowings and repayments of debt, as well as the issuances and repurchases of our equity securities, was $1.088 billion for the six months ended June 30, 2000. During the six months ended June 30, 2000, we borrowed $188.8 million, consisting primarily of borrowings under revolving lines of credit held by our subsidiaries. During the six months ended June 30, 2000 we repaid $1.078 billion of our long-term debt, consisting primarily of $572.0 million of repayments on certain of our revolving credit facilities and $471.0 million of aggregate repurchases of various of our senior notes and of our senior subordinated debentures. In addition, during the six months ended June 30, 2000, we had proceeds of $21.5 million related to issuances of our common stock and the sale of put options on our common stock and repurchased $219.6 million of our common stock.</w:t>
      </w:r>
    </w:p>
    <w:p>
      <w:pPr>
        <w:spacing w:after="0" w:line="190"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Net cash provided by investing activities from continuing operations was $644.0 million for the six months ended June 30, 2000. Net cash provided by investing activities includes net proceeds from sales of short-term investments of $867.4 million and proceeds from sales of investments of $983.8 million, offset by the effects of acquisitions, net of cash acquired, of $83.8 million, consisting of our acquisition of certain cable communications systems, investments of $348.7 million, capital expenditures of $608.0 million and additions to deferred charges of $166.7 million.</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77" w:right="1440" w:bottom="337" w:gutter="0" w:footer="0" w:header="0"/>
        </w:sectPr>
      </w:pPr>
    </w:p>
    <w:bookmarkStart w:id="20" w:name="page21"/>
    <w:bookmarkEnd w:id="20"/>
    <w:p>
      <w:pPr>
        <w:jc w:val="center"/>
        <w:ind w:right="293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83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837"/>
        <w:spacing w:after="0"/>
        <w:rPr>
          <w:sz w:val="20"/>
          <w:szCs w:val="20"/>
          <w:color w:val="auto"/>
        </w:rPr>
      </w:pPr>
      <w:r>
        <w:rPr>
          <w:rFonts w:ascii="Courier New" w:cs="Courier New" w:eastAsia="Courier New" w:hAnsi="Courier New"/>
          <w:sz w:val="16"/>
          <w:szCs w:val="16"/>
          <w:color w:val="auto"/>
        </w:rPr>
        <w:t>QUARTER ENDED JUNE 30, 2000</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jc w:val="both"/>
        <w:ind w:left="3" w:right="2940" w:firstLine="473"/>
        <w:spacing w:after="0" w:line="238" w:lineRule="auto"/>
        <w:rPr>
          <w:sz w:val="20"/>
          <w:szCs w:val="20"/>
          <w:color w:val="auto"/>
        </w:rPr>
      </w:pPr>
      <w:r>
        <w:rPr>
          <w:rFonts w:ascii="Courier New" w:cs="Courier New" w:eastAsia="Courier New" w:hAnsi="Courier New"/>
          <w:sz w:val="16"/>
          <w:szCs w:val="16"/>
          <w:color w:val="auto"/>
        </w:rPr>
        <w:t>Our summarized consolidated financial information for the six and three months ended June 30, 2000 and 1999 is as follows (dollars in millions, "NM" denotes percentage is not meaningful):</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900" w:type="dxa"/>
            <w:vAlign w:val="bottom"/>
          </w:tcPr>
          <w:p>
            <w:pPr>
              <w:spacing w:after="0"/>
              <w:rPr>
                <w:sz w:val="15"/>
                <w:szCs w:val="15"/>
                <w:color w:val="auto"/>
              </w:rPr>
            </w:pPr>
          </w:p>
        </w:tc>
        <w:tc>
          <w:tcPr>
            <w:tcW w:w="2320" w:type="dxa"/>
            <w:vAlign w:val="bottom"/>
            <w:gridSpan w:val="2"/>
          </w:tcPr>
          <w:p>
            <w:pPr>
              <w:jc w:val="center"/>
              <w:ind w:right="41"/>
              <w:spacing w:after="0"/>
              <w:rPr>
                <w:sz w:val="20"/>
                <w:szCs w:val="20"/>
                <w:color w:val="auto"/>
              </w:rPr>
            </w:pPr>
            <w:r>
              <w:rPr>
                <w:rFonts w:ascii="Courier New" w:cs="Courier New" w:eastAsia="Courier New" w:hAnsi="Courier New"/>
                <w:sz w:val="16"/>
                <w:szCs w:val="16"/>
                <w:color w:val="auto"/>
                <w:w w:val="98"/>
              </w:rPr>
              <w:t>Six Months Ended</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900" w:type="dxa"/>
            <w:vAlign w:val="bottom"/>
          </w:tcPr>
          <w:p>
            <w:pPr>
              <w:spacing w:after="0"/>
              <w:rPr>
                <w:sz w:val="15"/>
                <w:szCs w:val="15"/>
                <w:color w:val="auto"/>
              </w:rPr>
            </w:pPr>
          </w:p>
        </w:tc>
        <w:tc>
          <w:tcPr>
            <w:tcW w:w="2320" w:type="dxa"/>
            <w:vAlign w:val="bottom"/>
            <w:gridSpan w:val="2"/>
          </w:tcPr>
          <w:p>
            <w:pPr>
              <w:jc w:val="center"/>
              <w:ind w:right="41"/>
              <w:spacing w:after="0"/>
              <w:rPr>
                <w:sz w:val="20"/>
                <w:szCs w:val="20"/>
                <w:color w:val="auto"/>
              </w:rPr>
            </w:pPr>
            <w:r>
              <w:rPr>
                <w:rFonts w:ascii="Courier New" w:cs="Courier New" w:eastAsia="Courier New" w:hAnsi="Courier New"/>
                <w:sz w:val="16"/>
                <w:szCs w:val="16"/>
                <w:color w:val="auto"/>
                <w:w w:val="98"/>
              </w:rPr>
              <w:t>June 30,</w:t>
            </w:r>
          </w:p>
        </w:tc>
        <w:tc>
          <w:tcPr>
            <w:tcW w:w="2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Increase / (Decrease)</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59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$3,851.0</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$2,995.9</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$855.1</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1,015.2</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912.6</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102.6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11.2</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1,646.1</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1,200.8</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445.3</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37.1</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1,189.7</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882.5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307.2</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34.8</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376.7</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254.0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122.7</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48.3</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803.4</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292.1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511.3</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9.6</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336.4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(326.8)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(97.1)</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331.8</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254.7</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77.1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30.3</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(959.4)</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(128.0)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831.4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Expense related to indexed debt..............................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398.0</w:t>
            </w:r>
          </w:p>
        </w:tc>
        <w:tc>
          <w:tcPr>
            <w:tcW w:w="112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398.0</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Other expense (income).......................................</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(1,430.9)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(1,439.5)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153.3</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723.7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(570.4)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(78.8)</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60.9</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(73.7)</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extraordinary items.......................................</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$12.4</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$928.1</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($915.7)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(98.7%)</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46"/>
        </w:trPr>
        <w:tc>
          <w:tcPr>
            <w:tcW w:w="5900" w:type="dxa"/>
            <w:vAlign w:val="bottom"/>
          </w:tcPr>
          <w:p>
            <w:pPr>
              <w:spacing w:after="0"/>
              <w:rPr>
                <w:sz w:val="24"/>
                <w:szCs w:val="24"/>
                <w:color w:val="auto"/>
              </w:rPr>
            </w:pPr>
          </w:p>
        </w:tc>
        <w:tc>
          <w:tcPr>
            <w:tcW w:w="232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8"/>
              </w:rPr>
              <w:t>Three Months Ended</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5900" w:type="dxa"/>
            <w:vAlign w:val="bottom"/>
          </w:tcPr>
          <w:p>
            <w:pPr>
              <w:spacing w:after="0"/>
              <w:rPr>
                <w:sz w:val="15"/>
                <w:szCs w:val="15"/>
                <w:color w:val="auto"/>
              </w:rPr>
            </w:pPr>
          </w:p>
        </w:tc>
        <w:tc>
          <w:tcPr>
            <w:tcW w:w="2320" w:type="dxa"/>
            <w:vAlign w:val="bottom"/>
            <w:gridSpan w:val="2"/>
          </w:tcPr>
          <w:p>
            <w:pPr>
              <w:jc w:val="center"/>
              <w:ind w:right="41"/>
              <w:spacing w:after="0"/>
              <w:rPr>
                <w:sz w:val="20"/>
                <w:szCs w:val="20"/>
                <w:color w:val="auto"/>
              </w:rPr>
            </w:pPr>
            <w:r>
              <w:rPr>
                <w:rFonts w:ascii="Courier New" w:cs="Courier New" w:eastAsia="Courier New" w:hAnsi="Courier New"/>
                <w:sz w:val="16"/>
                <w:szCs w:val="16"/>
                <w:color w:val="auto"/>
                <w:w w:val="98"/>
              </w:rPr>
              <w:t>June 30,</w:t>
            </w:r>
          </w:p>
        </w:tc>
        <w:tc>
          <w:tcPr>
            <w:tcW w:w="2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Increase / (Decrease)</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59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$1,912.1</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$1,549.2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$362.9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23.4%</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488.2</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449.4</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821.1</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642.5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178.6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27.8</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602.8</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457.3</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145.5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31.8</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204.8</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137.3</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49.2</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429.6</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170.2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259.4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(loss) income......................................</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149.8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163.2</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143.5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19.7</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13.7</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(314.8)</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314.6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Income related to indexed debt...............................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(289.5)</w:t>
            </w:r>
          </w:p>
        </w:tc>
        <w:tc>
          <w:tcPr>
            <w:tcW w:w="112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289.5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(59.3)</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(1,430.7)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(1,428.5)</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(99.8)</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185.1</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636.3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(451.2)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(70.9)</w:t>
            </w: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26.7</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(28.1)</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NM</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5900" w:type="dxa"/>
            <w:vAlign w:val="bottom"/>
          </w:tcPr>
          <w:p>
            <w:pPr>
              <w:ind w:left="280"/>
              <w:spacing w:after="0"/>
              <w:rPr>
                <w:sz w:val="20"/>
                <w:szCs w:val="20"/>
                <w:color w:val="auto"/>
              </w:rPr>
            </w:pPr>
            <w:r>
              <w:rPr>
                <w:rFonts w:ascii="Courier New" w:cs="Courier New" w:eastAsia="Courier New" w:hAnsi="Courier New"/>
                <w:sz w:val="16"/>
                <w:szCs w:val="16"/>
                <w:color w:val="auto"/>
              </w:rPr>
              <w:t>extraordinary items.......................................</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$198.8</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$826.3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($627.5)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(75.9%)</w:t>
            </w:r>
          </w:p>
        </w:tc>
      </w:tr>
      <w:tr>
        <w:trPr>
          <w:trHeight w:val="182"/>
        </w:trPr>
        <w:tc>
          <w:tcPr>
            <w:tcW w:w="590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463" w:right="2940" w:hanging="463"/>
        <w:spacing w:after="0" w:line="257" w:lineRule="auto"/>
        <w:tabs>
          <w:tab w:leader="none" w:pos="46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w:t>
      </w:r>
    </w:p>
    <w:p>
      <w:pPr>
        <w:spacing w:after="0" w:line="17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503"/>
          </w:cols>
          <w:pgMar w:left="237" w:top="477" w:right="1159" w:bottom="1065" w:gutter="0" w:footer="0" w:header="0"/>
        </w:sectPr>
      </w:pPr>
    </w:p>
    <w:bookmarkStart w:id="21" w:name="page22"/>
    <w:bookmarkEnd w:id="21"/>
    <w:p>
      <w:pPr>
        <w:spacing w:after="0" w:line="26"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QUARTER ENDED JUNE 30, 2000</w:t>
      </w:r>
    </w:p>
    <w:p>
      <w:pPr>
        <w:spacing w:after="0" w:line="368" w:lineRule="exact"/>
        <w:rPr>
          <w:sz w:val="20"/>
          <w:szCs w:val="20"/>
          <w:color w:val="auto"/>
        </w:rPr>
      </w:pPr>
    </w:p>
    <w:p>
      <w:pPr>
        <w:jc w:val="both"/>
        <w:ind w:left="460" w:right="580"/>
        <w:spacing w:after="0" w:line="239" w:lineRule="auto"/>
        <w:rPr>
          <w:sz w:val="20"/>
          <w:szCs w:val="20"/>
          <w:color w:val="auto"/>
        </w:rPr>
      </w:pPr>
      <w:r>
        <w:rPr>
          <w:rFonts w:ascii="Courier New" w:cs="Courier New" w:eastAsia="Courier New" w:hAnsi="Courier New"/>
          <w:sz w:val="16"/>
          <w:szCs w:val="16"/>
          <w:color w:val="auto"/>
        </w:rPr>
        <w:t>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86" w:lineRule="exact"/>
        <w:rPr>
          <w:sz w:val="20"/>
          <w:szCs w:val="20"/>
          <w:color w:val="auto"/>
        </w:rPr>
      </w:pPr>
    </w:p>
    <w:p>
      <w:pPr>
        <w:jc w:val="both"/>
        <w:ind w:right="580" w:firstLine="473"/>
        <w:spacing w:after="0" w:line="239" w:lineRule="auto"/>
        <w:rPr>
          <w:sz w:val="20"/>
          <w:szCs w:val="20"/>
          <w:color w:val="auto"/>
        </w:rPr>
      </w:pPr>
      <w:r>
        <w:rPr>
          <w:rFonts w:ascii="Courier New" w:cs="Courier New" w:eastAsia="Courier New" w:hAnsi="Courier New"/>
          <w:sz w:val="16"/>
          <w:szCs w:val="16"/>
          <w:color w:val="auto"/>
        </w:rPr>
        <w:t>The following represent the operating results of our significant business segments, "Cable Communications" and "Commerce." The remaining components of our operations are not independently significant to our consolidated financial position or results of operations (see Note 9 to our condensed consolidated financial statements included in Item 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Cable Communications</w:t>
            </w:r>
          </w:p>
        </w:tc>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64"/>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rPr>
              <w:t>The  following   table   presents  the  operating</w:t>
            </w:r>
          </w:p>
        </w:tc>
        <w:tc>
          <w:tcPr>
            <w:tcW w:w="16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results  of  our</w:t>
            </w:r>
          </w:p>
        </w:tc>
        <w:tc>
          <w:tcPr>
            <w:tcW w:w="1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cable</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communications segment (dollars in millions):</w:t>
            </w:r>
          </w:p>
        </w:tc>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728"/>
        </w:trPr>
        <w:tc>
          <w:tcPr>
            <w:tcW w:w="5380" w:type="dxa"/>
            <w:vAlign w:val="bottom"/>
          </w:tcPr>
          <w:p>
            <w:pPr>
              <w:spacing w:after="0"/>
              <w:rPr>
                <w:sz w:val="24"/>
                <w:szCs w:val="24"/>
                <w:color w:val="auto"/>
              </w:rPr>
            </w:pPr>
          </w:p>
        </w:tc>
        <w:tc>
          <w:tcPr>
            <w:tcW w:w="2760" w:type="dxa"/>
            <w:vAlign w:val="bottom"/>
            <w:gridSpan w:val="2"/>
          </w:tcPr>
          <w:p>
            <w:pPr>
              <w:jc w:val="center"/>
              <w:ind w:left="581"/>
              <w:spacing w:after="0"/>
              <w:rPr>
                <w:sz w:val="20"/>
                <w:szCs w:val="20"/>
                <w:color w:val="auto"/>
              </w:rPr>
            </w:pPr>
            <w:r>
              <w:rPr>
                <w:rFonts w:ascii="Courier New" w:cs="Courier New" w:eastAsia="Courier New" w:hAnsi="Courier New"/>
                <w:sz w:val="16"/>
                <w:szCs w:val="16"/>
                <w:color w:val="auto"/>
                <w:w w:val="97"/>
              </w:rPr>
              <w:t>Six Months Ended</w:t>
            </w:r>
          </w:p>
        </w:tc>
      </w:tr>
      <w:tr>
        <w:trPr>
          <w:trHeight w:val="182"/>
        </w:trPr>
        <w:tc>
          <w:tcPr>
            <w:tcW w:w="5380" w:type="dxa"/>
            <w:vAlign w:val="bottom"/>
          </w:tcPr>
          <w:p>
            <w:pPr>
              <w:spacing w:after="0"/>
              <w:rPr>
                <w:sz w:val="15"/>
                <w:szCs w:val="15"/>
                <w:color w:val="auto"/>
              </w:rPr>
            </w:pPr>
          </w:p>
        </w:tc>
        <w:tc>
          <w:tcPr>
            <w:tcW w:w="2760" w:type="dxa"/>
            <w:vAlign w:val="bottom"/>
            <w:gridSpan w:val="2"/>
          </w:tcPr>
          <w:p>
            <w:pPr>
              <w:jc w:val="center"/>
              <w:ind w:left="581"/>
              <w:spacing w:after="0"/>
              <w:rPr>
                <w:sz w:val="20"/>
                <w:szCs w:val="20"/>
                <w:color w:val="auto"/>
              </w:rPr>
            </w:pPr>
            <w:r>
              <w:rPr>
                <w:rFonts w:ascii="Courier New" w:cs="Courier New" w:eastAsia="Courier New" w:hAnsi="Courier New"/>
                <w:sz w:val="16"/>
                <w:szCs w:val="16"/>
                <w:color w:val="auto"/>
                <w:w w:val="96"/>
              </w:rPr>
              <w:t>June 30,</w:t>
            </w:r>
          </w:p>
        </w:tc>
      </w:tr>
      <w:tr>
        <w:trPr>
          <w:trHeight w:val="182"/>
        </w:trPr>
        <w:tc>
          <w:tcPr>
            <w:tcW w:w="5380" w:type="dxa"/>
            <w:vAlign w:val="bottom"/>
          </w:tcPr>
          <w:p>
            <w:pPr>
              <w:spacing w:after="0"/>
              <w:rPr>
                <w:sz w:val="15"/>
                <w:szCs w:val="15"/>
                <w:color w:val="auto"/>
              </w:rPr>
            </w:pP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2000</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5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380" w:type="dxa"/>
            <w:vAlign w:val="bottom"/>
          </w:tcPr>
          <w:p>
            <w:pPr>
              <w:spacing w:after="0"/>
              <w:rPr>
                <w:sz w:val="20"/>
                <w:szCs w:val="20"/>
                <w:color w:val="auto"/>
              </w:rPr>
            </w:pPr>
            <w:r>
              <w:rPr>
                <w:rFonts w:ascii="Courier New" w:cs="Courier New" w:eastAsia="Courier New" w:hAnsi="Courier New"/>
                <w:sz w:val="16"/>
                <w:szCs w:val="16"/>
                <w:color w:val="auto"/>
                <w:w w:val="91"/>
              </w:rPr>
              <w:t>Service income...............................................</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$1,998.3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$1,353.7</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w w:val="91"/>
              </w:rPr>
              <w:t>Operating, selling, general and administrative expenses......</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1,094.0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729.8</w:t>
            </w:r>
          </w:p>
        </w:tc>
      </w:tr>
      <w:tr>
        <w:trPr>
          <w:trHeight w:val="182"/>
        </w:trPr>
        <w:tc>
          <w:tcPr>
            <w:tcW w:w="5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w w:val="91"/>
              </w:rPr>
              <w:t>and amortization (a)....................................</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$904.3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$623.9</w:t>
            </w:r>
          </w:p>
        </w:tc>
      </w:tr>
      <w:tr>
        <w:trPr>
          <w:trHeight w:val="182"/>
        </w:trPr>
        <w:tc>
          <w:tcPr>
            <w:tcW w:w="5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380" w:type="dxa"/>
            <w:vAlign w:val="bottom"/>
          </w:tcPr>
          <w:p>
            <w:pPr>
              <w:spacing w:after="0"/>
              <w:rPr>
                <w:sz w:val="24"/>
                <w:szCs w:val="24"/>
                <w:color w:val="auto"/>
              </w:rPr>
            </w:pPr>
          </w:p>
        </w:tc>
        <w:tc>
          <w:tcPr>
            <w:tcW w:w="2760" w:type="dxa"/>
            <w:vAlign w:val="bottom"/>
            <w:gridSpan w:val="2"/>
          </w:tcPr>
          <w:p>
            <w:pPr>
              <w:jc w:val="center"/>
              <w:ind w:left="581"/>
              <w:spacing w:after="0"/>
              <w:rPr>
                <w:sz w:val="20"/>
                <w:szCs w:val="20"/>
                <w:color w:val="auto"/>
              </w:rPr>
            </w:pPr>
            <w:r>
              <w:rPr>
                <w:rFonts w:ascii="Courier New" w:cs="Courier New" w:eastAsia="Courier New" w:hAnsi="Courier New"/>
                <w:sz w:val="16"/>
                <w:szCs w:val="16"/>
                <w:color w:val="auto"/>
                <w:w w:val="98"/>
              </w:rPr>
              <w:t>Three Months Ended</w:t>
            </w:r>
          </w:p>
        </w:tc>
      </w:tr>
      <w:tr>
        <w:trPr>
          <w:trHeight w:val="182"/>
        </w:trPr>
        <w:tc>
          <w:tcPr>
            <w:tcW w:w="5380" w:type="dxa"/>
            <w:vAlign w:val="bottom"/>
          </w:tcPr>
          <w:p>
            <w:pPr>
              <w:spacing w:after="0"/>
              <w:rPr>
                <w:sz w:val="15"/>
                <w:szCs w:val="15"/>
                <w:color w:val="auto"/>
              </w:rPr>
            </w:pPr>
          </w:p>
        </w:tc>
        <w:tc>
          <w:tcPr>
            <w:tcW w:w="2760" w:type="dxa"/>
            <w:vAlign w:val="bottom"/>
            <w:gridSpan w:val="2"/>
          </w:tcPr>
          <w:p>
            <w:pPr>
              <w:jc w:val="center"/>
              <w:ind w:left="581"/>
              <w:spacing w:after="0"/>
              <w:rPr>
                <w:sz w:val="20"/>
                <w:szCs w:val="20"/>
                <w:color w:val="auto"/>
              </w:rPr>
            </w:pPr>
            <w:r>
              <w:rPr>
                <w:rFonts w:ascii="Courier New" w:cs="Courier New" w:eastAsia="Courier New" w:hAnsi="Courier New"/>
                <w:sz w:val="16"/>
                <w:szCs w:val="16"/>
                <w:color w:val="auto"/>
                <w:w w:val="96"/>
              </w:rPr>
              <w:t>June 30,</w:t>
            </w:r>
          </w:p>
        </w:tc>
      </w:tr>
      <w:tr>
        <w:trPr>
          <w:trHeight w:val="182"/>
        </w:trPr>
        <w:tc>
          <w:tcPr>
            <w:tcW w:w="5380" w:type="dxa"/>
            <w:vAlign w:val="bottom"/>
          </w:tcPr>
          <w:p>
            <w:pPr>
              <w:spacing w:after="0"/>
              <w:rPr>
                <w:sz w:val="15"/>
                <w:szCs w:val="15"/>
                <w:color w:val="auto"/>
              </w:rPr>
            </w:pP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2000</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1999</w:t>
            </w:r>
          </w:p>
        </w:tc>
      </w:tr>
      <w:tr>
        <w:trPr>
          <w:trHeight w:val="182"/>
        </w:trPr>
        <w:tc>
          <w:tcPr>
            <w:tcW w:w="5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380" w:type="dxa"/>
            <w:vAlign w:val="bottom"/>
          </w:tcPr>
          <w:p>
            <w:pPr>
              <w:spacing w:after="0"/>
              <w:rPr>
                <w:sz w:val="20"/>
                <w:szCs w:val="20"/>
                <w:color w:val="auto"/>
              </w:rPr>
            </w:pPr>
            <w:r>
              <w:rPr>
                <w:rFonts w:ascii="Courier New" w:cs="Courier New" w:eastAsia="Courier New" w:hAnsi="Courier New"/>
                <w:sz w:val="16"/>
                <w:szCs w:val="16"/>
                <w:color w:val="auto"/>
                <w:w w:val="91"/>
              </w:rPr>
              <w:t>Service income...............................................</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$1,022.0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$748.9</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w w:val="91"/>
              </w:rPr>
              <w:t>Operating, selling, general and administrative expenses......</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554.5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405.5</w:t>
            </w:r>
          </w:p>
        </w:tc>
      </w:tr>
      <w:tr>
        <w:trPr>
          <w:trHeight w:val="182"/>
        </w:trPr>
        <w:tc>
          <w:tcPr>
            <w:tcW w:w="5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5380" w:type="dxa"/>
            <w:vAlign w:val="bottom"/>
          </w:tcPr>
          <w:p>
            <w:pPr>
              <w:ind w:left="460"/>
              <w:spacing w:after="0"/>
              <w:rPr>
                <w:sz w:val="20"/>
                <w:szCs w:val="20"/>
                <w:color w:val="auto"/>
              </w:rPr>
            </w:pPr>
            <w:r>
              <w:rPr>
                <w:rFonts w:ascii="Courier New" w:cs="Courier New" w:eastAsia="Courier New" w:hAnsi="Courier New"/>
                <w:sz w:val="16"/>
                <w:szCs w:val="16"/>
                <w:color w:val="auto"/>
                <w:w w:val="91"/>
              </w:rPr>
              <w:t>and amortization (a)....................................</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$467.5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$343.4</w:t>
            </w:r>
          </w:p>
        </w:tc>
      </w:tr>
      <w:tr>
        <w:trPr>
          <w:trHeight w:val="182"/>
        </w:trPr>
        <w:tc>
          <w:tcPr>
            <w:tcW w:w="5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18.</w:t>
      </w:r>
    </w:p>
    <w:p>
      <w:pPr>
        <w:spacing w:after="0" w:line="200" w:lineRule="exact"/>
        <w:rPr>
          <w:sz w:val="20"/>
          <w:szCs w:val="20"/>
          <w:color w:val="auto"/>
        </w:rPr>
      </w:pPr>
    </w:p>
    <w:p>
      <w:pPr>
        <w:spacing w:after="0" w:line="350" w:lineRule="exact"/>
        <w:rPr>
          <w:sz w:val="20"/>
          <w:szCs w:val="20"/>
          <w:color w:val="auto"/>
        </w:rPr>
      </w:pPr>
    </w:p>
    <w:p>
      <w:pPr>
        <w:jc w:val="both"/>
        <w:ind w:right="580" w:firstLine="473"/>
        <w:spacing w:after="0"/>
        <w:rPr>
          <w:sz w:val="20"/>
          <w:szCs w:val="20"/>
          <w:color w:val="auto"/>
        </w:rPr>
      </w:pPr>
      <w:r>
        <w:rPr>
          <w:rFonts w:ascii="Courier New" w:cs="Courier New" w:eastAsia="Courier New" w:hAnsi="Courier New"/>
          <w:sz w:val="16"/>
          <w:szCs w:val="16"/>
          <w:color w:val="auto"/>
        </w:rPr>
        <w:t>Of the respective $644.6 million and $273.1 million increases in service income for the six and three month periods from 1999 to 2000, $532.2 million and $212.7 million are due to the effects of our acquisitions of cable communications systems and $112.4 million and $60.4 million are due to growth in our historical operations. Of the respective $112.4 million and $60.4 million increases related to our historical operations, $49.1 million and $24.8 million are due principally to subscriber growth in digital cable and cable modem Internet access service, $13.3 million and $6.3 million are due to subscriber growth in analog cable service, $35.3 million and $17.1 million are related to changes in rates, $9.9 million and $5.1 million are attributable to growth in cable advertising sales, $0.3 million and $4.5 million are related to increases in pay per view revenue as a result of more events during the six and three months ended June 30, 2000, and $4.5 million and $2.6 million are related to increases in other service offerings.</w:t>
      </w:r>
    </w:p>
    <w:p>
      <w:pPr>
        <w:spacing w:after="0" w:line="191" w:lineRule="exact"/>
        <w:rPr>
          <w:sz w:val="20"/>
          <w:szCs w:val="20"/>
          <w:color w:val="auto"/>
        </w:rPr>
      </w:pPr>
    </w:p>
    <w:p>
      <w:pPr>
        <w:jc w:val="both"/>
        <w:ind w:right="580" w:firstLine="473"/>
        <w:spacing w:after="0" w:line="257" w:lineRule="auto"/>
        <w:rPr>
          <w:sz w:val="20"/>
          <w:szCs w:val="20"/>
          <w:color w:val="auto"/>
        </w:rPr>
      </w:pPr>
      <w:r>
        <w:rPr>
          <w:rFonts w:ascii="Courier New" w:cs="Courier New" w:eastAsia="Courier New" w:hAnsi="Courier New"/>
          <w:sz w:val="15"/>
          <w:szCs w:val="15"/>
          <w:color w:val="auto"/>
        </w:rPr>
        <w:t>Of the respective $364.2 million and $149.0 million increases in operating, selling, general, and administrative expenses for the six and three month periods from 1999 to 2000, $277.6 million and $96.1 million are due to the effects of our acquisitions of cable communications systems and $86.6 million and $52.9 million are due to growth in our historical operations. Of the $86.6 million and $52.9 million increases related to our historical operations, $31.4 million and $17.1 million are due to increases in the costs of cable programming as a result of changes in rates, subscriber growth and additional channel offerings, $24.0 million and $10.8 million are due principally to subscriber growth in cable modem Internet access service, $32.3 million and $23.4 million result from increases in labor costs and other volume related expenses and ($1.1) million and $1.6 million relate to changes in pay-per-view programming costs during the six and three months ended June 30, 2000.</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Increase</w:t>
      </w:r>
    </w:p>
    <w:p>
      <w:pPr>
        <w:spacing w:after="0" w:line="1" w:lineRule="exact"/>
        <w:rPr>
          <w:sz w:val="20"/>
          <w:szCs w:val="20"/>
          <w:color w:val="auto"/>
        </w:rPr>
      </w:pPr>
    </w:p>
    <w:p>
      <w:pPr>
        <w:ind w:left="1520" w:hanging="1133"/>
        <w:spacing w:after="0"/>
        <w:tabs>
          <w:tab w:leader="none" w:pos="15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$644.6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47.6%</w:t>
            </w:r>
          </w:p>
        </w:tc>
      </w:tr>
      <w:tr>
        <w:trPr>
          <w:trHeight w:val="182"/>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364.2</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49.9</w:t>
            </w:r>
          </w:p>
        </w:tc>
      </w:tr>
      <w:tr>
        <w:trPr>
          <w:trHeight w:val="182"/>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$280.4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44.9%</w:t>
            </w:r>
          </w:p>
        </w:tc>
      </w:tr>
      <w:tr>
        <w:trPr>
          <w:trHeight w:val="182"/>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Increase</w:t>
      </w:r>
    </w:p>
    <w:p>
      <w:pPr>
        <w:spacing w:after="0" w:line="1" w:lineRule="exact"/>
        <w:rPr>
          <w:sz w:val="20"/>
          <w:szCs w:val="20"/>
          <w:color w:val="auto"/>
        </w:rPr>
      </w:pPr>
    </w:p>
    <w:p>
      <w:pPr>
        <w:ind w:left="1520" w:hanging="1133"/>
        <w:spacing w:after="0"/>
        <w:tabs>
          <w:tab w:leader="none" w:pos="15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$273.1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36.5%</w:t>
            </w:r>
          </w:p>
        </w:tc>
      </w:tr>
      <w:tr>
        <w:trPr>
          <w:trHeight w:val="182"/>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149.0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36.7</w:t>
            </w:r>
          </w:p>
        </w:tc>
      </w:tr>
      <w:tr>
        <w:trPr>
          <w:trHeight w:val="182"/>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$124.1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36.1%</w:t>
            </w:r>
          </w:p>
        </w:tc>
      </w:tr>
      <w:tr>
        <w:trPr>
          <w:trHeight w:val="182"/>
        </w:trPr>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ectPr>
          <w:pgSz w:w="11900" w:h="16864" w:orient="portrait"/>
          <w:cols w:equalWidth="0" w:num="2">
            <w:col w:w="8140" w:space="360"/>
            <w:col w:w="2080"/>
          </w:cols>
          <w:pgMar w:left="240" w:top="477" w:right="1079" w:bottom="0" w:gutter="0" w:footer="0" w:header="0"/>
        </w:sectPr>
      </w:pPr>
    </w:p>
    <w:bookmarkStart w:id="22" w:name="page23"/>
    <w:bookmarkEnd w:id="22"/>
    <w:p>
      <w:pPr>
        <w:jc w:val="center"/>
        <w:ind w:right="302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6"/>
          <w:szCs w:val="16"/>
          <w:color w:val="auto"/>
        </w:rPr>
        <w:t>QUARTER ENDED JUNE 30, 2000</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Commerce</w:t>
      </w:r>
    </w:p>
    <w:p>
      <w:pPr>
        <w:spacing w:after="0" w:line="186" w:lineRule="exact"/>
        <w:rPr>
          <w:sz w:val="20"/>
          <w:szCs w:val="20"/>
          <w:color w:val="auto"/>
        </w:rPr>
      </w:pPr>
    </w:p>
    <w:p>
      <w:pPr>
        <w:jc w:val="both"/>
        <w:ind w:right="3020" w:firstLine="473"/>
        <w:spacing w:after="0" w:line="238" w:lineRule="auto"/>
        <w:rPr>
          <w:sz w:val="20"/>
          <w:szCs w:val="20"/>
          <w:color w:val="auto"/>
        </w:rPr>
      </w:pPr>
      <w:r>
        <w:rPr>
          <w:rFonts w:ascii="Courier New" w:cs="Courier New" w:eastAsia="Courier New" w:hAnsi="Courier New"/>
          <w:sz w:val="16"/>
          <w:szCs w:val="16"/>
          <w:color w:val="auto"/>
        </w:rPr>
        <w:t>The following presents the operating results of our commerce segment, consisting of the operations of QVC, Inc. and its subsidiaries ("QVC"), a majority owned and controlled subsidiary (dollars in millions).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spacing w:after="0"/>
              <w:rPr>
                <w:sz w:val="15"/>
                <w:szCs w:val="15"/>
                <w:color w:val="auto"/>
              </w:rPr>
            </w:pPr>
          </w:p>
        </w:tc>
        <w:tc>
          <w:tcPr>
            <w:tcW w:w="240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7"/>
              </w:rPr>
              <w:t>Six Months Ended</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960" w:type="dxa"/>
            <w:vAlign w:val="bottom"/>
          </w:tcPr>
          <w:p>
            <w:pPr>
              <w:spacing w:after="0"/>
              <w:rPr>
                <w:sz w:val="15"/>
                <w:szCs w:val="15"/>
                <w:color w:val="auto"/>
              </w:rPr>
            </w:pPr>
          </w:p>
        </w:tc>
        <w:tc>
          <w:tcPr>
            <w:tcW w:w="240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6"/>
              </w:rPr>
              <w:t>June 30,</w:t>
            </w:r>
          </w:p>
        </w:tc>
        <w:tc>
          <w:tcPr>
            <w:tcW w:w="2220" w:type="dxa"/>
            <w:vAlign w:val="bottom"/>
            <w:gridSpan w:val="2"/>
          </w:tcPr>
          <w:p>
            <w:pPr>
              <w:jc w:val="right"/>
              <w:ind w:right="66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$1,591.6</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$1,425.4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$166.2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11.7%</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1,015.2</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912.6</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102.6</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11.2</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297.7</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260.4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37.3</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14.3</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$278.7</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$252.4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36.2%</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36.0%</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546"/>
        </w:trPr>
        <w:tc>
          <w:tcPr>
            <w:tcW w:w="5960" w:type="dxa"/>
            <w:vAlign w:val="bottom"/>
          </w:tcPr>
          <w:p>
            <w:pPr>
              <w:spacing w:after="0"/>
              <w:rPr>
                <w:sz w:val="24"/>
                <w:szCs w:val="24"/>
                <w:color w:val="auto"/>
              </w:rPr>
            </w:pPr>
          </w:p>
        </w:tc>
        <w:tc>
          <w:tcPr>
            <w:tcW w:w="240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8"/>
              </w:rPr>
              <w:t>Three Months Ended</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5960" w:type="dxa"/>
            <w:vAlign w:val="bottom"/>
          </w:tcPr>
          <w:p>
            <w:pPr>
              <w:spacing w:after="0"/>
              <w:rPr>
                <w:sz w:val="15"/>
                <w:szCs w:val="15"/>
                <w:color w:val="auto"/>
              </w:rPr>
            </w:pPr>
          </w:p>
        </w:tc>
        <w:tc>
          <w:tcPr>
            <w:tcW w:w="240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6"/>
              </w:rPr>
              <w:t>June 30,</w:t>
            </w:r>
          </w:p>
        </w:tc>
        <w:tc>
          <w:tcPr>
            <w:tcW w:w="2220" w:type="dxa"/>
            <w:vAlign w:val="bottom"/>
            <w:gridSpan w:val="2"/>
          </w:tcPr>
          <w:p>
            <w:pPr>
              <w:jc w:val="right"/>
              <w:ind w:right="66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$770.6</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$703.1</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488.2</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449.4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38.8</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8.6</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148.4</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132.2</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16.2</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12.3</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96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$134.0</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$121.5</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36.6%</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36.1%</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96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18.</w:t>
      </w:r>
    </w:p>
    <w:p>
      <w:pPr>
        <w:spacing w:after="0" w:line="200" w:lineRule="exact"/>
        <w:rPr>
          <w:sz w:val="20"/>
          <w:szCs w:val="20"/>
          <w:color w:val="auto"/>
        </w:rPr>
      </w:pPr>
    </w:p>
    <w:p>
      <w:pPr>
        <w:spacing w:after="0" w:line="350" w:lineRule="exact"/>
        <w:rPr>
          <w:sz w:val="20"/>
          <w:szCs w:val="20"/>
          <w:color w:val="auto"/>
        </w:rPr>
      </w:pPr>
    </w:p>
    <w:p>
      <w:pPr>
        <w:jc w:val="both"/>
        <w:ind w:right="3020" w:firstLine="473"/>
        <w:spacing w:after="0"/>
        <w:rPr>
          <w:sz w:val="20"/>
          <w:szCs w:val="20"/>
          <w:color w:val="auto"/>
        </w:rPr>
      </w:pPr>
      <w:r>
        <w:rPr>
          <w:rFonts w:ascii="Courier New" w:cs="Courier New" w:eastAsia="Courier New" w:hAnsi="Courier New"/>
          <w:sz w:val="16"/>
          <w:szCs w:val="16"/>
          <w:color w:val="auto"/>
        </w:rPr>
        <w:t>The increase in net sales from electronic retailing of $166.2 million for the six month period from 1999 to 2000 is due to following: an increase of 4.2%, 10.5% and 41.3% in the average number of homes receiving QVC services in the United States ("US"), United Kingdom ("UK") and Germany, respectively; an increase of 4.7% and 18.0% in net sales per home in the US and Germany (in Deutschemarks), respectively, and a 7.0% decrease in net sales per home in the UK (in British pounds); and the negative effects of fluctuations in foreign currency exchange rates during the period.</w:t>
      </w:r>
    </w:p>
    <w:p>
      <w:pPr>
        <w:spacing w:after="0" w:line="187" w:lineRule="exact"/>
        <w:rPr>
          <w:sz w:val="20"/>
          <w:szCs w:val="20"/>
          <w:color w:val="auto"/>
        </w:rPr>
      </w:pPr>
    </w:p>
    <w:p>
      <w:pPr>
        <w:jc w:val="both"/>
        <w:ind w:right="3020" w:firstLine="473"/>
        <w:spacing w:after="0" w:line="258" w:lineRule="auto"/>
        <w:rPr>
          <w:sz w:val="20"/>
          <w:szCs w:val="20"/>
          <w:color w:val="auto"/>
        </w:rPr>
      </w:pPr>
      <w:r>
        <w:rPr>
          <w:rFonts w:ascii="Courier New" w:cs="Courier New" w:eastAsia="Courier New" w:hAnsi="Courier New"/>
          <w:sz w:val="15"/>
          <w:szCs w:val="15"/>
          <w:color w:val="auto"/>
        </w:rPr>
        <w:t>The increase in net sales from electronic retailing of $67.5 million for the three month period from 1999 to 2000 is due to the following: an increase of 4.8%, 9.2% and 45.2% in the average number of homes receiving QVC services in the US, UK and Germany, respectively; an increase of 2.8% and 5.5% in net sales per home in the US and Germany (in Deutschemarks), and a 7.7% decrease in net sales per home in the UK (in British pounds), respectively; and the negative effects of fluctuations in foreign currency exchange rates during the period.</w:t>
      </w:r>
    </w:p>
    <w:p>
      <w:pPr>
        <w:spacing w:after="0" w:line="176" w:lineRule="exact"/>
        <w:rPr>
          <w:sz w:val="20"/>
          <w:szCs w:val="20"/>
          <w:color w:val="auto"/>
        </w:rPr>
      </w:pPr>
    </w:p>
    <w:p>
      <w:pPr>
        <w:jc w:val="both"/>
        <w:ind w:right="3020" w:firstLine="851"/>
        <w:spacing w:after="0" w:line="267" w:lineRule="auto"/>
        <w:rPr>
          <w:sz w:val="20"/>
          <w:szCs w:val="20"/>
          <w:color w:val="auto"/>
        </w:rPr>
      </w:pPr>
      <w:r>
        <w:rPr>
          <w:rFonts w:ascii="Courier New" w:cs="Courier New" w:eastAsia="Courier New" w:hAnsi="Courier New"/>
          <w:sz w:val="15"/>
          <w:szCs w:val="15"/>
          <w:color w:val="auto"/>
        </w:rPr>
        <w:t>The increase in cost of goods sold is primarily related to the growth in net sales. The changes in gross margin are a result of a shift in sales mix.</w:t>
      </w:r>
    </w:p>
    <w:p>
      <w:pPr>
        <w:spacing w:after="0" w:line="168" w:lineRule="exact"/>
        <w:rPr>
          <w:sz w:val="20"/>
          <w:szCs w:val="20"/>
          <w:color w:val="auto"/>
        </w:rPr>
      </w:pPr>
    </w:p>
    <w:p>
      <w:pPr>
        <w:jc w:val="both"/>
        <w:ind w:right="3020" w:firstLine="851"/>
        <w:spacing w:after="0"/>
        <w:rPr>
          <w:sz w:val="20"/>
          <w:szCs w:val="20"/>
          <w:color w:val="auto"/>
        </w:rPr>
      </w:pPr>
      <w:r>
        <w:rPr>
          <w:rFonts w:ascii="Courier New" w:cs="Courier New" w:eastAsia="Courier New" w:hAnsi="Courier New"/>
          <w:sz w:val="16"/>
          <w:szCs w:val="16"/>
          <w:color w:val="auto"/>
        </w:rPr>
        <w:t>In connection with new accounting guidance issued in May and July 2000 (see discussion of EITF 00-10 at Note 2 to our condensed consolidated financial statements included in Item 1), QVC reclassified shipping and handling revenue from cost of goods sold from electronic retailing to net sales from electronic retailing for all periods presented. This reclassification had no effect on QVC's reported operating income before depreciation and amortization and no significant effect on growth in net sales from electronic retailing. The effect of the reclassification was to increase QVC's net sales from electronic retailing by approximately 11% and to decrease gross margin by approximately four percentage points, respectively, for all periods presented as compared to the amounts previously reported.</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580"/>
          </w:cols>
          <w:pgMar w:left="240" w:top="477" w:right="1079" w:bottom="519" w:gutter="0" w:footer="0" w:header="0"/>
        </w:sectPr>
      </w:pPr>
    </w:p>
    <w:bookmarkStart w:id="23" w:name="page24"/>
    <w:bookmarkEnd w:id="23"/>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QUARTER ENDED JUNE 30, 2000</w:t>
      </w:r>
    </w:p>
    <w:p>
      <w:pPr>
        <w:spacing w:after="0" w:line="368"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Of the respective $37.3 million and $16.2 million increases in operating, selling, general and administrative expenses for the six and three month periods from 1999 to 2000, $16.8 million and $5.9 million are attributable to higher variable costs associated with the increase in sales volume, and $3.1 million and $3.1 million are attributable to certain lease termination costs incurred in the UK during the second quarter of 2000. The remaining increases are primarily attributable to higher personnel costs to support the increased sales volume in the US and Germany.</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Consolidated Analysis</w:t>
      </w:r>
    </w:p>
    <w:p>
      <w:pPr>
        <w:spacing w:after="0" w:line="186" w:lineRule="exact"/>
        <w:rPr>
          <w:sz w:val="20"/>
          <w:szCs w:val="20"/>
          <w:color w:val="auto"/>
        </w:rPr>
      </w:pPr>
    </w:p>
    <w:p>
      <w:pPr>
        <w:jc w:val="both"/>
        <w:ind w:right="2659" w:firstLine="473"/>
        <w:spacing w:after="0"/>
        <w:rPr>
          <w:sz w:val="20"/>
          <w:szCs w:val="20"/>
          <w:color w:val="auto"/>
        </w:rPr>
      </w:pPr>
      <w:r>
        <w:rPr>
          <w:rFonts w:ascii="Courier New" w:cs="Courier New" w:eastAsia="Courier New" w:hAnsi="Courier New"/>
          <w:sz w:val="16"/>
          <w:szCs w:val="16"/>
          <w:color w:val="auto"/>
        </w:rPr>
        <w:t>The effects of our recent acquisitions were to increase our revenues and expenses resulting in increases in our operating income before depreciation and amortization. The increases in depreciation expense, amortization expense and interest expense for the six and three month periods from 1999 to 2000 are primarily due to the effects of our acquisition of Lenfest in January 2000, our acquisition of a controlling interest in Jones Intercable, Inc. ("Jones Intercable") in April 1999, as well as our increased levels of capital expenditures.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Interest Expense</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$77.1 million and $19.7 million increases in interest expense for the six and three month periods from 1999 to 2000 are primarily due to the effects of our acquisition of Lenfest in January 2000, our acquisition of a controlling interest in Jones Intercable in April 1999 and the issuance of the ZONES in October and November 1999, offset, in part, by the effects of our repayments and retirement of debt.</w:t>
      </w:r>
    </w:p>
    <w:p>
      <w:pPr>
        <w:spacing w:after="0" w:line="190"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We anticipate that, for the foreseeable future, interest expense will be a significant cost to us and will have a significant adverse effect on our ability to realize net earnings. We believe we will continue to be able to meet our obligations through our ability both to generate operating income before depreciation and amortization and to obtain external financing.</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Investment Income</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During the six months ended June 30, 2000 and 1999 and during the three months ended June 30, 2000 and 1999, we recognized pre-tax gains of $828.6 million, $14.9 million, $272.2 million and $14.6 million, respectively, on sales of certain of our investments.</w:t>
      </w:r>
    </w:p>
    <w:p>
      <w:pPr>
        <w:spacing w:after="0" w:line="187"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During the six months ended June 30, 2000 and 1999, in connection with certain mergers of publicly traded companies held by us and accounted for as investments available for sale, we recognized pre-tax gains of $33.0 million and $187.6 million, respectively, representing the difference between the fair value of the securities received by us and our basis in the securities exchanged. Such gains were recorded as reclassifications from accumulated other comprehensive income to investment income.</w:t>
      </w:r>
    </w:p>
    <w:p>
      <w:pPr>
        <w:spacing w:after="0" w:line="192"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During the six and three months ended June 30, 1999, we recorded investment expense of $100.8 million and $49.4 million related to changes in the value of and the settlement of call options on certain of our unrestricted equity investments, all of which expired by November 1999.</w:t>
      </w:r>
    </w:p>
    <w:p>
      <w:pPr>
        <w:spacing w:after="0" w:line="187" w:lineRule="exact"/>
        <w:rPr>
          <w:sz w:val="20"/>
          <w:szCs w:val="20"/>
          <w:color w:val="auto"/>
        </w:rPr>
      </w:pPr>
    </w:p>
    <w:p>
      <w:pPr>
        <w:jc w:val="both"/>
        <w:ind w:right="2659" w:firstLine="473"/>
        <w:spacing w:after="0" w:line="260" w:lineRule="auto"/>
        <w:rPr>
          <w:sz w:val="20"/>
          <w:szCs w:val="20"/>
          <w:color w:val="auto"/>
        </w:rPr>
      </w:pPr>
      <w:r>
        <w:rPr>
          <w:rFonts w:ascii="Courier New" w:cs="Courier New" w:eastAsia="Courier New" w:hAnsi="Courier New"/>
          <w:sz w:val="15"/>
          <w:szCs w:val="15"/>
          <w:color w:val="auto"/>
        </w:rPr>
        <w:t>During the six months ended June 30, 2000 and 1999 and during the three months ended June 30, 2000 and 1999, we recorded pre-tax losses of $7.4 million, $35.5 million, $2.5 million and $0.2 million on certain of our investments based on a decline in value that was considered other than temporary.</w:t>
      </w:r>
    </w:p>
    <w:p>
      <w:pPr>
        <w:spacing w:after="0" w:line="16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Expense (Income) Related to Indexed Debt</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ZONES are being accounted for as an indexed debt instrument since the maturity value is dependent upon the fair value of Sprint PCS stock. During the six and three months ended June 30, 2000, we recorded expense (income) related to indexed debt of $398.0 million and ($289.5) million to reflect the fair value of the underlying Sprint PCS stock.</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Expense (Income)</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$1.440 billion and $1.429 billion decreases in other income for the six and three month periods from 1999 to 2000 are primarily attributable to the receipt of the $1.5 billion termination fee from MediaOne Group, Inc. ("MediaOne"), net of transaction costs, in May 1999 as a result of MediaOne's termination of its Agreement and Plan of Merger with us dated March 1999.</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77" w:right="1440" w:bottom="519" w:gutter="0" w:footer="0" w:header="0"/>
        </w:sectPr>
      </w:pPr>
    </w:p>
    <w:bookmarkStart w:id="24" w:name="page25"/>
    <w:bookmarkEnd w:id="24"/>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QUARTER ENDED JUNE 30, 2000</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Income Tax Expense</w:t>
      </w:r>
    </w:p>
    <w:p>
      <w:pPr>
        <w:spacing w:after="0" w:line="186" w:lineRule="exact"/>
        <w:rPr>
          <w:sz w:val="20"/>
          <w:szCs w:val="20"/>
          <w:color w:val="auto"/>
        </w:rPr>
      </w:pPr>
    </w:p>
    <w:p>
      <w:pPr>
        <w:jc w:val="both"/>
        <w:ind w:right="2659" w:firstLine="473"/>
        <w:spacing w:after="0" w:line="262" w:lineRule="auto"/>
        <w:rPr>
          <w:sz w:val="20"/>
          <w:szCs w:val="20"/>
          <w:color w:val="auto"/>
        </w:rPr>
      </w:pPr>
      <w:r>
        <w:rPr>
          <w:rFonts w:ascii="Courier New" w:cs="Courier New" w:eastAsia="Courier New" w:hAnsi="Courier New"/>
          <w:sz w:val="15"/>
          <w:szCs w:val="15"/>
          <w:color w:val="auto"/>
        </w:rPr>
        <w:t>The changes in income tax expense for the six and three month periods from 1999 to 2000 are primarily the result of the effects of changes in our income before taxes and minority interest, and non-deductible goodwill amortization.</w:t>
      </w:r>
    </w:p>
    <w:p>
      <w:pPr>
        <w:spacing w:after="0" w:line="16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Minority Interest</w:t>
      </w:r>
    </w:p>
    <w:p>
      <w:pPr>
        <w:spacing w:after="0" w:line="186" w:lineRule="exact"/>
        <w:rPr>
          <w:sz w:val="20"/>
          <w:szCs w:val="20"/>
          <w:color w:val="auto"/>
        </w:rPr>
      </w:pPr>
    </w:p>
    <w:p>
      <w:pPr>
        <w:jc w:val="both"/>
        <w:ind w:right="2659" w:firstLine="473"/>
        <w:spacing w:after="0" w:line="258" w:lineRule="auto"/>
        <w:rPr>
          <w:sz w:val="20"/>
          <w:szCs w:val="20"/>
          <w:color w:val="auto"/>
        </w:rPr>
      </w:pPr>
      <w:r>
        <w:rPr>
          <w:rFonts w:ascii="Courier New" w:cs="Courier New" w:eastAsia="Courier New" w:hAnsi="Courier New"/>
          <w:sz w:val="15"/>
          <w:szCs w:val="15"/>
          <w:color w:val="auto"/>
        </w:rPr>
        <w:t>The $73.7 million and $54.8 million changes in minority interest for the six and three month periods from 1999 to 2000 are attributable to the effects of our acquisition of a controlling interest in Jones Intercable in April 1999, our acquisition of the California Public Employees Retirement System's 45% interest in Comcast MHCP Holdings L.L.C. in February 2000 and to changes in the net income or loss of our other less than 100% owned consolidated subsidiaries.</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Extraordinary Items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During the six months ended June 30, 2000 and 1999 and during the three months ended June 30, 2000 and 1999, we incurred debt extinguishment costs and wrote off unamortized debt issue costs principally in connection with the redemption and retirement of certain indebtedness, resulting in extraordinary losses, net of tax of $16.2 million, $3.0 million, $11.1 million and $2.3 million, respectively.</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77" w:right="1440" w:bottom="1440" w:gutter="0" w:footer="0" w:header="0"/>
        </w:sectPr>
      </w:pPr>
    </w:p>
    <w:bookmarkStart w:id="25" w:name="page26"/>
    <w:bookmarkEnd w:id="25"/>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QUARTER ENDED JUNE 30, 2000</w:t>
      </w:r>
    </w:p>
    <w:p>
      <w:pPr>
        <w:spacing w:after="0" w:line="364" w:lineRule="exact"/>
        <w:rPr>
          <w:sz w:val="20"/>
          <w:szCs w:val="20"/>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 w:lineRule="exact"/>
        <w:rPr>
          <w:sz w:val="20"/>
          <w:szCs w:val="20"/>
          <w:color w:val="auto"/>
        </w:rPr>
      </w:pPr>
    </w:p>
    <w:p>
      <w:pPr>
        <w:ind w:left="183" w:hanging="183"/>
        <w:spacing w:after="0"/>
        <w:tabs>
          <w:tab w:leader="none" w:pos="18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   LEGAL PROCEEDINGS</w:t>
      </w:r>
    </w:p>
    <w:p>
      <w:pPr>
        <w:spacing w:after="0" w:line="186" w:lineRule="exact"/>
        <w:rPr>
          <w:sz w:val="20"/>
          <w:szCs w:val="20"/>
          <w:color w:val="auto"/>
        </w:rPr>
      </w:pPr>
    </w:p>
    <w:p>
      <w:pPr>
        <w:jc w:val="both"/>
        <w:ind w:left="463" w:right="2659"/>
        <w:spacing w:after="0" w:line="260" w:lineRule="auto"/>
        <w:rPr>
          <w:sz w:val="20"/>
          <w:szCs w:val="20"/>
          <w:color w:val="auto"/>
        </w:rPr>
      </w:pPr>
      <w:r>
        <w:rPr>
          <w:rFonts w:ascii="Courier New" w:cs="Courier New" w:eastAsia="Courier New" w:hAnsi="Courier New"/>
          <w:sz w:val="15"/>
          <w:szCs w:val="15"/>
          <w:color w:val="auto"/>
        </w:rPr>
        <w:t>We are subject to legal proceedings and claims which arise in the ordinary course of our business. In the opinion of our management, the amount of ultimate liability with respect to these actions will not materially affect our financial position, results of operations or liquidity.</w:t>
      </w:r>
    </w:p>
    <w:p>
      <w:pPr>
        <w:spacing w:after="0" w:line="173" w:lineRule="exact"/>
        <w:rPr>
          <w:sz w:val="20"/>
          <w:szCs w:val="20"/>
          <w:color w:val="auto"/>
        </w:rPr>
      </w:pPr>
    </w:p>
    <w:p>
      <w:pPr>
        <w:jc w:val="both"/>
        <w:ind w:left="463" w:right="2659"/>
        <w:spacing w:after="0" w:line="257" w:lineRule="auto"/>
        <w:rPr>
          <w:sz w:val="20"/>
          <w:szCs w:val="20"/>
          <w:color w:val="auto"/>
        </w:rPr>
      </w:pPr>
      <w:r>
        <w:rPr>
          <w:rFonts w:ascii="Courier New" w:cs="Courier New" w:eastAsia="Courier New" w:hAnsi="Courier New"/>
          <w:sz w:val="15"/>
          <w:szCs w:val="15"/>
          <w:color w:val="auto"/>
        </w:rPr>
        <w:t>In March 2000, Excite@Home and its principal cable partners, including the Company, entered into an agreement (the "March Agreement") pursuant to which the Company agreed to enter into a new non-exclusive distribution agreement with Excite@Home for the period from June 2002 through June 2006, give up its Board level veto rights and resign from the Excite@Home Board of Directors. Also under the March Agreement, the Company may elect to terminate the existing exclusive distribution agreement (which would otherwise expire in June 2002) or the new distribution agreement at any time beginning June 2001 on at least six months notice. Under the terms of the March Agreement, AT&amp;T agreed to give the Company the right to sell its Excite@Home Series A shares to AT&amp;T at any time between January 1, 2001 and June 4, 2002 at a price equal to the higher of $48 per share or the average per share trading price for a 30-day trading period (as defined). The aggregate value of the Excite@Home Series A shares that AT&amp;T would be required to purchase from the Company is limited to $1.5 billion.</w:t>
      </w:r>
    </w:p>
    <w:p>
      <w:pPr>
        <w:spacing w:after="0" w:line="181" w:lineRule="exact"/>
        <w:rPr>
          <w:sz w:val="20"/>
          <w:szCs w:val="20"/>
          <w:color w:val="auto"/>
        </w:rPr>
      </w:pPr>
    </w:p>
    <w:p>
      <w:pPr>
        <w:jc w:val="both"/>
        <w:ind w:left="463" w:right="2659"/>
        <w:spacing w:after="0" w:line="258" w:lineRule="auto"/>
        <w:rPr>
          <w:sz w:val="20"/>
          <w:szCs w:val="20"/>
          <w:color w:val="auto"/>
        </w:rPr>
      </w:pPr>
      <w:r>
        <w:rPr>
          <w:rFonts w:ascii="Courier New" w:cs="Courier New" w:eastAsia="Courier New" w:hAnsi="Courier New"/>
          <w:sz w:val="15"/>
          <w:szCs w:val="15"/>
          <w:color w:val="auto"/>
        </w:rPr>
        <w:t>In addition, the existing Excite@Home warrants held by the Company would be amended to eliminate any performance vesting conditions and the Company would receive new warrants with an exercise price of $29.54 per share to purchase two shares of Excite@Home Series A Stock for each home passed by the Company's cable communications systems. The new warrants would vest in installments every six months beginning in June 2001 and would be fully vested in June 2006 provided that the Company has not elected to earlier terminate its existing or the new distribution agreement. The new warrants would include customary registration rights and would expire in March 2015.</w:t>
      </w:r>
    </w:p>
    <w:p>
      <w:pPr>
        <w:spacing w:after="0" w:line="175" w:lineRule="exact"/>
        <w:rPr>
          <w:sz w:val="20"/>
          <w:szCs w:val="20"/>
          <w:color w:val="auto"/>
        </w:rPr>
      </w:pPr>
    </w:p>
    <w:p>
      <w:pPr>
        <w:jc w:val="both"/>
        <w:ind w:left="463" w:right="2659"/>
        <w:spacing w:after="0" w:line="257" w:lineRule="auto"/>
        <w:rPr>
          <w:sz w:val="20"/>
          <w:szCs w:val="20"/>
          <w:color w:val="auto"/>
        </w:rPr>
      </w:pPr>
      <w:r>
        <w:rPr>
          <w:rFonts w:ascii="Courier New" w:cs="Courier New" w:eastAsia="Courier New" w:hAnsi="Courier New"/>
          <w:sz w:val="15"/>
          <w:szCs w:val="15"/>
          <w:color w:val="auto"/>
        </w:rPr>
        <w:t>All necessary stockholder and other approvals required to close under the March Agreement have been received. However, in June 2000 Cablevision Systems Corporation ("Cablevision"), a warrant holder in Excite@Home and also a party to various agreements with Excite@Home and its principal cable partners, brought an action in Delaware Chancery Court against Excite@Home and its principal cable partners seeking to enjoin the closing and alleging that the March Agreement breached certain contractual rights of Cablevision. The parties have agreed not to consummate the transactions contemplated by the March Agreement until the conclusion of a trial on the merits of the Cablevision action, which is scheduled to begin on September 11, 2000. Although the Company believes that the defendants have valid defenses and counterclaims to Cablevision's action, there can be no assurance that the defendants will prevail in this litigation and that the closing under the March Agreement will occur.</w:t>
      </w:r>
    </w:p>
    <w:p>
      <w:pPr>
        <w:spacing w:after="0" w:line="177" w:lineRule="exact"/>
        <w:rPr>
          <w:sz w:val="20"/>
          <w:szCs w:val="20"/>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3"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1380" w:type="dxa"/>
            <w:vAlign w:val="bottom"/>
            <w:gridSpan w:val="2"/>
          </w:tcPr>
          <w:p>
            <w:pPr>
              <w:spacing w:after="0"/>
              <w:rPr>
                <w:sz w:val="20"/>
                <w:szCs w:val="20"/>
                <w:color w:val="auto"/>
              </w:rPr>
            </w:pPr>
            <w:r>
              <w:rPr>
                <w:rFonts w:ascii="Courier New" w:cs="Courier New" w:eastAsia="Courier New" w:hAnsi="Courier New"/>
                <w:sz w:val="16"/>
                <w:szCs w:val="16"/>
                <w:color w:val="auto"/>
              </w:rPr>
              <w:t>At the Annual</w:t>
            </w:r>
          </w:p>
        </w:tc>
        <w:tc>
          <w:tcPr>
            <w:tcW w:w="27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Meeting on June 22,  2000,</w:t>
            </w:r>
          </w:p>
        </w:tc>
        <w:tc>
          <w:tcPr>
            <w:tcW w:w="2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the  shareholders  approved</w:t>
            </w:r>
          </w:p>
        </w:tc>
        <w:tc>
          <w:tcPr>
            <w:tcW w:w="170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the</w:t>
            </w: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following</w:t>
            </w:r>
          </w:p>
        </w:tc>
        <w:tc>
          <w:tcPr>
            <w:tcW w:w="15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proposals:</w:t>
            </w: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900" w:type="dxa"/>
            <w:vAlign w:val="bottom"/>
          </w:tcPr>
          <w:p>
            <w:pPr>
              <w:spacing w:after="0"/>
              <w:rPr>
                <w:sz w:val="20"/>
                <w:szCs w:val="20"/>
                <w:color w:val="auto"/>
              </w:rPr>
            </w:pPr>
            <w:r>
              <w:rPr>
                <w:rFonts w:ascii="Courier New" w:cs="Courier New" w:eastAsia="Courier New" w:hAnsi="Courier New"/>
                <w:sz w:val="16"/>
                <w:szCs w:val="16"/>
                <w:color w:val="auto"/>
              </w:rPr>
              <w:t>To elect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nine</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directors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to serve for</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w w:val="90"/>
              </w:rPr>
              <w:t>the</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ensuing</w:t>
            </w: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year and until</w:t>
            </w:r>
          </w:p>
        </w:tc>
        <w:tc>
          <w:tcPr>
            <w:tcW w:w="1700" w:type="dxa"/>
            <w:vAlign w:val="bottom"/>
          </w:tcPr>
          <w:p>
            <w:pPr>
              <w:jc w:val="right"/>
              <w:ind w:right="1161"/>
              <w:spacing w:after="0"/>
              <w:rPr>
                <w:sz w:val="20"/>
                <w:szCs w:val="20"/>
                <w:color w:val="auto"/>
              </w:rPr>
            </w:pPr>
            <w:r>
              <w:rPr>
                <w:rFonts w:ascii="Courier New" w:cs="Courier New" w:eastAsia="Courier New" w:hAnsi="Courier New"/>
                <w:sz w:val="16"/>
                <w:szCs w:val="16"/>
                <w:color w:val="auto"/>
                <w:w w:val="91"/>
              </w:rPr>
              <w:t>their</w:t>
            </w:r>
          </w:p>
        </w:tc>
      </w:tr>
      <w:tr>
        <w:trPr>
          <w:trHeight w:val="182"/>
        </w:trPr>
        <w:tc>
          <w:tcPr>
            <w:tcW w:w="6640" w:type="dxa"/>
            <w:vAlign w:val="bottom"/>
            <w:gridSpan w:val="7"/>
          </w:tcPr>
          <w:p>
            <w:pPr>
              <w:spacing w:after="0"/>
              <w:rPr>
                <w:sz w:val="20"/>
                <w:szCs w:val="20"/>
                <w:color w:val="auto"/>
              </w:rPr>
            </w:pPr>
            <w:r>
              <w:rPr>
                <w:rFonts w:ascii="Courier New" w:cs="Courier New" w:eastAsia="Courier New" w:hAnsi="Courier New"/>
                <w:sz w:val="16"/>
                <w:szCs w:val="16"/>
                <w:color w:val="auto"/>
              </w:rPr>
              <w:t>respective successors shall have been duly elected and qualified.</w:t>
            </w:r>
          </w:p>
        </w:tc>
        <w:tc>
          <w:tcPr>
            <w:tcW w:w="1700" w:type="dxa"/>
            <w:vAlign w:val="bottom"/>
          </w:tcPr>
          <w:p>
            <w:pPr>
              <w:spacing w:after="0"/>
              <w:rPr>
                <w:sz w:val="15"/>
                <w:szCs w:val="15"/>
                <w:color w:val="auto"/>
              </w:rPr>
            </w:pPr>
          </w:p>
        </w:tc>
      </w:tr>
      <w:tr>
        <w:trPr>
          <w:trHeight w:val="909"/>
        </w:trPr>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Director</w:t>
            </w:r>
          </w:p>
        </w:tc>
        <w:tc>
          <w:tcPr>
            <w:tcW w:w="10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Class of</w:t>
            </w:r>
          </w:p>
        </w:tc>
        <w:tc>
          <w:tcPr>
            <w:tcW w:w="12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Stock</w:t>
            </w:r>
          </w:p>
        </w:tc>
        <w:tc>
          <w:tcPr>
            <w:tcW w:w="16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For</w:t>
            </w:r>
          </w:p>
        </w:tc>
        <w:tc>
          <w:tcPr>
            <w:tcW w:w="17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Withheld</w:t>
            </w:r>
          </w:p>
        </w:tc>
      </w:tr>
      <w:tr>
        <w:trPr>
          <w:trHeight w:val="182"/>
        </w:trPr>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256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546"/>
        </w:trPr>
        <w:tc>
          <w:tcPr>
            <w:tcW w:w="2460" w:type="dxa"/>
            <w:vAlign w:val="bottom"/>
            <w:gridSpan w:val="3"/>
          </w:tcPr>
          <w:p>
            <w:pPr>
              <w:spacing w:after="0"/>
              <w:rPr>
                <w:sz w:val="20"/>
                <w:szCs w:val="20"/>
                <w:color w:val="auto"/>
              </w:rPr>
            </w:pPr>
            <w:r>
              <w:rPr>
                <w:rFonts w:ascii="Courier New" w:cs="Courier New" w:eastAsia="Courier New" w:hAnsi="Courier New"/>
                <w:sz w:val="16"/>
                <w:szCs w:val="16"/>
                <w:color w:val="auto"/>
              </w:rPr>
              <w:t>Ralph J. Roberts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940" w:type="dxa"/>
            <w:vAlign w:val="bottom"/>
          </w:tcPr>
          <w:p>
            <w:pPr>
              <w:spacing w:after="0"/>
              <w:rPr>
                <w:sz w:val="24"/>
                <w:szCs w:val="24"/>
                <w:color w:val="auto"/>
              </w:rPr>
            </w:pP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19,571,763</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105,364</w:t>
            </w:r>
          </w:p>
        </w:tc>
      </w:tr>
      <w:tr>
        <w:trPr>
          <w:trHeight w:val="182"/>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940" w:type="dxa"/>
            <w:vAlign w:val="bottom"/>
          </w:tcPr>
          <w:p>
            <w:pPr>
              <w:spacing w:after="0"/>
              <w:rPr>
                <w:sz w:val="15"/>
                <w:szCs w:val="15"/>
                <w:color w:val="auto"/>
              </w:rPr>
            </w:pP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141,665,625</w:t>
            </w:r>
          </w:p>
        </w:tc>
        <w:tc>
          <w:tcPr>
            <w:tcW w:w="1700" w:type="dxa"/>
            <w:vAlign w:val="bottom"/>
          </w:tcPr>
          <w:p>
            <w:pPr>
              <w:spacing w:after="0"/>
              <w:rPr>
                <w:sz w:val="15"/>
                <w:szCs w:val="15"/>
                <w:color w:val="auto"/>
              </w:rPr>
            </w:pPr>
          </w:p>
        </w:tc>
      </w:tr>
      <w:tr>
        <w:trPr>
          <w:trHeight w:val="364"/>
        </w:trPr>
        <w:tc>
          <w:tcPr>
            <w:tcW w:w="2460" w:type="dxa"/>
            <w:vAlign w:val="bottom"/>
            <w:gridSpan w:val="3"/>
          </w:tcPr>
          <w:p>
            <w:pPr>
              <w:spacing w:after="0"/>
              <w:rPr>
                <w:sz w:val="20"/>
                <w:szCs w:val="20"/>
                <w:color w:val="auto"/>
              </w:rPr>
            </w:pPr>
            <w:r>
              <w:rPr>
                <w:rFonts w:ascii="Courier New" w:cs="Courier New" w:eastAsia="Courier New" w:hAnsi="Courier New"/>
                <w:sz w:val="16"/>
                <w:szCs w:val="16"/>
                <w:color w:val="auto"/>
              </w:rPr>
              <w:t>Julian A. Brodsky</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940" w:type="dxa"/>
            <w:vAlign w:val="bottom"/>
          </w:tcPr>
          <w:p>
            <w:pPr>
              <w:spacing w:after="0"/>
              <w:rPr>
                <w:sz w:val="24"/>
                <w:szCs w:val="24"/>
                <w:color w:val="auto"/>
              </w:rPr>
            </w:pP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18,866,986</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810,141</w:t>
            </w:r>
          </w:p>
        </w:tc>
      </w:tr>
      <w:tr>
        <w:trPr>
          <w:trHeight w:val="182"/>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940" w:type="dxa"/>
            <w:vAlign w:val="bottom"/>
          </w:tcPr>
          <w:p>
            <w:pPr>
              <w:spacing w:after="0"/>
              <w:rPr>
                <w:sz w:val="15"/>
                <w:szCs w:val="15"/>
                <w:color w:val="auto"/>
              </w:rPr>
            </w:pP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141,665,625</w:t>
            </w:r>
          </w:p>
        </w:tc>
        <w:tc>
          <w:tcPr>
            <w:tcW w:w="1700" w:type="dxa"/>
            <w:vAlign w:val="bottom"/>
          </w:tcPr>
          <w:p>
            <w:pPr>
              <w:spacing w:after="0"/>
              <w:rPr>
                <w:sz w:val="15"/>
                <w:szCs w:val="15"/>
                <w:color w:val="auto"/>
              </w:rPr>
            </w:pPr>
          </w:p>
        </w:tc>
      </w:tr>
      <w:tr>
        <w:trPr>
          <w:trHeight w:val="364"/>
        </w:trPr>
        <w:tc>
          <w:tcPr>
            <w:tcW w:w="2460" w:type="dxa"/>
            <w:vAlign w:val="bottom"/>
            <w:gridSpan w:val="3"/>
          </w:tcPr>
          <w:p>
            <w:pPr>
              <w:spacing w:after="0"/>
              <w:rPr>
                <w:sz w:val="20"/>
                <w:szCs w:val="20"/>
                <w:color w:val="auto"/>
              </w:rPr>
            </w:pPr>
            <w:r>
              <w:rPr>
                <w:rFonts w:ascii="Courier New" w:cs="Courier New" w:eastAsia="Courier New" w:hAnsi="Courier New"/>
                <w:sz w:val="16"/>
                <w:szCs w:val="16"/>
                <w:color w:val="auto"/>
              </w:rPr>
              <w:t>Brian L. Roberts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940" w:type="dxa"/>
            <w:vAlign w:val="bottom"/>
          </w:tcPr>
          <w:p>
            <w:pPr>
              <w:spacing w:after="0"/>
              <w:rPr>
                <w:sz w:val="24"/>
                <w:szCs w:val="24"/>
                <w:color w:val="auto"/>
              </w:rPr>
            </w:pP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19,573,238</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103,889</w:t>
            </w:r>
          </w:p>
        </w:tc>
      </w:tr>
      <w:tr>
        <w:trPr>
          <w:trHeight w:val="182"/>
        </w:trPr>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940" w:type="dxa"/>
            <w:vAlign w:val="bottom"/>
          </w:tcPr>
          <w:p>
            <w:pPr>
              <w:spacing w:after="0"/>
              <w:rPr>
                <w:sz w:val="15"/>
                <w:szCs w:val="15"/>
                <w:color w:val="auto"/>
              </w:rPr>
            </w:pPr>
          </w:p>
        </w:tc>
        <w:tc>
          <w:tcPr>
            <w:tcW w:w="1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141,665,625</w:t>
            </w:r>
          </w:p>
        </w:tc>
        <w:tc>
          <w:tcPr>
            <w:tcW w:w="1700" w:type="dxa"/>
            <w:vAlign w:val="bottom"/>
          </w:tcPr>
          <w:p>
            <w:pPr>
              <w:spacing w:after="0"/>
              <w:rPr>
                <w:sz w:val="15"/>
                <w:szCs w:val="15"/>
                <w:color w:val="auto"/>
              </w:rPr>
            </w:pPr>
          </w:p>
        </w:tc>
      </w:tr>
      <w:tr>
        <w:trPr>
          <w:trHeight w:val="546"/>
        </w:trPr>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222"/>
          </w:cols>
          <w:pgMar w:left="237" w:top="477" w:right="1440" w:bottom="883" w:gutter="0" w:footer="0" w:header="0"/>
        </w:sectPr>
      </w:pPr>
    </w:p>
    <w:bookmarkStart w:id="26" w:name="page27"/>
    <w:bookmarkEnd w:id="26"/>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QUARTER ENDED JUNE 30, 2000</w:t>
      </w:r>
    </w:p>
    <w:p>
      <w:pPr>
        <w:spacing w:after="0" w:line="36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420" w:type="dxa"/>
            <w:vAlign w:val="bottom"/>
          </w:tcPr>
          <w:p>
            <w:pPr>
              <w:ind w:left="580"/>
              <w:spacing w:after="0"/>
              <w:rPr>
                <w:sz w:val="20"/>
                <w:szCs w:val="20"/>
                <w:color w:val="auto"/>
              </w:rPr>
            </w:pPr>
            <w:r>
              <w:rPr>
                <w:rFonts w:ascii="Courier New" w:cs="Courier New" w:eastAsia="Courier New" w:hAnsi="Courier New"/>
                <w:sz w:val="16"/>
                <w:szCs w:val="16"/>
                <w:color w:val="auto"/>
              </w:rPr>
              <w:t>Director</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 of</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c>
          <w:tcPr>
            <w:tcW w:w="202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For</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Withheld</w:t>
            </w:r>
          </w:p>
        </w:tc>
      </w:tr>
      <w:tr>
        <w:trPr>
          <w:trHeight w:val="182"/>
        </w:trPr>
        <w:tc>
          <w:tcPr>
            <w:tcW w:w="24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24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546"/>
        </w:trPr>
        <w:tc>
          <w:tcPr>
            <w:tcW w:w="2420" w:type="dxa"/>
            <w:vAlign w:val="bottom"/>
          </w:tcPr>
          <w:p>
            <w:pPr>
              <w:spacing w:after="0"/>
              <w:rPr>
                <w:sz w:val="20"/>
                <w:szCs w:val="20"/>
                <w:color w:val="auto"/>
              </w:rPr>
            </w:pPr>
            <w:r>
              <w:rPr>
                <w:rFonts w:ascii="Courier New" w:cs="Courier New" w:eastAsia="Courier New" w:hAnsi="Courier New"/>
                <w:sz w:val="16"/>
                <w:szCs w:val="16"/>
                <w:color w:val="auto"/>
              </w:rPr>
              <w:t>Gustave G. Amsterdam</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19,561,541</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115,586</w:t>
            </w:r>
          </w:p>
        </w:tc>
      </w:tr>
      <w:tr>
        <w:trPr>
          <w:trHeight w:val="182"/>
        </w:trPr>
        <w:tc>
          <w:tcPr>
            <w:tcW w:w="2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141,665,625</w:t>
            </w:r>
          </w:p>
        </w:tc>
        <w:tc>
          <w:tcPr>
            <w:tcW w:w="1480" w:type="dxa"/>
            <w:vAlign w:val="bottom"/>
          </w:tcPr>
          <w:p>
            <w:pPr>
              <w:spacing w:after="0"/>
              <w:rPr>
                <w:sz w:val="15"/>
                <w:szCs w:val="15"/>
                <w:color w:val="auto"/>
              </w:rPr>
            </w:pPr>
          </w:p>
        </w:tc>
      </w:tr>
      <w:tr>
        <w:trPr>
          <w:trHeight w:val="364"/>
        </w:trPr>
        <w:tc>
          <w:tcPr>
            <w:tcW w:w="242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18,160,334</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1,516,793</w:t>
            </w:r>
          </w:p>
        </w:tc>
      </w:tr>
      <w:tr>
        <w:trPr>
          <w:trHeight w:val="182"/>
        </w:trPr>
        <w:tc>
          <w:tcPr>
            <w:tcW w:w="2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141,665,625</w:t>
            </w:r>
          </w:p>
        </w:tc>
        <w:tc>
          <w:tcPr>
            <w:tcW w:w="1480" w:type="dxa"/>
            <w:vAlign w:val="bottom"/>
          </w:tcPr>
          <w:p>
            <w:pPr>
              <w:spacing w:after="0"/>
              <w:rPr>
                <w:sz w:val="15"/>
                <w:szCs w:val="15"/>
                <w:color w:val="auto"/>
              </w:rPr>
            </w:pPr>
          </w:p>
        </w:tc>
      </w:tr>
      <w:tr>
        <w:trPr>
          <w:trHeight w:val="364"/>
        </w:trPr>
        <w:tc>
          <w:tcPr>
            <w:tcW w:w="2420" w:type="dxa"/>
            <w:vAlign w:val="bottom"/>
          </w:tcPr>
          <w:p>
            <w:pPr>
              <w:spacing w:after="0"/>
              <w:rPr>
                <w:sz w:val="20"/>
                <w:szCs w:val="20"/>
                <w:color w:val="auto"/>
              </w:rPr>
            </w:pPr>
            <w:r>
              <w:rPr>
                <w:rFonts w:ascii="Courier New" w:cs="Courier New" w:eastAsia="Courier New" w:hAnsi="Courier New"/>
                <w:sz w:val="16"/>
                <w:szCs w:val="16"/>
                <w:color w:val="auto"/>
              </w:rPr>
              <w:t>Joseph L. Castle II</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19,575,338</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101,789</w:t>
            </w:r>
          </w:p>
        </w:tc>
      </w:tr>
      <w:tr>
        <w:trPr>
          <w:trHeight w:val="182"/>
        </w:trPr>
        <w:tc>
          <w:tcPr>
            <w:tcW w:w="2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141,665,625</w:t>
            </w:r>
          </w:p>
        </w:tc>
        <w:tc>
          <w:tcPr>
            <w:tcW w:w="1480" w:type="dxa"/>
            <w:vAlign w:val="bottom"/>
          </w:tcPr>
          <w:p>
            <w:pPr>
              <w:spacing w:after="0"/>
              <w:rPr>
                <w:sz w:val="15"/>
                <w:szCs w:val="15"/>
                <w:color w:val="auto"/>
              </w:rPr>
            </w:pPr>
          </w:p>
        </w:tc>
      </w:tr>
      <w:tr>
        <w:trPr>
          <w:trHeight w:val="364"/>
        </w:trPr>
        <w:tc>
          <w:tcPr>
            <w:tcW w:w="2420" w:type="dxa"/>
            <w:vAlign w:val="bottom"/>
          </w:tcPr>
          <w:p>
            <w:pPr>
              <w:spacing w:after="0"/>
              <w:rPr>
                <w:sz w:val="20"/>
                <w:szCs w:val="20"/>
                <w:color w:val="auto"/>
              </w:rPr>
            </w:pPr>
            <w:r>
              <w:rPr>
                <w:rFonts w:ascii="Courier New" w:cs="Courier New" w:eastAsia="Courier New" w:hAnsi="Courier New"/>
                <w:sz w:val="16"/>
                <w:szCs w:val="16"/>
                <w:color w:val="auto"/>
              </w:rPr>
              <w:t>Bernard C. Watson</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19,571,068</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106,059</w:t>
            </w:r>
          </w:p>
        </w:tc>
      </w:tr>
      <w:tr>
        <w:trPr>
          <w:trHeight w:val="182"/>
        </w:trPr>
        <w:tc>
          <w:tcPr>
            <w:tcW w:w="2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141,665,625</w:t>
            </w:r>
          </w:p>
        </w:tc>
        <w:tc>
          <w:tcPr>
            <w:tcW w:w="1480" w:type="dxa"/>
            <w:vAlign w:val="bottom"/>
          </w:tcPr>
          <w:p>
            <w:pPr>
              <w:spacing w:after="0"/>
              <w:rPr>
                <w:sz w:val="15"/>
                <w:szCs w:val="15"/>
                <w:color w:val="auto"/>
              </w:rPr>
            </w:pPr>
          </w:p>
        </w:tc>
      </w:tr>
      <w:tr>
        <w:trPr>
          <w:trHeight w:val="364"/>
        </w:trPr>
        <w:tc>
          <w:tcPr>
            <w:tcW w:w="2420" w:type="dxa"/>
            <w:vAlign w:val="bottom"/>
          </w:tcPr>
          <w:p>
            <w:pPr>
              <w:spacing w:after="0"/>
              <w:rPr>
                <w:sz w:val="20"/>
                <w:szCs w:val="20"/>
                <w:color w:val="auto"/>
              </w:rPr>
            </w:pPr>
            <w:r>
              <w:rPr>
                <w:rFonts w:ascii="Courier New" w:cs="Courier New" w:eastAsia="Courier New" w:hAnsi="Courier New"/>
                <w:sz w:val="16"/>
                <w:szCs w:val="16"/>
                <w:color w:val="auto"/>
              </w:rPr>
              <w:t>Irving A. Wechsler</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19,566,241</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110,886</w:t>
            </w:r>
          </w:p>
        </w:tc>
      </w:tr>
      <w:tr>
        <w:trPr>
          <w:trHeight w:val="182"/>
        </w:trPr>
        <w:tc>
          <w:tcPr>
            <w:tcW w:w="2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141,665,625</w:t>
            </w:r>
          </w:p>
        </w:tc>
        <w:tc>
          <w:tcPr>
            <w:tcW w:w="1480" w:type="dxa"/>
            <w:vAlign w:val="bottom"/>
          </w:tcPr>
          <w:p>
            <w:pPr>
              <w:spacing w:after="0"/>
              <w:rPr>
                <w:sz w:val="15"/>
                <w:szCs w:val="15"/>
                <w:color w:val="auto"/>
              </w:rPr>
            </w:pPr>
          </w:p>
        </w:tc>
      </w:tr>
      <w:tr>
        <w:trPr>
          <w:trHeight w:val="364"/>
        </w:trPr>
        <w:tc>
          <w:tcPr>
            <w:tcW w:w="242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19,567,968</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109,159</w:t>
            </w:r>
          </w:p>
        </w:tc>
      </w:tr>
      <w:tr>
        <w:trPr>
          <w:trHeight w:val="182"/>
        </w:trPr>
        <w:tc>
          <w:tcPr>
            <w:tcW w:w="2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20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141,665,625</w:t>
            </w:r>
          </w:p>
        </w:tc>
        <w:tc>
          <w:tcPr>
            <w:tcW w:w="1480" w:type="dxa"/>
            <w:vAlign w:val="bottom"/>
          </w:tcPr>
          <w:p>
            <w:pPr>
              <w:spacing w:after="0"/>
              <w:rPr>
                <w:sz w:val="15"/>
                <w:szCs w:val="15"/>
                <w:color w:val="auto"/>
              </w:rPr>
            </w:pPr>
          </w:p>
        </w:tc>
      </w:tr>
    </w:tbl>
    <w:p>
      <w:pPr>
        <w:spacing w:after="0" w:line="3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To approve an amendment to the Comcast Corporation 1996 Stock Option Plan.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760" w:type="dxa"/>
            <w:vAlign w:val="bottom"/>
          </w:tcPr>
          <w:p>
            <w:pPr>
              <w:ind w:left="580"/>
              <w:spacing w:after="0"/>
              <w:rPr>
                <w:sz w:val="20"/>
                <w:szCs w:val="20"/>
                <w:color w:val="auto"/>
              </w:rPr>
            </w:pPr>
            <w:r>
              <w:rPr>
                <w:rFonts w:ascii="Courier New" w:cs="Courier New" w:eastAsia="Courier New" w:hAnsi="Courier New"/>
                <w:sz w:val="16"/>
                <w:szCs w:val="16"/>
                <w:color w:val="auto"/>
              </w:rPr>
              <w:t>Class of Stock</w:t>
            </w:r>
          </w:p>
        </w:tc>
        <w:tc>
          <w:tcPr>
            <w:tcW w:w="22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For</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Against</w:t>
            </w:r>
          </w:p>
        </w:tc>
        <w:tc>
          <w:tcPr>
            <w:tcW w:w="1940" w:type="dxa"/>
            <w:vAlign w:val="bottom"/>
          </w:tcPr>
          <w:p>
            <w:pPr>
              <w:ind w:left="1280"/>
              <w:spacing w:after="0"/>
              <w:rPr>
                <w:sz w:val="20"/>
                <w:szCs w:val="20"/>
                <w:color w:val="auto"/>
              </w:rPr>
            </w:pPr>
            <w:r>
              <w:rPr>
                <w:rFonts w:ascii="Courier New" w:cs="Courier New" w:eastAsia="Courier New" w:hAnsi="Courier New"/>
                <w:sz w:val="16"/>
                <w:szCs w:val="16"/>
                <w:color w:val="auto"/>
                <w:w w:val="95"/>
              </w:rPr>
              <w:t>Abstain</w:t>
            </w:r>
          </w:p>
        </w:tc>
      </w:tr>
      <w:tr>
        <w:trPr>
          <w:trHeight w:val="182"/>
        </w:trPr>
        <w:tc>
          <w:tcPr>
            <w:tcW w:w="276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ind w:left="1280"/>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2760" w:type="dxa"/>
            <w:vAlign w:val="bottom"/>
          </w:tcPr>
          <w:p>
            <w:pPr>
              <w:ind w:left="960"/>
              <w:spacing w:after="0"/>
              <w:rPr>
                <w:sz w:val="20"/>
                <w:szCs w:val="20"/>
                <w:color w:val="auto"/>
              </w:rPr>
            </w:pPr>
            <w:r>
              <w:rPr>
                <w:rFonts w:ascii="Courier New" w:cs="Courier New" w:eastAsia="Courier New" w:hAnsi="Courier New"/>
                <w:sz w:val="16"/>
                <w:szCs w:val="16"/>
                <w:color w:val="auto"/>
              </w:rPr>
              <w:t>Class A</w:t>
            </w:r>
          </w:p>
        </w:tc>
        <w:tc>
          <w:tcPr>
            <w:tcW w:w="2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16,249,759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3,294,512</w:t>
            </w:r>
          </w:p>
        </w:tc>
        <w:tc>
          <w:tcPr>
            <w:tcW w:w="1940" w:type="dxa"/>
            <w:vAlign w:val="bottom"/>
          </w:tcPr>
          <w:p>
            <w:pPr>
              <w:ind w:left="1280"/>
              <w:spacing w:after="0"/>
              <w:rPr>
                <w:sz w:val="20"/>
                <w:szCs w:val="20"/>
                <w:color w:val="auto"/>
              </w:rPr>
            </w:pPr>
            <w:r>
              <w:rPr>
                <w:rFonts w:ascii="Courier New" w:cs="Courier New" w:eastAsia="Courier New" w:hAnsi="Courier New"/>
                <w:sz w:val="16"/>
                <w:szCs w:val="16"/>
                <w:color w:val="auto"/>
                <w:w w:val="95"/>
              </w:rPr>
              <w:t>132,856</w:t>
            </w:r>
          </w:p>
        </w:tc>
      </w:tr>
      <w:tr>
        <w:trPr>
          <w:trHeight w:val="182"/>
        </w:trPr>
        <w:tc>
          <w:tcPr>
            <w:tcW w:w="2760" w:type="dxa"/>
            <w:vAlign w:val="bottom"/>
          </w:tcPr>
          <w:p>
            <w:pPr>
              <w:ind w:left="960"/>
              <w:spacing w:after="0"/>
              <w:rPr>
                <w:sz w:val="20"/>
                <w:szCs w:val="20"/>
                <w:color w:val="auto"/>
              </w:rPr>
            </w:pPr>
            <w:r>
              <w:rPr>
                <w:rFonts w:ascii="Courier New" w:cs="Courier New" w:eastAsia="Courier New" w:hAnsi="Courier New"/>
                <w:sz w:val="16"/>
                <w:szCs w:val="16"/>
                <w:color w:val="auto"/>
              </w:rPr>
              <w:t>Class B</w:t>
            </w:r>
          </w:p>
        </w:tc>
        <w:tc>
          <w:tcPr>
            <w:tcW w:w="2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141,665,625</w:t>
            </w:r>
          </w:p>
        </w:tc>
        <w:tc>
          <w:tcPr>
            <w:tcW w:w="11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546"/>
        </w:trPr>
        <w:tc>
          <w:tcPr>
            <w:tcW w:w="2760" w:type="dxa"/>
            <w:vAlign w:val="bottom"/>
          </w:tcPr>
          <w:p>
            <w:pPr>
              <w:spacing w:after="0"/>
              <w:rPr>
                <w:sz w:val="20"/>
                <w:szCs w:val="20"/>
                <w:color w:val="auto"/>
              </w:rPr>
            </w:pPr>
            <w:r>
              <w:rPr>
                <w:rFonts w:ascii="Courier New" w:cs="Courier New" w:eastAsia="Courier New" w:hAnsi="Courier New"/>
                <w:sz w:val="16"/>
                <w:szCs w:val="16"/>
                <w:color w:val="auto"/>
              </w:rPr>
              <w:t>To  ratify  the  appointment</w:t>
            </w:r>
          </w:p>
        </w:tc>
        <w:tc>
          <w:tcPr>
            <w:tcW w:w="22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Deloitte  &amp; Touche</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LLP as the</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Company's</w:t>
            </w:r>
          </w:p>
        </w:tc>
      </w:tr>
      <w:tr>
        <w:trPr>
          <w:trHeight w:val="182"/>
        </w:trPr>
        <w:tc>
          <w:tcPr>
            <w:tcW w:w="5020" w:type="dxa"/>
            <w:vAlign w:val="bottom"/>
            <w:gridSpan w:val="2"/>
          </w:tcPr>
          <w:p>
            <w:pPr>
              <w:spacing w:after="0"/>
              <w:rPr>
                <w:sz w:val="20"/>
                <w:szCs w:val="20"/>
                <w:color w:val="auto"/>
              </w:rPr>
            </w:pPr>
            <w:r>
              <w:rPr>
                <w:rFonts w:ascii="Courier New" w:cs="Courier New" w:eastAsia="Courier New" w:hAnsi="Courier New"/>
                <w:sz w:val="16"/>
                <w:szCs w:val="16"/>
                <w:color w:val="auto"/>
              </w:rPr>
              <w:t>independent auditors for the 2000 fiscal year.</w:t>
            </w:r>
          </w:p>
        </w:tc>
        <w:tc>
          <w:tcPr>
            <w:tcW w:w="11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728"/>
        </w:trPr>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Class of Stock</w:t>
            </w:r>
          </w:p>
        </w:tc>
        <w:tc>
          <w:tcPr>
            <w:tcW w:w="22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For</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Against</w:t>
            </w:r>
          </w:p>
        </w:tc>
        <w:tc>
          <w:tcPr>
            <w:tcW w:w="1940" w:type="dxa"/>
            <w:vAlign w:val="bottom"/>
          </w:tcPr>
          <w:p>
            <w:pPr>
              <w:ind w:left="1280"/>
              <w:spacing w:after="0"/>
              <w:rPr>
                <w:sz w:val="20"/>
                <w:szCs w:val="20"/>
                <w:color w:val="auto"/>
              </w:rPr>
            </w:pPr>
            <w:r>
              <w:rPr>
                <w:rFonts w:ascii="Courier New" w:cs="Courier New" w:eastAsia="Courier New" w:hAnsi="Courier New"/>
                <w:sz w:val="16"/>
                <w:szCs w:val="16"/>
                <w:color w:val="auto"/>
                <w:w w:val="95"/>
              </w:rPr>
              <w:t>Abstain</w:t>
            </w:r>
          </w:p>
        </w:tc>
      </w:tr>
      <w:tr>
        <w:trPr>
          <w:trHeight w:val="182"/>
        </w:trPr>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ind w:left="1280"/>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2760" w:type="dxa"/>
            <w:vAlign w:val="bottom"/>
          </w:tcPr>
          <w:p>
            <w:pPr>
              <w:ind w:left="860"/>
              <w:spacing w:after="0"/>
              <w:rPr>
                <w:sz w:val="20"/>
                <w:szCs w:val="20"/>
                <w:color w:val="auto"/>
              </w:rPr>
            </w:pPr>
            <w:r>
              <w:rPr>
                <w:rFonts w:ascii="Courier New" w:cs="Courier New" w:eastAsia="Courier New" w:hAnsi="Courier New"/>
                <w:sz w:val="16"/>
                <w:szCs w:val="16"/>
                <w:color w:val="auto"/>
              </w:rPr>
              <w:t>Class A</w:t>
            </w:r>
          </w:p>
        </w:tc>
        <w:tc>
          <w:tcPr>
            <w:tcW w:w="2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19,595,626</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50,610</w:t>
            </w:r>
          </w:p>
        </w:tc>
        <w:tc>
          <w:tcPr>
            <w:tcW w:w="1940" w:type="dxa"/>
            <w:vAlign w:val="bottom"/>
          </w:tcPr>
          <w:p>
            <w:pPr>
              <w:ind w:left="1280"/>
              <w:spacing w:after="0"/>
              <w:rPr>
                <w:sz w:val="20"/>
                <w:szCs w:val="20"/>
                <w:color w:val="auto"/>
              </w:rPr>
            </w:pPr>
            <w:r>
              <w:rPr>
                <w:rFonts w:ascii="Courier New" w:cs="Courier New" w:eastAsia="Courier New" w:hAnsi="Courier New"/>
                <w:sz w:val="16"/>
                <w:szCs w:val="16"/>
                <w:color w:val="auto"/>
              </w:rPr>
              <w:t>30,891</w:t>
            </w:r>
          </w:p>
        </w:tc>
      </w:tr>
      <w:tr>
        <w:trPr>
          <w:trHeight w:val="182"/>
        </w:trPr>
        <w:tc>
          <w:tcPr>
            <w:tcW w:w="2760" w:type="dxa"/>
            <w:vAlign w:val="bottom"/>
          </w:tcPr>
          <w:p>
            <w:pPr>
              <w:ind w:left="860"/>
              <w:spacing w:after="0"/>
              <w:rPr>
                <w:sz w:val="20"/>
                <w:szCs w:val="20"/>
                <w:color w:val="auto"/>
              </w:rPr>
            </w:pPr>
            <w:r>
              <w:rPr>
                <w:rFonts w:ascii="Courier New" w:cs="Courier New" w:eastAsia="Courier New" w:hAnsi="Courier New"/>
                <w:sz w:val="16"/>
                <w:szCs w:val="16"/>
                <w:color w:val="auto"/>
              </w:rPr>
              <w:t>Class B</w:t>
            </w:r>
          </w:p>
        </w:tc>
        <w:tc>
          <w:tcPr>
            <w:tcW w:w="2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141,665,625</w:t>
            </w:r>
          </w:p>
        </w:tc>
        <w:tc>
          <w:tcPr>
            <w:tcW w:w="1180" w:type="dxa"/>
            <w:vAlign w:val="bottom"/>
          </w:tcPr>
          <w:p>
            <w:pPr>
              <w:spacing w:after="0"/>
              <w:rPr>
                <w:sz w:val="15"/>
                <w:szCs w:val="15"/>
                <w:color w:val="auto"/>
              </w:rPr>
            </w:pPr>
          </w:p>
        </w:tc>
        <w:tc>
          <w:tcPr>
            <w:tcW w:w="1940" w:type="dxa"/>
            <w:vAlign w:val="bottom"/>
          </w:tcPr>
          <w:p>
            <w:pPr>
              <w:spacing w:after="0"/>
              <w:rPr>
                <w:sz w:val="15"/>
                <w:szCs w:val="15"/>
                <w:color w:val="auto"/>
              </w:rPr>
            </w:pPr>
          </w:p>
        </w:tc>
      </w:tr>
    </w:tbl>
    <w:p>
      <w:pPr>
        <w:spacing w:after="0" w:line="36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940" w:hanging="470"/>
        <w:spacing w:after="0"/>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82"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27.1 Financial Data Schedule.</w:t>
      </w:r>
    </w:p>
    <w:p>
      <w:pPr>
        <w:spacing w:after="0" w:line="182"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rFonts w:ascii="Courier New" w:cs="Courier New" w:eastAsia="Courier New" w:hAnsi="Courier New"/>
          <w:sz w:val="16"/>
          <w:szCs w:val="16"/>
          <w:color w:val="auto"/>
        </w:rPr>
      </w:pPr>
    </w:p>
    <w:p>
      <w:pPr>
        <w:jc w:val="both"/>
        <w:ind w:left="1420" w:right="2659" w:hanging="477"/>
        <w:spacing w:after="0" w:line="239" w:lineRule="auto"/>
        <w:tabs>
          <w:tab w:leader="none" w:pos="142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8-K/A under Item 2 on April 3, 2000 which included our Unaudited Pro Forma Condensed Consolidated Financial Statements giving effect to the acquisition of Lenfest Communications, Inc. as of December 31, 1999 and for the year then ended.</w:t>
      </w:r>
    </w:p>
    <w:p>
      <w:pPr>
        <w:spacing w:after="0" w:line="200" w:lineRule="exact"/>
        <w:rPr>
          <w:sz w:val="20"/>
          <w:szCs w:val="20"/>
          <w:color w:val="auto"/>
        </w:rPr>
      </w:pPr>
    </w:p>
    <w:p>
      <w:pPr>
        <w:spacing w:after="0" w:line="34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77" w:right="1440" w:bottom="1440" w:gutter="0" w:footer="0" w:header="0"/>
        </w:sectPr>
      </w:pPr>
    </w:p>
    <w:bookmarkStart w:id="27" w:name="page28"/>
    <w:bookmarkEnd w:id="27"/>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QUARTER ENDED JUNE 30, 2000</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/s/ LAWRENCE J. SALVA</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Lawrence J. Salva</w:t>
      </w:r>
    </w:p>
    <w:p>
      <w:pPr>
        <w:spacing w:after="0" w:line="1"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Senior Vice President</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11, 2000</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77" w:right="1440" w:bottom="1440" w:gutter="0" w:footer="0" w:header="0"/>
        </w:sectPr>
      </w:pPr>
    </w:p>
    <w:bookmarkStart w:id="28" w:name="page29"/>
    <w:bookmarkEnd w:id="28"/>
    <w:p>
      <w:pPr>
        <w:ind w:left="10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left="20" w:right="3199"/>
        <w:spacing w:after="0" w:line="238"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0000022301</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1,000,000</w:t>
      </w:r>
    </w:p>
    <w:p>
      <w:pPr>
        <w:spacing w:after="0" w:line="36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6-MOS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DEC-31-2000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JUN-30-2000</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652</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2,975</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707</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(147)</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373</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4,828</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6,439</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(1,773)</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35,332</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4,097</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10,219</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585</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905</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13,289</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35,332</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3,851</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3,851</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(1,015)</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(3,841)</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549</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(332)</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227</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(153)</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73</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(16)</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(.02)</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(.02)</w:t>
      </w:r>
    </w:p>
    <w:p>
      <w:pPr>
        <w:spacing w:after="0" w:line="368"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6"/>
          <w:szCs w:val="16"/>
          <w:color w:val="auto"/>
        </w:rPr>
        <w:t>Income before income tax expense and other items excludes the effect of minority interests, net of tax, of $60.9.</w:t>
      </w:r>
    </w:p>
    <w:sectPr>
      <w:pgSz w:w="11900" w:h="16838" w:orient="portrait"/>
      <w:cols w:equalWidth="0" w:num="1">
        <w:col w:w="10219"/>
      </w:cols>
      <w:pgMar w:left="24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o"/>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6"/>
    </w:lvl>
  </w:abstractNum>
  <w:abstractNum w:abstractNumId="8">
    <w:nsid w:val="3352255A"/>
    <w:multiLevelType w:val="hybridMultilevel"/>
    <w:lvl w:ilvl="0">
      <w:lvlJc w:val="left"/>
      <w:lvlText w:val="%1."/>
      <w:numFmt w:val="decimal"/>
      <w:start w:val="7"/>
    </w:lvl>
  </w:abstractNum>
  <w:abstractNum w:abstractNumId="9">
    <w:nsid w:val="109CF92E"/>
    <w:multiLevelType w:val="hybridMultilevel"/>
    <w:lvl w:ilvl="0">
      <w:lvlJc w:val="left"/>
      <w:lvlText w:val="%1."/>
      <w:numFmt w:val="decimal"/>
      <w:start w:val="8"/>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2019-12-12T23:01:58Z</dcterms:created>
  <dcterms:modified xsi:type="dcterms:W3CDTF">2019-12-12T23:01:58Z</dcterms:modified>
</cp:coreProperties>
</file>