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62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140335</wp:posOffset>
            </wp:positionH>
            <wp:positionV relativeFrom="page">
              <wp:posOffset>256540</wp:posOffset>
            </wp:positionV>
            <wp:extent cx="7280910" cy="190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0910" cy="19050"/>
                    </a:xfrm>
                    <a:prstGeom prst="rect">
                      <a:avLst/>
                    </a:prstGeom>
                    <a:noFill/>
                  </pic:spPr>
                </pic:pic>
              </a:graphicData>
            </a:graphic>
          </wp:anchor>
        </w:drawing>
        <w:t>UNITED STATES SECURITIES AND</w:t>
      </w:r>
    </w:p>
    <w:p>
      <w:pPr>
        <w:spacing w:after="0" w:line="14" w:lineRule="exact"/>
        <w:rPr>
          <w:sz w:val="24"/>
          <w:szCs w:val="24"/>
          <w:color w:val="auto"/>
        </w:rPr>
      </w:pPr>
    </w:p>
    <w:p>
      <w:pPr>
        <w:ind w:left="4860"/>
        <w:spacing w:after="0"/>
        <w:rPr>
          <w:sz w:val="20"/>
          <w:szCs w:val="20"/>
          <w:color w:val="auto"/>
        </w:rPr>
      </w:pPr>
      <w:r>
        <w:rPr>
          <w:rFonts w:ascii="Arial" w:cs="Arial" w:eastAsia="Arial" w:hAnsi="Arial"/>
          <w:sz w:val="14"/>
          <w:szCs w:val="14"/>
          <w:b w:val="1"/>
          <w:bCs w:val="1"/>
          <w:color w:val="auto"/>
        </w:rPr>
        <w:t>EXCHANGE COMMISSION</w:t>
      </w:r>
    </w:p>
    <w:p>
      <w:pPr>
        <w:spacing w:after="0" w:line="1" w:lineRule="exact"/>
        <w:rPr>
          <w:sz w:val="24"/>
          <w:szCs w:val="24"/>
          <w:color w:val="auto"/>
        </w:rPr>
      </w:pPr>
    </w:p>
    <w:p>
      <w:pPr>
        <w:ind w:left="5040"/>
        <w:spacing w:after="0"/>
        <w:rPr>
          <w:sz w:val="20"/>
          <w:szCs w:val="20"/>
          <w:color w:val="auto"/>
        </w:rPr>
      </w:pPr>
      <w:r>
        <w:rPr>
          <w:rFonts w:ascii="Arial" w:cs="Arial" w:eastAsia="Arial" w:hAnsi="Arial"/>
          <w:sz w:val="14"/>
          <w:szCs w:val="14"/>
          <w:b w:val="1"/>
          <w:bCs w:val="1"/>
          <w:color w:val="auto"/>
        </w:rPr>
        <w:t>Washington, D.C. 20549</w:t>
      </w:r>
    </w:p>
    <w:p>
      <w:pPr>
        <w:spacing w:after="0" w:line="1" w:lineRule="exact"/>
        <w:rPr>
          <w:sz w:val="24"/>
          <w:szCs w:val="24"/>
          <w:color w:val="auto"/>
        </w:rPr>
      </w:pPr>
    </w:p>
    <w:p>
      <w:pPr>
        <w:ind w:left="5220"/>
        <w:spacing w:after="0"/>
        <w:rPr>
          <w:sz w:val="20"/>
          <w:szCs w:val="20"/>
          <w:color w:val="auto"/>
        </w:rPr>
      </w:pPr>
      <w:r>
        <w:rPr>
          <w:rFonts w:ascii="Arial" w:cs="Arial" w:eastAsia="Arial" w:hAnsi="Arial"/>
          <w:sz w:val="14"/>
          <w:szCs w:val="14"/>
          <w:b w:val="1"/>
          <w:bCs w:val="1"/>
          <w:color w:val="auto"/>
        </w:rPr>
        <w:t>SCHEDULE 14A</w:t>
      </w:r>
    </w:p>
    <w:p>
      <w:pPr>
        <w:spacing w:after="0" w:line="1" w:lineRule="exact"/>
        <w:rPr>
          <w:sz w:val="24"/>
          <w:szCs w:val="24"/>
          <w:color w:val="auto"/>
        </w:rPr>
      </w:pPr>
    </w:p>
    <w:p>
      <w:pPr>
        <w:ind w:left="4080"/>
        <w:spacing w:after="0"/>
        <w:rPr>
          <w:sz w:val="20"/>
          <w:szCs w:val="20"/>
          <w:color w:val="auto"/>
        </w:rPr>
      </w:pPr>
      <w:r>
        <w:rPr>
          <w:rFonts w:ascii="Arial" w:cs="Arial" w:eastAsia="Arial" w:hAnsi="Arial"/>
          <w:sz w:val="14"/>
          <w:szCs w:val="14"/>
          <w:b w:val="1"/>
          <w:bCs w:val="1"/>
          <w:color w:val="auto"/>
        </w:rPr>
        <w:t>INFORMATION REQUIRED IN PROXY STATEMENT</w:t>
      </w:r>
    </w:p>
    <w:p>
      <w:pPr>
        <w:spacing w:after="0" w:line="1" w:lineRule="exact"/>
        <w:rPr>
          <w:sz w:val="24"/>
          <w:szCs w:val="24"/>
          <w:color w:val="auto"/>
        </w:rPr>
      </w:pPr>
    </w:p>
    <w:p>
      <w:pPr>
        <w:ind w:left="4720"/>
        <w:spacing w:after="0"/>
        <w:rPr>
          <w:sz w:val="20"/>
          <w:szCs w:val="20"/>
          <w:color w:val="auto"/>
        </w:rPr>
      </w:pPr>
      <w:r>
        <w:rPr>
          <w:rFonts w:ascii="Arial" w:cs="Arial" w:eastAsia="Arial" w:hAnsi="Arial"/>
          <w:sz w:val="14"/>
          <w:szCs w:val="14"/>
          <w:b w:val="1"/>
          <w:bCs w:val="1"/>
          <w:color w:val="auto"/>
        </w:rPr>
        <w:t>SCHEDULE 14A INFORMATION</w:t>
      </w:r>
    </w:p>
    <w:p>
      <w:pPr>
        <w:spacing w:after="0" w:line="1" w:lineRule="exact"/>
        <w:rPr>
          <w:sz w:val="24"/>
          <w:szCs w:val="24"/>
          <w:color w:val="auto"/>
        </w:rPr>
      </w:pPr>
    </w:p>
    <w:p>
      <w:pPr>
        <w:ind w:left="4320"/>
        <w:spacing w:after="0"/>
        <w:rPr>
          <w:sz w:val="20"/>
          <w:szCs w:val="20"/>
          <w:color w:val="auto"/>
        </w:rPr>
      </w:pPr>
      <w:r>
        <w:rPr>
          <w:rFonts w:ascii="Arial" w:cs="Arial" w:eastAsia="Arial" w:hAnsi="Arial"/>
          <w:sz w:val="14"/>
          <w:szCs w:val="14"/>
          <w:b w:val="1"/>
          <w:bCs w:val="1"/>
          <w:color w:val="auto"/>
        </w:rPr>
        <w:t>Proxy Statement Pursuant to Section 14(a) of the</w:t>
      </w:r>
    </w:p>
    <w:p>
      <w:pPr>
        <w:spacing w:after="0" w:line="1" w:lineRule="exact"/>
        <w:rPr>
          <w:sz w:val="24"/>
          <w:szCs w:val="24"/>
          <w:color w:val="auto"/>
        </w:rPr>
      </w:pPr>
    </w:p>
    <w:p>
      <w:pPr>
        <w:ind w:left="4820"/>
        <w:spacing w:after="0"/>
        <w:rPr>
          <w:sz w:val="20"/>
          <w:szCs w:val="20"/>
          <w:color w:val="auto"/>
        </w:rPr>
      </w:pPr>
      <w:r>
        <w:rPr>
          <w:rFonts w:ascii="Arial" w:cs="Arial" w:eastAsia="Arial" w:hAnsi="Arial"/>
          <w:sz w:val="14"/>
          <w:szCs w:val="14"/>
          <w:b w:val="1"/>
          <w:bCs w:val="1"/>
          <w:color w:val="auto"/>
        </w:rPr>
        <w:t>Securities Exchange Act of 1934</w:t>
      </w:r>
    </w:p>
    <w:p>
      <w:pPr>
        <w:spacing w:after="0" w:line="129"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Filed by the Registrant </w:t>
      </w:r>
      <w:r>
        <w:rPr>
          <w:rFonts w:ascii="MS PGothic" w:cs="MS PGothic" w:eastAsia="MS PGothic" w:hAnsi="MS PGothic"/>
          <w:sz w:val="14"/>
          <w:szCs w:val="14"/>
          <w:color w:val="auto"/>
        </w:rPr>
        <w:t>☐</w:t>
      </w:r>
      <w:r>
        <w:rPr>
          <w:rFonts w:ascii="Arial" w:cs="Arial" w:eastAsia="Arial" w:hAnsi="Arial"/>
          <w:sz w:val="14"/>
          <w:szCs w:val="14"/>
          <w:color w:val="auto"/>
        </w:rPr>
        <w:t xml:space="preserve"> Filed by a Party other than the Registrant </w:t>
      </w:r>
      <w:r>
        <w:rPr>
          <w:rFonts w:ascii="MS PGothic" w:cs="MS PGothic" w:eastAsia="MS PGothic" w:hAnsi="MS PGothic"/>
          <w:sz w:val="14"/>
          <w:szCs w:val="14"/>
          <w:color w:val="auto"/>
        </w:rPr>
        <w:t>☒</w:t>
      </w:r>
    </w:p>
    <w:p>
      <w:pPr>
        <w:spacing w:after="0" w:line="35" w:lineRule="exact"/>
        <w:rPr>
          <w:sz w:val="24"/>
          <w:szCs w:val="24"/>
          <w:color w:val="auto"/>
        </w:rPr>
      </w:pPr>
    </w:p>
    <w:p>
      <w:pPr>
        <w:spacing w:after="0"/>
        <w:rPr>
          <w:sz w:val="20"/>
          <w:szCs w:val="20"/>
          <w:color w:val="auto"/>
        </w:rPr>
      </w:pPr>
      <w:r>
        <w:rPr>
          <w:rFonts w:ascii="Arial" w:cs="Arial" w:eastAsia="Arial" w:hAnsi="Arial"/>
          <w:sz w:val="14"/>
          <w:szCs w:val="14"/>
          <w:color w:val="auto"/>
        </w:rPr>
        <w:t>Check the appropriate box:</w:t>
      </w:r>
    </w:p>
    <w:p>
      <w:pPr>
        <w:ind w:left="240" w:hanging="239"/>
        <w:spacing w:after="0"/>
        <w:tabs>
          <w:tab w:leader="none" w:pos="24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Preliminary Proxy Statement</w:t>
      </w:r>
    </w:p>
    <w:p>
      <w:pPr>
        <w:spacing w:after="0" w:line="6" w:lineRule="exact"/>
        <w:rPr>
          <w:rFonts w:ascii="MS PGothic" w:cs="MS PGothic" w:eastAsia="MS PGothic" w:hAnsi="MS PGothic"/>
          <w:sz w:val="14"/>
          <w:szCs w:val="14"/>
          <w:color w:val="auto"/>
        </w:rPr>
      </w:pPr>
    </w:p>
    <w:p>
      <w:pPr>
        <w:ind w:left="240" w:hanging="239"/>
        <w:spacing w:after="0"/>
        <w:tabs>
          <w:tab w:leader="none" w:pos="24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Confidential, for Use of the Commission Only (as permitted by Rule 14a-6(e)(2))</w:t>
      </w:r>
    </w:p>
    <w:p>
      <w:pPr>
        <w:spacing w:after="0" w:line="1" w:lineRule="exact"/>
        <w:rPr>
          <w:rFonts w:ascii="MS PGothic" w:cs="MS PGothic" w:eastAsia="MS PGothic" w:hAnsi="MS PGothic"/>
          <w:sz w:val="14"/>
          <w:szCs w:val="14"/>
          <w:color w:val="auto"/>
        </w:rPr>
      </w:pPr>
    </w:p>
    <w:p>
      <w:pPr>
        <w:ind w:left="240" w:hanging="239"/>
        <w:spacing w:after="0"/>
        <w:tabs>
          <w:tab w:leader="none" w:pos="24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Definitive Proxy Statement</w:t>
      </w:r>
    </w:p>
    <w:p>
      <w:pPr>
        <w:spacing w:after="0" w:line="1" w:lineRule="exact"/>
        <w:rPr>
          <w:rFonts w:ascii="MS PGothic" w:cs="MS PGothic" w:eastAsia="MS PGothic" w:hAnsi="MS PGothic"/>
          <w:sz w:val="14"/>
          <w:szCs w:val="14"/>
          <w:color w:val="auto"/>
        </w:rPr>
      </w:pPr>
    </w:p>
    <w:p>
      <w:pPr>
        <w:ind w:left="240" w:hanging="239"/>
        <w:spacing w:after="0" w:line="234" w:lineRule="auto"/>
        <w:tabs>
          <w:tab w:leader="none" w:pos="24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Definitive Additional Materials</w:t>
      </w:r>
    </w:p>
    <w:p>
      <w:pPr>
        <w:spacing w:after="0" w:line="1" w:lineRule="exact"/>
        <w:rPr>
          <w:sz w:val="24"/>
          <w:szCs w:val="24"/>
          <w:color w:val="auto"/>
        </w:rPr>
      </w:pPr>
    </w:p>
    <w:p>
      <w:pPr>
        <w:ind w:left="240" w:hanging="239"/>
        <w:spacing w:after="0"/>
        <w:tabs>
          <w:tab w:leader="none" w:pos="240"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Soliciting Material under §240.14a-12</w:t>
      </w:r>
    </w:p>
    <w:p>
      <w:pPr>
        <w:spacing w:after="0" w:line="150" w:lineRule="exact"/>
        <w:rPr>
          <w:sz w:val="24"/>
          <w:szCs w:val="24"/>
          <w:color w:val="auto"/>
        </w:rPr>
      </w:pPr>
    </w:p>
    <w:p>
      <w:pPr>
        <w:ind w:left="4380"/>
        <w:spacing w:after="0"/>
        <w:rPr>
          <w:sz w:val="20"/>
          <w:szCs w:val="20"/>
          <w:color w:val="auto"/>
        </w:rPr>
      </w:pPr>
      <w:r>
        <w:rPr>
          <w:rFonts w:ascii="Arial" w:cs="Arial" w:eastAsia="Arial" w:hAnsi="Arial"/>
          <w:sz w:val="19"/>
          <w:szCs w:val="19"/>
          <w:b w:val="1"/>
          <w:bCs w:val="1"/>
          <w:color w:val="auto"/>
        </w:rPr>
        <w:t>Twenty-First Century Fox, Inc.</w:t>
      </w:r>
    </w:p>
    <w:p>
      <w:pPr>
        <w:spacing w:after="0" w:line="24" w:lineRule="exact"/>
        <w:rPr>
          <w:sz w:val="24"/>
          <w:szCs w:val="24"/>
          <w:color w:val="auto"/>
        </w:rPr>
      </w:pPr>
    </w:p>
    <w:p>
      <w:pPr>
        <w:jc w:val="center"/>
        <w:ind w:right="-379"/>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152" w:lineRule="exact"/>
        <w:rPr>
          <w:sz w:val="24"/>
          <w:szCs w:val="24"/>
          <w:color w:val="auto"/>
        </w:rPr>
      </w:pPr>
    </w:p>
    <w:p>
      <w:pPr>
        <w:ind w:left="4740"/>
        <w:spacing w:after="0"/>
        <w:rPr>
          <w:sz w:val="20"/>
          <w:szCs w:val="20"/>
          <w:color w:val="auto"/>
        </w:rPr>
      </w:pPr>
      <w:r>
        <w:rPr>
          <w:rFonts w:ascii="Arial" w:cs="Arial" w:eastAsia="Arial" w:hAnsi="Arial"/>
          <w:sz w:val="14"/>
          <w:szCs w:val="14"/>
          <w:color w:val="auto"/>
        </w:rPr>
        <w:t>COMCAST CORPORATION</w:t>
      </w:r>
    </w:p>
    <w:p>
      <w:pPr>
        <w:spacing w:after="0" w:line="12" w:lineRule="exact"/>
        <w:rPr>
          <w:sz w:val="24"/>
          <w:szCs w:val="24"/>
          <w:color w:val="auto"/>
        </w:rPr>
      </w:pPr>
    </w:p>
    <w:p>
      <w:pPr>
        <w:ind w:left="366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54" w:lineRule="exact"/>
        <w:rPr>
          <w:sz w:val="24"/>
          <w:szCs w:val="24"/>
          <w:color w:val="auto"/>
        </w:rPr>
      </w:pPr>
    </w:p>
    <w:p>
      <w:pPr>
        <w:spacing w:after="0"/>
        <w:rPr>
          <w:sz w:val="20"/>
          <w:szCs w:val="20"/>
          <w:color w:val="auto"/>
        </w:rPr>
      </w:pPr>
      <w:r>
        <w:rPr>
          <w:rFonts w:ascii="Arial" w:cs="Arial" w:eastAsia="Arial" w:hAnsi="Arial"/>
          <w:sz w:val="14"/>
          <w:szCs w:val="14"/>
          <w:color w:val="auto"/>
        </w:rPr>
        <w:t>Payment of Filing Fee (Check the appropriate box):</w:t>
      </w:r>
    </w:p>
    <w:p>
      <w:pPr>
        <w:spacing w:after="0" w:line="8" w:lineRule="exact"/>
        <w:rPr>
          <w:sz w:val="24"/>
          <w:szCs w:val="24"/>
          <w:color w:val="auto"/>
        </w:rPr>
      </w:pPr>
    </w:p>
    <w:p>
      <w:pPr>
        <w:ind w:left="240" w:hanging="239"/>
        <w:spacing w:after="0"/>
        <w:tabs>
          <w:tab w:leader="none" w:pos="240"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No fee required.</w:t>
      </w:r>
    </w:p>
    <w:p>
      <w:pPr>
        <w:spacing w:after="0" w:line="1" w:lineRule="exact"/>
        <w:rPr>
          <w:sz w:val="24"/>
          <w:szCs w:val="24"/>
          <w:color w:val="auto"/>
        </w:rPr>
      </w:pPr>
    </w:p>
    <w:p>
      <w:pPr>
        <w:ind w:left="240" w:hanging="239"/>
        <w:spacing w:after="0"/>
        <w:tabs>
          <w:tab w:leader="none" w:pos="240" w:val="left"/>
        </w:tabs>
        <w:numPr>
          <w:ilvl w:val="0"/>
          <w:numId w:val="4"/>
        </w:numPr>
        <w:rPr>
          <w:rFonts w:ascii="MS PGothic" w:cs="MS PGothic" w:eastAsia="MS PGothic" w:hAnsi="MS PGothic"/>
          <w:sz w:val="14"/>
          <w:szCs w:val="14"/>
          <w:color w:val="auto"/>
        </w:rPr>
      </w:pPr>
      <w:r>
        <w:rPr>
          <w:rFonts w:ascii="Arial" w:cs="Arial" w:eastAsia="Arial" w:hAnsi="Arial"/>
          <w:sz w:val="14"/>
          <w:szCs w:val="14"/>
          <w:color w:val="auto"/>
        </w:rPr>
        <w:t>Fee computed on table below per Exchange Act Rules 14a-6(i)(1) and 0-11.</w:t>
      </w:r>
    </w:p>
    <w:p>
      <w:pPr>
        <w:spacing w:after="0" w:line="6" w:lineRule="exact"/>
        <w:rPr>
          <w:rFonts w:ascii="MS PGothic" w:cs="MS PGothic" w:eastAsia="MS PGothic" w:hAnsi="MS PGothic"/>
          <w:sz w:val="14"/>
          <w:szCs w:val="14"/>
          <w:color w:val="auto"/>
        </w:rPr>
      </w:pPr>
    </w:p>
    <w:p>
      <w:pPr>
        <w:ind w:left="480" w:hanging="235"/>
        <w:spacing w:after="0"/>
        <w:tabs>
          <w:tab w:leader="none" w:pos="480" w:val="left"/>
        </w:tabs>
        <w:numPr>
          <w:ilvl w:val="1"/>
          <w:numId w:val="4"/>
        </w:numPr>
        <w:rPr>
          <w:rFonts w:ascii="Arial" w:cs="Arial" w:eastAsia="Arial" w:hAnsi="Arial"/>
          <w:sz w:val="14"/>
          <w:szCs w:val="14"/>
          <w:color w:val="auto"/>
        </w:rPr>
      </w:pPr>
      <w:r>
        <w:rPr>
          <w:rFonts w:ascii="Arial" w:cs="Arial" w:eastAsia="Arial" w:hAnsi="Arial"/>
          <w:sz w:val="14"/>
          <w:szCs w:val="14"/>
          <w:color w:val="auto"/>
        </w:rPr>
        <w:t>Title of each class of securities to which transaction applies:</w:t>
      </w:r>
    </w:p>
    <w:p>
      <w:pPr>
        <w:ind w:left="480" w:hanging="235"/>
        <w:spacing w:after="0"/>
        <w:tabs>
          <w:tab w:leader="none" w:pos="480" w:val="left"/>
        </w:tabs>
        <w:numPr>
          <w:ilvl w:val="1"/>
          <w:numId w:val="4"/>
        </w:numPr>
        <w:rPr>
          <w:rFonts w:ascii="Arial" w:cs="Arial" w:eastAsia="Arial" w:hAnsi="Arial"/>
          <w:sz w:val="14"/>
          <w:szCs w:val="14"/>
          <w:color w:val="auto"/>
        </w:rPr>
      </w:pPr>
      <w:r>
        <w:rPr>
          <w:rFonts w:ascii="Arial" w:cs="Arial" w:eastAsia="Arial" w:hAnsi="Arial"/>
          <w:sz w:val="14"/>
          <w:szCs w:val="14"/>
          <w:color w:val="auto"/>
        </w:rPr>
        <w:t>Aggregate number of securities to which transaction applies:</w:t>
      </w:r>
    </w:p>
    <w:p>
      <w:pPr>
        <w:spacing w:after="0" w:line="1" w:lineRule="exact"/>
        <w:rPr>
          <w:rFonts w:ascii="Arial" w:cs="Arial" w:eastAsia="Arial" w:hAnsi="Arial"/>
          <w:sz w:val="14"/>
          <w:szCs w:val="14"/>
          <w:color w:val="auto"/>
        </w:rPr>
      </w:pPr>
    </w:p>
    <w:p>
      <w:pPr>
        <w:ind w:left="480" w:hanging="235"/>
        <w:spacing w:after="0"/>
        <w:tabs>
          <w:tab w:leader="none" w:pos="480" w:val="left"/>
        </w:tabs>
        <w:numPr>
          <w:ilvl w:val="1"/>
          <w:numId w:val="4"/>
        </w:numPr>
        <w:rPr>
          <w:rFonts w:ascii="Arial" w:cs="Arial" w:eastAsia="Arial" w:hAnsi="Arial"/>
          <w:sz w:val="12"/>
          <w:szCs w:val="12"/>
          <w:color w:val="auto"/>
        </w:rPr>
      </w:pPr>
      <w:r>
        <w:rPr>
          <w:rFonts w:ascii="Arial" w:cs="Arial" w:eastAsia="Arial" w:hAnsi="Arial"/>
          <w:sz w:val="12"/>
          <w:szCs w:val="12"/>
          <w:color w:val="auto"/>
        </w:rPr>
        <w:t>Per unit price or other underlying value of transaction computed pursuant to Exchange Act Rule 0-11 (set forth the amount on which the filing fee is calculated and state how it was determined):</w:t>
      </w:r>
    </w:p>
    <w:p>
      <w:pPr>
        <w:spacing w:after="0" w:line="24" w:lineRule="exact"/>
        <w:rPr>
          <w:rFonts w:ascii="Arial" w:cs="Arial" w:eastAsia="Arial" w:hAnsi="Arial"/>
          <w:sz w:val="12"/>
          <w:szCs w:val="12"/>
          <w:color w:val="auto"/>
        </w:rPr>
      </w:pPr>
    </w:p>
    <w:p>
      <w:pPr>
        <w:ind w:left="480" w:hanging="235"/>
        <w:spacing w:after="0"/>
        <w:tabs>
          <w:tab w:leader="none" w:pos="480" w:val="left"/>
        </w:tabs>
        <w:numPr>
          <w:ilvl w:val="1"/>
          <w:numId w:val="4"/>
        </w:numPr>
        <w:rPr>
          <w:rFonts w:ascii="Arial" w:cs="Arial" w:eastAsia="Arial" w:hAnsi="Arial"/>
          <w:sz w:val="14"/>
          <w:szCs w:val="14"/>
          <w:color w:val="auto"/>
        </w:rPr>
      </w:pPr>
      <w:r>
        <w:rPr>
          <w:rFonts w:ascii="Arial" w:cs="Arial" w:eastAsia="Arial" w:hAnsi="Arial"/>
          <w:sz w:val="14"/>
          <w:szCs w:val="14"/>
          <w:color w:val="auto"/>
        </w:rPr>
        <w:t>Proposed maximum aggregate value of transaction:</w:t>
      </w:r>
    </w:p>
    <w:p>
      <w:pPr>
        <w:spacing w:after="0" w:line="1" w:lineRule="exact"/>
        <w:rPr>
          <w:rFonts w:ascii="Arial" w:cs="Arial" w:eastAsia="Arial" w:hAnsi="Arial"/>
          <w:sz w:val="14"/>
          <w:szCs w:val="14"/>
          <w:color w:val="auto"/>
        </w:rPr>
      </w:pPr>
    </w:p>
    <w:p>
      <w:pPr>
        <w:ind w:left="480" w:hanging="235"/>
        <w:spacing w:after="0"/>
        <w:tabs>
          <w:tab w:leader="none" w:pos="480" w:val="left"/>
        </w:tabs>
        <w:numPr>
          <w:ilvl w:val="1"/>
          <w:numId w:val="4"/>
        </w:numPr>
        <w:rPr>
          <w:rFonts w:ascii="Arial" w:cs="Arial" w:eastAsia="Arial" w:hAnsi="Arial"/>
          <w:sz w:val="14"/>
          <w:szCs w:val="14"/>
          <w:color w:val="auto"/>
        </w:rPr>
      </w:pPr>
      <w:r>
        <w:rPr>
          <w:rFonts w:ascii="Arial" w:cs="Arial" w:eastAsia="Arial" w:hAnsi="Arial"/>
          <w:sz w:val="14"/>
          <w:szCs w:val="14"/>
          <w:color w:val="auto"/>
        </w:rPr>
        <w:t>Total fee paid:</w:t>
      </w:r>
    </w:p>
    <w:p>
      <w:pPr>
        <w:spacing w:after="0" w:line="1" w:lineRule="exact"/>
        <w:rPr>
          <w:rFonts w:ascii="Arial" w:cs="Arial" w:eastAsia="Arial" w:hAnsi="Arial"/>
          <w:sz w:val="14"/>
          <w:szCs w:val="14"/>
          <w:color w:val="auto"/>
        </w:rPr>
      </w:pPr>
    </w:p>
    <w:p>
      <w:pPr>
        <w:ind w:left="240" w:hanging="239"/>
        <w:spacing w:after="0"/>
        <w:tabs>
          <w:tab w:leader="none" w:pos="240" w:val="left"/>
        </w:tabs>
        <w:numPr>
          <w:ilvl w:val="0"/>
          <w:numId w:val="4"/>
        </w:numPr>
        <w:rPr>
          <w:rFonts w:ascii="MS PGothic" w:cs="MS PGothic" w:eastAsia="MS PGothic" w:hAnsi="MS PGothic"/>
          <w:sz w:val="14"/>
          <w:szCs w:val="14"/>
          <w:color w:val="auto"/>
        </w:rPr>
      </w:pPr>
      <w:r>
        <w:rPr>
          <w:rFonts w:ascii="Arial" w:cs="Arial" w:eastAsia="Arial" w:hAnsi="Arial"/>
          <w:sz w:val="14"/>
          <w:szCs w:val="14"/>
          <w:color w:val="auto"/>
        </w:rPr>
        <w:t>Fee paid previously with preliminary materials.</w:t>
      </w:r>
    </w:p>
    <w:p>
      <w:pPr>
        <w:spacing w:after="0" w:line="3" w:lineRule="exact"/>
        <w:rPr>
          <w:rFonts w:ascii="MS PGothic" w:cs="MS PGothic" w:eastAsia="MS PGothic" w:hAnsi="MS PGothic"/>
          <w:sz w:val="14"/>
          <w:szCs w:val="14"/>
          <w:color w:val="auto"/>
        </w:rPr>
      </w:pPr>
    </w:p>
    <w:p>
      <w:pPr>
        <w:ind w:left="240" w:hanging="239"/>
        <w:spacing w:after="0"/>
        <w:tabs>
          <w:tab w:leader="none" w:pos="240" w:val="left"/>
        </w:tabs>
        <w:numPr>
          <w:ilvl w:val="0"/>
          <w:numId w:val="4"/>
        </w:numPr>
        <w:rPr>
          <w:rFonts w:ascii="MS PGothic" w:cs="MS PGothic" w:eastAsia="MS PGothic" w:hAnsi="MS PGothic"/>
          <w:sz w:val="14"/>
          <w:szCs w:val="14"/>
          <w:color w:val="auto"/>
        </w:rPr>
      </w:pPr>
      <w:r>
        <w:rPr>
          <w:rFonts w:ascii="Arial" w:cs="Arial" w:eastAsia="Arial" w:hAnsi="Arial"/>
          <w:sz w:val="14"/>
          <w:szCs w:val="14"/>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rFonts w:ascii="MS PGothic" w:cs="MS PGothic" w:eastAsia="MS PGothic" w:hAnsi="MS PGothic"/>
          <w:sz w:val="14"/>
          <w:szCs w:val="14"/>
          <w:color w:val="auto"/>
        </w:rPr>
      </w:pPr>
    </w:p>
    <w:p>
      <w:pPr>
        <w:ind w:left="480" w:hanging="235"/>
        <w:spacing w:after="0"/>
        <w:tabs>
          <w:tab w:leader="none" w:pos="480" w:val="left"/>
        </w:tabs>
        <w:numPr>
          <w:ilvl w:val="1"/>
          <w:numId w:val="4"/>
        </w:numPr>
        <w:rPr>
          <w:rFonts w:ascii="Arial" w:cs="Arial" w:eastAsia="Arial" w:hAnsi="Arial"/>
          <w:sz w:val="14"/>
          <w:szCs w:val="14"/>
          <w:color w:val="auto"/>
        </w:rPr>
      </w:pPr>
      <w:r>
        <w:rPr>
          <w:rFonts w:ascii="Arial" w:cs="Arial" w:eastAsia="Arial" w:hAnsi="Arial"/>
          <w:sz w:val="14"/>
          <w:szCs w:val="14"/>
          <w:color w:val="auto"/>
        </w:rPr>
        <w:t>Amount Previously Paid:</w:t>
      </w:r>
    </w:p>
    <w:p>
      <w:pPr>
        <w:spacing w:after="0" w:line="1" w:lineRule="exact"/>
        <w:rPr>
          <w:rFonts w:ascii="Arial" w:cs="Arial" w:eastAsia="Arial" w:hAnsi="Arial"/>
          <w:sz w:val="14"/>
          <w:szCs w:val="14"/>
          <w:color w:val="auto"/>
        </w:rPr>
      </w:pPr>
    </w:p>
    <w:p>
      <w:pPr>
        <w:ind w:left="480" w:hanging="235"/>
        <w:spacing w:after="0"/>
        <w:tabs>
          <w:tab w:leader="none" w:pos="480" w:val="left"/>
        </w:tabs>
        <w:numPr>
          <w:ilvl w:val="1"/>
          <w:numId w:val="4"/>
        </w:numPr>
        <w:rPr>
          <w:rFonts w:ascii="Arial" w:cs="Arial" w:eastAsia="Arial" w:hAnsi="Arial"/>
          <w:sz w:val="14"/>
          <w:szCs w:val="14"/>
          <w:color w:val="auto"/>
        </w:rPr>
      </w:pPr>
      <w:r>
        <w:rPr>
          <w:rFonts w:ascii="Arial" w:cs="Arial" w:eastAsia="Arial" w:hAnsi="Arial"/>
          <w:sz w:val="14"/>
          <w:szCs w:val="14"/>
          <w:color w:val="auto"/>
        </w:rPr>
        <w:t>Form, Schedule or Registration Statement No.:</w:t>
      </w:r>
    </w:p>
    <w:p>
      <w:pPr>
        <w:spacing w:after="0" w:line="1" w:lineRule="exact"/>
        <w:rPr>
          <w:rFonts w:ascii="Arial" w:cs="Arial" w:eastAsia="Arial" w:hAnsi="Arial"/>
          <w:sz w:val="14"/>
          <w:szCs w:val="14"/>
          <w:color w:val="auto"/>
        </w:rPr>
      </w:pPr>
    </w:p>
    <w:p>
      <w:pPr>
        <w:ind w:left="480" w:hanging="235"/>
        <w:spacing w:after="0"/>
        <w:tabs>
          <w:tab w:leader="none" w:pos="480" w:val="left"/>
        </w:tabs>
        <w:numPr>
          <w:ilvl w:val="1"/>
          <w:numId w:val="4"/>
        </w:numPr>
        <w:rPr>
          <w:rFonts w:ascii="Arial" w:cs="Arial" w:eastAsia="Arial" w:hAnsi="Arial"/>
          <w:sz w:val="14"/>
          <w:szCs w:val="14"/>
          <w:color w:val="auto"/>
        </w:rPr>
      </w:pPr>
      <w:r>
        <w:rPr>
          <w:rFonts w:ascii="Arial" w:cs="Arial" w:eastAsia="Arial" w:hAnsi="Arial"/>
          <w:sz w:val="14"/>
          <w:szCs w:val="14"/>
          <w:color w:val="auto"/>
        </w:rPr>
        <w:t>Filing Party:</w:t>
      </w:r>
    </w:p>
    <w:p>
      <w:pPr>
        <w:spacing w:after="0" w:line="1" w:lineRule="exact"/>
        <w:rPr>
          <w:rFonts w:ascii="Arial" w:cs="Arial" w:eastAsia="Arial" w:hAnsi="Arial"/>
          <w:sz w:val="14"/>
          <w:szCs w:val="14"/>
          <w:color w:val="auto"/>
        </w:rPr>
      </w:pPr>
    </w:p>
    <w:p>
      <w:pPr>
        <w:ind w:left="480" w:hanging="235"/>
        <w:spacing w:after="0"/>
        <w:tabs>
          <w:tab w:leader="none" w:pos="480" w:val="left"/>
        </w:tabs>
        <w:numPr>
          <w:ilvl w:val="1"/>
          <w:numId w:val="4"/>
        </w:numPr>
        <w:rPr>
          <w:rFonts w:ascii="Arial" w:cs="Arial" w:eastAsia="Arial" w:hAnsi="Arial"/>
          <w:sz w:val="14"/>
          <w:szCs w:val="14"/>
          <w:color w:val="auto"/>
        </w:rPr>
      </w:pPr>
      <w:r>
        <w:rPr>
          <w:rFonts w:ascii="Arial" w:cs="Arial" w:eastAsia="Arial" w:hAnsi="Arial"/>
          <w:sz w:val="14"/>
          <w:szCs w:val="14"/>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1270</wp:posOffset>
            </wp:positionV>
            <wp:extent cx="7280910" cy="190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0910" cy="1905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291465</wp:posOffset>
            </wp:positionV>
            <wp:extent cx="728091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0910" cy="6350"/>
                    </a:xfrm>
                    <a:prstGeom prst="rect">
                      <a:avLst/>
                    </a:prstGeom>
                    <a:noFill/>
                  </pic:spPr>
                </pic:pic>
              </a:graphicData>
            </a:graphic>
          </wp:anchor>
        </w:drawing>
      </w:r>
    </w:p>
    <w:p>
      <w:pPr>
        <w:sectPr>
          <w:pgSz w:w="11900" w:h="16838" w:orient="portrait"/>
          <w:cols w:equalWidth="0" w:num="1">
            <w:col w:w="11100"/>
          </w:cols>
          <w:pgMar w:left="220" w:top="431" w:right="579" w:bottom="1440" w:gutter="0" w:footer="0" w:header="0"/>
        </w:sectPr>
      </w:pPr>
    </w:p>
    <w:bookmarkStart w:id="1" w:name="page2"/>
    <w:bookmarkEnd w:id="1"/>
    <w:p>
      <w:pPr>
        <w:spacing w:after="0"/>
        <w:rPr>
          <w:sz w:val="20"/>
          <w:szCs w:val="20"/>
          <w:color w:val="auto"/>
        </w:rPr>
      </w:pPr>
      <w:r>
        <w:rPr>
          <w:rFonts w:ascii="Arial" w:cs="Arial" w:eastAsia="Arial" w:hAnsi="Arial"/>
          <w:sz w:val="16"/>
          <w:szCs w:val="16"/>
          <w:color w:val="auto"/>
        </w:rPr>
        <w:t>On the evening of June 13, 2018, Comcast released the following communication.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118110</wp:posOffset>
            </wp:positionV>
            <wp:extent cx="7327265" cy="42754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7265" cy="4275455"/>
                    </a:xfrm>
                    <a:prstGeom prst="rect">
                      <a:avLst/>
                    </a:prstGeom>
                    <a:noFill/>
                  </pic:spPr>
                </pic:pic>
              </a:graphicData>
            </a:graphic>
          </wp:anchor>
        </w:drawing>
      </w:r>
    </w:p>
    <w:p>
      <w:pPr>
        <w:sectPr>
          <w:pgSz w:w="11900" w:h="16838" w:orient="portrait"/>
          <w:cols w:equalWidth="0" w:num="1">
            <w:col w:w="10239"/>
          </w:cols>
          <w:pgMar w:left="220" w:top="663" w:right="1440" w:bottom="1440"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307975</wp:posOffset>
            </wp:positionV>
            <wp:extent cx="7327265" cy="42691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327265" cy="42691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307975</wp:posOffset>
            </wp:positionV>
            <wp:extent cx="7327265" cy="42754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327265" cy="42754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307975</wp:posOffset>
            </wp:positionV>
            <wp:extent cx="7327265" cy="42754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327265" cy="42754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307975</wp:posOffset>
            </wp:positionV>
            <wp:extent cx="7327265" cy="42754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327265" cy="42754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307975</wp:posOffset>
            </wp:positionV>
            <wp:extent cx="7327265" cy="42754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27265" cy="42754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307975</wp:posOffset>
            </wp:positionV>
            <wp:extent cx="7327265" cy="42754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27265" cy="42754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307975</wp:posOffset>
            </wp:positionV>
            <wp:extent cx="7327265" cy="42754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27265" cy="42754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307975</wp:posOffset>
            </wp:positionV>
            <wp:extent cx="7327265" cy="42754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27265" cy="42754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307975</wp:posOffset>
            </wp:positionV>
            <wp:extent cx="7327265" cy="42754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27265" cy="42754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307975</wp:posOffset>
            </wp:positionV>
            <wp:extent cx="7327265" cy="42754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27265" cy="42754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307975</wp:posOffset>
            </wp:positionV>
            <wp:extent cx="7327265" cy="42754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27265" cy="42754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307975</wp:posOffset>
            </wp:positionV>
            <wp:extent cx="7327265" cy="42754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27265" cy="42754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307975</wp:posOffset>
            </wp:positionV>
            <wp:extent cx="7327265" cy="42754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27265" cy="42754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307975</wp:posOffset>
            </wp:positionV>
            <wp:extent cx="7327265" cy="42754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27265" cy="42754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307975</wp:posOffset>
            </wp:positionV>
            <wp:extent cx="7327265" cy="42754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27265" cy="42754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307975</wp:posOffset>
            </wp:positionV>
            <wp:extent cx="7327265" cy="42754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27265" cy="42754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307975</wp:posOffset>
            </wp:positionV>
            <wp:extent cx="7327265" cy="42754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27265" cy="42754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307975</wp:posOffset>
            </wp:positionV>
            <wp:extent cx="7327265" cy="42691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27265" cy="426910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2019-12-06T19:34:50Z</dcterms:created>
  <dcterms:modified xsi:type="dcterms:W3CDTF">2019-12-06T19:34:50Z</dcterms:modified>
</cp:coreProperties>
</file>