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52"/>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(Mark One)</w:t>
      </w:r>
    </w:p>
    <w:p>
      <w:pPr>
        <w:spacing w:after="0" w:line="180" w:lineRule="exact"/>
        <w:rPr>
          <w:sz w:val="24"/>
          <w:szCs w:val="24"/>
          <w:color w:val="auto"/>
        </w:rPr>
      </w:pPr>
    </w:p>
    <w:p>
      <w:pPr>
        <w:ind w:left="447" w:right="2959" w:hanging="447"/>
        <w:spacing w:after="0" w:line="247" w:lineRule="auto"/>
        <w:tabs>
          <w:tab w:leader="none" w:pos="4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MARCH 31, 2002</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OR</w:t>
      </w:r>
    </w:p>
    <w:p>
      <w:pPr>
        <w:spacing w:after="0" w:line="180" w:lineRule="exact"/>
        <w:rPr>
          <w:sz w:val="24"/>
          <w:szCs w:val="24"/>
          <w:color w:val="auto"/>
        </w:rPr>
      </w:pPr>
    </w:p>
    <w:p>
      <w:pPr>
        <w:ind w:left="447" w:right="2959" w:hanging="447"/>
        <w:spacing w:after="0" w:line="247" w:lineRule="auto"/>
        <w:tabs>
          <w:tab w:leader="none" w:pos="17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75" w:lineRule="exact"/>
        <w:rPr>
          <w:sz w:val="24"/>
          <w:szCs w:val="24"/>
          <w:color w:val="auto"/>
        </w:rPr>
      </w:pPr>
    </w:p>
    <w:p>
      <w:pPr>
        <w:ind w:left="2367"/>
        <w:spacing w:after="0"/>
        <w:rPr>
          <w:sz w:val="20"/>
          <w:szCs w:val="20"/>
          <w:color w:val="auto"/>
        </w:rPr>
      </w:pPr>
      <w:r>
        <w:rPr>
          <w:rFonts w:ascii="Courier New" w:cs="Courier New" w:eastAsia="Courier New" w:hAnsi="Courier New"/>
          <w:sz w:val="15"/>
          <w:szCs w:val="15"/>
          <w:color w:val="auto"/>
        </w:rPr>
        <w:t>Commission File Number 0-6983</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[GRAPHIC OMITTED - LOGO]</w:t>
      </w:r>
    </w:p>
    <w:p>
      <w:pPr>
        <w:spacing w:after="0" w:line="354" w:lineRule="exact"/>
        <w:rPr>
          <w:sz w:val="24"/>
          <w:szCs w:val="24"/>
          <w:color w:val="auto"/>
        </w:rPr>
      </w:pPr>
    </w:p>
    <w:p>
      <w:pPr>
        <w:jc w:val="center"/>
        <w:ind w:right="2852"/>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0" w:lineRule="exact"/>
        <w:rPr>
          <w:sz w:val="24"/>
          <w:szCs w:val="24"/>
          <w:color w:val="auto"/>
        </w:rPr>
      </w:pPr>
    </w:p>
    <w:tbl>
      <w:tblPr>
        <w:tblLayout w:type="fixed"/>
        <w:tblInd w:w="907"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PENNSYLVANIA</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23-1709202</w:t>
            </w:r>
          </w:p>
        </w:tc>
      </w:tr>
    </w:tbl>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235" w:right="1440" w:bottom="0" w:gutter="0" w:footer="0" w:header="0"/>
        </w:sectPr>
      </w:pPr>
    </w:p>
    <w:p>
      <w:pPr>
        <w:spacing w:after="0" w:line="180" w:lineRule="exact"/>
        <w:rPr>
          <w:sz w:val="24"/>
          <w:szCs w:val="24"/>
          <w:color w:val="auto"/>
        </w:rPr>
      </w:pPr>
    </w:p>
    <w:p>
      <w:pPr>
        <w:ind w:left="267" w:right="1560"/>
        <w:spacing w:after="0" w:line="247" w:lineRule="auto"/>
        <w:rPr>
          <w:sz w:val="20"/>
          <w:szCs w:val="20"/>
          <w:color w:val="auto"/>
        </w:rPr>
      </w:pPr>
      <w:r>
        <w:rPr>
          <w:rFonts w:ascii="Courier New" w:cs="Courier New" w:eastAsia="Courier New" w:hAnsi="Courier New"/>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0" w:lineRule="exact"/>
        <w:rPr>
          <w:sz w:val="24"/>
          <w:szCs w:val="24"/>
          <w:color w:val="auto"/>
        </w:rPr>
      </w:pPr>
    </w:p>
    <w:p>
      <w:pPr>
        <w:sectPr>
          <w:pgSz w:w="11900" w:h="16838" w:orient="portrait"/>
          <w:cols w:equalWidth="0" w:num="2">
            <w:col w:w="4647" w:space="720"/>
            <w:col w:w="4859"/>
          </w:cols>
          <w:pgMar w:left="233" w:top="235" w:right="1440" w:bottom="0" w:gutter="0" w:footer="0" w:header="0"/>
          <w:type w:val="continuous"/>
        </w:sectPr>
      </w:pPr>
    </w:p>
    <w:p>
      <w:pPr>
        <w:ind w:left="1547"/>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 of principal executive offices)</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(Zip Code)</w:t>
      </w:r>
    </w:p>
    <w:p>
      <w:pPr>
        <w:spacing w:after="0" w:line="180" w:lineRule="exact"/>
        <w:rPr>
          <w:sz w:val="24"/>
          <w:szCs w:val="24"/>
          <w:color w:val="auto"/>
        </w:rPr>
      </w:pPr>
    </w:p>
    <w:p>
      <w:pPr>
        <w:ind w:left="7"/>
        <w:spacing w:after="0"/>
        <w:tabs>
          <w:tab w:leader="none" w:pos="4786" w:val="left"/>
        </w:tabs>
        <w:rPr>
          <w:sz w:val="20"/>
          <w:szCs w:val="20"/>
          <w:color w:val="auto"/>
        </w:rPr>
      </w:pPr>
      <w:r>
        <w:rPr>
          <w:rFonts w:ascii="Courier New" w:cs="Courier New" w:eastAsia="Courier New" w:hAnsi="Courier New"/>
          <w:sz w:val="15"/>
          <w:szCs w:val="15"/>
          <w:color w:val="auto"/>
        </w:rPr>
        <w:t>Registrant's telephone number, including area code:</w:t>
        <w:tab/>
        <w:t>(215) 665-1700</w:t>
      </w:r>
    </w:p>
    <w:p>
      <w:pPr>
        <w:spacing w:after="0" w:line="5" w:lineRule="exact"/>
        <w:rPr>
          <w:sz w:val="24"/>
          <w:szCs w:val="24"/>
          <w:color w:val="auto"/>
        </w:rPr>
      </w:pPr>
    </w:p>
    <w:p>
      <w:pPr>
        <w:ind w:left="436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both"/>
        <w:ind w:left="7" w:right="29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6"/>
          </w:cols>
          <w:pgMar w:left="233" w:top="235" w:right="1440" w:bottom="0" w:gutter="0" w:footer="0" w:header="0"/>
          <w:type w:val="continuous"/>
        </w:sectPr>
      </w:pPr>
    </w:p>
    <w:p>
      <w:pPr>
        <w:spacing w:after="0" w:line="178" w:lineRule="exact"/>
        <w:rPr>
          <w:sz w:val="24"/>
          <w:szCs w:val="24"/>
          <w:color w:val="auto"/>
        </w:rPr>
      </w:pPr>
    </w:p>
    <w:p>
      <w:pPr>
        <w:ind w:left="827"/>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46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24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ectPr>
          <w:pgSz w:w="11900" w:h="16838" w:orient="portrait"/>
          <w:cols w:equalWidth="0" w:num="4">
            <w:col w:w="1087" w:space="0"/>
            <w:col w:w="2920" w:space="720"/>
            <w:col w:w="180" w:space="0"/>
            <w:col w:w="5319"/>
          </w:cols>
          <w:pgMar w:left="233" w:top="235" w:right="1440" w:bottom="0" w:gutter="0" w:footer="0" w:header="0"/>
          <w:type w:val="continuous"/>
        </w:sectPr>
      </w:pPr>
    </w:p>
    <w:p>
      <w:pPr>
        <w:ind w:left="244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0" w:gutter="0" w:footer="0" w:header="0"/>
          <w:type w:val="continuous"/>
        </w:sectPr>
      </w:pPr>
    </w:p>
    <w:p>
      <w:pPr>
        <w:spacing w:after="0" w:line="180" w:lineRule="exact"/>
        <w:rPr>
          <w:sz w:val="24"/>
          <w:szCs w:val="24"/>
          <w:color w:val="auto"/>
        </w:rPr>
      </w:pPr>
    </w:p>
    <w:p>
      <w:pPr>
        <w:ind w:left="7"/>
        <w:spacing w:after="0"/>
        <w:tabs>
          <w:tab w:leader="none" w:pos="2066" w:val="left"/>
          <w:tab w:leader="none" w:pos="3166" w:val="left"/>
          <w:tab w:leader="none" w:pos="4346" w:val="left"/>
        </w:tabs>
        <w:rPr>
          <w:sz w:val="20"/>
          <w:szCs w:val="20"/>
          <w:color w:val="auto"/>
        </w:rPr>
      </w:pPr>
      <w:r>
        <w:rPr>
          <w:rFonts w:ascii="Courier New" w:cs="Courier New" w:eastAsia="Courier New" w:hAnsi="Courier New"/>
          <w:sz w:val="15"/>
          <w:szCs w:val="15"/>
          <w:color w:val="auto"/>
        </w:rPr>
        <w:t>As of March 31, 2002,</w:t>
        <w:tab/>
        <w:t>there were</w:t>
        <w:tab/>
        <w:t>914,504,317</w:t>
        <w:tab/>
        <w:t>shares of Class A Special Common</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Stock, 21,829,422 shares of Class A Common Stock and 9,444,375 shares of Class B</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Common Stock outstanding.</w:t>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27"/>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4"/>
          <w:szCs w:val="24"/>
          <w:color w:val="auto"/>
        </w:rPr>
      </w:pPr>
    </w:p>
    <w:p>
      <w:pPr>
        <w:jc w:val="center"/>
        <w:ind w:right="-227"/>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4"/>
          <w:szCs w:val="24"/>
          <w:color w:val="auto"/>
        </w:rPr>
      </w:pPr>
    </w:p>
    <w:p>
      <w:pPr>
        <w:jc w:val="center"/>
        <w:ind w:right="-127"/>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4"/>
          <w:szCs w:val="24"/>
          <w:color w:val="auto"/>
        </w:rPr>
      </w:pPr>
    </w:p>
    <w:tbl>
      <w:tblPr>
        <w:tblLayout w:type="fixed"/>
        <w:tblInd w:w="7" w:type="dxa"/>
        <w:tblCellMar>
          <w:top w:w="0" w:type="dxa"/>
          <w:left w:w="0" w:type="dxa"/>
          <w:bottom w:w="0" w:type="dxa"/>
          <w:right w:w="0" w:type="dxa"/>
        </w:tblCellMar>
      </w:tblPr>
      <w:tr>
        <w:trPr>
          <w:trHeight w:val="170"/>
        </w:trPr>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540" w:type="dxa"/>
            <w:vAlign w:val="bottom"/>
          </w:tcPr>
          <w:p>
            <w:pPr>
              <w:ind w:left="2620"/>
              <w:spacing w:after="0"/>
              <w:rPr>
                <w:sz w:val="20"/>
                <w:szCs w:val="20"/>
                <w:color w:val="auto"/>
              </w:rPr>
            </w:pPr>
            <w:r>
              <w:rPr>
                <w:rFonts w:ascii="Courier New" w:cs="Courier New" w:eastAsia="Courier New" w:hAnsi="Courier New"/>
                <w:sz w:val="15"/>
                <w:szCs w:val="15"/>
                <w:color w:val="auto"/>
              </w:rPr>
              <w:t>TABLE OF CONTENTS</w:t>
            </w:r>
          </w:p>
        </w:tc>
        <w:tc>
          <w:tcPr>
            <w:tcW w:w="720" w:type="dxa"/>
            <w:vAlign w:val="bottom"/>
          </w:tcPr>
          <w:p>
            <w:pPr>
              <w:spacing w:after="0"/>
              <w:rPr>
                <w:sz w:val="14"/>
                <w:szCs w:val="14"/>
                <w:color w:val="auto"/>
              </w:rPr>
            </w:pPr>
          </w:p>
        </w:tc>
      </w:tr>
      <w:tr>
        <w:trPr>
          <w:trHeight w:val="524"/>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Page</w:t>
            </w:r>
          </w:p>
        </w:tc>
      </w:tr>
      <w:tr>
        <w:trPr>
          <w:trHeight w:val="175"/>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r>
      <w:tr>
        <w:trPr>
          <w:trHeight w:val="175"/>
        </w:trPr>
        <w:tc>
          <w:tcPr>
            <w:tcW w:w="8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8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720" w:type="dxa"/>
            <w:vAlign w:val="bottom"/>
          </w:tcPr>
          <w:p>
            <w:pPr>
              <w:spacing w:after="0"/>
              <w:rPr>
                <w:sz w:val="15"/>
                <w:szCs w:val="15"/>
                <w:color w:val="auto"/>
              </w:rPr>
            </w:pPr>
          </w:p>
        </w:tc>
      </w:tr>
      <w:tr>
        <w:trPr>
          <w:trHeight w:val="350"/>
        </w:trPr>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ITEM 1.</w:t>
            </w: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720" w:type="dxa"/>
            <w:vAlign w:val="bottom"/>
          </w:tcPr>
          <w:p>
            <w:pPr>
              <w:spacing w:after="0"/>
              <w:rPr>
                <w:sz w:val="24"/>
                <w:szCs w:val="24"/>
                <w:color w:val="auto"/>
              </w:rPr>
            </w:pPr>
          </w:p>
        </w:tc>
      </w:tr>
      <w:tr>
        <w:trPr>
          <w:trHeight w:val="350"/>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Balance Sheet as of March 31, 2002</w:t>
            </w:r>
          </w:p>
        </w:tc>
        <w:tc>
          <w:tcPr>
            <w:tcW w:w="72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3"/>
              </w:rPr>
              <w:t>and December 31, 2001 (Unaudited)......................................................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w:t>
            </w:r>
          </w:p>
        </w:tc>
      </w:tr>
      <w:tr>
        <w:trPr>
          <w:trHeight w:val="350"/>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 of Operations and Retained</w:t>
            </w:r>
          </w:p>
        </w:tc>
        <w:tc>
          <w:tcPr>
            <w:tcW w:w="72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3"/>
              </w:rPr>
              <w:t>Earnings for the Three Months Ended March 31, 2002 and 2001 (Unaudited)................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w:t>
            </w:r>
          </w:p>
        </w:tc>
      </w:tr>
      <w:tr>
        <w:trPr>
          <w:trHeight w:val="350"/>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Condensed Consolidated Statement of Cash Flows for the</w:t>
            </w:r>
          </w:p>
        </w:tc>
        <w:tc>
          <w:tcPr>
            <w:tcW w:w="72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3"/>
              </w:rPr>
              <w:t>Three Months Ended March 31, 2002 and 2001 (Unaudited).................................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w:t>
            </w:r>
          </w:p>
        </w:tc>
      </w:tr>
      <w:tr>
        <w:trPr>
          <w:trHeight w:val="350"/>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9"/>
              </w:rPr>
              <w:t>Notes to Condensed Consolidated Financial Statements (Unaudited)..................</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5 - 14</w:t>
            </w:r>
          </w:p>
        </w:tc>
      </w:tr>
      <w:tr>
        <w:trPr>
          <w:trHeight w:val="350"/>
        </w:trPr>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ITEM 2.</w:t>
            </w: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72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15 - 22</w:t>
            </w:r>
          </w:p>
        </w:tc>
      </w:tr>
      <w:tr>
        <w:trPr>
          <w:trHeight w:val="350"/>
        </w:trPr>
        <w:tc>
          <w:tcPr>
            <w:tcW w:w="8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8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720" w:type="dxa"/>
            <w:vAlign w:val="bottom"/>
          </w:tcPr>
          <w:p>
            <w:pPr>
              <w:spacing w:after="0"/>
              <w:rPr>
                <w:sz w:val="24"/>
                <w:szCs w:val="24"/>
                <w:color w:val="auto"/>
              </w:rPr>
            </w:pPr>
          </w:p>
        </w:tc>
      </w:tr>
      <w:tr>
        <w:trPr>
          <w:trHeight w:val="350"/>
        </w:trPr>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ITEM 1.</w:t>
            </w: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4"/>
              </w:rPr>
              <w:t>Legal Proceedings.....................................................................</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r>
      <w:tr>
        <w:trPr>
          <w:trHeight w:val="350"/>
        </w:trPr>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ITEM 5.</w:t>
            </w: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4"/>
              </w:rPr>
              <w:t>Other Information.....................................................................</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r>
      <w:tr>
        <w:trPr>
          <w:trHeight w:val="350"/>
        </w:trPr>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ITEM 6.</w:t>
            </w:r>
          </w:p>
        </w:tc>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w w:val="94"/>
              </w:rPr>
              <w:t>Exhibits and Reports on Form 8-K......................................................</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r>
      <w:tr>
        <w:trPr>
          <w:trHeight w:val="350"/>
        </w:trPr>
        <w:tc>
          <w:tcPr>
            <w:tcW w:w="8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w w:val="98"/>
              </w:rPr>
              <w:t>SIGNATURE</w:t>
            </w:r>
          </w:p>
        </w:tc>
        <w:tc>
          <w:tcPr>
            <w:tcW w:w="75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r>
      <w:tr>
        <w:trPr>
          <w:trHeight w:val="524"/>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r>
      <w:tr>
        <w:trPr>
          <w:trHeight w:val="350"/>
        </w:trPr>
        <w:tc>
          <w:tcPr>
            <w:tcW w:w="1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This Quarterly</w:t>
            </w:r>
          </w:p>
        </w:tc>
        <w:tc>
          <w:tcPr>
            <w:tcW w:w="7540" w:type="dxa"/>
            <w:vAlign w:val="bottom"/>
          </w:tcPr>
          <w:p>
            <w:pPr>
              <w:ind w:left="80"/>
              <w:spacing w:after="0"/>
              <w:rPr>
                <w:sz w:val="20"/>
                <w:szCs w:val="20"/>
                <w:color w:val="auto"/>
              </w:rPr>
            </w:pPr>
            <w:r>
              <w:rPr>
                <w:rFonts w:ascii="Courier New" w:cs="Courier New" w:eastAsia="Courier New" w:hAnsi="Courier New"/>
                <w:sz w:val="15"/>
                <w:szCs w:val="15"/>
                <w:color w:val="auto"/>
              </w:rPr>
              <w:t>Report on Form 10-Q is for the three months ended March 31,</w:t>
            </w:r>
          </w:p>
        </w:tc>
        <w:tc>
          <w:tcPr>
            <w:tcW w:w="720" w:type="dxa"/>
            <w:vAlign w:val="bottom"/>
          </w:tcPr>
          <w:p>
            <w:pPr>
              <w:spacing w:after="0"/>
              <w:rPr>
                <w:sz w:val="24"/>
                <w:szCs w:val="24"/>
                <w:color w:val="auto"/>
              </w:rPr>
            </w:pPr>
          </w:p>
        </w:tc>
      </w:tr>
    </w:tbl>
    <w:p>
      <w:pPr>
        <w:sectPr>
          <w:pgSz w:w="11900" w:h="16838" w:orient="portrait"/>
          <w:cols w:equalWidth="0" w:num="1">
            <w:col w:w="10226"/>
          </w:cols>
          <w:pgMar w:left="233" w:top="235" w:right="1440" w:bottom="0" w:gutter="0" w:footer="0" w:header="0"/>
          <w:type w:val="continuous"/>
        </w:sectPr>
      </w:pPr>
    </w:p>
    <w:bookmarkStart w:id="1" w:name="page2"/>
    <w:bookmarkEnd w:id="1"/>
    <w:p>
      <w:pPr>
        <w:jc w:val="both"/>
        <w:ind w:right="2959"/>
        <w:spacing w:after="0" w:line="246" w:lineRule="auto"/>
        <w:rPr>
          <w:sz w:val="20"/>
          <w:szCs w:val="20"/>
          <w:color w:val="auto"/>
        </w:rPr>
      </w:pPr>
      <w:r>
        <w:rPr>
          <w:rFonts w:ascii="Courier New" w:cs="Courier New" w:eastAsia="Courier New" w:hAnsi="Courier New"/>
          <w:sz w:val="15"/>
          <w:szCs w:val="15"/>
          <w:color w:val="auto"/>
        </w:rPr>
        <w:t>2002.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On December 19, 2001, we entered into an Agreement and Plan of Merger with AT&amp;T Corp. ("AT&amp;T") pursuant to which we agreed to a transaction which will result in the combination of Comcast and a holding company of AT&amp;T's broadband business ("AT&amp;T Broadband"). Upon closing of the transaction, which is subject to shareholder, regulatory and other approvals, we will own cable systems in new communities in which we do not have established relationships with the cable subscribers, franchising authority and community leaders. Further, a substantial number of new employees must be integrated into our business practices and operations. Our results of operations may be significantly affected by our ability to efficiently and effectively manage these changes.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our businesses may be affected by, among other things:</w:t>
      </w:r>
    </w:p>
    <w:p>
      <w:pPr>
        <w:spacing w:after="0" w:line="180" w:lineRule="exact"/>
        <w:rPr>
          <w:sz w:val="20"/>
          <w:szCs w:val="20"/>
          <w:color w:val="auto"/>
        </w:rPr>
      </w:pPr>
    </w:p>
    <w:p>
      <w:pPr>
        <w:ind w:left="900" w:hanging="452"/>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spacing w:after="0" w:line="4"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4" w:lineRule="exact"/>
        <w:rPr>
          <w:rFonts w:ascii="Courier New" w:cs="Courier New" w:eastAsia="Courier New" w:hAnsi="Courier New"/>
          <w:sz w:val="15"/>
          <w:szCs w:val="15"/>
          <w:color w:val="auto"/>
        </w:rPr>
      </w:pPr>
    </w:p>
    <w:p>
      <w:pPr>
        <w:jc w:val="both"/>
        <w:ind w:left="900" w:right="2959" w:hanging="452"/>
        <w:spacing w:after="0" w:line="246"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 w:lineRule="exact"/>
        <w:rPr>
          <w:rFonts w:ascii="Courier New" w:cs="Courier New" w:eastAsia="Courier New" w:hAnsi="Courier New"/>
          <w:sz w:val="15"/>
          <w:szCs w:val="15"/>
          <w:color w:val="auto"/>
        </w:rPr>
      </w:pPr>
    </w:p>
    <w:p>
      <w:pPr>
        <w:ind w:left="900" w:right="2959" w:hanging="452"/>
        <w:spacing w:after="0" w:line="246" w:lineRule="auto"/>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ectPr>
          <w:pgSz w:w="11900" w:h="16838" w:orient="portrait"/>
          <w:cols w:equalWidth="0" w:num="1">
            <w:col w:w="10219"/>
          </w:cols>
          <w:pgMar w:left="240" w:top="141" w:right="1440" w:bottom="1440" w:gutter="0" w:footer="0" w:header="0"/>
        </w:sectPr>
      </w:pPr>
    </w:p>
    <w:bookmarkStart w:id="2" w:name="page3"/>
    <w:bookmarkEnd w:id="2"/>
    <w:p>
      <w:pPr>
        <w:jc w:val="center"/>
        <w:ind w:right="4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704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QUARTER ENDED MARCH 31, 2002</w:t>
            </w: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704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4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720" w:type="dxa"/>
            <w:vAlign w:val="bottom"/>
          </w:tcPr>
          <w:p>
            <w:pPr>
              <w:spacing w:after="0"/>
              <w:rPr>
                <w:sz w:val="24"/>
                <w:szCs w:val="24"/>
                <w:color w:val="auto"/>
              </w:rPr>
            </w:pPr>
          </w:p>
        </w:tc>
        <w:tc>
          <w:tcPr>
            <w:tcW w:w="70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CONDENSED CONSOLIDATED BALANCE SHEET</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720" w:type="dxa"/>
            <w:vAlign w:val="bottom"/>
          </w:tcPr>
          <w:p>
            <w:pPr>
              <w:spacing w:after="0"/>
              <w:rPr>
                <w:sz w:val="15"/>
                <w:szCs w:val="15"/>
                <w:color w:val="auto"/>
              </w:rPr>
            </w:pPr>
          </w:p>
        </w:tc>
        <w:tc>
          <w:tcPr>
            <w:tcW w:w="7040" w:type="dxa"/>
            <w:vAlign w:val="bottom"/>
          </w:tcPr>
          <w:p>
            <w:pPr>
              <w:jc w:val="right"/>
              <w:ind w:right="1684"/>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699"/>
        </w:trPr>
        <w:tc>
          <w:tcPr>
            <w:tcW w:w="7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except share data)</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w w:val="98"/>
              </w:rPr>
              <w:t>March 31,</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5"/>
                <w:szCs w:val="15"/>
                <w:color w:val="auto"/>
              </w:rPr>
            </w:pPr>
          </w:p>
        </w:tc>
        <w:tc>
          <w:tcPr>
            <w:tcW w:w="144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7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720" w:type="dxa"/>
            <w:vAlign w:val="bottom"/>
          </w:tcPr>
          <w:p>
            <w:pPr>
              <w:spacing w:after="0"/>
              <w:rPr>
                <w:sz w:val="24"/>
                <w:szCs w:val="24"/>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5"/>
                <w:szCs w:val="15"/>
                <w:color w:val="auto"/>
              </w:rPr>
              <w:t>Cash and cash equivalents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543.1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350.0</w:t>
            </w:r>
          </w:p>
        </w:tc>
      </w:tr>
      <w:tr>
        <w:trPr>
          <w:trHeight w:val="175"/>
        </w:trPr>
        <w:tc>
          <w:tcPr>
            <w:tcW w:w="7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5"/>
                <w:szCs w:val="15"/>
                <w:color w:val="auto"/>
              </w:rPr>
              <w:t>Investments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2,087.4</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2,623.2</w:t>
            </w:r>
          </w:p>
        </w:tc>
      </w:tr>
      <w:tr>
        <w:trPr>
          <w:trHeight w:val="175"/>
        </w:trPr>
        <w:tc>
          <w:tcPr>
            <w:tcW w:w="720" w:type="dxa"/>
            <w:vAlign w:val="bottom"/>
          </w:tcPr>
          <w:p>
            <w:pPr>
              <w:spacing w:after="0"/>
              <w:rPr>
                <w:sz w:val="15"/>
                <w:szCs w:val="15"/>
                <w:color w:val="auto"/>
              </w:rPr>
            </w:pPr>
          </w:p>
        </w:tc>
        <w:tc>
          <w:tcPr>
            <w:tcW w:w="7040" w:type="dxa"/>
            <w:vAlign w:val="bottom"/>
          </w:tcPr>
          <w:p>
            <w:pPr>
              <w:ind w:left="100"/>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 $170.0 and $153.9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979.9</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967.4</w:t>
            </w:r>
          </w:p>
        </w:tc>
      </w:tr>
      <w:tr>
        <w:trPr>
          <w:trHeight w:val="350"/>
        </w:trPr>
        <w:tc>
          <w:tcPr>
            <w:tcW w:w="720" w:type="dxa"/>
            <w:vAlign w:val="bottom"/>
          </w:tcPr>
          <w:p>
            <w:pPr>
              <w:spacing w:after="0"/>
              <w:rPr>
                <w:sz w:val="24"/>
                <w:szCs w:val="24"/>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Inventories, net ..........................................................</w:t>
            </w:r>
          </w:p>
        </w:tc>
        <w:tc>
          <w:tcPr>
            <w:tcW w:w="500" w:type="dxa"/>
            <w:vAlign w:val="bottom"/>
          </w:tcPr>
          <w:p>
            <w:pPr>
              <w:spacing w:after="0"/>
              <w:rPr>
                <w:sz w:val="24"/>
                <w:szCs w:val="24"/>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426.1</w:t>
            </w:r>
          </w:p>
        </w:tc>
        <w:tc>
          <w:tcPr>
            <w:tcW w:w="220" w:type="dxa"/>
            <w:vAlign w:val="bottom"/>
          </w:tcPr>
          <w:p>
            <w:pPr>
              <w:spacing w:after="0"/>
              <w:rPr>
                <w:sz w:val="24"/>
                <w:szCs w:val="24"/>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454.5</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current assets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193.3</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153.7</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current assets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4,229.8</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4,548.8</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INVESTMENTS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1,065.3</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1,679.2</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 of accumulated depreciation of $2,991.0 and $2,725.7....</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7,034.0</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7,011.1</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GOODWILL</w:t>
            </w: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6,441.2</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6,289.4</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CABLE FRANCHISE OPERATING RIGHTS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16,491.1</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16,486.4</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OTHER INTANGIBLE ASSETS, net of accumulated amortization of $745.4 and $664.6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1,534.2</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1,733.5</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ASSETS, net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349.8</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383.4</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37,145.4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38,131.8</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794.7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698.2</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expenses and other current liabilities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1,637.0</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1,695.5</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income taxes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89.9</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275.4</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Current portion of long-term debt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267.5</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460.2</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current liabilities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2,789.1</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3,129.3</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11,356.0</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11,741.6</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DEFERRED INCOME TAXES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6,406.7</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6,375.7</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OTHER NONCURRENT LIABILITIES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1,418.0</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1,532.0</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926.6</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880.2</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 (NOTE 10)</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7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 par value - authorized,</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ind w:left="360"/>
              <w:spacing w:after="0"/>
              <w:rPr>
                <w:sz w:val="20"/>
                <w:szCs w:val="20"/>
                <w:color w:val="auto"/>
              </w:rPr>
            </w:pPr>
            <w:r>
              <w:rPr>
                <w:rFonts w:ascii="Courier New" w:cs="Courier New" w:eastAsia="Courier New" w:hAnsi="Courier New"/>
                <w:sz w:val="15"/>
                <w:szCs w:val="15"/>
                <w:color w:val="auto"/>
              </w:rPr>
              <w:t>2,500,000,000 shares; issued, 914,504,317 and 937,256,465;</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outstanding, 914,504,317 and 913,931,554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914.5</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913.9</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20"/>
                <w:szCs w:val="20"/>
                <w:color w:val="auto"/>
              </w:rPr>
            </w:pPr>
            <w:r>
              <w:rPr>
                <w:rFonts w:ascii="Courier New" w:cs="Courier New" w:eastAsia="Courier New" w:hAnsi="Courier New"/>
                <w:sz w:val="15"/>
                <w:szCs w:val="15"/>
                <w:color w:val="auto"/>
              </w:rPr>
              <w:t>Class A common stock, $1 par value - authorized, 200,000,000 shares;</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issued, 21,829,422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21.8</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21.8</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Class B common stock, $1 par value - authorized, 50,000,000 shares;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9.4</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9.4</w:t>
            </w:r>
          </w:p>
        </w:tc>
      </w:tr>
      <w:tr>
        <w:trPr>
          <w:trHeight w:val="175"/>
        </w:trPr>
        <w:tc>
          <w:tcPr>
            <w:tcW w:w="720" w:type="dxa"/>
            <w:vAlign w:val="bottom"/>
          </w:tcPr>
          <w:p>
            <w:pPr>
              <w:spacing w:after="0"/>
              <w:rPr>
                <w:sz w:val="15"/>
                <w:szCs w:val="15"/>
                <w:color w:val="auto"/>
              </w:rPr>
            </w:pPr>
          </w:p>
        </w:tc>
        <w:tc>
          <w:tcPr>
            <w:tcW w:w="7040" w:type="dxa"/>
            <w:vAlign w:val="bottom"/>
          </w:tcPr>
          <w:p>
            <w:pPr>
              <w:ind w:left="360"/>
              <w:spacing w:after="0"/>
              <w:rPr>
                <w:sz w:val="20"/>
                <w:szCs w:val="20"/>
                <w:color w:val="auto"/>
              </w:rPr>
            </w:pPr>
            <w:r>
              <w:rPr>
                <w:rFonts w:ascii="Courier New" w:cs="Courier New" w:eastAsia="Courier New" w:hAnsi="Courier New"/>
                <w:sz w:val="15"/>
                <w:szCs w:val="15"/>
                <w:color w:val="auto"/>
              </w:rPr>
              <w:t>issued, 9,444,375</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Additional capital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11,769.9</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11,752.0</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 earnings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1,541.4</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1,631.5</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Accumulated other comprehensive income (loss) .............................</w:t>
            </w:r>
          </w:p>
        </w:tc>
        <w:tc>
          <w:tcPr>
            <w:tcW w:w="500" w:type="dxa"/>
            <w:vAlign w:val="bottom"/>
          </w:tcPr>
          <w:p>
            <w:pPr>
              <w:spacing w:after="0"/>
              <w:rPr>
                <w:sz w:val="15"/>
                <w:szCs w:val="15"/>
                <w:color w:val="auto"/>
              </w:rPr>
            </w:pPr>
          </w:p>
        </w:tc>
        <w:tc>
          <w:tcPr>
            <w:tcW w:w="16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144.4</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20" w:type="dxa"/>
            <w:vAlign w:val="bottom"/>
          </w:tcPr>
          <w:p>
            <w:pPr>
              <w:spacing w:after="0"/>
              <w:rPr>
                <w:sz w:val="15"/>
                <w:szCs w:val="15"/>
                <w:color w:val="auto"/>
              </w:rPr>
            </w:pPr>
          </w:p>
        </w:tc>
        <w:tc>
          <w:tcPr>
            <w:tcW w:w="7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stockholders' equity ..............................</w:t>
            </w:r>
          </w:p>
        </w:tc>
        <w:tc>
          <w:tcPr>
            <w:tcW w:w="500" w:type="dxa"/>
            <w:vAlign w:val="bottom"/>
          </w:tcPr>
          <w:p>
            <w:pPr>
              <w:spacing w:after="0"/>
              <w:rPr>
                <w:sz w:val="15"/>
                <w:szCs w:val="15"/>
                <w:color w:val="auto"/>
              </w:rPr>
            </w:pP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14,249.0</w:t>
            </w:r>
          </w:p>
        </w:tc>
        <w:tc>
          <w:tcPr>
            <w:tcW w:w="22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14,473.0</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37,145.4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38,131.8</w:t>
            </w:r>
          </w:p>
        </w:tc>
      </w:tr>
      <w:tr>
        <w:trPr>
          <w:trHeight w:val="175"/>
        </w:trPr>
        <w:tc>
          <w:tcPr>
            <w:tcW w:w="7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210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4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0"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643" w:right="139" w:bottom="1440" w:gutter="0" w:footer="0" w:header="0"/>
        </w:sectPr>
      </w:pPr>
    </w:p>
    <w:bookmarkStart w:id="3" w:name="page4"/>
    <w:bookmarkEnd w:id="3"/>
    <w:p>
      <w:pPr>
        <w:jc w:val="center"/>
        <w:ind w:right="82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800"/>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5"/>
          <w:szCs w:val="15"/>
          <w:color w:val="auto"/>
        </w:rPr>
        <w:t>CONDENSED CONSOLIDATED STATEMENT OF OPERATIONS AND</w:t>
      </w:r>
    </w:p>
    <w:p>
      <w:pPr>
        <w:spacing w:after="0" w:line="5"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color w:val="auto"/>
        </w:rPr>
        <w:t>RETAINED EARNINGS</w:t>
      </w:r>
    </w:p>
    <w:p>
      <w:pPr>
        <w:spacing w:after="0" w:line="5" w:lineRule="exact"/>
        <w:rPr>
          <w:sz w:val="20"/>
          <w:szCs w:val="20"/>
          <w:color w:val="auto"/>
        </w:rPr>
      </w:pPr>
    </w:p>
    <w:p>
      <w:pPr>
        <w:jc w:val="center"/>
        <w:ind w:right="9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175"/>
        </w:trPr>
        <w:tc>
          <w:tcPr>
            <w:tcW w:w="6800" w:type="dxa"/>
            <w:vAlign w:val="bottom"/>
          </w:tcPr>
          <w:p>
            <w:pPr>
              <w:spacing w:after="0"/>
              <w:rPr>
                <w:sz w:val="15"/>
                <w:szCs w:val="15"/>
                <w:color w:val="auto"/>
              </w:rPr>
            </w:pPr>
          </w:p>
        </w:tc>
        <w:tc>
          <w:tcPr>
            <w:tcW w:w="400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2002</w:t>
            </w:r>
          </w:p>
        </w:tc>
        <w:tc>
          <w:tcPr>
            <w:tcW w:w="2040" w:type="dxa"/>
            <w:vAlign w:val="bottom"/>
          </w:tcPr>
          <w:p>
            <w:pPr>
              <w:jc w:val="right"/>
              <w:ind w:right="11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350"/>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$1,679.0</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$1,348.0</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993.5</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884.0</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2,672.5</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2,232.0</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Operating (excluding depreciation).......................................</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746.0</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639.7</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Cost of goods sold from electronic retailing (excluding depreciation)....</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631.2</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556.6</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487.1</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401.5</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333.8</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240.8</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53.3</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493.9</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2,251.4</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2,332.5</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OPERATING INCOME (LOSS)......................................................</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421.1</w:t>
            </w: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(100.5)</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(186.7)</w:t>
            </w: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(182.3)</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 (expense)..............................................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(248.0)</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214.7</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2.9</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(23.6)</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1,194.2</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(463.7)</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1,229.5</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MINORITY INTEREST</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AND CUMULATIVE EFFECT OF ACCOUNTING CHANGE...............................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(42.6)</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1,129.0</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TAX EXPENSE...........................................................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w:t>
            </w: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(485.6)</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INCOME (LOSS) BEFORE MINORITY INTEREST AND CUMULATIVE</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EFFECT OF ACCOUNTING CHANGE..............................................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(45.3)</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643.4</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(43.6)</w:t>
            </w: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(26.7)</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(LOSS) BEFORE CUMULATIVE EFFECT OF ACCOUNTING CHANGE..................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616.7</w:t>
            </w:r>
          </w:p>
        </w:tc>
      </w:tr>
      <w:tr>
        <w:trPr>
          <w:trHeight w:val="175"/>
        </w:trPr>
        <w:tc>
          <w:tcPr>
            <w:tcW w:w="8760" w:type="dxa"/>
            <w:vAlign w:val="bottom"/>
            <w:gridSpan w:val="2"/>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384.5</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NET INCOME (LOSS)............................................................</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$1,001.2</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Beginning of period......................................................</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$1,631.5</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$1,056.5</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1,001.2</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Retirement of common stock...............................................</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204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(17.1)</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End of period............................................................</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$1,541.4</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$2,040.6</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cumulative effect of accounting change..............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$0.65</w:t>
            </w:r>
          </w:p>
        </w:tc>
      </w:tr>
      <w:tr>
        <w:trPr>
          <w:trHeight w:val="175"/>
        </w:trPr>
        <w:tc>
          <w:tcPr>
            <w:tcW w:w="8760" w:type="dxa"/>
            <w:vAlign w:val="bottom"/>
            <w:gridSpan w:val="2"/>
          </w:tcPr>
          <w:p>
            <w:pPr>
              <w:jc w:val="right"/>
              <w:ind w:right="1684"/>
              <w:spacing w:after="0"/>
              <w:rPr>
                <w:sz w:val="20"/>
                <w:szCs w:val="20"/>
                <w:color w:val="auto"/>
              </w:rPr>
            </w:pPr>
            <w:r>
              <w:rPr>
                <w:rFonts w:ascii="Courier New" w:cs="Courier New" w:eastAsia="Courier New" w:hAnsi="Courier New"/>
                <w:sz w:val="15"/>
                <w:szCs w:val="15"/>
                <w:color w:val="auto"/>
              </w:rPr>
              <w:t>Cumulative effect of accounting change...................................</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0.41</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$1.06</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BASIC WEIGHTED AVERAGE NUMBER OF COMMON SHARES OUTSTANDING...................</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951.4</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945.3</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960" w:type="dxa"/>
            <w:vAlign w:val="bottom"/>
          </w:tcPr>
          <w:p>
            <w:pPr>
              <w:spacing w:after="0"/>
              <w:rPr>
                <w:sz w:val="15"/>
                <w:szCs w:val="15"/>
                <w:color w:val="auto"/>
              </w:rPr>
            </w:pPr>
          </w:p>
        </w:tc>
        <w:tc>
          <w:tcPr>
            <w:tcW w:w="2040" w:type="dxa"/>
            <w:vAlign w:val="bottom"/>
          </w:tcPr>
          <w:p>
            <w:pPr>
              <w:spacing w:after="0"/>
              <w:rPr>
                <w:sz w:val="15"/>
                <w:szCs w:val="15"/>
                <w:color w:val="auto"/>
              </w:rPr>
            </w:pP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cumulative effect of accounting change..............</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$0.64</w:t>
            </w:r>
          </w:p>
        </w:tc>
      </w:tr>
      <w:tr>
        <w:trPr>
          <w:trHeight w:val="175"/>
        </w:trPr>
        <w:tc>
          <w:tcPr>
            <w:tcW w:w="8760" w:type="dxa"/>
            <w:vAlign w:val="bottom"/>
            <w:gridSpan w:val="2"/>
          </w:tcPr>
          <w:p>
            <w:pPr>
              <w:jc w:val="right"/>
              <w:ind w:right="1684"/>
              <w:spacing w:after="0"/>
              <w:rPr>
                <w:sz w:val="20"/>
                <w:szCs w:val="20"/>
                <w:color w:val="auto"/>
              </w:rPr>
            </w:pPr>
            <w:r>
              <w:rPr>
                <w:rFonts w:ascii="Courier New" w:cs="Courier New" w:eastAsia="Courier New" w:hAnsi="Courier New"/>
                <w:sz w:val="15"/>
                <w:szCs w:val="15"/>
                <w:color w:val="auto"/>
              </w:rPr>
              <w:t>Cumulative effect of accounting change...................................</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0.40</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($0.09)</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5"/>
        </w:trPr>
        <w:tc>
          <w:tcPr>
            <w:tcW w:w="680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WEIGHTED AVERAGE NUMBER OF COMMON SHARES OUTSTANDING.................</w:t>
            </w: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951.4</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965.0</w:t>
            </w:r>
          </w:p>
        </w:tc>
      </w:tr>
      <w:tr>
        <w:trPr>
          <w:trHeight w:val="175"/>
        </w:trPr>
        <w:tc>
          <w:tcPr>
            <w:tcW w:w="6800" w:type="dxa"/>
            <w:vAlign w:val="bottom"/>
          </w:tcPr>
          <w:p>
            <w:pPr>
              <w:spacing w:after="0"/>
              <w:rPr>
                <w:sz w:val="15"/>
                <w:szCs w:val="15"/>
                <w:color w:val="auto"/>
              </w:rPr>
            </w:pPr>
          </w:p>
        </w:tc>
        <w:tc>
          <w:tcPr>
            <w:tcW w:w="1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80"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800"/>
          </w:cols>
          <w:pgMar w:left="240" w:top="643" w:right="859" w:bottom="1440" w:gutter="0" w:footer="0" w:header="0"/>
        </w:sectPr>
      </w:pPr>
    </w:p>
    <w:bookmarkStart w:id="4" w:name="page5"/>
    <w:bookmarkEnd w:id="4"/>
    <w:p>
      <w:pPr>
        <w:jc w:val="center"/>
        <w:ind w:right="8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CONDENSED CONSOLIDATED STATEMENT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8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(Unaudited)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74"/>
        </w:trPr>
        <w:tc>
          <w:tcPr>
            <w:tcW w:w="7680" w:type="dxa"/>
            <w:vAlign w:val="bottom"/>
          </w:tcPr>
          <w:p>
            <w:pPr>
              <w:spacing w:after="0"/>
              <w:rPr>
                <w:sz w:val="24"/>
                <w:szCs w:val="24"/>
                <w:color w:val="auto"/>
              </w:rPr>
            </w:pPr>
          </w:p>
        </w:tc>
        <w:tc>
          <w:tcPr>
            <w:tcW w:w="25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(Dollars in millions)</w:t>
            </w:r>
          </w:p>
        </w:tc>
      </w:tr>
      <w:tr>
        <w:trPr>
          <w:trHeight w:val="175"/>
        </w:trPr>
        <w:tc>
          <w:tcPr>
            <w:tcW w:w="7680" w:type="dxa"/>
            <w:vAlign w:val="bottom"/>
          </w:tcPr>
          <w:p>
            <w:pPr>
              <w:spacing w:after="0"/>
              <w:rPr>
                <w:sz w:val="15"/>
                <w:szCs w:val="15"/>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 March 31,</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ind w:right="5784"/>
              <w:spacing w:after="0"/>
              <w:rPr>
                <w:sz w:val="20"/>
                <w:szCs w:val="20"/>
                <w:color w:val="auto"/>
              </w:rPr>
            </w:pPr>
            <w:r>
              <w:rPr>
                <w:rFonts w:ascii="Courier New" w:cs="Courier New" w:eastAsia="Courier New" w:hAnsi="Courier New"/>
                <w:sz w:val="15"/>
                <w:szCs w:val="15"/>
                <w:color w:val="auto"/>
                <w:w w:val="99"/>
              </w:rPr>
              <w:t>OPERATING ACTIVITIES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0"/>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($88.9)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$1,001.2</w:t>
            </w:r>
          </w:p>
        </w:tc>
      </w:tr>
      <w:tr>
        <w:trPr>
          <w:trHeight w:val="175"/>
        </w:trPr>
        <w:tc>
          <w:tcPr>
            <w:tcW w:w="7680" w:type="dxa"/>
            <w:vAlign w:val="bottom"/>
          </w:tcPr>
          <w:p>
            <w:pPr>
              <w:jc w:val="right"/>
              <w:ind w:right="1344"/>
              <w:spacing w:after="0"/>
              <w:rPr>
                <w:sz w:val="20"/>
                <w:szCs w:val="20"/>
                <w:color w:val="auto"/>
              </w:rPr>
            </w:pPr>
            <w:r>
              <w:rPr>
                <w:rFonts w:ascii="Courier New" w:cs="Courier New" w:eastAsia="Courier New" w:hAnsi="Courier New"/>
                <w:sz w:val="15"/>
                <w:szCs w:val="15"/>
                <w:color w:val="auto"/>
              </w:rPr>
              <w:t>Adjustments to reconcile net income (loss) to net cash provided by</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768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333.8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240.8</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493.9</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Non-cash interest expense, net.................................................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Losses (gains) on investments and other (income) expense, net..................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277.5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(1,395.8)</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accounting change.........................................</w:t>
            </w:r>
          </w:p>
        </w:tc>
        <w:tc>
          <w:tcPr>
            <w:tcW w:w="144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(384.5)</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421.6</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(37.4)</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616.0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427.0</w:t>
            </w:r>
          </w:p>
        </w:tc>
      </w:tr>
      <w:tr>
        <w:trPr>
          <w:trHeight w:val="175"/>
        </w:trPr>
        <w:tc>
          <w:tcPr>
            <w:tcW w:w="7680" w:type="dxa"/>
            <w:vAlign w:val="bottom"/>
          </w:tcPr>
          <w:p>
            <w:pPr>
              <w:ind w:left="440"/>
              <w:spacing w:after="0"/>
              <w:rPr>
                <w:sz w:val="20"/>
                <w:szCs w:val="20"/>
                <w:color w:val="auto"/>
              </w:rPr>
            </w:pPr>
            <w:r>
              <w:rPr>
                <w:rFonts w:ascii="Courier New" w:cs="Courier New" w:eastAsia="Courier New" w:hAnsi="Courier New"/>
                <w:sz w:val="15"/>
                <w:szCs w:val="15"/>
                <w:color w:val="auto"/>
              </w:rPr>
              <w:t>Changes in working capital, net of effects of acquisitions and divestitures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 accounts receivable, net.............................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119.1</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Decrease (increase) in inventories, net.....................................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28.4</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Increase in other current assets............................................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w:t>
            </w:r>
          </w:p>
        </w:tc>
      </w:tr>
      <w:tr>
        <w:trPr>
          <w:trHeight w:val="175"/>
        </w:trPr>
        <w:tc>
          <w:tcPr>
            <w:tcW w:w="768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Decrease in accounts payable, accrued expenses and</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other current liabilities...................................................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(65.3)</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(237.9)</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(174.0)</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519.3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253.0</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ind w:right="5784"/>
              <w:spacing w:after="0"/>
              <w:rPr>
                <w:sz w:val="20"/>
                <w:szCs w:val="20"/>
                <w:color w:val="auto"/>
              </w:rPr>
            </w:pPr>
            <w:r>
              <w:rPr>
                <w:rFonts w:ascii="Courier New" w:cs="Courier New" w:eastAsia="Courier New" w:hAnsi="Courier New"/>
                <w:sz w:val="15"/>
                <w:szCs w:val="15"/>
                <w:color w:val="auto"/>
                <w:w w:val="99"/>
              </w:rPr>
              <w:t>FINANCING ACTIVITIES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Proceeds from borrowings.........................................................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2,608.2</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Retirements and repayments of debt...............................................</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(451.1)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(2,219.6)</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settlement of interest rate exchange agreements....................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56.8</w:t>
            </w:r>
          </w:p>
        </w:tc>
        <w:tc>
          <w:tcPr>
            <w:tcW w:w="1140" w:type="dxa"/>
            <w:vAlign w:val="bottom"/>
          </w:tcPr>
          <w:p>
            <w:pPr>
              <w:spacing w:after="0"/>
              <w:rPr>
                <w:sz w:val="15"/>
                <w:szCs w:val="15"/>
                <w:color w:val="auto"/>
              </w:rPr>
            </w:pP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Issuances of common stock........................................................</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402.1</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ind w:right="5784"/>
              <w:spacing w:after="0"/>
              <w:rPr>
                <w:sz w:val="20"/>
                <w:szCs w:val="20"/>
                <w:color w:val="auto"/>
              </w:rPr>
            </w:pPr>
            <w:r>
              <w:rPr>
                <w:rFonts w:ascii="Courier New" w:cs="Courier New" w:eastAsia="Courier New" w:hAnsi="Courier New"/>
                <w:sz w:val="15"/>
                <w:szCs w:val="15"/>
                <w:color w:val="auto"/>
                <w:w w:val="99"/>
              </w:rPr>
              <w:t>INVESTING ACTIVITIES</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Acquisitions, net of cash acquired...............................................</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(26.4)</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Sales (purchases) of short-term investments, net.................................</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0.7</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Purchases of investments.........................................................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(166.3)</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sales of investments...............................................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151.7</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(516.9)</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Additions to intangible and other noncurrent assets..............................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(55.8)</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(71.7)</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(456.9)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(638.3)</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INCREASE IN CASH AND CASH EQUIVALENTS...............................................</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193.1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651.5</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76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end of period............................................</w:t>
            </w: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$543.1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$668.3</w:t>
            </w:r>
          </w:p>
        </w:tc>
      </w:tr>
      <w:tr>
        <w:trPr>
          <w:trHeight w:val="175"/>
        </w:trPr>
        <w:tc>
          <w:tcPr>
            <w:tcW w:w="7680" w:type="dxa"/>
            <w:vAlign w:val="bottom"/>
          </w:tcPr>
          <w:p>
            <w:pPr>
              <w:spacing w:after="0"/>
              <w:rPr>
                <w:sz w:val="15"/>
                <w:szCs w:val="15"/>
                <w:color w:val="auto"/>
              </w:rPr>
            </w:pPr>
          </w:p>
        </w:tc>
        <w:tc>
          <w:tcPr>
            <w:tcW w:w="14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5080"/>
        <w:spacing w:after="0" w:line="494" w:lineRule="auto"/>
        <w:rPr>
          <w:sz w:val="20"/>
          <w:szCs w:val="20"/>
          <w:color w:val="auto"/>
        </w:rPr>
      </w:pPr>
      <w:r>
        <w:rPr>
          <w:rFonts w:ascii="Courier New" w:cs="Courier New" w:eastAsia="Courier New" w:hAnsi="Courier New"/>
          <w:sz w:val="15"/>
          <w:szCs w:val="15"/>
          <w:color w:val="auto"/>
        </w:rPr>
        <w:t>See notes to condensed consolidated financial statements. 4</w:t>
      </w:r>
    </w:p>
    <w:p>
      <w:pPr>
        <w:sectPr>
          <w:pgSz w:w="11900" w:h="16838" w:orient="portrait"/>
          <w:cols w:equalWidth="0" w:num="1">
            <w:col w:w="10260"/>
          </w:cols>
          <w:pgMar w:left="240" w:top="643" w:right="1399" w:bottom="1440" w:gutter="0" w:footer="0" w:header="0"/>
        </w:sectPr>
      </w:pPr>
    </w:p>
    <w:bookmarkStart w:id="5" w:name="page6"/>
    <w:bookmarkEnd w:id="5"/>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(the "Company") has prepared these unaudited condensed consolidated financial statements based upon Securities and Exchange Commission rules that permit reduced disclosure for interim periods.</w:t>
      </w:r>
    </w:p>
    <w:p>
      <w:pPr>
        <w:spacing w:after="0" w:line="177"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77"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more complete discussion of the Company's accounting policies and certain other information, refer to the financial statements included in the Company's Annual Report on Form 10-K for the year ended December 31, 2001.</w:t>
      </w:r>
    </w:p>
    <w:p>
      <w:pPr>
        <w:spacing w:after="0" w:line="177"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4" w:lineRule="exact"/>
        <w:rPr>
          <w:rFonts w:ascii="Courier New" w:cs="Courier New" w:eastAsia="Courier New" w:hAnsi="Courier New"/>
          <w:sz w:val="15"/>
          <w:szCs w:val="15"/>
          <w:color w:val="auto"/>
        </w:rPr>
      </w:pPr>
    </w:p>
    <w:p>
      <w:pPr>
        <w:ind w:left="4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year financial statements to conform to those classifications used in 2002 (see Note 2).</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133, as Amended</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 2001, the Company adopted Statement of Financial Accounting Standards ("SFAS") No. 133, "Accounting for Derivatives and Hedging Activities," as amended. SFAS No. 133 establishes accounting and reporting standards for derivatives and hedging activities. SFAS No. 133 requires that all derivative instruments be reported on the balance sheet at their fair values. Upon adoption of SFAS No. 133, the Company recognized as income a cumulative effect of accounting change, net of related income taxes, of $384.5 million. The increase in income consisted of a $400.2 million adjustment to record the debt component of indexed debt at a discount from its value at maturity and $191.3 million principally related to the reclassification of gains previously recognized as a component of accumulated other comprehensive income (loss) on the Company's equity derivative instruments, net of related deferred income taxes of $207.0 million.</w:t>
      </w:r>
    </w:p>
    <w:p>
      <w:pPr>
        <w:spacing w:after="0" w:line="183"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142</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Accounting Standards Board ("FASB") issued SFAS No. 142, "Goodwill and Other Intangible Assets," in June 2001. SFAS No. 142 addresses how intangible assets that are acquired individually or with a group of other assets should be accounted for in financial statements upon and subsequent to their acquisition.</w:t>
      </w:r>
    </w:p>
    <w:p>
      <w:pPr>
        <w:spacing w:after="0" w:line="177"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142 on January 1, 2002, as required by the new statement. Upon adoption, the Company no longer amortizes goodwill and other indefinite lived intangible assets, which consist primarily of cable franchise operating rights. The Company is required to test its goodwill and intangible assets that are determined to have an indefinite life for impairment at least annually. The provisions of SFAS No. 142 require the completion of an initial transitional impairment assessment, with any impairments identified treated as a cumulative effect of a change in accounting principle. The Company has completed this assessment and determined that no cumulative effect results from adopting this change in accounting principle (see Note 6).</w:t>
      </w:r>
    </w:p>
    <w:p>
      <w:pPr>
        <w:spacing w:after="0" w:line="181"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The Company does not expect the adoption of SFAS No. 143 will have a material impact on its financial condition or results of operations.</w:t>
      </w:r>
    </w:p>
    <w:p>
      <w:pPr>
        <w:spacing w:after="0" w:line="35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42" w:right="1440" w:bottom="1440" w:gutter="0" w:footer="0" w:header="0"/>
        </w:sectPr>
      </w:pPr>
    </w:p>
    <w:bookmarkStart w:id="6" w:name="page7"/>
    <w:bookmarkEnd w:id="6"/>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SFAS No. 144</w:t>
      </w:r>
    </w:p>
    <w:p>
      <w:pPr>
        <w:spacing w:after="0" w:line="5"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The FASB issued SFAS No. 144, "Accounting for the Impairment or Disposal of Long-Lived Assets," in August 2001. SFAS No. 144, which addresses financial accounting and reporting for the impairment of long-lived assets and for long-lived assets to be disposed of, supercedes SFAS No. 121 and is effective for fiscal years beginning after December 15, 2001. The Company adopted SFAS No. 144 on January 1, 2002. The adoption of SFAS No. 144 had no impact on the Company's financial condition or results of operations.</w:t>
      </w:r>
    </w:p>
    <w:p>
      <w:pPr>
        <w:spacing w:after="0" w:line="17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EITF 01-9</w:t>
      </w:r>
    </w:p>
    <w:p>
      <w:pPr>
        <w:spacing w:after="0" w:line="5"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In November 2001, the Emerging Issues Task Force ("EITF") of the FASB reached a consensus on EITF 01-9, "Accounting for Consideration Given to a Customer (Including a Reseller of the Vendor's Products"). EITF 01-9 requires, among other things, that consideration paid to customers should be classified as a reduction of revenue unless certain criteria are met. Certain of the Company's content subsidiaries have paid or may pay distribution fees to cable television and satellite broadcast systems for carriage of their programming. The Company previously classified the amortization of these distribution fees as expense in its statement of operations. Upon adoption of EITF 01-9 on January 1, 2002, the Company reclassified certain of these distribution fees from expense to a revenue reduction for all periods presented in its statement of operations. The change in classification had no impact on the Company's reported operating income (loss) or financial condition.</w:t>
      </w:r>
    </w:p>
    <w:p>
      <w:pPr>
        <w:spacing w:after="0" w:line="183"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EITF 01-14</w:t>
      </w:r>
    </w:p>
    <w:p>
      <w:pPr>
        <w:spacing w:after="0" w:line="5"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In November 2001, the FASB staff announced EITF Topic D-103, "Income Statement Characterization of Reimbursements Received for 'Out-of-Pocket' Expenses Incurred," which has subsequently been recharacterized as EITF 01-14. EITF 01-14 requires that reimbursements received for out-of-pocket expenses incurred be characterized as revenue in the statement of operations.</w:t>
      </w:r>
    </w:p>
    <w:p>
      <w:pPr>
        <w:spacing w:after="0" w:line="178"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Under the terms of its franchise agreements, the Company is required to pay up to 5% of its gross revenues derived from providing cable services to the local franchising authority. The Company normally passes these fees through to its cable subscribers. The Company previously classified cable franchise fees collected from its cable subscribers as a reduction of the related franchise fee expense included within selling, general and administrative expenses in its statement of operations.</w:t>
      </w:r>
    </w:p>
    <w:p>
      <w:pPr>
        <w:spacing w:after="0" w:line="179"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EITF 01-14, by analogy, applies to franchise fees. Upon adoption of EITF 01-14 on January 1, 2002, the Company reclassified franchise fees collected from cable subscribers from a reduction of selling, general and administrative expenses to a component of service revenues for all periods presented in its statement of operations. The change in classification had no impact on the Company's reported operating income (loss) or financial condition.</w:t>
      </w:r>
    </w:p>
    <w:p>
      <w:pPr>
        <w:spacing w:after="0" w:line="179" w:lineRule="exact"/>
        <w:rPr>
          <w:sz w:val="20"/>
          <w:szCs w:val="20"/>
          <w:color w:val="auto"/>
        </w:rPr>
      </w:pPr>
    </w:p>
    <w:p>
      <w:pPr>
        <w:ind w:left="447" w:hanging="447"/>
        <w:spacing w:after="0"/>
        <w:tabs>
          <w:tab w:leader="none" w:pos="4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COMMON SHARE</w:t>
      </w:r>
    </w:p>
    <w:p>
      <w:pPr>
        <w:spacing w:after="0" w:line="179" w:lineRule="exact"/>
        <w:rPr>
          <w:rFonts w:ascii="Courier New" w:cs="Courier New" w:eastAsia="Courier New" w:hAnsi="Courier New"/>
          <w:sz w:val="15"/>
          <w:szCs w:val="15"/>
          <w:color w:val="auto"/>
        </w:rPr>
      </w:pPr>
    </w:p>
    <w:p>
      <w:pPr>
        <w:jc w:val="both"/>
        <w:ind w:left="4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common share is computed by dividing net income (loss) by the weighted average number of common shares outstanding during the period on a basic and diluted basis.</w:t>
      </w:r>
    </w:p>
    <w:p>
      <w:pPr>
        <w:sectPr>
          <w:pgSz w:w="11900" w:h="16838" w:orient="portrait"/>
          <w:cols w:equalWidth="0" w:num="1">
            <w:col w:w="10226"/>
          </w:cols>
          <w:pgMar w:left="233" w:top="642" w:right="1440" w:bottom="1440" w:gutter="0" w:footer="0" w:header="0"/>
        </w:sectPr>
      </w:pPr>
    </w:p>
    <w:p>
      <w:pPr>
        <w:spacing w:after="0" w:line="174" w:lineRule="exact"/>
        <w:rPr>
          <w:sz w:val="20"/>
          <w:szCs w:val="20"/>
          <w:color w:val="auto"/>
        </w:rPr>
      </w:pPr>
    </w:p>
    <w:p>
      <w:pPr>
        <w:ind w:left="447"/>
        <w:spacing w:after="0" w:line="247" w:lineRule="auto"/>
        <w:rPr>
          <w:sz w:val="20"/>
          <w:szCs w:val="20"/>
          <w:color w:val="auto"/>
        </w:rPr>
      </w:pPr>
      <w:r>
        <w:rPr>
          <w:rFonts w:ascii="Courier New" w:cs="Courier New" w:eastAsia="Courier New" w:hAnsi="Courier New"/>
          <w:sz w:val="15"/>
          <w:szCs w:val="15"/>
          <w:color w:val="auto"/>
        </w:rPr>
        <w:t>The following table reconciles computations of diluted earnings for the interim periods presented.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2959"/>
        <w:spacing w:after="0" w:line="247" w:lineRule="auto"/>
        <w:rPr>
          <w:sz w:val="20"/>
          <w:szCs w:val="20"/>
          <w:color w:val="auto"/>
        </w:rPr>
      </w:pPr>
      <w:r>
        <w:rPr>
          <w:rFonts w:ascii="Courier New" w:cs="Courier New" w:eastAsia="Courier New" w:hAnsi="Courier New"/>
          <w:sz w:val="15"/>
          <w:szCs w:val="15"/>
          <w:color w:val="auto"/>
        </w:rPr>
        <w:t>the  numerator  and  denominator  of the (loss) per common share ("Diluted EPS")</w:t>
      </w:r>
    </w:p>
    <w:p>
      <w:pPr>
        <w:spacing w:after="0" w:line="374" w:lineRule="exact"/>
        <w:rPr>
          <w:sz w:val="20"/>
          <w:szCs w:val="20"/>
          <w:color w:val="auto"/>
        </w:rPr>
      </w:pPr>
    </w:p>
    <w:p>
      <w:pPr>
        <w:sectPr>
          <w:pgSz w:w="11900" w:h="16838" w:orient="portrait"/>
          <w:cols w:equalWidth="0" w:num="2">
            <w:col w:w="3547" w:space="80"/>
            <w:col w:w="6599"/>
          </w:cols>
          <w:pgMar w:left="233" w:top="642" w:right="1440" w:bottom="1440" w:gutter="0" w:footer="0" w:header="0"/>
          <w:type w:val="continuous"/>
        </w:sectPr>
      </w:pPr>
    </w:p>
    <w:p>
      <w:pPr>
        <w:spacing w:after="0" w:line="149"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42" w:right="1440" w:bottom="1440" w:gutter="0" w:footer="0" w:header="0"/>
          <w:type w:val="continuous"/>
        </w:sectPr>
      </w:pPr>
    </w:p>
    <w:bookmarkStart w:id="7" w:name="page8"/>
    <w:bookmarkEnd w:id="7"/>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5560" w:type="dxa"/>
            <w:vAlign w:val="bottom"/>
          </w:tcPr>
          <w:p>
            <w:pPr>
              <w:ind w:left="2740"/>
              <w:spacing w:after="0"/>
              <w:rPr>
                <w:sz w:val="20"/>
                <w:szCs w:val="20"/>
                <w:color w:val="auto"/>
              </w:rPr>
            </w:pPr>
            <w:r>
              <w:rPr>
                <w:rFonts w:ascii="Courier New" w:cs="Courier New" w:eastAsia="Courier New" w:hAnsi="Courier New"/>
                <w:sz w:val="15"/>
                <w:szCs w:val="15"/>
                <w:color w:val="auto"/>
              </w:rPr>
              <w:t>(Unaudited)</w:t>
            </w:r>
          </w:p>
        </w:tc>
        <w:tc>
          <w:tcPr>
            <w:tcW w:w="15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699"/>
        </w:trPr>
        <w:tc>
          <w:tcPr>
            <w:tcW w:w="5560" w:type="dxa"/>
            <w:vAlign w:val="bottom"/>
          </w:tcPr>
          <w:p>
            <w:pPr>
              <w:spacing w:after="0"/>
              <w:rPr>
                <w:sz w:val="24"/>
                <w:szCs w:val="2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(Amounts in millions, except per share data)</w:t>
            </w:r>
          </w:p>
        </w:tc>
      </w:tr>
      <w:tr>
        <w:trPr>
          <w:trHeight w:val="175"/>
        </w:trPr>
        <w:tc>
          <w:tcPr>
            <w:tcW w:w="5560" w:type="dxa"/>
            <w:vAlign w:val="bottom"/>
          </w:tcPr>
          <w:p>
            <w:pPr>
              <w:spacing w:after="0"/>
              <w:rPr>
                <w:sz w:val="15"/>
                <w:szCs w:val="15"/>
                <w:color w:val="auto"/>
              </w:rPr>
            </w:pPr>
          </w:p>
        </w:tc>
        <w:tc>
          <w:tcPr>
            <w:tcW w:w="400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60" w:type="dxa"/>
            <w:vAlign w:val="bottom"/>
          </w:tcPr>
          <w:p>
            <w:pPr>
              <w:jc w:val="right"/>
              <w:ind w:right="1564"/>
              <w:spacing w:after="0"/>
              <w:rPr>
                <w:sz w:val="20"/>
                <w:szCs w:val="20"/>
                <w:color w:val="auto"/>
              </w:rPr>
            </w:pPr>
            <w:r>
              <w:rPr>
                <w:rFonts w:ascii="Courier New" w:cs="Courier New" w:eastAsia="Courier New" w:hAnsi="Courier New"/>
                <w:sz w:val="15"/>
                <w:szCs w:val="15"/>
                <w:color w:val="auto"/>
                <w:w w:val="98"/>
              </w:rPr>
              <w:t>March 31,</w:t>
            </w:r>
          </w:p>
        </w:tc>
      </w:tr>
      <w:tr>
        <w:trPr>
          <w:trHeight w:val="175"/>
        </w:trPr>
        <w:tc>
          <w:tcPr>
            <w:tcW w:w="5560" w:type="dxa"/>
            <w:vAlign w:val="bottom"/>
          </w:tcPr>
          <w:p>
            <w:pPr>
              <w:spacing w:after="0"/>
              <w:rPr>
                <w:sz w:val="15"/>
                <w:szCs w:val="15"/>
                <w:color w:val="auto"/>
              </w:rPr>
            </w:pP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24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5560" w:type="dxa"/>
            <w:vAlign w:val="bottom"/>
          </w:tcPr>
          <w:p>
            <w:pPr>
              <w:spacing w:after="0"/>
              <w:rPr>
                <w:sz w:val="15"/>
                <w:szCs w:val="15"/>
                <w:color w:val="auto"/>
              </w:rPr>
            </w:pP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350"/>
        </w:trPr>
        <w:tc>
          <w:tcPr>
            <w:tcW w:w="55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accounting change</w:t>
            </w:r>
          </w:p>
        </w:tc>
        <w:tc>
          <w:tcPr>
            <w:tcW w:w="15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75"/>
        </w:trPr>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w w:val="93"/>
              </w:rPr>
              <w:t>used for Diluted EPS............................................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($88.9)</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$616.7</w:t>
            </w:r>
          </w:p>
        </w:tc>
      </w:tr>
      <w:tr>
        <w:trPr>
          <w:trHeight w:val="175"/>
        </w:trPr>
        <w:tc>
          <w:tcPr>
            <w:tcW w:w="5560" w:type="dxa"/>
            <w:vAlign w:val="bottom"/>
          </w:tcPr>
          <w:p>
            <w:pPr>
              <w:spacing w:after="0"/>
              <w:rPr>
                <w:sz w:val="15"/>
                <w:szCs w:val="15"/>
                <w:color w:val="auto"/>
              </w:rPr>
            </w:pP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w w:val="93"/>
              </w:rPr>
              <w:t>Basic weighted average number of common shares outstanding........</w:t>
            </w: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951.4</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945.3</w:t>
            </w: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Dilutive securities:</w:t>
            </w:r>
          </w:p>
        </w:tc>
        <w:tc>
          <w:tcPr>
            <w:tcW w:w="154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5"/>
        </w:trPr>
        <w:tc>
          <w:tcPr>
            <w:tcW w:w="710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Series B convertible preferred stock...........................</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4.2</w:t>
            </w:r>
          </w:p>
        </w:tc>
      </w:tr>
      <w:tr>
        <w:trPr>
          <w:trHeight w:val="175"/>
        </w:trPr>
        <w:tc>
          <w:tcPr>
            <w:tcW w:w="710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Stock option and restricted stock plans........................</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15.5</w:t>
            </w:r>
          </w:p>
        </w:tc>
      </w:tr>
      <w:tr>
        <w:trPr>
          <w:trHeight w:val="175"/>
        </w:trPr>
        <w:tc>
          <w:tcPr>
            <w:tcW w:w="5560" w:type="dxa"/>
            <w:vAlign w:val="bottom"/>
          </w:tcPr>
          <w:p>
            <w:pPr>
              <w:spacing w:after="0"/>
              <w:rPr>
                <w:sz w:val="15"/>
                <w:szCs w:val="15"/>
                <w:color w:val="auto"/>
              </w:rPr>
            </w:pP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w:t>
            </w:r>
          </w:p>
        </w:tc>
        <w:tc>
          <w:tcPr>
            <w:tcW w:w="154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5"/>
        </w:trPr>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w w:val="93"/>
              </w:rPr>
              <w:t>outstanding.....................................................</w:t>
            </w: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951.4</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965.0</w:t>
            </w:r>
          </w:p>
        </w:tc>
      </w:tr>
      <w:tr>
        <w:trPr>
          <w:trHeight w:val="175"/>
        </w:trPr>
        <w:tc>
          <w:tcPr>
            <w:tcW w:w="5560" w:type="dxa"/>
            <w:vAlign w:val="bottom"/>
          </w:tcPr>
          <w:p>
            <w:pPr>
              <w:spacing w:after="0"/>
              <w:rPr>
                <w:sz w:val="15"/>
                <w:szCs w:val="15"/>
                <w:color w:val="auto"/>
              </w:rPr>
            </w:pP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5560" w:type="dxa"/>
            <w:vAlign w:val="bottom"/>
          </w:tcPr>
          <w:p>
            <w:pPr>
              <w:spacing w:after="0"/>
              <w:rPr>
                <w:sz w:val="20"/>
                <w:szCs w:val="20"/>
                <w:color w:val="auto"/>
              </w:rPr>
            </w:pPr>
            <w:r>
              <w:rPr>
                <w:rFonts w:ascii="Courier New" w:cs="Courier New" w:eastAsia="Courier New" w:hAnsi="Courier New"/>
                <w:sz w:val="15"/>
                <w:szCs w:val="15"/>
                <w:color w:val="auto"/>
              </w:rPr>
              <w:t>Diluted income (loss) before cumulative effect of</w:t>
            </w:r>
          </w:p>
        </w:tc>
        <w:tc>
          <w:tcPr>
            <w:tcW w:w="154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175"/>
        </w:trPr>
        <w:tc>
          <w:tcPr>
            <w:tcW w:w="5560" w:type="dxa"/>
            <w:vAlign w:val="bottom"/>
          </w:tcPr>
          <w:p>
            <w:pPr>
              <w:ind w:left="180"/>
              <w:spacing w:after="0"/>
              <w:rPr>
                <w:sz w:val="20"/>
                <w:szCs w:val="20"/>
                <w:color w:val="auto"/>
              </w:rPr>
            </w:pPr>
            <w:r>
              <w:rPr>
                <w:rFonts w:ascii="Courier New" w:cs="Courier New" w:eastAsia="Courier New" w:hAnsi="Courier New"/>
                <w:sz w:val="15"/>
                <w:szCs w:val="15"/>
                <w:color w:val="auto"/>
                <w:w w:val="93"/>
              </w:rPr>
              <w:t>accounting change per common share..............................</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$0.64</w:t>
            </w:r>
          </w:p>
        </w:tc>
      </w:tr>
      <w:tr>
        <w:trPr>
          <w:trHeight w:val="175"/>
        </w:trPr>
        <w:tc>
          <w:tcPr>
            <w:tcW w:w="5560" w:type="dxa"/>
            <w:vAlign w:val="bottom"/>
          </w:tcPr>
          <w:p>
            <w:pPr>
              <w:spacing w:after="0"/>
              <w:rPr>
                <w:sz w:val="15"/>
                <w:szCs w:val="15"/>
                <w:color w:val="auto"/>
              </w:rPr>
            </w:pP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Potentially dilutive securities related to the Company's Zero Coupon Debentures, stock options and restricted stock plans (see below) were excluded from the computation of Diluted EPS for the three months ended March 31, 2002 because their effect on loss per common share was antidilutive.</w:t>
      </w:r>
    </w:p>
    <w:p>
      <w:pPr>
        <w:spacing w:after="0" w:line="178"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The Company's Zero Coupon Convertible Debentures due 2020 (the "Zero Coupon Debentures" - see Note 7) may be converted at any time prior to maturity if the closing sale price of the Company's Class A Special Common Stock is greater than 110% of the accreted conversion price (as defined). Diluted EPS for the interim periods in 2002 and 2001 exclude approximately 19.8 million and 21.1 million potential common shares related to the Zero Coupon Debentures as the weighted average closing sale price of the Company's Class A Special Common Stock was not greater than 110% of the accreted conversion price.</w:t>
      </w:r>
    </w:p>
    <w:p>
      <w:pPr>
        <w:spacing w:after="0" w:line="180"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Diluted EPS for the 2002 interim period excludes approximately 62.4 million potential common shares related to the Company's stock option and restricted stock plans because the assumed issuance of such potential common shares is antidilutive in periods in which there is a loss. Diluted EPS for the 2001 interim period excludes approximately 2.0 million potential common shares related to the Company's stock option plans because the option exercise price was greater than the average market price of the Company's common stock for the period.</w:t>
      </w:r>
    </w:p>
    <w:p>
      <w:pPr>
        <w:spacing w:after="0" w:line="180" w:lineRule="exact"/>
        <w:rPr>
          <w:sz w:val="20"/>
          <w:szCs w:val="20"/>
          <w:color w:val="auto"/>
        </w:rPr>
      </w:pPr>
    </w:p>
    <w:p>
      <w:pPr>
        <w:ind w:left="447" w:hanging="447"/>
        <w:spacing w:after="0"/>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with AT&amp;T Broadband</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19, 2001, the Company entered into an Agreement and Plan of Merger with AT&amp;T Corp. ("AT&amp;T") pursuant to which the Company agreed to a transaction which will result in the combination of the Company and a holding company of AT&amp;T's broadband business ("AT&amp;T Broadband") that AT&amp;T will spin off to its shareholders immediately prior to the combination. As of March 31, 2002, AT&amp;T Broadband served approximately 13.4 million subscribers. Under the terms of the transaction, the combined company will issue approximately 1.235 billion shares of its voting common stock to AT&amp;T Broadband shareholders in exchange for all of AT&amp;T's interests in AT&amp;T Broadband, and approximately 115 million shares of its common stock to Microsoft Corporation ("Microsoft") in exchange for AT&amp;T Broadband shares that Microsoft will receive immediately prior to the completion of the transaction for settlement of their $5 billion aggregate principal amount in quarterly income preferred securities. The combined company will also assume or incur approximately $20 billion of AT&amp;T Broadband debt. For each share of a class of common stock of Comcast that they hold at the time of the merger, each Comcast shareholder will receive one share of a corresponding class of stock of the combined company. The</w:t>
      </w:r>
    </w:p>
    <w:p>
      <w:pPr>
        <w:spacing w:after="0" w:line="186"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642" w:right="1440" w:bottom="1440" w:gutter="0" w:footer="0" w:header="0"/>
        </w:sectPr>
      </w:pPr>
    </w:p>
    <w:bookmarkStart w:id="8" w:name="page9"/>
    <w:bookmarkEnd w:id="8"/>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jc w:val="both"/>
        <w:ind w:left="440" w:right="2959"/>
        <w:spacing w:after="0" w:line="246" w:lineRule="auto"/>
        <w:rPr>
          <w:sz w:val="20"/>
          <w:szCs w:val="20"/>
          <w:color w:val="auto"/>
        </w:rPr>
      </w:pPr>
      <w:r>
        <w:rPr>
          <w:rFonts w:ascii="Courier New" w:cs="Courier New" w:eastAsia="Courier New" w:hAnsi="Courier New"/>
          <w:sz w:val="15"/>
          <w:szCs w:val="15"/>
          <w:color w:val="auto"/>
        </w:rPr>
        <w:t>Company expects that the transaction will qualify as tax-free to both the Company and to AT&amp;T. The Company will account for the transaction as an acquisition under the purchase method of accounting, with the Company as the acquiring entity. Consideration of facts and circumstances leading to the identification of the Company as the acquiring entity is described in Note 5 to the financial statements included in the Company's Annual Report on Form 10-K for the year ended December 31, 2001. The transaction is subject to customary closing conditions and shareholder, regulatory and other approvals. The Company expects to close the transaction by the end of 2002.</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5"/>
          <w:szCs w:val="15"/>
          <w:color w:val="auto"/>
        </w:rPr>
        <w:t>The following</w:t>
        <w:tab/>
        <w:t>unaudited pro forma information has been presented as if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acquisitions</w:t>
            </w:r>
          </w:p>
        </w:tc>
        <w:tc>
          <w:tcPr>
            <w:tcW w:w="6820" w:type="dxa"/>
            <w:vAlign w:val="bottom"/>
            <w:gridSpan w:val="12"/>
          </w:tcPr>
          <w:p>
            <w:pPr>
              <w:jc w:val="right"/>
              <w:ind w:right="1104"/>
              <w:spacing w:after="0"/>
              <w:rPr>
                <w:sz w:val="20"/>
                <w:szCs w:val="20"/>
                <w:color w:val="auto"/>
              </w:rPr>
            </w:pPr>
            <w:r>
              <w:rPr>
                <w:rFonts w:ascii="Courier New" w:cs="Courier New" w:eastAsia="Courier New" w:hAnsi="Courier New"/>
                <w:sz w:val="15"/>
                <w:szCs w:val="15"/>
                <w:color w:val="auto"/>
              </w:rPr>
              <w:t>made by the Company in 2001 each occurred on January 1, 2001.</w:t>
            </w:r>
          </w:p>
        </w:tc>
        <w:tc>
          <w:tcPr>
            <w:tcW w:w="1360" w:type="dxa"/>
            <w:vAlign w:val="bottom"/>
          </w:tcPr>
          <w:p>
            <w:pPr>
              <w:spacing w:after="0"/>
              <w:rPr>
                <w:sz w:val="14"/>
                <w:szCs w:val="14"/>
                <w:color w:val="auto"/>
              </w:rPr>
            </w:pPr>
          </w:p>
        </w:tc>
      </w:tr>
      <w:tr>
        <w:trPr>
          <w:trHeight w:val="175"/>
        </w:trPr>
        <w:tc>
          <w:tcPr>
            <w:tcW w:w="8440" w:type="dxa"/>
            <w:vAlign w:val="bottom"/>
            <w:gridSpan w:val="14"/>
          </w:tcPr>
          <w:p>
            <w:pPr>
              <w:ind w:left="440"/>
              <w:spacing w:after="0"/>
              <w:rPr>
                <w:sz w:val="20"/>
                <w:szCs w:val="20"/>
                <w:color w:val="auto"/>
              </w:rPr>
            </w:pPr>
            <w:r>
              <w:rPr>
                <w:rFonts w:ascii="Courier New" w:cs="Courier New" w:eastAsia="Courier New" w:hAnsi="Courier New"/>
                <w:sz w:val="15"/>
                <w:szCs w:val="15"/>
                <w:color w:val="auto"/>
              </w:rPr>
              <w:t>For a discussion of the Company's 2001 acquisitions, refer to the financial</w:t>
            </w:r>
          </w:p>
        </w:tc>
        <w:tc>
          <w:tcPr>
            <w:tcW w:w="1360" w:type="dxa"/>
            <w:vAlign w:val="bottom"/>
          </w:tcPr>
          <w:p>
            <w:pPr>
              <w:spacing w:after="0"/>
              <w:rPr>
                <w:sz w:val="15"/>
                <w:szCs w:val="15"/>
                <w:color w:val="auto"/>
              </w:rPr>
            </w:pPr>
          </w:p>
        </w:tc>
      </w:tr>
      <w:tr>
        <w:trPr>
          <w:trHeight w:val="175"/>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w w:val="99"/>
              </w:rPr>
              <w:t>statements</w:t>
            </w:r>
          </w:p>
        </w:tc>
        <w:tc>
          <w:tcPr>
            <w:tcW w:w="17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included in the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Company's</w:t>
            </w:r>
          </w:p>
        </w:tc>
        <w:tc>
          <w:tcPr>
            <w:tcW w:w="4540" w:type="dxa"/>
            <w:vAlign w:val="bottom"/>
            <w:gridSpan w:val="7"/>
          </w:tcPr>
          <w:p>
            <w:pPr>
              <w:jc w:val="right"/>
              <w:ind w:right="1104"/>
              <w:spacing w:after="0"/>
              <w:rPr>
                <w:sz w:val="20"/>
                <w:szCs w:val="20"/>
                <w:color w:val="auto"/>
              </w:rPr>
            </w:pPr>
            <w:r>
              <w:rPr>
                <w:rFonts w:ascii="Courier New" w:cs="Courier New" w:eastAsia="Courier New" w:hAnsi="Courier New"/>
                <w:sz w:val="15"/>
                <w:szCs w:val="15"/>
                <w:color w:val="auto"/>
              </w:rPr>
              <w:t>Annual  Report on Form 10-K for the</w:t>
            </w:r>
          </w:p>
        </w:tc>
        <w:tc>
          <w:tcPr>
            <w:tcW w:w="1360" w:type="dxa"/>
            <w:vAlign w:val="bottom"/>
          </w:tcPr>
          <w:p>
            <w:pPr>
              <w:spacing w:after="0"/>
              <w:rPr>
                <w:sz w:val="15"/>
                <w:szCs w:val="15"/>
                <w:color w:val="auto"/>
              </w:rPr>
            </w:pPr>
          </w:p>
        </w:tc>
      </w:tr>
      <w:tr>
        <w:trPr>
          <w:trHeight w:val="175"/>
        </w:trPr>
        <w:tc>
          <w:tcPr>
            <w:tcW w:w="390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year  ended  December  31,  2001.This</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information</w:t>
            </w:r>
          </w:p>
        </w:tc>
        <w:tc>
          <w:tcPr>
            <w:tcW w:w="18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Courier New" w:cs="Courier New" w:eastAsia="Courier New" w:hAnsi="Courier New"/>
                <w:sz w:val="15"/>
                <w:szCs w:val="15"/>
                <w:color w:val="auto"/>
              </w:rPr>
              <w:t>is based on</w:t>
            </w:r>
          </w:p>
        </w:tc>
        <w:tc>
          <w:tcPr>
            <w:tcW w:w="208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7"/>
              </w:rPr>
              <w:t>historical</w:t>
            </w:r>
          </w:p>
        </w:tc>
        <w:tc>
          <w:tcPr>
            <w:tcW w:w="1360" w:type="dxa"/>
            <w:vAlign w:val="bottom"/>
          </w:tcPr>
          <w:p>
            <w:pPr>
              <w:spacing w:after="0"/>
              <w:rPr>
                <w:sz w:val="15"/>
                <w:szCs w:val="15"/>
                <w:color w:val="auto"/>
              </w:rPr>
            </w:pPr>
          </w:p>
        </w:tc>
      </w:tr>
      <w:tr>
        <w:trPr>
          <w:trHeight w:val="175"/>
        </w:trPr>
        <w:tc>
          <w:tcPr>
            <w:tcW w:w="23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results of operations</w:t>
            </w:r>
          </w:p>
        </w:tc>
        <w:tc>
          <w:tcPr>
            <w:tcW w:w="264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and has been adjusted for</w:t>
            </w:r>
          </w:p>
        </w:tc>
        <w:tc>
          <w:tcPr>
            <w:tcW w:w="1000" w:type="dxa"/>
            <w:vAlign w:val="bottom"/>
            <w:gridSpan w:val="3"/>
          </w:tcPr>
          <w:p>
            <w:pPr>
              <w:spacing w:after="0"/>
              <w:rPr>
                <w:sz w:val="20"/>
                <w:szCs w:val="20"/>
                <w:color w:val="auto"/>
              </w:rPr>
            </w:pPr>
            <w:r>
              <w:rPr>
                <w:rFonts w:ascii="Courier New" w:cs="Courier New" w:eastAsia="Courier New" w:hAnsi="Courier New"/>
                <w:sz w:val="15"/>
                <w:szCs w:val="15"/>
                <w:color w:val="auto"/>
                <w:w w:val="98"/>
              </w:rPr>
              <w:t>acquisition</w:t>
            </w:r>
          </w:p>
        </w:tc>
        <w:tc>
          <w:tcPr>
            <w:tcW w:w="244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costs.  This</w:t>
            </w:r>
          </w:p>
        </w:tc>
        <w:tc>
          <w:tcPr>
            <w:tcW w:w="1360" w:type="dxa"/>
            <w:vAlign w:val="bottom"/>
          </w:tcPr>
          <w:p>
            <w:pPr>
              <w:spacing w:after="0"/>
              <w:rPr>
                <w:sz w:val="15"/>
                <w:szCs w:val="15"/>
                <w:color w:val="auto"/>
              </w:rPr>
            </w:pPr>
          </w:p>
        </w:tc>
      </w:tr>
      <w:tr>
        <w:trPr>
          <w:trHeight w:val="175"/>
        </w:trPr>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information</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is not</w:t>
            </w:r>
          </w:p>
        </w:tc>
        <w:tc>
          <w:tcPr>
            <w:tcW w:w="1080" w:type="dxa"/>
            <w:vAlign w:val="bottom"/>
            <w:gridSpan w:val="3"/>
          </w:tcPr>
          <w:p>
            <w:pPr>
              <w:spacing w:after="0"/>
              <w:rPr>
                <w:sz w:val="20"/>
                <w:szCs w:val="20"/>
                <w:color w:val="auto"/>
              </w:rPr>
            </w:pPr>
            <w:r>
              <w:rPr>
                <w:rFonts w:ascii="Courier New" w:cs="Courier New" w:eastAsia="Courier New" w:hAnsi="Courier New"/>
                <w:sz w:val="15"/>
                <w:szCs w:val="15"/>
                <w:color w:val="auto"/>
              </w:rPr>
              <w:t>necessarily</w:t>
            </w:r>
          </w:p>
        </w:tc>
        <w:tc>
          <w:tcPr>
            <w:tcW w:w="5000" w:type="dxa"/>
            <w:vAlign w:val="bottom"/>
            <w:gridSpan w:val="8"/>
          </w:tcPr>
          <w:p>
            <w:pPr>
              <w:jc w:val="right"/>
              <w:ind w:right="1104"/>
              <w:spacing w:after="0"/>
              <w:rPr>
                <w:sz w:val="20"/>
                <w:szCs w:val="20"/>
                <w:color w:val="auto"/>
              </w:rPr>
            </w:pPr>
            <w:r>
              <w:rPr>
                <w:rFonts w:ascii="Courier New" w:cs="Courier New" w:eastAsia="Courier New" w:hAnsi="Courier New"/>
                <w:sz w:val="15"/>
                <w:szCs w:val="15"/>
                <w:color w:val="auto"/>
              </w:rPr>
              <w:t>indicative of what the results would have</w:t>
            </w:r>
          </w:p>
        </w:tc>
        <w:tc>
          <w:tcPr>
            <w:tcW w:w="1360" w:type="dxa"/>
            <w:vAlign w:val="bottom"/>
          </w:tcPr>
          <w:p>
            <w:pPr>
              <w:spacing w:after="0"/>
              <w:rPr>
                <w:sz w:val="15"/>
                <w:szCs w:val="15"/>
                <w:color w:val="auto"/>
              </w:rPr>
            </w:pPr>
          </w:p>
        </w:tc>
      </w:tr>
      <w:tr>
        <w:trPr>
          <w:trHeight w:val="175"/>
        </w:trPr>
        <w:tc>
          <w:tcPr>
            <w:tcW w:w="23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been had the Company</w:t>
            </w:r>
          </w:p>
        </w:tc>
        <w:tc>
          <w:tcPr>
            <w:tcW w:w="21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operated the entities</w:t>
            </w:r>
          </w:p>
        </w:tc>
        <w:tc>
          <w:tcPr>
            <w:tcW w:w="3900" w:type="dxa"/>
            <w:vAlign w:val="bottom"/>
            <w:gridSpan w:val="6"/>
          </w:tcPr>
          <w:p>
            <w:pPr>
              <w:jc w:val="right"/>
              <w:ind w:right="1104"/>
              <w:spacing w:after="0"/>
              <w:rPr>
                <w:sz w:val="20"/>
                <w:szCs w:val="20"/>
                <w:color w:val="auto"/>
              </w:rPr>
            </w:pPr>
            <w:r>
              <w:rPr>
                <w:rFonts w:ascii="Courier New" w:cs="Courier New" w:eastAsia="Courier New" w:hAnsi="Courier New"/>
                <w:sz w:val="15"/>
                <w:szCs w:val="15"/>
                <w:color w:val="auto"/>
                <w:w w:val="99"/>
              </w:rPr>
              <w:t>acquired since January 1, 2001</w:t>
            </w:r>
          </w:p>
        </w:tc>
        <w:tc>
          <w:tcPr>
            <w:tcW w:w="1360" w:type="dxa"/>
            <w:vAlign w:val="bottom"/>
          </w:tcPr>
          <w:p>
            <w:pPr>
              <w:spacing w:after="0"/>
              <w:rPr>
                <w:sz w:val="15"/>
                <w:szCs w:val="15"/>
                <w:color w:val="auto"/>
              </w:rPr>
            </w:pPr>
          </w:p>
        </w:tc>
      </w:tr>
      <w:tr>
        <w:trPr>
          <w:trHeight w:val="175"/>
        </w:trPr>
        <w:tc>
          <w:tcPr>
            <w:tcW w:w="4540" w:type="dxa"/>
            <w:vAlign w:val="bottom"/>
            <w:gridSpan w:val="8"/>
          </w:tcPr>
          <w:p>
            <w:pPr>
              <w:ind w:left="440"/>
              <w:spacing w:after="0"/>
              <w:rPr>
                <w:sz w:val="20"/>
                <w:szCs w:val="20"/>
                <w:color w:val="auto"/>
              </w:rPr>
            </w:pPr>
            <w:r>
              <w:rPr>
                <w:rFonts w:ascii="Courier New" w:cs="Courier New" w:eastAsia="Courier New" w:hAnsi="Courier New"/>
                <w:sz w:val="15"/>
                <w:szCs w:val="15"/>
                <w:color w:val="auto"/>
              </w:rPr>
              <w:t>(amounts in millions, except per share data).</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524"/>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right"/>
              <w:ind w:right="1104"/>
              <w:spacing w:after="0"/>
              <w:rPr>
                <w:sz w:val="20"/>
                <w:szCs w:val="20"/>
                <w:color w:val="auto"/>
              </w:rPr>
            </w:pPr>
            <w:r>
              <w:rPr>
                <w:rFonts w:ascii="Courier New" w:cs="Courier New" w:eastAsia="Courier New" w:hAnsi="Courier New"/>
                <w:sz w:val="15"/>
                <w:szCs w:val="15"/>
                <w:color w:val="auto"/>
              </w:rPr>
              <w:t>Three Months Ended</w:t>
            </w:r>
          </w:p>
        </w:tc>
        <w:tc>
          <w:tcPr>
            <w:tcW w:w="1360" w:type="dxa"/>
            <w:vAlign w:val="bottom"/>
          </w:tcPr>
          <w:p>
            <w:pPr>
              <w:spacing w:after="0"/>
              <w:rPr>
                <w:sz w:val="24"/>
                <w:szCs w:val="24"/>
                <w:color w:val="auto"/>
              </w:rPr>
            </w:pP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80" w:type="dxa"/>
            <w:vAlign w:val="bottom"/>
            <w:gridSpan w:val="3"/>
          </w:tcPr>
          <w:p>
            <w:pPr>
              <w:jc w:val="right"/>
              <w:ind w:right="1284"/>
              <w:spacing w:after="0"/>
              <w:rPr>
                <w:sz w:val="20"/>
                <w:szCs w:val="20"/>
                <w:color w:val="auto"/>
              </w:rPr>
            </w:pPr>
            <w:r>
              <w:rPr>
                <w:rFonts w:ascii="Courier New" w:cs="Courier New" w:eastAsia="Courier New" w:hAnsi="Courier New"/>
                <w:sz w:val="15"/>
                <w:szCs w:val="15"/>
                <w:color w:val="auto"/>
              </w:rPr>
              <w:t>March 31, 2001</w:t>
            </w:r>
          </w:p>
        </w:tc>
        <w:tc>
          <w:tcPr>
            <w:tcW w:w="136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4"/>
          </w:tcPr>
          <w:p>
            <w:pPr>
              <w:jc w:val="right"/>
              <w:ind w:right="128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r>
      <w:tr>
        <w:trPr>
          <w:trHeight w:val="524"/>
        </w:trPr>
        <w:tc>
          <w:tcPr>
            <w:tcW w:w="1620" w:type="dxa"/>
            <w:vAlign w:val="bottom"/>
            <w:gridSpan w:val="2"/>
          </w:tcPr>
          <w:p>
            <w:pPr>
              <w:ind w:left="440"/>
              <w:spacing w:after="0"/>
              <w:rPr>
                <w:sz w:val="20"/>
                <w:szCs w:val="20"/>
                <w:color w:val="auto"/>
              </w:rPr>
            </w:pPr>
            <w:r>
              <w:rPr>
                <w:rFonts w:ascii="Courier New" w:cs="Courier New" w:eastAsia="Courier New" w:hAnsi="Courier New"/>
                <w:sz w:val="4"/>
                <w:szCs w:val="4"/>
                <w:color w:val="auto"/>
                <w:w w:val="84"/>
              </w:rPr>
              <w:t>Revenues.................................................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2"/>
          </w:tcPr>
          <w:p>
            <w:pPr>
              <w:jc w:val="right"/>
              <w:ind w:right="1644"/>
              <w:spacing w:after="0"/>
              <w:rPr>
                <w:sz w:val="20"/>
                <w:szCs w:val="20"/>
                <w:color w:val="auto"/>
              </w:rPr>
            </w:pPr>
            <w:r>
              <w:rPr>
                <w:rFonts w:ascii="Courier New" w:cs="Courier New" w:eastAsia="Courier New" w:hAnsi="Courier New"/>
                <w:sz w:val="15"/>
                <w:szCs w:val="15"/>
                <w:color w:val="auto"/>
                <w:w w:val="97"/>
              </w:rPr>
              <w:t>$2,380.0</w:t>
            </w:r>
          </w:p>
        </w:tc>
        <w:tc>
          <w:tcPr>
            <w:tcW w:w="1360" w:type="dxa"/>
            <w:vAlign w:val="bottom"/>
          </w:tcPr>
          <w:p>
            <w:pPr>
              <w:spacing w:after="0"/>
              <w:rPr>
                <w:sz w:val="24"/>
                <w:szCs w:val="24"/>
                <w:color w:val="auto"/>
              </w:rPr>
            </w:pPr>
          </w:p>
        </w:tc>
      </w:tr>
      <w:tr>
        <w:trPr>
          <w:trHeight w:val="175"/>
        </w:trPr>
        <w:tc>
          <w:tcPr>
            <w:tcW w:w="5180" w:type="dxa"/>
            <w:vAlign w:val="bottom"/>
            <w:gridSpan w:val="10"/>
          </w:tcPr>
          <w:p>
            <w:pPr>
              <w:ind w:left="440"/>
              <w:spacing w:after="0"/>
              <w:rPr>
                <w:sz w:val="20"/>
                <w:szCs w:val="20"/>
                <w:color w:val="auto"/>
              </w:rPr>
            </w:pPr>
            <w:r>
              <w:rPr>
                <w:rFonts w:ascii="Courier New" w:cs="Courier New" w:eastAsia="Courier New" w:hAnsi="Courier New"/>
                <w:sz w:val="15"/>
                <w:szCs w:val="15"/>
                <w:color w:val="auto"/>
              </w:rPr>
              <w:t>Income before cumulative effect of accounting change</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2440" w:type="dxa"/>
            <w:vAlign w:val="bottom"/>
            <w:gridSpan w:val="2"/>
          </w:tcPr>
          <w:p>
            <w:pPr>
              <w:jc w:val="right"/>
              <w:ind w:right="1644"/>
              <w:spacing w:after="0"/>
              <w:rPr>
                <w:sz w:val="20"/>
                <w:szCs w:val="20"/>
                <w:color w:val="auto"/>
              </w:rPr>
            </w:pPr>
            <w:r>
              <w:rPr>
                <w:rFonts w:ascii="Courier New" w:cs="Courier New" w:eastAsia="Courier New" w:hAnsi="Courier New"/>
                <w:sz w:val="15"/>
                <w:szCs w:val="15"/>
                <w:color w:val="auto"/>
              </w:rPr>
              <w:t>$584.5</w:t>
            </w:r>
          </w:p>
        </w:tc>
        <w:tc>
          <w:tcPr>
            <w:tcW w:w="1360" w:type="dxa"/>
            <w:vAlign w:val="bottom"/>
          </w:tcPr>
          <w:p>
            <w:pPr>
              <w:spacing w:after="0"/>
              <w:rPr>
                <w:sz w:val="15"/>
                <w:szCs w:val="15"/>
                <w:color w:val="auto"/>
              </w:rPr>
            </w:pPr>
          </w:p>
        </w:tc>
      </w:tr>
      <w:tr>
        <w:trPr>
          <w:trHeight w:val="175"/>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w w:val="99"/>
              </w:rPr>
              <w:t>Net income</w:t>
            </w:r>
          </w:p>
        </w:tc>
        <w:tc>
          <w:tcPr>
            <w:tcW w:w="1000" w:type="dxa"/>
            <w:vAlign w:val="bottom"/>
            <w:gridSpan w:val="2"/>
          </w:tcPr>
          <w:p>
            <w:pPr>
              <w:spacing w:after="0"/>
              <w:rPr>
                <w:sz w:val="20"/>
                <w:szCs w:val="20"/>
                <w:color w:val="auto"/>
              </w:rPr>
            </w:pPr>
            <w:r>
              <w:rPr>
                <w:rFonts w:ascii="Courier New" w:cs="Courier New" w:eastAsia="Courier New" w:hAnsi="Courier New"/>
                <w:sz w:val="4"/>
                <w:szCs w:val="4"/>
                <w:color w:val="auto"/>
                <w:w w:val="86"/>
              </w:rPr>
              <w: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2"/>
          </w:tcPr>
          <w:p>
            <w:pPr>
              <w:jc w:val="right"/>
              <w:ind w:right="1644"/>
              <w:spacing w:after="0"/>
              <w:rPr>
                <w:sz w:val="20"/>
                <w:szCs w:val="20"/>
                <w:color w:val="auto"/>
              </w:rPr>
            </w:pPr>
            <w:r>
              <w:rPr>
                <w:rFonts w:ascii="Courier New" w:cs="Courier New" w:eastAsia="Courier New" w:hAnsi="Courier New"/>
                <w:sz w:val="15"/>
                <w:szCs w:val="15"/>
                <w:color w:val="auto"/>
              </w:rPr>
              <w:t>$969.0</w:t>
            </w:r>
          </w:p>
        </w:tc>
        <w:tc>
          <w:tcPr>
            <w:tcW w:w="1360" w:type="dxa"/>
            <w:vAlign w:val="bottom"/>
          </w:tcPr>
          <w:p>
            <w:pPr>
              <w:spacing w:after="0"/>
              <w:rPr>
                <w:sz w:val="15"/>
                <w:szCs w:val="15"/>
                <w:color w:val="auto"/>
              </w:rPr>
            </w:pPr>
          </w:p>
        </w:tc>
      </w:tr>
      <w:tr>
        <w:trPr>
          <w:trHeight w:val="175"/>
        </w:trPr>
        <w:tc>
          <w:tcPr>
            <w:tcW w:w="2360" w:type="dxa"/>
            <w:vAlign w:val="bottom"/>
            <w:gridSpan w:val="3"/>
          </w:tcPr>
          <w:p>
            <w:pPr>
              <w:ind w:left="440"/>
              <w:spacing w:after="0"/>
              <w:rPr>
                <w:sz w:val="20"/>
                <w:szCs w:val="20"/>
                <w:color w:val="auto"/>
              </w:rPr>
            </w:pPr>
            <w:r>
              <w:rPr>
                <w:rFonts w:ascii="Courier New" w:cs="Courier New" w:eastAsia="Courier New" w:hAnsi="Courier New"/>
                <w:sz w:val="6"/>
                <w:szCs w:val="6"/>
                <w:color w:val="auto"/>
                <w:w w:val="92"/>
              </w:rPr>
              <w:t>Diluted EPS..............................................</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2"/>
          </w:tcPr>
          <w:p>
            <w:pPr>
              <w:jc w:val="right"/>
              <w:ind w:right="1644"/>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spacing w:after="0"/>
              <w:rPr>
                <w:sz w:val="15"/>
                <w:szCs w:val="15"/>
                <w:color w:val="auto"/>
              </w:rPr>
            </w:pPr>
          </w:p>
        </w:tc>
      </w:tr>
      <w:tr>
        <w:trPr>
          <w:trHeight w:val="524"/>
        </w:trPr>
        <w:tc>
          <w:tcPr>
            <w:tcW w:w="262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Other Income (Expense)</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44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On January 1, 2001, the Company</w:t>
            </w:r>
          </w:p>
        </w:tc>
        <w:tc>
          <w:tcPr>
            <w:tcW w:w="2560" w:type="dxa"/>
            <w:vAlign w:val="bottom"/>
            <w:gridSpan w:val="6"/>
          </w:tcPr>
          <w:p>
            <w:pPr>
              <w:spacing w:after="0"/>
              <w:rPr>
                <w:sz w:val="20"/>
                <w:szCs w:val="20"/>
                <w:color w:val="auto"/>
              </w:rPr>
            </w:pPr>
            <w:r>
              <w:rPr>
                <w:rFonts w:ascii="Courier New" w:cs="Courier New" w:eastAsia="Courier New" w:hAnsi="Courier New"/>
                <w:sz w:val="15"/>
                <w:szCs w:val="15"/>
                <w:color w:val="auto"/>
              </w:rPr>
              <w:t>completed its cable systems</w:t>
            </w:r>
          </w:p>
        </w:tc>
        <w:tc>
          <w:tcPr>
            <w:tcW w:w="244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exchange with</w:t>
            </w:r>
          </w:p>
        </w:tc>
        <w:tc>
          <w:tcPr>
            <w:tcW w:w="1360" w:type="dxa"/>
            <w:vAlign w:val="bottom"/>
          </w:tcPr>
          <w:p>
            <w:pPr>
              <w:spacing w:after="0"/>
              <w:rPr>
                <w:sz w:val="15"/>
                <w:szCs w:val="15"/>
                <w:color w:val="auto"/>
              </w:rPr>
            </w:pPr>
          </w:p>
        </w:tc>
      </w:tr>
      <w:tr>
        <w:trPr>
          <w:trHeight w:val="175"/>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Adelphia</w:t>
            </w:r>
          </w:p>
        </w:tc>
        <w:tc>
          <w:tcPr>
            <w:tcW w:w="1260" w:type="dxa"/>
            <w:vAlign w:val="bottom"/>
            <w:gridSpan w:val="3"/>
          </w:tcPr>
          <w:p>
            <w:pPr>
              <w:spacing w:after="0"/>
              <w:rPr>
                <w:sz w:val="20"/>
                <w:szCs w:val="20"/>
                <w:color w:val="auto"/>
              </w:rPr>
            </w:pPr>
            <w:r>
              <w:rPr>
                <w:rFonts w:ascii="Courier New" w:cs="Courier New" w:eastAsia="Courier New" w:hAnsi="Courier New"/>
                <w:sz w:val="15"/>
                <w:szCs w:val="15"/>
                <w:color w:val="auto"/>
                <w:w w:val="98"/>
              </w:rPr>
              <w:t>Communications</w:t>
            </w:r>
          </w:p>
        </w:tc>
        <w:tc>
          <w:tcPr>
            <w:tcW w:w="12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Corporation</w:t>
            </w: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("Adelphia").</w:t>
            </w:r>
          </w:p>
        </w:tc>
        <w:tc>
          <w:tcPr>
            <w:tcW w:w="11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The Company</w:t>
            </w:r>
          </w:p>
        </w:tc>
        <w:tc>
          <w:tcPr>
            <w:tcW w:w="20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received</w:t>
            </w:r>
          </w:p>
        </w:tc>
        <w:tc>
          <w:tcPr>
            <w:tcW w:w="1360" w:type="dxa"/>
            <w:vAlign w:val="bottom"/>
          </w:tcPr>
          <w:p>
            <w:pPr>
              <w:spacing w:after="0"/>
              <w:rPr>
                <w:sz w:val="15"/>
                <w:szCs w:val="15"/>
                <w:color w:val="auto"/>
              </w:rPr>
            </w:pPr>
          </w:p>
        </w:tc>
      </w:tr>
      <w:tr>
        <w:trPr>
          <w:trHeight w:val="175"/>
        </w:trPr>
        <w:tc>
          <w:tcPr>
            <w:tcW w:w="23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cable systems serving</w:t>
            </w:r>
          </w:p>
        </w:tc>
        <w:tc>
          <w:tcPr>
            <w:tcW w:w="154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approximately</w:t>
            </w:r>
          </w:p>
        </w:tc>
        <w:tc>
          <w:tcPr>
            <w:tcW w:w="4540" w:type="dxa"/>
            <w:vAlign w:val="bottom"/>
            <w:gridSpan w:val="7"/>
          </w:tcPr>
          <w:p>
            <w:pPr>
              <w:jc w:val="right"/>
              <w:ind w:right="1104"/>
              <w:spacing w:after="0"/>
              <w:rPr>
                <w:sz w:val="20"/>
                <w:szCs w:val="20"/>
                <w:color w:val="auto"/>
              </w:rPr>
            </w:pPr>
            <w:r>
              <w:rPr>
                <w:rFonts w:ascii="Courier New" w:cs="Courier New" w:eastAsia="Courier New" w:hAnsi="Courier New"/>
                <w:sz w:val="15"/>
                <w:szCs w:val="15"/>
                <w:color w:val="auto"/>
              </w:rPr>
              <w:t>445,000 subscribers from Adelphia and</w:t>
            </w:r>
          </w:p>
        </w:tc>
        <w:tc>
          <w:tcPr>
            <w:tcW w:w="1360" w:type="dxa"/>
            <w:vAlign w:val="bottom"/>
          </w:tcPr>
          <w:p>
            <w:pPr>
              <w:spacing w:after="0"/>
              <w:rPr>
                <w:sz w:val="15"/>
                <w:szCs w:val="15"/>
                <w:color w:val="auto"/>
              </w:rPr>
            </w:pPr>
          </w:p>
        </w:tc>
      </w:tr>
      <w:tr>
        <w:trPr>
          <w:trHeight w:val="175"/>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rPr>
              <w:t>Adelphia</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received</w:t>
            </w:r>
          </w:p>
        </w:tc>
        <w:tc>
          <w:tcPr>
            <w:tcW w:w="7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certain</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of</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Company's</w:t>
            </w:r>
          </w:p>
        </w:tc>
        <w:tc>
          <w:tcPr>
            <w:tcW w:w="1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2680" w:type="dxa"/>
            <w:vAlign w:val="bottom"/>
            <w:gridSpan w:val="3"/>
          </w:tcPr>
          <w:p>
            <w:pPr>
              <w:jc w:val="right"/>
              <w:ind w:right="1104"/>
              <w:spacing w:after="0"/>
              <w:rPr>
                <w:sz w:val="20"/>
                <w:szCs w:val="20"/>
                <w:color w:val="auto"/>
              </w:rPr>
            </w:pPr>
            <w:r>
              <w:rPr>
                <w:rFonts w:ascii="Courier New" w:cs="Courier New" w:eastAsia="Courier New" w:hAnsi="Courier New"/>
                <w:sz w:val="15"/>
                <w:szCs w:val="15"/>
                <w:color w:val="auto"/>
              </w:rPr>
              <w:t>systems  serving</w:t>
            </w:r>
          </w:p>
        </w:tc>
        <w:tc>
          <w:tcPr>
            <w:tcW w:w="1360" w:type="dxa"/>
            <w:vAlign w:val="bottom"/>
          </w:tcPr>
          <w:p>
            <w:pPr>
              <w:spacing w:after="0"/>
              <w:rPr>
                <w:sz w:val="15"/>
                <w:szCs w:val="15"/>
                <w:color w:val="auto"/>
              </w:rPr>
            </w:pPr>
          </w:p>
        </w:tc>
      </w:tr>
      <w:tr>
        <w:trPr>
          <w:trHeight w:val="175"/>
        </w:trPr>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approximately</w:t>
            </w:r>
          </w:p>
        </w:tc>
        <w:tc>
          <w:tcPr>
            <w:tcW w:w="100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441,000</w:t>
            </w:r>
          </w:p>
        </w:tc>
        <w:tc>
          <w:tcPr>
            <w:tcW w:w="12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w w:val="99"/>
              </w:rPr>
              <w:t>subscribers.</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8"/>
              </w:rPr>
              <w:t>The Company</w:t>
            </w:r>
          </w:p>
        </w:tc>
        <w:tc>
          <w:tcPr>
            <w:tcW w:w="3440" w:type="dxa"/>
            <w:vAlign w:val="bottom"/>
            <w:gridSpan w:val="5"/>
          </w:tcPr>
          <w:p>
            <w:pPr>
              <w:jc w:val="right"/>
              <w:ind w:right="1104"/>
              <w:spacing w:after="0"/>
              <w:rPr>
                <w:sz w:val="20"/>
                <w:szCs w:val="20"/>
                <w:color w:val="auto"/>
              </w:rPr>
            </w:pPr>
            <w:r>
              <w:rPr>
                <w:rFonts w:ascii="Courier New" w:cs="Courier New" w:eastAsia="Courier New" w:hAnsi="Courier New"/>
                <w:sz w:val="15"/>
                <w:szCs w:val="15"/>
                <w:color w:val="auto"/>
              </w:rPr>
              <w:t>recorded to other income</w:t>
            </w:r>
          </w:p>
        </w:tc>
        <w:tc>
          <w:tcPr>
            <w:tcW w:w="1360" w:type="dxa"/>
            <w:vAlign w:val="bottom"/>
          </w:tcPr>
          <w:p>
            <w:pPr>
              <w:spacing w:after="0"/>
              <w:rPr>
                <w:sz w:val="15"/>
                <w:szCs w:val="15"/>
                <w:color w:val="auto"/>
              </w:rPr>
            </w:pPr>
          </w:p>
        </w:tc>
      </w:tr>
      <w:tr>
        <w:trPr>
          <w:trHeight w:val="175"/>
        </w:trPr>
        <w:tc>
          <w:tcPr>
            <w:tcW w:w="4540" w:type="dxa"/>
            <w:vAlign w:val="bottom"/>
            <w:gridSpan w:val="8"/>
          </w:tcPr>
          <w:p>
            <w:pPr>
              <w:ind w:left="440"/>
              <w:spacing w:after="0"/>
              <w:rPr>
                <w:sz w:val="20"/>
                <w:szCs w:val="20"/>
                <w:color w:val="auto"/>
              </w:rPr>
            </w:pPr>
            <w:r>
              <w:rPr>
                <w:rFonts w:ascii="Courier New" w:cs="Courier New" w:eastAsia="Courier New" w:hAnsi="Courier New"/>
                <w:sz w:val="15"/>
                <w:szCs w:val="15"/>
                <w:color w:val="auto"/>
              </w:rPr>
              <w:t>(expense) a pre-tax gain of $1.199  billion,</w:t>
            </w:r>
          </w:p>
        </w:tc>
        <w:tc>
          <w:tcPr>
            <w:tcW w:w="12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representing</w:t>
            </w:r>
          </w:p>
        </w:tc>
        <w:tc>
          <w:tcPr>
            <w:tcW w:w="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w:t>
            </w:r>
          </w:p>
        </w:tc>
        <w:tc>
          <w:tcPr>
            <w:tcW w:w="2080" w:type="dxa"/>
            <w:vAlign w:val="bottom"/>
          </w:tcPr>
          <w:p>
            <w:pPr>
              <w:jc w:val="right"/>
              <w:ind w:right="1104"/>
              <w:spacing w:after="0"/>
              <w:rPr>
                <w:sz w:val="20"/>
                <w:szCs w:val="20"/>
                <w:color w:val="auto"/>
              </w:rPr>
            </w:pPr>
            <w:r>
              <w:rPr>
                <w:rFonts w:ascii="Courier New" w:cs="Courier New" w:eastAsia="Courier New" w:hAnsi="Courier New"/>
                <w:sz w:val="15"/>
                <w:szCs w:val="15"/>
                <w:color w:val="auto"/>
                <w:w w:val="97"/>
              </w:rPr>
              <w:t>difference</w:t>
            </w:r>
          </w:p>
        </w:tc>
        <w:tc>
          <w:tcPr>
            <w:tcW w:w="1360" w:type="dxa"/>
            <w:vAlign w:val="bottom"/>
          </w:tcPr>
          <w:p>
            <w:pPr>
              <w:spacing w:after="0"/>
              <w:rPr>
                <w:sz w:val="15"/>
                <w:szCs w:val="15"/>
                <w:color w:val="auto"/>
              </w:rPr>
            </w:pPr>
          </w:p>
        </w:tc>
      </w:tr>
      <w:tr>
        <w:trPr>
          <w:trHeight w:val="175"/>
        </w:trPr>
        <w:tc>
          <w:tcPr>
            <w:tcW w:w="23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between the estimated</w:t>
            </w:r>
          </w:p>
        </w:tc>
        <w:tc>
          <w:tcPr>
            <w:tcW w:w="218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fair value of $1.799</w:t>
            </w:r>
          </w:p>
        </w:tc>
        <w:tc>
          <w:tcPr>
            <w:tcW w:w="3900" w:type="dxa"/>
            <w:vAlign w:val="bottom"/>
            <w:gridSpan w:val="6"/>
          </w:tcPr>
          <w:p>
            <w:pPr>
              <w:jc w:val="right"/>
              <w:ind w:right="1104"/>
              <w:spacing w:after="0"/>
              <w:rPr>
                <w:sz w:val="20"/>
                <w:szCs w:val="20"/>
                <w:color w:val="auto"/>
              </w:rPr>
            </w:pPr>
            <w:r>
              <w:rPr>
                <w:rFonts w:ascii="Courier New" w:cs="Courier New" w:eastAsia="Courier New" w:hAnsi="Courier New"/>
                <w:sz w:val="15"/>
                <w:szCs w:val="15"/>
                <w:color w:val="auto"/>
                <w:w w:val="99"/>
              </w:rPr>
              <w:t>billion as of the closing date</w:t>
            </w:r>
          </w:p>
        </w:tc>
        <w:tc>
          <w:tcPr>
            <w:tcW w:w="1360" w:type="dxa"/>
            <w:vAlign w:val="bottom"/>
          </w:tcPr>
          <w:p>
            <w:pPr>
              <w:spacing w:after="0"/>
              <w:rPr>
                <w:sz w:val="15"/>
                <w:szCs w:val="15"/>
                <w:color w:val="auto"/>
              </w:rPr>
            </w:pPr>
          </w:p>
        </w:tc>
      </w:tr>
      <w:tr>
        <w:trPr>
          <w:trHeight w:val="175"/>
        </w:trPr>
        <w:tc>
          <w:tcPr>
            <w:tcW w:w="23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of the  transaction</w:t>
            </w:r>
          </w:p>
        </w:tc>
        <w:tc>
          <w:tcPr>
            <w:tcW w:w="4000" w:type="dxa"/>
            <w:vAlign w:val="bottom"/>
            <w:gridSpan w:val="10"/>
          </w:tcPr>
          <w:p>
            <w:pPr>
              <w:spacing w:after="0"/>
              <w:rPr>
                <w:sz w:val="20"/>
                <w:szCs w:val="20"/>
                <w:color w:val="auto"/>
              </w:rPr>
            </w:pPr>
            <w:r>
              <w:rPr>
                <w:rFonts w:ascii="Courier New" w:cs="Courier New" w:eastAsia="Courier New" w:hAnsi="Courier New"/>
                <w:sz w:val="15"/>
                <w:szCs w:val="15"/>
                <w:color w:val="auto"/>
              </w:rPr>
              <w:t>and the Company's cost basis in the systems</w:t>
            </w:r>
          </w:p>
        </w:tc>
        <w:tc>
          <w:tcPr>
            <w:tcW w:w="20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exchanged</w:t>
            </w:r>
          </w:p>
        </w:tc>
        <w:tc>
          <w:tcPr>
            <w:tcW w:w="1360" w:type="dxa"/>
            <w:vAlign w:val="bottom"/>
          </w:tcPr>
          <w:p>
            <w:pPr>
              <w:spacing w:after="0"/>
              <w:rPr>
                <w:sz w:val="15"/>
                <w:szCs w:val="15"/>
                <w:color w:val="auto"/>
              </w:rPr>
            </w:pPr>
          </w:p>
        </w:tc>
      </w:tr>
      <w:tr>
        <w:trPr>
          <w:trHeight w:val="175"/>
        </w:trPr>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(see Note 9).</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0"/>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5.   INVESTMENTS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99"/>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March 31,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(Dollars in millions)</w:t>
            </w:r>
          </w:p>
        </w:tc>
      </w:tr>
      <w:tr>
        <w:trPr>
          <w:trHeight w:val="350"/>
        </w:trPr>
        <w:tc>
          <w:tcPr>
            <w:tcW w:w="262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Fair value method</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0"/>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Courier New" w:cs="Courier New" w:eastAsia="Courier New" w:hAnsi="Courier New"/>
                <w:sz w:val="6"/>
                <w:szCs w:val="6"/>
                <w:color w:val="auto"/>
                <w:w w:val="75"/>
              </w:rPr>
              <w:t>AT&amp;T Corp............................................</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$1,311.2</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$1,514.9</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Courier New" w:cs="Courier New" w:eastAsia="Courier New" w:hAnsi="Courier New"/>
                <w:sz w:val="13"/>
                <w:szCs w:val="13"/>
                <w:color w:val="auto"/>
                <w:w w:val="70"/>
              </w:rPr>
              <w:t>Sprint Corp. PCS Group...............................</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1,168.9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2,109.5</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4"/>
                <w:szCs w:val="4"/>
                <w:color w:val="auto"/>
                <w:w w:val="77"/>
              </w:rPr>
              <w:t>Other................................................</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136.1</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2,596.7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3,760.5</w:t>
            </w:r>
          </w:p>
        </w:tc>
      </w:tr>
      <w:tr>
        <w:trPr>
          <w:trHeight w:val="175"/>
        </w:trPr>
        <w:tc>
          <w:tcPr>
            <w:tcW w:w="2620" w:type="dxa"/>
            <w:vAlign w:val="bottom"/>
            <w:gridSpan w:val="4"/>
          </w:tcPr>
          <w:p>
            <w:pPr>
              <w:ind w:left="1000"/>
              <w:spacing w:after="0"/>
              <w:rPr>
                <w:sz w:val="20"/>
                <w:szCs w:val="20"/>
                <w:color w:val="auto"/>
              </w:rPr>
            </w:pPr>
            <w:r>
              <w:rPr>
                <w:rFonts w:ascii="Courier New" w:cs="Courier New" w:eastAsia="Courier New" w:hAnsi="Courier New"/>
                <w:sz w:val="6"/>
                <w:szCs w:val="6"/>
                <w:color w:val="auto"/>
                <w:w w:val="74"/>
              </w:rPr>
              <w:t>Cost method.................................................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155.2</w:t>
            </w:r>
          </w:p>
        </w:tc>
      </w:tr>
      <w:tr>
        <w:trPr>
          <w:trHeight w:val="175"/>
        </w:trPr>
        <w:tc>
          <w:tcPr>
            <w:tcW w:w="2620" w:type="dxa"/>
            <w:vAlign w:val="bottom"/>
            <w:gridSpan w:val="4"/>
          </w:tcPr>
          <w:p>
            <w:pPr>
              <w:ind w:left="1000"/>
              <w:spacing w:after="0"/>
              <w:rPr>
                <w:sz w:val="20"/>
                <w:szCs w:val="20"/>
                <w:color w:val="auto"/>
              </w:rPr>
            </w:pPr>
            <w:r>
              <w:rPr>
                <w:rFonts w:ascii="Courier New" w:cs="Courier New" w:eastAsia="Courier New" w:hAnsi="Courier New"/>
                <w:sz w:val="6"/>
                <w:szCs w:val="6"/>
                <w:color w:val="auto"/>
                <w:w w:val="74"/>
              </w:rPr>
              <w:t>Equity method...............................................</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386.7</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spacing w:after="0"/>
              <w:rPr>
                <w:sz w:val="20"/>
                <w:szCs w:val="20"/>
                <w:color w:val="auto"/>
              </w:rPr>
            </w:pPr>
            <w:r>
              <w:rPr>
                <w:rFonts w:ascii="Courier New" w:cs="Courier New" w:eastAsia="Courier New" w:hAnsi="Courier New"/>
                <w:sz w:val="10"/>
                <w:szCs w:val="10"/>
                <w:color w:val="auto"/>
                <w:w w:val="71"/>
              </w:rPr>
              <w:t>Total investments....................................</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3,152.7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4,302.4</w:t>
            </w:r>
          </w:p>
        </w:tc>
      </w:tr>
      <w:tr>
        <w:trPr>
          <w:trHeight w:val="350"/>
        </w:trPr>
        <w:tc>
          <w:tcPr>
            <w:tcW w:w="3900" w:type="dxa"/>
            <w:vAlign w:val="bottom"/>
            <w:gridSpan w:val="7"/>
          </w:tcPr>
          <w:p>
            <w:pPr>
              <w:ind w:left="1000"/>
              <w:spacing w:after="0"/>
              <w:rPr>
                <w:sz w:val="20"/>
                <w:szCs w:val="20"/>
                <w:color w:val="auto"/>
              </w:rPr>
            </w:pPr>
            <w:r>
              <w:rPr>
                <w:rFonts w:ascii="Courier New" w:cs="Courier New" w:eastAsia="Courier New" w:hAnsi="Courier New"/>
                <w:sz w:val="11"/>
                <w:szCs w:val="11"/>
                <w:color w:val="auto"/>
                <w:w w:val="72"/>
              </w:rPr>
              <w:t>Less, current investments...................................</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2,087.4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2,623.2</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gridSpan w:val="5"/>
          </w:tcPr>
          <w:p>
            <w:pPr>
              <w:ind w:left="1000"/>
              <w:spacing w:after="0"/>
              <w:rPr>
                <w:sz w:val="20"/>
                <w:szCs w:val="20"/>
                <w:color w:val="auto"/>
              </w:rPr>
            </w:pPr>
            <w:r>
              <w:rPr>
                <w:rFonts w:ascii="Courier New" w:cs="Courier New" w:eastAsia="Courier New" w:hAnsi="Courier New"/>
                <w:sz w:val="15"/>
                <w:szCs w:val="15"/>
                <w:color w:val="auto"/>
                <w:w w:val="99"/>
              </w:rPr>
              <w:t>Non-current investments</w:t>
            </w:r>
          </w:p>
        </w:tc>
        <w:tc>
          <w:tcPr>
            <w:tcW w:w="8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2"/>
              </w:rPr>
              <w:t>.....................................</w:t>
            </w: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$1,065.3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$1,679.2</w:t>
            </w:r>
          </w:p>
        </w:tc>
      </w:tr>
      <w:tr>
        <w:trPr>
          <w:trHeight w:val="175"/>
        </w:trPr>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4"/>
        </w:trPr>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643" w:right="1440" w:bottom="1440" w:gutter="0" w:footer="0" w:header="0"/>
        </w:sectPr>
      </w:pPr>
    </w:p>
    <w:bookmarkStart w:id="9" w:name="page10"/>
    <w:bookmarkEnd w:id="9"/>
    <w:p>
      <w:pPr>
        <w:jc w:val="center"/>
        <w:ind w:right="339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Method</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which it accounts for as available for sale or trading securities. The unrealized pre-tax gains on available for sale investments as of March 31, 2002 and December 31, 2001 of $70.7 million and $280.3 million, respectively, have been reported in the Company's balance sheet principally as a component of accumulated other comprehensive income (loss), net of related deferred income taxes of $24.7 million and $95.3 million, respectively.</w:t>
      </w:r>
    </w:p>
    <w:p>
      <w:pPr>
        <w:spacing w:after="0" w:line="180" w:lineRule="exact"/>
        <w:rPr>
          <w:sz w:val="20"/>
          <w:szCs w:val="20"/>
          <w:color w:val="auto"/>
        </w:rPr>
      </w:pPr>
    </w:p>
    <w:p>
      <w:pPr>
        <w:spacing w:after="0"/>
        <w:tabs>
          <w:tab w:leader="none" w:pos="2900" w:val="left"/>
          <w:tab w:leader="none" w:pos="3980" w:val="left"/>
        </w:tabs>
        <w:rPr>
          <w:sz w:val="20"/>
          <w:szCs w:val="20"/>
          <w:color w:val="auto"/>
        </w:rPr>
      </w:pPr>
      <w:r>
        <w:rPr>
          <w:rFonts w:ascii="Courier New" w:cs="Courier New" w:eastAsia="Courier New" w:hAnsi="Courier New"/>
          <w:sz w:val="15"/>
          <w:szCs w:val="15"/>
          <w:color w:val="auto"/>
        </w:rPr>
        <w:t>The cost, fair value and gross</w:t>
        <w:tab/>
        <w:t>unrealized</w:t>
        <w:tab/>
        <w:t>gains and losses related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available for sale securities are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6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March 31,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December 31,</w:t>
            </w:r>
          </w:p>
        </w:tc>
      </w:tr>
      <w:tr>
        <w:trPr>
          <w:trHeight w:val="175"/>
        </w:trPr>
        <w:tc>
          <w:tcPr>
            <w:tcW w:w="4460" w:type="dxa"/>
            <w:vAlign w:val="bottom"/>
          </w:tcPr>
          <w:p>
            <w:pPr>
              <w:spacing w:after="0"/>
              <w:rPr>
                <w:sz w:val="15"/>
                <w:szCs w:val="15"/>
                <w:color w:val="auto"/>
              </w:rPr>
            </w:pPr>
          </w:p>
        </w:tc>
        <w:tc>
          <w:tcPr>
            <w:tcW w:w="16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446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60" w:type="dxa"/>
            <w:vAlign w:val="bottom"/>
          </w:tcPr>
          <w:p>
            <w:pPr>
              <w:spacing w:after="0"/>
              <w:rPr>
                <w:sz w:val="15"/>
                <w:szCs w:val="15"/>
                <w:color w:val="auto"/>
              </w:rPr>
            </w:pPr>
          </w:p>
        </w:tc>
        <w:tc>
          <w:tcPr>
            <w:tcW w:w="31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(Dollars in millions)</w:t>
            </w:r>
          </w:p>
        </w:tc>
      </w:tr>
      <w:tr>
        <w:trPr>
          <w:trHeight w:val="524"/>
        </w:trPr>
        <w:tc>
          <w:tcPr>
            <w:tcW w:w="446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$1,343.6</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$1,355.0</w:t>
            </w:r>
          </w:p>
        </w:tc>
      </w:tr>
      <w:tr>
        <w:trPr>
          <w:trHeight w:val="175"/>
        </w:trPr>
        <w:tc>
          <w:tcPr>
            <w:tcW w:w="446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71.1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283.2</w:t>
            </w:r>
          </w:p>
        </w:tc>
      </w:tr>
      <w:tr>
        <w:trPr>
          <w:trHeight w:val="175"/>
        </w:trPr>
        <w:tc>
          <w:tcPr>
            <w:tcW w:w="4460" w:type="dxa"/>
            <w:vAlign w:val="bottom"/>
          </w:tcPr>
          <w:p>
            <w:pPr>
              <w:spacing w:after="0"/>
              <w:rPr>
                <w:sz w:val="20"/>
                <w:szCs w:val="20"/>
                <w:color w:val="auto"/>
              </w:rPr>
            </w:pPr>
            <w:r>
              <w:rPr>
                <w:rFonts w:ascii="Courier New" w:cs="Courier New" w:eastAsia="Courier New" w:hAnsi="Courier New"/>
                <w:sz w:val="15"/>
                <w:szCs w:val="15"/>
                <w:color w:val="auto"/>
              </w:rPr>
              <w:t>Gross unrealized losses.......................</w:t>
            </w:r>
          </w:p>
        </w:tc>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5"/>
        </w:trPr>
        <w:tc>
          <w:tcPr>
            <w:tcW w:w="446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46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$1,414.3</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$1,635.3</w:t>
            </w:r>
          </w:p>
        </w:tc>
      </w:tr>
      <w:tr>
        <w:trPr>
          <w:trHeight w:val="175"/>
        </w:trPr>
        <w:tc>
          <w:tcPr>
            <w:tcW w:w="4460" w:type="dxa"/>
            <w:vAlign w:val="bottom"/>
          </w:tcPr>
          <w:p>
            <w:pPr>
              <w:spacing w:after="0"/>
              <w:rPr>
                <w:sz w:val="15"/>
                <w:szCs w:val="15"/>
                <w:color w:val="auto"/>
              </w:rPr>
            </w:pPr>
          </w:p>
        </w:tc>
        <w:tc>
          <w:tcPr>
            <w:tcW w:w="16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Derivatives</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Company uses derivative financial instruments to manage its exposure to fluctuations in interest rates, securities prices and certain foreign currencies. The Company also invests in businesses, to some degree, through the purchase of equity call option or call warrant agreements. The Company has issued indexed debt instruments and prepaid forward sale agreements whose value, in part, is derived from the market value of Sprint PCS common stock.</w:t>
      </w:r>
    </w:p>
    <w:p>
      <w:pPr>
        <w:spacing w:after="0" w:line="179"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unrealized pre-tax losses on cash flow hedges as of March 31, 2002 and December 31, 2001 of $7.4 million and $0.9 million have been reported in the Company's balance sheet as a component of accumulated other comprehensive income (loss), net of related deferred income taxes of $2.6 million and $0.3 million, respectively.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Income (Expense)</w:t>
      </w:r>
    </w:p>
    <w:p>
      <w:pPr>
        <w:spacing w:after="0" w:line="5"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Investment income (expense)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27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5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spacing w:after="0"/>
              <w:rPr>
                <w:sz w:val="15"/>
                <w:szCs w:val="15"/>
                <w:color w:val="auto"/>
              </w:rPr>
            </w:pPr>
          </w:p>
        </w:tc>
      </w:tr>
      <w:tr>
        <w:trPr>
          <w:trHeight w:val="175"/>
        </w:trPr>
        <w:tc>
          <w:tcPr>
            <w:tcW w:w="6500" w:type="dxa"/>
            <w:vAlign w:val="bottom"/>
          </w:tcPr>
          <w:p>
            <w:pPr>
              <w:spacing w:after="0"/>
              <w:rPr>
                <w:sz w:val="15"/>
                <w:szCs w:val="15"/>
                <w:color w:val="auto"/>
              </w:rPr>
            </w:pPr>
          </w:p>
        </w:tc>
        <w:tc>
          <w:tcPr>
            <w:tcW w:w="18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6500" w:type="dxa"/>
            <w:vAlign w:val="bottom"/>
          </w:tcPr>
          <w:p>
            <w:pPr>
              <w:spacing w:after="0"/>
              <w:rPr>
                <w:sz w:val="15"/>
                <w:szCs w:val="15"/>
                <w:color w:val="auto"/>
              </w:rPr>
            </w:pP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tcPr>
          <w:p>
            <w:pPr>
              <w:spacing w:after="0"/>
              <w:rPr>
                <w:sz w:val="20"/>
                <w:szCs w:val="20"/>
                <w:color w:val="auto"/>
              </w:rPr>
            </w:pPr>
            <w:r>
              <w:rPr>
                <w:rFonts w:ascii="Courier New" w:cs="Courier New" w:eastAsia="Courier New" w:hAnsi="Courier New"/>
                <w:sz w:val="15"/>
                <w:szCs w:val="15"/>
                <w:color w:val="auto"/>
              </w:rPr>
              <w:t>Interest and dividend income..........................................</w:t>
            </w: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Gains on sales and exchanges of investments, net......................</w:t>
            </w: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Investment impairment losses..........................................</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(894.1)</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Reclassification of unrealized gains..................................</w:t>
            </w:r>
          </w:p>
        </w:tc>
        <w:tc>
          <w:tcPr>
            <w:tcW w:w="18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1,092.4</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Unrealized losses on Sprint PCS common stock..........................</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(1,019.5)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(126.8)</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 related to Sprint PCS</w:t>
            </w:r>
          </w:p>
        </w:tc>
        <w:tc>
          <w:tcPr>
            <w:tcW w:w="18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500" w:type="dxa"/>
            <w:vAlign w:val="bottom"/>
          </w:tcPr>
          <w:p>
            <w:pPr>
              <w:ind w:left="460"/>
              <w:spacing w:after="0"/>
              <w:rPr>
                <w:sz w:val="20"/>
                <w:szCs w:val="20"/>
                <w:color w:val="auto"/>
              </w:rPr>
            </w:pPr>
            <w:r>
              <w:rPr>
                <w:rFonts w:ascii="Courier New" w:cs="Courier New" w:eastAsia="Courier New" w:hAnsi="Courier New"/>
                <w:sz w:val="15"/>
                <w:szCs w:val="15"/>
                <w:color w:val="auto"/>
              </w:rPr>
              <w:t>common stock.....................................................</w:t>
            </w: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846.9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126.4</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 and hedged items............</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5"/>
        </w:trPr>
        <w:tc>
          <w:tcPr>
            <w:tcW w:w="6500" w:type="dxa"/>
            <w:vAlign w:val="bottom"/>
          </w:tcPr>
          <w:p>
            <w:pPr>
              <w:spacing w:after="0"/>
              <w:rPr>
                <w:sz w:val="15"/>
                <w:szCs w:val="15"/>
                <w:color w:val="auto"/>
              </w:rPr>
            </w:pP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tcPr>
          <w:p>
            <w:pPr>
              <w:ind w:left="380"/>
              <w:spacing w:after="0"/>
              <w:rPr>
                <w:sz w:val="20"/>
                <w:szCs w:val="20"/>
                <w:color w:val="auto"/>
              </w:rPr>
            </w:pPr>
            <w:r>
              <w:rPr>
                <w:rFonts w:ascii="Courier New" w:cs="Courier New" w:eastAsia="Courier New" w:hAnsi="Courier New"/>
                <w:sz w:val="15"/>
                <w:szCs w:val="15"/>
                <w:color w:val="auto"/>
              </w:rPr>
              <w:t>Investment income (expense)......................................</w:t>
            </w: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($248.0)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$214.7</w:t>
            </w:r>
          </w:p>
        </w:tc>
      </w:tr>
      <w:tr>
        <w:trPr>
          <w:trHeight w:val="175"/>
        </w:trPr>
        <w:tc>
          <w:tcPr>
            <w:tcW w:w="6500" w:type="dxa"/>
            <w:vAlign w:val="bottom"/>
          </w:tcPr>
          <w:p>
            <w:pPr>
              <w:spacing w:after="0"/>
              <w:rPr>
                <w:sz w:val="15"/>
                <w:szCs w:val="15"/>
                <w:color w:val="auto"/>
              </w:rPr>
            </w:pPr>
          </w:p>
        </w:tc>
        <w:tc>
          <w:tcPr>
            <w:tcW w:w="182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The investment impairment loss for the three months ended March 31, 2001 relates principally to an other than temporary decline in the Company's investment in AT&amp;T.</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468" w:right="1440" w:bottom="1440" w:gutter="0" w:footer="0" w:header="0"/>
        </w:sectPr>
      </w:pPr>
    </w:p>
    <w:bookmarkStart w:id="10" w:name="page11"/>
    <w:bookmarkEnd w:id="10"/>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left="447" w:hanging="447"/>
        <w:spacing w:after="0"/>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INTANGIBLE ASSETS</w:t>
      </w:r>
    </w:p>
    <w:p>
      <w:pPr>
        <w:spacing w:after="0" w:line="179" w:lineRule="exact"/>
        <w:rPr>
          <w:rFonts w:ascii="Courier New" w:cs="Courier New" w:eastAsia="Courier New" w:hAnsi="Courier New"/>
          <w:sz w:val="15"/>
          <w:szCs w:val="15"/>
          <w:color w:val="auto"/>
        </w:rPr>
      </w:pPr>
    </w:p>
    <w:p>
      <w:pPr>
        <w:ind w:left="4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changes in the carrying amount of goodwill by business segment (see Note 11) for the periods presented are as follows (in millions):</w:t>
      </w:r>
    </w:p>
    <w:p>
      <w:pPr>
        <w:spacing w:after="0" w:line="200" w:lineRule="exact"/>
        <w:rPr>
          <w:sz w:val="20"/>
          <w:szCs w:val="20"/>
          <w:color w:val="auto"/>
        </w:rPr>
      </w:pPr>
    </w:p>
    <w:p>
      <w:pPr>
        <w:spacing w:after="0" w:line="324"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Corporate</w:t>
            </w:r>
          </w:p>
        </w:tc>
        <w:tc>
          <w:tcPr>
            <w:tcW w:w="1240" w:type="dxa"/>
            <w:vAlign w:val="bottom"/>
          </w:tcPr>
          <w:p>
            <w:pPr>
              <w:spacing w:after="0"/>
              <w:rPr>
                <w:sz w:val="14"/>
                <w:szCs w:val="14"/>
                <w:color w:val="auto"/>
              </w:rPr>
            </w:pPr>
          </w:p>
        </w:tc>
      </w:tr>
      <w:tr>
        <w:trPr>
          <w:trHeight w:val="175"/>
        </w:trPr>
        <w:tc>
          <w:tcPr>
            <w:tcW w:w="4420" w:type="dxa"/>
            <w:vAlign w:val="bottom"/>
          </w:tcPr>
          <w:p>
            <w:pPr>
              <w:spacing w:after="0"/>
              <w:rPr>
                <w:sz w:val="15"/>
                <w:szCs w:val="15"/>
                <w:color w:val="auto"/>
              </w:rPr>
            </w:pPr>
          </w:p>
        </w:tc>
        <w:tc>
          <w:tcPr>
            <w:tcW w:w="13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Cable</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Commerce</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and Other</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44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2001......................</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$4,688.4</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$834.8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$6,289.4</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Purchase price allocation adjustments.......</w:t>
            </w:r>
          </w:p>
        </w:tc>
        <w:tc>
          <w:tcPr>
            <w:tcW w:w="1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151.8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151.8</w:t>
            </w:r>
          </w:p>
        </w:tc>
      </w:tr>
      <w:tr>
        <w:trPr>
          <w:trHeight w:val="175"/>
        </w:trPr>
        <w:tc>
          <w:tcPr>
            <w:tcW w:w="44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Balance, March 31, 2002.........................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$4,688.4</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$834.8</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$918.0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$6,441.2</w:t>
            </w:r>
          </w:p>
        </w:tc>
      </w:tr>
      <w:tr>
        <w:trPr>
          <w:trHeight w:val="175"/>
        </w:trPr>
        <w:tc>
          <w:tcPr>
            <w:tcW w:w="44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During the three months ended March 31, 2002, the Company recorded the final purchase price allocation related to the Company's acquisition, on October 30, 2001, of Outdoor Life Network, which resulted in an increase in goodwill and a corresponding decrease in cable and satellite television distribution rights.</w:t>
      </w:r>
    </w:p>
    <w:p>
      <w:pPr>
        <w:spacing w:after="0" w:line="178" w:lineRule="exact"/>
        <w:rPr>
          <w:sz w:val="20"/>
          <w:szCs w:val="20"/>
          <w:color w:val="auto"/>
        </w:rPr>
      </w:pPr>
    </w:p>
    <w:p>
      <w:pPr>
        <w:jc w:val="both"/>
        <w:ind w:left="447" w:right="2959"/>
        <w:spacing w:after="0" w:line="246" w:lineRule="auto"/>
        <w:rPr>
          <w:sz w:val="20"/>
          <w:szCs w:val="20"/>
          <w:color w:val="auto"/>
        </w:rPr>
      </w:pPr>
      <w:r>
        <w:rPr>
          <w:rFonts w:ascii="Courier New" w:cs="Courier New" w:eastAsia="Courier New" w:hAnsi="Courier New"/>
          <w:sz w:val="15"/>
          <w:szCs w:val="15"/>
          <w:color w:val="auto"/>
        </w:rPr>
        <w:t>As of March 31, 2002, the weighted average amortization period for the Company's intangible assets subject to amortization is 8.3 years and estimated related amortization expense for each of the five years ended December 31 is as follows (in millions):</w:t>
      </w:r>
    </w:p>
    <w:p>
      <w:pPr>
        <w:spacing w:after="0" w:line="352" w:lineRule="exact"/>
        <w:rPr>
          <w:sz w:val="20"/>
          <w:szCs w:val="20"/>
          <w:color w:val="auto"/>
        </w:rPr>
      </w:pPr>
    </w:p>
    <w:tbl>
      <w:tblPr>
        <w:tblLayout w:type="fixed"/>
        <w:tblInd w:w="1367" w:type="dxa"/>
        <w:tblCellMar>
          <w:top w:w="0" w:type="dxa"/>
          <w:left w:w="0" w:type="dxa"/>
          <w:bottom w:w="0" w:type="dxa"/>
          <w:right w:w="0" w:type="dxa"/>
        </w:tblCellMar>
      </w:tblPr>
      <w:tr>
        <w:trPr>
          <w:trHeight w:val="170"/>
        </w:trPr>
        <w:tc>
          <w:tcPr>
            <w:tcW w:w="34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$202.8</w:t>
            </w:r>
          </w:p>
        </w:tc>
      </w:tr>
      <w:tr>
        <w:trPr>
          <w:trHeight w:val="175"/>
        </w:trPr>
        <w:tc>
          <w:tcPr>
            <w:tcW w:w="34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$192.9</w:t>
            </w:r>
          </w:p>
        </w:tc>
      </w:tr>
      <w:tr>
        <w:trPr>
          <w:trHeight w:val="175"/>
        </w:trPr>
        <w:tc>
          <w:tcPr>
            <w:tcW w:w="34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$171.3</w:t>
            </w:r>
          </w:p>
        </w:tc>
      </w:tr>
      <w:tr>
        <w:trPr>
          <w:trHeight w:val="175"/>
        </w:trPr>
        <w:tc>
          <w:tcPr>
            <w:tcW w:w="34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$156.4</w:t>
            </w:r>
          </w:p>
        </w:tc>
      </w:tr>
      <w:tr>
        <w:trPr>
          <w:trHeight w:val="175"/>
        </w:trPr>
        <w:tc>
          <w:tcPr>
            <w:tcW w:w="34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2006............................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$134.7</w:t>
            </w:r>
          </w:p>
        </w:tc>
      </w:tr>
    </w:tbl>
    <w:p>
      <w:pPr>
        <w:spacing w:after="0" w:line="179" w:lineRule="exact"/>
        <w:rPr>
          <w:sz w:val="20"/>
          <w:szCs w:val="20"/>
          <w:color w:val="auto"/>
        </w:rPr>
      </w:pPr>
    </w:p>
    <w:p>
      <w:pPr>
        <w:jc w:val="both"/>
        <w:ind w:left="447" w:right="2959"/>
        <w:spacing w:after="0" w:line="247" w:lineRule="auto"/>
        <w:rPr>
          <w:sz w:val="20"/>
          <w:szCs w:val="20"/>
          <w:color w:val="auto"/>
        </w:rPr>
      </w:pPr>
      <w:r>
        <w:rPr>
          <w:rFonts w:ascii="Courier New" w:cs="Courier New" w:eastAsia="Courier New" w:hAnsi="Courier New"/>
          <w:sz w:val="15"/>
          <w:szCs w:val="15"/>
          <w:color w:val="auto"/>
        </w:rPr>
        <w:t>The following pro forma financial information for the three months ended March 31, 2001 is presented as if SFAS No. 142 was adopted as of January 1, 2001 (amounts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Net</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Basic</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r>
      <w:tr>
        <w:trPr>
          <w:trHeight w:val="175"/>
        </w:trPr>
        <w:tc>
          <w:tcPr>
            <w:tcW w:w="610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EPS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EPS</w:t>
            </w:r>
          </w:p>
        </w:tc>
      </w:tr>
      <w:tr>
        <w:trPr>
          <w:trHeight w:val="175"/>
        </w:trPr>
        <w:tc>
          <w:tcPr>
            <w:tcW w:w="61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$1,001.2</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5"/>
        </w:trPr>
        <w:tc>
          <w:tcPr>
            <w:tcW w:w="6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of goodwill....................................</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72.6</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5"/>
        </w:trPr>
        <w:tc>
          <w:tcPr>
            <w:tcW w:w="6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of equity method goodwill......................</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6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Amortization of cable and sports franchise operating rights.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254.7</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5"/>
        </w:trPr>
        <w:tc>
          <w:tcPr>
            <w:tcW w:w="61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 adjusted......................................................</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$1,332.8</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5"/>
        </w:trPr>
        <w:tc>
          <w:tcPr>
            <w:tcW w:w="61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100" w:type="dxa"/>
            <w:vAlign w:val="bottom"/>
          </w:tcPr>
          <w:p>
            <w:pPr>
              <w:jc w:val="right"/>
              <w:ind w:right="2924"/>
              <w:spacing w:after="0"/>
              <w:rPr>
                <w:sz w:val="20"/>
                <w:szCs w:val="20"/>
                <w:color w:val="auto"/>
              </w:rPr>
            </w:pPr>
            <w:r>
              <w:rPr>
                <w:rFonts w:ascii="Courier New" w:cs="Courier New" w:eastAsia="Courier New" w:hAnsi="Courier New"/>
                <w:sz w:val="15"/>
                <w:szCs w:val="15"/>
                <w:color w:val="auto"/>
              </w:rPr>
              <w:t>Income before cumulative effect of</w:t>
            </w:r>
          </w:p>
        </w:tc>
        <w:tc>
          <w:tcPr>
            <w:tcW w:w="1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6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accounting change, as adjusted..............................</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$948.3</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6100" w:type="dxa"/>
            <w:vAlign w:val="bottom"/>
          </w:tcPr>
          <w:p>
            <w:pPr>
              <w:spacing w:after="0"/>
              <w:rPr>
                <w:sz w:val="15"/>
                <w:szCs w:val="15"/>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354" w:lineRule="exact"/>
        <w:rPr>
          <w:sz w:val="20"/>
          <w:szCs w:val="20"/>
          <w:color w:val="auto"/>
        </w:rPr>
      </w:pPr>
    </w:p>
    <w:p>
      <w:pPr>
        <w:ind w:left="447" w:hanging="447"/>
        <w:spacing w:after="0"/>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senior bank credit facility consists of a $2.25 billion, five-year revolving credit facility and a $1.925 billion, 364-day revolving credit facility (together, the "Comcast Cable Revolver"). The 364-day revolving credit facility supports the commercial paper program of Comcast Cable Communications, Inc., a wholly owned subsidiary of the Company. Amounts outstanding under the commercial paper program are classified as long-term in the Company's balance sheet as of March 31, 2002 and December 31, 2001 as the Company has both the ability and the intent to refinance these obligations, if necessary, on a long-term basis with amounts available under the Comcast Cable Revolver.</w:t>
      </w:r>
    </w:p>
    <w:p>
      <w:pPr>
        <w:spacing w:after="0" w:line="35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6"/>
          </w:cols>
          <w:pgMar w:left="233" w:top="642" w:right="1440" w:bottom="1440" w:gutter="0" w:footer="0" w:header="0"/>
        </w:sectPr>
      </w:pPr>
    </w:p>
    <w:bookmarkStart w:id="11" w:name="page12"/>
    <w:bookmarkEnd w:id="11"/>
    <w:p>
      <w:pPr>
        <w:jc w:val="center"/>
        <w:ind w:right="339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Zero Coupon Convertible Debentures</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The Company's Zero Coupon Debentures have a yield to maturity of 1.25%, computed on a semi-annual bond equivalent basis. The Zero Coupon Debentures may be converted, subject to certain restrictions, into shares of the Company's Class A Special Common Stock at the option of the holder at a conversion rate of 14.2566 shares per $1,000 principal amount at maturity, representing an initial conversion price of $54.67 per share. The Zero Coupon Debentures are senior unsecured obligations. The Company may redeem for cash all or part of the Zero Coupon Debentures on or after December 19, 2005.</w:t>
      </w:r>
    </w:p>
    <w:p>
      <w:pPr>
        <w:spacing w:after="0" w:line="180"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Holders may require the Company to repurchase the Zero Coupon Debentures on December 19, 2002, 2003, 2005, 2010 and 2015. Holders may surrender the Zero Coupon Debentures for conversion at any time prior to maturity if the closing price of the Company's Class A Special Common Stock is greater than 110% of the accreted conversion price for at least 20 trading days of the 30 trading days prior to conversion. Amounts outstanding under the Zero Coupon Debentures are classified as long-term in the Company's balance sheet as of March 31, 2002 and December 31, 2001 as the Company has both the ability and the intent to refinance the Zero Coupon Debentures on a long-term basis with amounts available under the Comcast Cable Revolver in the event holders of the Zero Coupon Debentures exercise their rights to require the Company to repurchase the Zero Coupon Debentures in December 2002.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or the market value of Sprint PCS common stock.</w:t>
      </w:r>
    </w:p>
    <w:p>
      <w:pPr>
        <w:spacing w:after="0" w:line="177"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Prior to maturity, each ZONES is exchangeable at the holders' option for an amount of cash equal to 95% of the market value of Sprint PCS Stock. As of March 31, 2002, the number of Sprint PCS shares held by the Company exceeded the number of ZONES outstanding.</w:t>
      </w:r>
    </w:p>
    <w:p>
      <w:pPr>
        <w:spacing w:after="0" w:line="177"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As of March 31, 2002 and December 31, 2001, long-term debt includes $954.6 million and $1.613 billion, respectively, of ZONES. Upon adoption of SFAS No. 133, the Company split the accounting for the ZONES into derivative and debt components. The Company records the change in the fair value of the derivative component of the ZONES (see Note 5) and the increase in the carrying value of the debt component of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jc w:val="right"/>
              <w:ind w:right="724"/>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24"/>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Decrease</w:t>
            </w:r>
          </w:p>
        </w:tc>
        <w:tc>
          <w:tcPr>
            <w:tcW w:w="61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in derivative component to investment income (expense)..........</w:t>
            </w: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$663.7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Increase</w:t>
            </w:r>
          </w:p>
        </w:tc>
        <w:tc>
          <w:tcPr>
            <w:tcW w:w="61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in debt component to interest expense...........................</w:t>
            </w:r>
          </w:p>
        </w:tc>
        <w:tc>
          <w:tcPr>
            <w:tcW w:w="14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$5.7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524"/>
        </w:trPr>
        <w:tc>
          <w:tcPr>
            <w:tcW w:w="7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Rates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As of March</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2002 and</w:t>
            </w:r>
          </w:p>
        </w:tc>
        <w:tc>
          <w:tcPr>
            <w:tcW w:w="43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December  31,  2001,  the  Company's  effective</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61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average interest rate on its long- term debt outstanding was 5.89%</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2560" w:type="dxa"/>
            <w:vAlign w:val="bottom"/>
            <w:gridSpan w:val="5"/>
          </w:tcPr>
          <w:p>
            <w:pPr>
              <w:spacing w:after="0"/>
              <w:rPr>
                <w:sz w:val="20"/>
                <w:szCs w:val="20"/>
                <w:color w:val="auto"/>
              </w:rPr>
            </w:pPr>
            <w:r>
              <w:rPr>
                <w:rFonts w:ascii="Courier New" w:cs="Courier New" w:eastAsia="Courier New" w:hAnsi="Courier New"/>
                <w:sz w:val="15"/>
                <w:szCs w:val="15"/>
                <w:color w:val="auto"/>
              </w:rPr>
              <w:t>and 5.47%, respectively.</w:t>
            </w: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0"/>
        </w:trPr>
        <w:tc>
          <w:tcPr>
            <w:tcW w:w="7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33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Rate Risk Management</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4140" w:type="dxa"/>
            <w:vAlign w:val="bottom"/>
            <w:gridSpan w:val="6"/>
          </w:tcPr>
          <w:p>
            <w:pPr>
              <w:spacing w:after="0"/>
              <w:rPr>
                <w:sz w:val="20"/>
                <w:szCs w:val="20"/>
                <w:color w:val="auto"/>
              </w:rPr>
            </w:pPr>
            <w:r>
              <w:rPr>
                <w:rFonts w:ascii="Courier New" w:cs="Courier New" w:eastAsia="Courier New" w:hAnsi="Courier New"/>
                <w:sz w:val="15"/>
                <w:szCs w:val="15"/>
                <w:color w:val="auto"/>
              </w:rPr>
              <w:t>During the three months ended March 31, 2002,</w:t>
            </w:r>
          </w:p>
        </w:tc>
        <w:tc>
          <w:tcPr>
            <w:tcW w:w="1220" w:type="dxa"/>
            <w:vAlign w:val="bottom"/>
          </w:tcPr>
          <w:p>
            <w:pPr>
              <w:ind w:left="140"/>
              <w:spacing w:after="0"/>
              <w:rPr>
                <w:sz w:val="20"/>
                <w:szCs w:val="20"/>
                <w:color w:val="auto"/>
              </w:rPr>
            </w:pPr>
            <w:r>
              <w:rPr>
                <w:rFonts w:ascii="Courier New" w:cs="Courier New" w:eastAsia="Courier New" w:hAnsi="Courier New"/>
                <w:sz w:val="15"/>
                <w:szCs w:val="15"/>
                <w:color w:val="auto"/>
              </w:rPr>
              <w:t>the Company</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settled</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$950.0</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million</w:t>
            </w:r>
          </w:p>
        </w:tc>
        <w:tc>
          <w:tcPr>
            <w:tcW w:w="1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aggregate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notional</w:t>
            </w:r>
          </w:p>
        </w:tc>
        <w:tc>
          <w:tcPr>
            <w:tcW w:w="2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amount  of fixed to  variable</w:t>
            </w:r>
          </w:p>
        </w:tc>
        <w:tc>
          <w:tcPr>
            <w:tcW w:w="920" w:type="dxa"/>
            <w:vAlign w:val="bottom"/>
          </w:tcPr>
          <w:p>
            <w:pPr>
              <w:ind w:left="200"/>
              <w:spacing w:after="0"/>
              <w:rPr>
                <w:sz w:val="20"/>
                <w:szCs w:val="20"/>
                <w:color w:val="auto"/>
              </w:rPr>
            </w:pPr>
            <w:r>
              <w:rPr>
                <w:rFonts w:ascii="Courier New" w:cs="Courier New" w:eastAsia="Courier New" w:hAnsi="Courier New"/>
                <w:sz w:val="15"/>
                <w:szCs w:val="15"/>
                <w:color w:val="auto"/>
                <w:w w:val="97"/>
              </w:rPr>
              <w:t>interest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rate</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exchange</w:t>
            </w:r>
          </w:p>
        </w:tc>
        <w:tc>
          <w:tcPr>
            <w:tcW w:w="550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agreements ("Swaps") and received proceeds of $56.8 million.</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This</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500" w:type="dxa"/>
            <w:vAlign w:val="bottom"/>
            <w:gridSpan w:val="3"/>
          </w:tcPr>
          <w:p>
            <w:pPr>
              <w:spacing w:after="0"/>
              <w:rPr>
                <w:sz w:val="20"/>
                <w:szCs w:val="20"/>
                <w:color w:val="auto"/>
              </w:rPr>
            </w:pPr>
            <w:r>
              <w:rPr>
                <w:rFonts w:ascii="Courier New" w:cs="Courier New" w:eastAsia="Courier New" w:hAnsi="Courier New"/>
                <w:sz w:val="15"/>
                <w:szCs w:val="15"/>
                <w:color w:val="auto"/>
              </w:rPr>
              <w:t>amount is being</w:t>
            </w:r>
          </w:p>
        </w:tc>
        <w:tc>
          <w:tcPr>
            <w:tcW w:w="38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recognized as an  adjustment to interest</w:t>
            </w:r>
          </w:p>
        </w:tc>
        <w:tc>
          <w:tcPr>
            <w:tcW w:w="15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expense over the</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780" w:type="dxa"/>
            <w:vAlign w:val="bottom"/>
            <w:gridSpan w:val="4"/>
          </w:tcPr>
          <w:p>
            <w:pPr>
              <w:spacing w:after="0"/>
              <w:rPr>
                <w:sz w:val="20"/>
                <w:szCs w:val="20"/>
                <w:color w:val="auto"/>
              </w:rPr>
            </w:pPr>
            <w:r>
              <w:rPr>
                <w:rFonts w:ascii="Courier New" w:cs="Courier New" w:eastAsia="Courier New" w:hAnsi="Courier New"/>
                <w:sz w:val="15"/>
                <w:szCs w:val="15"/>
                <w:color w:val="auto"/>
              </w:rPr>
              <w:t>term of the related</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debt.</w:t>
            </w:r>
          </w:p>
        </w:tc>
        <w:tc>
          <w:tcPr>
            <w:tcW w:w="15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During the three</w:t>
            </w:r>
          </w:p>
        </w:tc>
        <w:tc>
          <w:tcPr>
            <w:tcW w:w="27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months  ended March 31, 2002,</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variable</w:t>
            </w:r>
          </w:p>
        </w:tc>
        <w:tc>
          <w:tcPr>
            <w:tcW w:w="61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to fixed Swaps with an aggregate  notional amount of $33.5 million</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6920" w:type="dxa"/>
            <w:vAlign w:val="bottom"/>
            <w:gridSpan w:val="9"/>
          </w:tcPr>
          <w:p>
            <w:pPr>
              <w:spacing w:after="0"/>
              <w:rPr>
                <w:sz w:val="20"/>
                <w:szCs w:val="20"/>
                <w:color w:val="auto"/>
              </w:rPr>
            </w:pPr>
            <w:r>
              <w:rPr>
                <w:rFonts w:ascii="Courier New" w:cs="Courier New" w:eastAsia="Courier New" w:hAnsi="Courier New"/>
                <w:sz w:val="15"/>
                <w:szCs w:val="15"/>
                <w:color w:val="auto"/>
              </w:rPr>
              <w:t>expired. As of March 31, 2002, the Company has variable to fixed Swaps with</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an aggregate</w:t>
            </w:r>
          </w:p>
        </w:tc>
        <w:tc>
          <w:tcPr>
            <w:tcW w:w="5780" w:type="dxa"/>
            <w:vAlign w:val="bottom"/>
            <w:gridSpan w:val="7"/>
          </w:tcPr>
          <w:p>
            <w:pPr>
              <w:jc w:val="right"/>
              <w:ind w:right="24"/>
              <w:spacing w:after="0"/>
              <w:rPr>
                <w:sz w:val="20"/>
                <w:szCs w:val="20"/>
                <w:color w:val="auto"/>
              </w:rPr>
            </w:pPr>
            <w:r>
              <w:rPr>
                <w:rFonts w:ascii="Courier New" w:cs="Courier New" w:eastAsia="Courier New" w:hAnsi="Courier New"/>
                <w:sz w:val="15"/>
                <w:szCs w:val="15"/>
                <w:color w:val="auto"/>
              </w:rPr>
              <w:t>notional amount of $216.8 million with an average pay rate of</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4.9% and</w:t>
            </w:r>
          </w:p>
        </w:tc>
        <w:tc>
          <w:tcPr>
            <w:tcW w:w="614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an average receive rate of 1.9%. The Swaps mature between 2002 and</w:t>
            </w: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524"/>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9779"/>
          </w:cols>
          <w:pgMar w:left="680" w:top="643" w:right="1440" w:bottom="1440" w:gutter="0" w:footer="0" w:header="0"/>
        </w:sectPr>
      </w:pPr>
    </w:p>
    <w:bookmarkStart w:id="12" w:name="page13"/>
    <w:bookmarkEnd w:id="12"/>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7" w:right="2959"/>
        <w:spacing w:after="0" w:line="247" w:lineRule="auto"/>
        <w:rPr>
          <w:sz w:val="20"/>
          <w:szCs w:val="20"/>
          <w:color w:val="auto"/>
        </w:rPr>
      </w:pPr>
      <w:r>
        <w:rPr>
          <w:rFonts w:ascii="Courier New" w:cs="Courier New" w:eastAsia="Courier New" w:hAnsi="Courier New"/>
          <w:sz w:val="15"/>
          <w:szCs w:val="15"/>
          <w:color w:val="auto"/>
        </w:rPr>
        <w:t>As of March 31, 2002, certain subsidiaries of the Company had unused lines of credit of $3.142 billion under their respective credit facilities.</w:t>
      </w:r>
    </w:p>
    <w:p>
      <w:pPr>
        <w:spacing w:after="0" w:line="175" w:lineRule="exact"/>
        <w:rPr>
          <w:sz w:val="20"/>
          <w:szCs w:val="20"/>
          <w:color w:val="auto"/>
        </w:rPr>
      </w:pPr>
    </w:p>
    <w:p>
      <w:pPr>
        <w:jc w:val="both"/>
        <w:ind w:left="447" w:right="2959"/>
        <w:spacing w:after="0" w:line="247" w:lineRule="auto"/>
        <w:rPr>
          <w:sz w:val="20"/>
          <w:szCs w:val="20"/>
          <w:color w:val="auto"/>
        </w:rPr>
      </w:pPr>
      <w:r>
        <w:rPr>
          <w:rFonts w:ascii="Courier New" w:cs="Courier New" w:eastAsia="Courier New" w:hAnsi="Courier New"/>
          <w:sz w:val="15"/>
          <w:szCs w:val="15"/>
          <w:color w:val="auto"/>
        </w:rPr>
        <w:t>As of March 31, 2002, the Company and certain of its subsidiaries had unused irrevocable standby letters of credit totaling $87.0 million to cover potential fundings under various agreements.</w:t>
      </w:r>
    </w:p>
    <w:p>
      <w:pPr>
        <w:spacing w:after="0" w:line="174" w:lineRule="exact"/>
        <w:rPr>
          <w:sz w:val="20"/>
          <w:szCs w:val="20"/>
          <w:color w:val="auto"/>
        </w:rPr>
      </w:pPr>
    </w:p>
    <w:p>
      <w:pPr>
        <w:ind w:left="447" w:hanging="447"/>
        <w:spacing w:after="0"/>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of Shares</w:t>
      </w:r>
    </w:p>
    <w:p>
      <w:pPr>
        <w:spacing w:after="0" w:line="4"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2002, as a result of the merger of a wholly owned subsidiary into the Company, approximately 23.3 million shares of the Company's Class A Special Common Stock held by the subsidiary were retired and returned to authorized but unissued status.</w:t>
      </w:r>
    </w:p>
    <w:p>
      <w:pPr>
        <w:spacing w:after="0" w:line="177"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w:t>
      </w:r>
    </w:p>
    <w:p>
      <w:pPr>
        <w:spacing w:after="0" w:line="4" w:lineRule="exact"/>
        <w:rPr>
          <w:rFonts w:ascii="Courier New" w:cs="Courier New" w:eastAsia="Courier New" w:hAnsi="Courier New"/>
          <w:sz w:val="15"/>
          <w:szCs w:val="15"/>
          <w:color w:val="auto"/>
        </w:rPr>
      </w:pPr>
    </w:p>
    <w:p>
      <w:pPr>
        <w:ind w:left="4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total comprehensive income (loss) for the interim periods was as follows (in millions):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1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4960" w:type="dxa"/>
            <w:vAlign w:val="bottom"/>
          </w:tcPr>
          <w:p>
            <w:pPr>
              <w:spacing w:after="0"/>
              <w:rPr>
                <w:sz w:val="15"/>
                <w:szCs w:val="15"/>
                <w:color w:val="auto"/>
              </w:rPr>
            </w:pPr>
          </w:p>
        </w:tc>
        <w:tc>
          <w:tcPr>
            <w:tcW w:w="21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49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49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($88.9)</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$1,001.2</w:t>
            </w:r>
          </w:p>
        </w:tc>
      </w:tr>
      <w:tr>
        <w:trPr>
          <w:trHeight w:val="175"/>
        </w:trPr>
        <w:tc>
          <w:tcPr>
            <w:tcW w:w="4960" w:type="dxa"/>
            <w:vAlign w:val="bottom"/>
          </w:tcPr>
          <w:p>
            <w:pPr>
              <w:spacing w:after="0"/>
              <w:rPr>
                <w:sz w:val="20"/>
                <w:szCs w:val="20"/>
                <w:color w:val="auto"/>
              </w:rPr>
            </w:pPr>
            <w:r>
              <w:rPr>
                <w:rFonts w:ascii="Courier New" w:cs="Courier New" w:eastAsia="Courier New" w:hAnsi="Courier New"/>
                <w:sz w:val="15"/>
                <w:szCs w:val="15"/>
                <w:color w:val="auto"/>
              </w:rPr>
              <w:t>Unrealized gains (losses) on marketable securities...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114.6</w:t>
            </w:r>
          </w:p>
        </w:tc>
      </w:tr>
      <w:tr>
        <w:trPr>
          <w:trHeight w:val="175"/>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Reclassification adjustments for losses (gains)</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included in net income (loss)......................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(263.7)</w:t>
            </w:r>
          </w:p>
        </w:tc>
      </w:tr>
      <w:tr>
        <w:trPr>
          <w:trHeight w:val="175"/>
        </w:trPr>
        <w:tc>
          <w:tcPr>
            <w:tcW w:w="4960" w:type="dxa"/>
            <w:vAlign w:val="bottom"/>
          </w:tcPr>
          <w:p>
            <w:pPr>
              <w:spacing w:after="0"/>
              <w:rPr>
                <w:sz w:val="20"/>
                <w:szCs w:val="20"/>
                <w:color w:val="auto"/>
              </w:rPr>
            </w:pPr>
            <w:r>
              <w:rPr>
                <w:rFonts w:ascii="Courier New" w:cs="Courier New" w:eastAsia="Courier New" w:hAnsi="Courier New"/>
                <w:sz w:val="15"/>
                <w:szCs w:val="15"/>
                <w:color w:val="auto"/>
              </w:rPr>
              <w:t>Unrealized losses on the effective portion</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of cash flow hedges................................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49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losses..................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5"/>
        </w:trPr>
        <w:tc>
          <w:tcPr>
            <w:tcW w:w="49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 (loss)..........................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($241.3)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$841.5</w:t>
            </w:r>
          </w:p>
        </w:tc>
      </w:tr>
      <w:tr>
        <w:trPr>
          <w:trHeight w:val="175"/>
        </w:trPr>
        <w:tc>
          <w:tcPr>
            <w:tcW w:w="496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447" w:hanging="447"/>
        <w:spacing w:after="0"/>
        <w:tabs>
          <w:tab w:leader="none" w:pos="44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9" w:lineRule="exact"/>
        <w:rPr>
          <w:rFonts w:ascii="Courier New" w:cs="Courier New" w:eastAsia="Courier New" w:hAnsi="Courier New"/>
          <w:sz w:val="15"/>
          <w:szCs w:val="15"/>
          <w:color w:val="auto"/>
        </w:rPr>
      </w:pPr>
    </w:p>
    <w:p>
      <w:pPr>
        <w:jc w:val="both"/>
        <w:ind w:left="447" w:right="2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values of the assets and liabilities acquired by the Company through noncash transactions during the three months ended March 31, 2001 are as follows (in millions):</w:t>
      </w:r>
    </w:p>
    <w:p>
      <w:pPr>
        <w:spacing w:after="0" w:line="349" w:lineRule="exact"/>
        <w:rPr>
          <w:sz w:val="20"/>
          <w:szCs w:val="20"/>
          <w:color w:val="auto"/>
        </w:rPr>
      </w:pPr>
    </w:p>
    <w:tbl>
      <w:tblPr>
        <w:tblLayout w:type="fixed"/>
        <w:tblInd w:w="1627" w:type="dxa"/>
        <w:tblCellMar>
          <w:top w:w="0" w:type="dxa"/>
          <w:left w:w="0" w:type="dxa"/>
          <w:bottom w:w="0" w:type="dxa"/>
          <w:right w:w="0" w:type="dxa"/>
        </w:tblCellMar>
      </w:tblPr>
      <w:tr>
        <w:trPr>
          <w:trHeight w:val="170"/>
        </w:trPr>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$51.4</w:t>
            </w:r>
          </w:p>
        </w:tc>
      </w:tr>
      <w:tr>
        <w:trPr>
          <w:trHeight w:val="175"/>
        </w:trPr>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plant &amp; equipment.................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365.0</w:t>
            </w:r>
          </w:p>
        </w:tc>
      </w:tr>
      <w:tr>
        <w:trPr>
          <w:trHeight w:val="175"/>
        </w:trPr>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assets...........................</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1,658.1</w:t>
            </w:r>
          </w:p>
        </w:tc>
      </w:tr>
      <w:tr>
        <w:trPr>
          <w:trHeight w:val="175"/>
        </w:trPr>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(36.0)</w:t>
            </w:r>
          </w:p>
        </w:tc>
      </w:tr>
      <w:tr>
        <w:trPr>
          <w:trHeight w:val="175"/>
        </w:trPr>
        <w:tc>
          <w:tcPr>
            <w:tcW w:w="410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4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assets acquired....................</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$2,038.5</w:t>
            </w:r>
          </w:p>
        </w:tc>
      </w:tr>
      <w:tr>
        <w:trPr>
          <w:trHeight w:val="175"/>
        </w:trPr>
        <w:tc>
          <w:tcPr>
            <w:tcW w:w="4100" w:type="dxa"/>
            <w:vAlign w:val="bottom"/>
          </w:tcPr>
          <w:p>
            <w:pPr>
              <w:spacing w:after="0"/>
              <w:rPr>
                <w:sz w:val="15"/>
                <w:szCs w:val="15"/>
                <w:color w:val="auto"/>
              </w:rPr>
            </w:pP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447" w:right="2959"/>
        <w:spacing w:after="0" w:line="247" w:lineRule="auto"/>
        <w:rPr>
          <w:sz w:val="20"/>
          <w:szCs w:val="20"/>
          <w:color w:val="auto"/>
        </w:rPr>
      </w:pPr>
      <w:r>
        <w:rPr>
          <w:rFonts w:ascii="Courier New" w:cs="Courier New" w:eastAsia="Courier New" w:hAnsi="Courier New"/>
          <w:sz w:val="15"/>
          <w:szCs w:val="15"/>
          <w:color w:val="auto"/>
        </w:rPr>
        <w:t>The Company made cash payments for interest and income taxes during the interim periods as follows (in millions):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47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3100" w:type="dxa"/>
            <w:vAlign w:val="bottom"/>
          </w:tcPr>
          <w:p>
            <w:pPr>
              <w:spacing w:after="0"/>
              <w:rPr>
                <w:sz w:val="15"/>
                <w:szCs w:val="15"/>
                <w:color w:val="auto"/>
              </w:rPr>
            </w:pPr>
          </w:p>
        </w:tc>
        <w:tc>
          <w:tcPr>
            <w:tcW w:w="47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3100" w:type="dxa"/>
            <w:vAlign w:val="bottom"/>
          </w:tcPr>
          <w:p>
            <w:pPr>
              <w:spacing w:after="0"/>
              <w:rPr>
                <w:sz w:val="15"/>
                <w:szCs w:val="15"/>
                <w:color w:val="auto"/>
              </w:rPr>
            </w:pPr>
          </w:p>
        </w:tc>
        <w:tc>
          <w:tcPr>
            <w:tcW w:w="37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3100" w:type="dxa"/>
            <w:vAlign w:val="bottom"/>
          </w:tcPr>
          <w:p>
            <w:pPr>
              <w:spacing w:after="0"/>
              <w:rPr>
                <w:sz w:val="15"/>
                <w:szCs w:val="15"/>
                <w:color w:val="auto"/>
              </w:rPr>
            </w:pPr>
          </w:p>
        </w:tc>
        <w:tc>
          <w:tcPr>
            <w:tcW w:w="3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00" w:type="dxa"/>
            <w:vAlign w:val="bottom"/>
          </w:tcPr>
          <w:p>
            <w:pPr>
              <w:spacing w:after="0"/>
              <w:rPr>
                <w:sz w:val="20"/>
                <w:szCs w:val="20"/>
                <w:color w:val="auto"/>
              </w:rPr>
            </w:pPr>
            <w:r>
              <w:rPr>
                <w:rFonts w:ascii="Courier New" w:cs="Courier New" w:eastAsia="Courier New" w:hAnsi="Courier New"/>
                <w:sz w:val="11"/>
                <w:szCs w:val="11"/>
                <w:color w:val="auto"/>
                <w:w w:val="72"/>
              </w:rPr>
              <w:t>Interest........................................................</w:t>
            </w:r>
          </w:p>
        </w:tc>
        <w:tc>
          <w:tcPr>
            <w:tcW w:w="3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$103.2</w:t>
            </w:r>
          </w:p>
        </w:tc>
      </w:tr>
      <w:tr>
        <w:trPr>
          <w:trHeight w:val="175"/>
        </w:trPr>
        <w:tc>
          <w:tcPr>
            <w:tcW w:w="3100" w:type="dxa"/>
            <w:vAlign w:val="bottom"/>
          </w:tcPr>
          <w:p>
            <w:pPr>
              <w:spacing w:after="0"/>
              <w:rPr>
                <w:sz w:val="20"/>
                <w:szCs w:val="20"/>
                <w:color w:val="auto"/>
              </w:rPr>
            </w:pPr>
            <w:r>
              <w:rPr>
                <w:rFonts w:ascii="Courier New" w:cs="Courier New" w:eastAsia="Courier New" w:hAnsi="Courier New"/>
                <w:sz w:val="11"/>
                <w:szCs w:val="11"/>
                <w:color w:val="auto"/>
                <w:w w:val="72"/>
              </w:rPr>
              <w:t>Income taxes....................................................</w:t>
            </w:r>
          </w:p>
        </w:tc>
        <w:tc>
          <w:tcPr>
            <w:tcW w:w="37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699"/>
        </w:trPr>
        <w:tc>
          <w:tcPr>
            <w:tcW w:w="3100" w:type="dxa"/>
            <w:vAlign w:val="bottom"/>
          </w:tcPr>
          <w:p>
            <w:pPr>
              <w:spacing w:after="0"/>
              <w:rPr>
                <w:sz w:val="24"/>
                <w:szCs w:val="24"/>
                <w:color w:val="auto"/>
              </w:rPr>
            </w:pPr>
          </w:p>
        </w:tc>
        <w:tc>
          <w:tcPr>
            <w:tcW w:w="3760" w:type="dxa"/>
            <w:vAlign w:val="bottom"/>
          </w:tcPr>
          <w:p>
            <w:pPr>
              <w:jc w:val="right"/>
              <w:ind w:right="3504"/>
              <w:spacing w:after="0"/>
              <w:rPr>
                <w:sz w:val="20"/>
                <w:szCs w:val="20"/>
                <w:color w:val="auto"/>
              </w:rPr>
            </w:pPr>
            <w:r>
              <w:rPr>
                <w:rFonts w:ascii="Courier New" w:cs="Courier New" w:eastAsia="Courier New" w:hAnsi="Courier New"/>
                <w:sz w:val="15"/>
                <w:szCs w:val="15"/>
                <w:color w:val="auto"/>
                <w:w w:val="88"/>
              </w:rPr>
              <w:t>12</w:t>
            </w:r>
          </w:p>
        </w:tc>
        <w:tc>
          <w:tcPr>
            <w:tcW w:w="960" w:type="dxa"/>
            <w:vAlign w:val="bottom"/>
          </w:tcPr>
          <w:p>
            <w:pPr>
              <w:spacing w:after="0"/>
              <w:rPr>
                <w:sz w:val="24"/>
                <w:szCs w:val="24"/>
                <w:color w:val="auto"/>
              </w:rPr>
            </w:pPr>
          </w:p>
        </w:tc>
      </w:tr>
    </w:tbl>
    <w:p>
      <w:pPr>
        <w:sectPr>
          <w:pgSz w:w="11900" w:h="16838" w:orient="portrait"/>
          <w:cols w:equalWidth="0" w:num="1">
            <w:col w:w="10226"/>
          </w:cols>
          <w:pgMar w:left="233" w:top="643" w:right="1440" w:bottom="1440" w:gutter="0" w:footer="0" w:header="0"/>
        </w:sectPr>
      </w:pPr>
    </w:p>
    <w:bookmarkStart w:id="13" w:name="page14"/>
    <w:bookmarkEnd w:id="13"/>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NOTES TO CONDENSED CONSOLIDATED FINANCIAL STATEMENTS - CONTINUED</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ind w:left="447" w:hanging="447"/>
        <w:spacing w:after="0"/>
        <w:tabs>
          <w:tab w:leader="none" w:pos="4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9"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7"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$200 million; however the Company's current estimate of the amount of future expenditures (principally in the form of capital expenditures) that will be made by the affiliate necessary to comply with the performance requirements will not exceed $75 million.</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9" w:lineRule="exact"/>
        <w:rPr>
          <w:rFonts w:ascii="Courier New" w:cs="Courier New" w:eastAsia="Courier New" w:hAnsi="Courier New"/>
          <w:sz w:val="15"/>
          <w:szCs w:val="15"/>
          <w:color w:val="auto"/>
        </w:rPr>
      </w:pPr>
    </w:p>
    <w:p>
      <w:pPr>
        <w:jc w:val="both"/>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"Cable" and "Commerce." The components of net income (loss) below operating income (loss) are not separately evaluated by the Company's management on a segment basis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447" w:type="dxa"/>
        <w:tblCellMar>
          <w:top w:w="0" w:type="dxa"/>
          <w:left w:w="0" w:type="dxa"/>
          <w:bottom w:w="0" w:type="dxa"/>
          <w:right w:w="0" w:type="dxa"/>
        </w:tblCellMar>
      </w:tblPr>
      <w:tr>
        <w:trPr>
          <w:trHeight w:val="170"/>
        </w:trPr>
        <w:tc>
          <w:tcPr>
            <w:tcW w:w="15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Corporate and</w:t>
            </w:r>
          </w:p>
        </w:tc>
        <w:tc>
          <w:tcPr>
            <w:tcW w:w="1060" w:type="dxa"/>
            <w:vAlign w:val="bottom"/>
          </w:tcPr>
          <w:p>
            <w:pPr>
              <w:spacing w:after="0"/>
              <w:rPr>
                <w:sz w:val="14"/>
                <w:szCs w:val="14"/>
                <w:color w:val="auto"/>
              </w:rPr>
            </w:pPr>
          </w:p>
        </w:tc>
      </w:tr>
      <w:tr>
        <w:trPr>
          <w:trHeight w:val="175"/>
        </w:trPr>
        <w:tc>
          <w:tcPr>
            <w:tcW w:w="1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Cable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Commerce</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Other (1)</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35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March 31, 2002</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Revenues (2)............................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$1,469.4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$993.5</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$209.6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$2,672.5</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before</w:t>
            </w: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depreciation</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and amortization (3)...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597.5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192.3</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18.4</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808.2</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292.6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67.1</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387.1</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304.9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164.9</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421.1</w:t>
            </w: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37.7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186.7</w:t>
            </w: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358.1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399.1</w:t>
            </w:r>
          </w:p>
        </w:tc>
      </w:tr>
      <w:tr>
        <w:trPr>
          <w:trHeight w:val="35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March 31, 2001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Revenues (2)............................</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$1,194.4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$884.0</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$153.6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$2,232.0</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(loss) before</w:t>
            </w: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depreciation</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and amortization (3)...</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487.1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172.7</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(25.6)</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634.2</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684.0</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34.6</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16.1</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734.7</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138.1</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(100.5)</w:t>
            </w: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41.5</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182.3</w:t>
            </w: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437.7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53.1</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516.9</w:t>
            </w:r>
          </w:p>
        </w:tc>
      </w:tr>
      <w:tr>
        <w:trPr>
          <w:trHeight w:val="35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As of March 31, 2002</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$29,368.3</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$2,702.3</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$5,074.8</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$37,145.4</w:t>
            </w: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8,697.5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2,657.0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11,356.0</w:t>
            </w:r>
          </w:p>
        </w:tc>
      </w:tr>
      <w:tr>
        <w:trPr>
          <w:trHeight w:val="35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As of December 31, 2001</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$29,084.6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$2,680.5</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$6,366.7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$38,131.8</w:t>
            </w:r>
          </w:p>
        </w:tc>
      </w:tr>
      <w:tr>
        <w:trPr>
          <w:trHeight w:val="175"/>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8,363.2</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62.7</w:t>
            </w:r>
          </w:p>
        </w:tc>
        <w:tc>
          <w:tcPr>
            <w:tcW w:w="144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3,315.7</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11,741.6</w:t>
            </w:r>
          </w:p>
        </w:tc>
      </w:tr>
      <w:tr>
        <w:trPr>
          <w:trHeight w:val="175"/>
        </w:trPr>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79" w:lineRule="exact"/>
        <w:rPr>
          <w:sz w:val="20"/>
          <w:szCs w:val="20"/>
          <w:color w:val="auto"/>
        </w:rPr>
      </w:pPr>
    </w:p>
    <w:p>
      <w:pPr>
        <w:jc w:val="both"/>
        <w:ind w:left="827" w:right="2959" w:hanging="372"/>
        <w:spacing w:after="0" w:line="246" w:lineRule="auto"/>
        <w:tabs>
          <w:tab w:leader="none" w:pos="82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and business communications operations as well as elimination entries related to the segments presented. Corporate and other assets consist primarily of the Company's investments (see Note 5).</w:t>
      </w:r>
    </w:p>
    <w:p>
      <w:pPr>
        <w:spacing w:after="0" w:line="3" w:lineRule="exact"/>
        <w:rPr>
          <w:rFonts w:ascii="Courier New" w:cs="Courier New" w:eastAsia="Courier New" w:hAnsi="Courier New"/>
          <w:sz w:val="15"/>
          <w:szCs w:val="15"/>
          <w:color w:val="auto"/>
        </w:rPr>
      </w:pPr>
    </w:p>
    <w:p>
      <w:pPr>
        <w:jc w:val="both"/>
        <w:ind w:left="827" w:right="2959" w:hanging="372"/>
        <w:spacing w:after="0" w:line="246" w:lineRule="auto"/>
        <w:tabs>
          <w:tab w:leader="none" w:pos="82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$145.2 million and $121.3 million in 2002 and 2001, respectively, of non-US revenues, principally related to the Company's commerce segment. No single customer accounted for a significant amount of the Company's revenues in any period.</w:t>
      </w:r>
    </w:p>
    <w:p>
      <w:pPr>
        <w:spacing w:after="0" w:line="2" w:lineRule="exact"/>
        <w:rPr>
          <w:rFonts w:ascii="Courier New" w:cs="Courier New" w:eastAsia="Courier New" w:hAnsi="Courier New"/>
          <w:sz w:val="15"/>
          <w:szCs w:val="15"/>
          <w:color w:val="auto"/>
        </w:rPr>
      </w:pPr>
    </w:p>
    <w:p>
      <w:pPr>
        <w:jc w:val="both"/>
        <w:ind w:left="827" w:right="2959" w:hanging="372"/>
        <w:spacing w:after="0" w:line="246" w:lineRule="auto"/>
        <w:tabs>
          <w:tab w:leader="none" w:pos="82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(loss) before depreciation and amortization is commonly referred to in the Company's businesses as "operating cash flow (deficit)." Operating cash flow is a measure of a company's ability to generate cash to service its obligations, including debt service obligations, and to finance capital and other</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6"/>
          </w:cols>
          <w:pgMar w:left="233" w:top="643" w:right="1440" w:bottom="1440" w:gutter="0" w:footer="0" w:header="0"/>
        </w:sectPr>
      </w:pPr>
    </w:p>
    <w:bookmarkStart w:id="14" w:name="page15"/>
    <w:bookmarkEnd w:id="14"/>
    <w:p>
      <w:pPr>
        <w:jc w:val="center"/>
        <w:ind w:right="367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QUARTER ENDED MARCH 31, 2002</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NOTES TO CONDENSED CONSOLIDATED FINANCIAL STATEMENTS - CONCLUDED</w:t>
      </w:r>
    </w:p>
    <w:p>
      <w:pPr>
        <w:spacing w:after="0" w:line="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(Unaudited)</w:t>
      </w:r>
    </w:p>
    <w:p>
      <w:pPr>
        <w:spacing w:after="0" w:line="180" w:lineRule="exact"/>
        <w:rPr>
          <w:sz w:val="20"/>
          <w:szCs w:val="20"/>
          <w:color w:val="auto"/>
        </w:rPr>
      </w:pPr>
    </w:p>
    <w:p>
      <w:pPr>
        <w:jc w:val="both"/>
        <w:ind w:left="100" w:right="2959"/>
        <w:spacing w:after="0" w:line="246" w:lineRule="auto"/>
        <w:rPr>
          <w:sz w:val="20"/>
          <w:szCs w:val="20"/>
          <w:color w:val="auto"/>
        </w:rPr>
      </w:pPr>
      <w:r>
        <w:rPr>
          <w:rFonts w:ascii="Courier New" w:cs="Courier New" w:eastAsia="Courier New" w:hAnsi="Courier New"/>
          <w:sz w:val="15"/>
          <w:szCs w:val="15"/>
          <w:color w:val="auto"/>
        </w:rPr>
        <w:t>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32"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99"/>
          </w:cols>
          <w:pgMar w:left="960" w:top="643" w:right="1440" w:bottom="1440" w:gutter="0" w:footer="0" w:header="0"/>
        </w:sectPr>
      </w:pPr>
    </w:p>
    <w:bookmarkStart w:id="15" w:name="page16"/>
    <w:bookmarkEnd w:id="15"/>
    <w:p>
      <w:pPr>
        <w:spacing w:after="0" w:line="19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180" w:lineRule="exact"/>
        <w:rPr>
          <w:sz w:val="20"/>
          <w:szCs w:val="20"/>
          <w:color w:val="auto"/>
        </w:rPr>
      </w:pPr>
    </w:p>
    <w:p>
      <w:pPr>
        <w:ind w:left="820" w:right="3679" w:hanging="817"/>
        <w:spacing w:after="0" w:line="247"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have grown significantly in recent years through both strategic acquisitions and growth in our existing businesses. We have historically met our cash needs for operations through our cash flows from operating activities. We have generally financed our cash requirements for acquisitions and capital expenditures through borrowings of long-term debt, sales of investments and from existing cash, cash equivalents and short-term investments.</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Except where specifically indicated, the following management's discussion and analysis of financial condition and results of operations does not include the anticipated effects of the AT&amp;T Broadband transaction.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Refer to Note 4 to our financial statements included in Item 1 and Note 5 to our financial statements included in our Annual Report on Form 10-K for the year ended December 31, 2001 for a discussion of our acquisitions and other significant events.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cable communications and the electronic retail- ing industries are experiencing increasing competition and rapid technological changes. Our future results of operations will be affected by our ability to react to changes in the competitive environment and by our ability to implement new technologies. We believe that competition and technological changes will not significantly affect our ability to obtain financing.</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have both the ability and intent to redeem the $1.1 billion outstanding Zero Coupon Debentures with amounts available under subsidiary credit facilities if holders exercise their rights to require us to repurchase the Zero Coupon Debentures in December 2002. As of March 31, 2002, certain of our subsidiaries had unused lines of credit of $3.142 billion under their respective credit facilities.</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Refer to Note 7 to our financial statements included in Item 1 for a discussion of our Zero Coupon Debentures. Refer to Note 10 to our financial statements included in Item 1 for a discussion of our commitments and contingencies.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AT&amp;T Broadband Transaction</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Excluding AT&amp;T Broadband's exchangeable notes, which are mandatorily redeemable at AT&amp;T Broadband's option into shares of certain publicly traded companies held by AT&amp;T Broadband, we currently estimate that an aggregate of approximately $20 billion of assumed and refinanced indebtedness will be required upon completion of the AT&amp;T Broadband transaction. At the completion of the transaction, we anticipate that the combined company will assume approximately $7 to $8 billion of debt and will require financing of up to $14 billion, although the amount of debt assumed may be higher, offset by an equal reduction in the amount of required financing. The financing, while not a condition for the closing, is expected to include:</w:t>
      </w:r>
    </w:p>
    <w:p>
      <w:pPr>
        <w:spacing w:after="0" w:line="181" w:lineRule="exact"/>
        <w:rPr>
          <w:sz w:val="20"/>
          <w:szCs w:val="20"/>
          <w:color w:val="auto"/>
        </w:rPr>
      </w:pPr>
    </w:p>
    <w:p>
      <w:pPr>
        <w:jc w:val="both"/>
        <w:ind w:left="900" w:right="2959" w:hanging="452"/>
        <w:spacing w:after="0" w:line="247"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$9 billion to $10 billion to retire the intercompany debt balance which AT&amp;T Broadband is expected to owe AT&amp;T Corp. ("AT&amp;T"),</w:t>
      </w:r>
    </w:p>
    <w:p>
      <w:pPr>
        <w:spacing w:after="0" w:line="174" w:lineRule="exact"/>
        <w:rPr>
          <w:rFonts w:ascii="Courier New" w:cs="Courier New" w:eastAsia="Courier New" w:hAnsi="Courier New"/>
          <w:sz w:val="15"/>
          <w:szCs w:val="15"/>
          <w:color w:val="auto"/>
        </w:rPr>
      </w:pPr>
    </w:p>
    <w:p>
      <w:pPr>
        <w:jc w:val="both"/>
        <w:ind w:left="900" w:right="2959" w:hanging="452"/>
        <w:spacing w:after="0" w:line="247"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 billion to $2 billion to refinance certain AT&amp;T Broadband debt that may be put for redemption by investors or that will mature on or soon after the closing date for the transaction, and</w:t>
      </w:r>
    </w:p>
    <w:p>
      <w:pPr>
        <w:spacing w:after="0" w:line="174" w:lineRule="exact"/>
        <w:rPr>
          <w:rFonts w:ascii="Courier New" w:cs="Courier New" w:eastAsia="Courier New" w:hAnsi="Courier New"/>
          <w:sz w:val="15"/>
          <w:szCs w:val="15"/>
          <w:color w:val="auto"/>
        </w:rPr>
      </w:pPr>
    </w:p>
    <w:p>
      <w:pPr>
        <w:jc w:val="both"/>
        <w:ind w:left="900" w:right="2959" w:hanging="452"/>
        <w:spacing w:after="0" w:line="247"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$1 billion to $2 billion to provide appropriate cash reserves to fund the operations and capital expenditures of AT&amp;T Broadband after completion of the transaction.</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On May 3, 2002, AT&amp;T Broadband and the combined company entered into definitive credit agreements with a syndicate of lenders for an aggregate of $12.825 billion of new indebtedness in order to achieve these financing requirements. This financing requires subsidiary guarantees, including guarantees by certain of our wholly owned subsidiaries and by subsidiaries of AT&amp;T Broadband.</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We may also use other available sources of financing to fund these requirements, including:</w:t>
      </w:r>
    </w:p>
    <w:p>
      <w:pPr>
        <w:spacing w:after="0" w:line="175" w:lineRule="exact"/>
        <w:rPr>
          <w:sz w:val="20"/>
          <w:szCs w:val="20"/>
          <w:color w:val="auto"/>
        </w:rPr>
      </w:pPr>
    </w:p>
    <w:p>
      <w:pPr>
        <w:ind w:left="3540" w:right="5139" w:hanging="3092"/>
        <w:spacing w:after="0" w:line="699" w:lineRule="auto"/>
        <w:tabs>
          <w:tab w:leader="none" w:pos="90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existing cash, cash equivalents and short-15</w:t>
      </w:r>
    </w:p>
    <w:p>
      <w:pPr>
        <w:sectPr>
          <w:pgSz w:w="11900" w:h="17038" w:orient="portrait"/>
          <w:cols w:equalWidth="0" w:num="1">
            <w:col w:w="10219"/>
          </w:cols>
          <w:pgMar w:left="240" w:top="468" w:right="1440" w:bottom="0" w:gutter="0" w:footer="0" w:header="0"/>
        </w:sectPr>
      </w:pPr>
    </w:p>
    <w:bookmarkStart w:id="16" w:name="page17"/>
    <w:bookmarkEnd w:id="16"/>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term investments,</w:t>
      </w:r>
    </w:p>
    <w:p>
      <w:pPr>
        <w:spacing w:after="0" w:line="180" w:lineRule="exact"/>
        <w:rPr>
          <w:sz w:val="20"/>
          <w:szCs w:val="20"/>
          <w:color w:val="auto"/>
        </w:rPr>
      </w:pPr>
    </w:p>
    <w:p>
      <w:pPr>
        <w:ind w:left="900" w:right="2959" w:hanging="452"/>
        <w:spacing w:after="0" w:line="24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available under our subsidiaries' lines of credit, which totaled $2.830 billion as of May 9, 2002, and</w:t>
      </w:r>
    </w:p>
    <w:p>
      <w:pPr>
        <w:spacing w:after="0" w:line="174" w:lineRule="exact"/>
        <w:rPr>
          <w:rFonts w:ascii="Courier New" w:cs="Courier New" w:eastAsia="Courier New" w:hAnsi="Courier New"/>
          <w:sz w:val="15"/>
          <w:szCs w:val="15"/>
          <w:color w:val="auto"/>
        </w:rPr>
      </w:pPr>
    </w:p>
    <w:p>
      <w:pPr>
        <w:ind w:left="900" w:right="2959" w:hanging="452"/>
        <w:spacing w:after="0" w:line="24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sales of our and AT&amp;T Broadband's investments, including AT&amp;T Broadband's investment in Time Warner Entertainment.</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Subsequent to closing of the AT&amp;T Broadband transaction, we will have a substantially higher amount of debt, interest expense and capital expenditures at the combined company. If the credit rating agencies determine that the combined company is less creditworthy, on a combined basis, than that of Comcast on an historical basis, it is possible that our cost of and access to capital could be negatively affected. We currently hold investment grade ratings for our various debt securities. If our debt securities are downgraded as a result of our assumption of debt in the AT&amp;T Broadband transaction, access to the commercial paper market would likely become limited and the costs of borrowing under alternative sources would likely increase.</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March 31, 2002 were $2.631 billion, substantially all of which is unrestricted.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 significant portion of our investments are in publicly traded companies and are reflected at fair value which fluctuates with market changes.</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Refer to Note 5 to our financial statements included in Item 1 for a discussion of our investments.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As of March 31, 2002 and December 31, 2001, our long-term debt, including current portion, was $11.624 billion and $12.202 billion, respectively.</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$578.3 million decrease from December 31, 2001 to March 31, 2002 results principally from the $658.0 million aggregate reduction to the carrying value of our ZONES during 2002, offset by the effects of our net borrowings during 2002.</w:t>
      </w:r>
    </w:p>
    <w:p>
      <w:pPr>
        <w:spacing w:after="0" w:line="177"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Excluding the effects of interest rate risk management instruments, 16.4% and 13.4% of our long- term debt as of March 31, 2002 and December 31, 2001, respectively, was at variable rates.</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Refer to Note 7 to our financial statements included in Item 1 for a discussion of our long-term debt.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have entered into cashless collar agreements (the "Equity Collars") and prepaid forward sales agreements ("Prepaid Forward Sales") which we account for at fair value. The Equity Collars and Prepaid Forward Sales limit our exposure to and benefits from price fluctuations in Sprint PCS common stock.</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During the three months ended March 31, 2002 and 2001, the decrease in the fair value of our investment in Sprint PCS common stock, classified as a trading security, of $1.020 billion and $126.8 million was substantially offset by the changes in the fair values of the Equity Collars, the derivative components of the ZONES, and the Prepaid Forward Sales. See "Results of Operations - Investment Income (Expense)" below.</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During the three months ended March 31, 2002, we settled $950.0 million aggregate notional amount of our fixed to variable interest rate exchange agreements ("Swaps") and received proceeds of $56.8 million. This amount is being recognized as an adjustment to interest expense over the term of the related debt. During the three months ended March 31, 2002, variable to fixed Swaps with an aggregate notional amount of $33.5 million expired. As of March 31, 2002, we have $216.8 million aggregate notional amount of variable to fixed Swaps with an average pay rate of 4.9% and an average receive rate of 1.9%. The Swaps mature between 2002 and 2003.</w:t>
      </w:r>
    </w:p>
    <w:p>
      <w:pPr>
        <w:sectPr>
          <w:pgSz w:w="11900" w:h="16838" w:orient="portrait"/>
          <w:cols w:equalWidth="0" w:num="1">
            <w:col w:w="10219"/>
          </w:cols>
          <w:pgMar w:left="240" w:top="468" w:right="1440" w:bottom="0" w:gutter="0" w:footer="0" w:header="0"/>
        </w:sectPr>
      </w:pPr>
    </w:p>
    <w:bookmarkStart w:id="17" w:name="page18"/>
    <w:bookmarkEnd w:id="17"/>
    <w:p>
      <w:pPr>
        <w:ind w:left="2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316" w:right="1440" w:bottom="1440" w:gutter="0" w:footer="0" w:header="0"/>
        </w:sectPr>
      </w:pPr>
    </w:p>
    <w:bookmarkStart w:id="18" w:name="page19"/>
    <w:bookmarkEnd w:id="18"/>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Accumulated Other Comprehensive Income (Loss)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change in accumulated other comprehensive income (loss) from December 31, 2001 to March 31, 2002 is principally attributable to decreases in unrealized gains on our investments classified as available for sale held throughout the period. Refer to Note 5 to our financial statements included in Item 1.</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Cash and cash equivalents increased $193.1 million as of March 31, 2002 from December 31, 2001. The increase in cash and cash equivalents resulted from cash flows from operating, financing and investing activities which are explained below.</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Net cash provided by operating activities amounted to $519.3 million for the three months ended March 31, 2002, due principally to our operating income before depreciation and amortization (see "Results of Operations"), and by changes in working capital as a result of the timing of receipts and disbursements and the effects of net interest and current income tax expense.</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Net cash provided by financing activities includes borrowings and repayments of debt, proceeds from settlement of Swaps, as well as proceeds from the issuances of our common stock. Net cash provided by financing activities was $130.7 million for the three months ended March 31, 2002. During the three months ended March 31, 2002, we borrowed $520.0 million, consisting of:</w:t>
      </w:r>
    </w:p>
    <w:p>
      <w:pPr>
        <w:spacing w:after="0" w:line="178" w:lineRule="exact"/>
        <w:rPr>
          <w:sz w:val="20"/>
          <w:szCs w:val="20"/>
          <w:color w:val="auto"/>
        </w:rPr>
      </w:pPr>
    </w:p>
    <w:p>
      <w:pPr>
        <w:ind w:left="900" w:hanging="452"/>
        <w:spacing w:after="0"/>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$115.4 million under Comcast Cable's commercial paper program, and</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$404.6 million under revolving credit facilities.</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During the three months ended March 31, 2002, we repaid $451.1 million of our long-term debt, consisting of:</w:t>
      </w:r>
    </w:p>
    <w:p>
      <w:pPr>
        <w:spacing w:after="0" w:line="175" w:lineRule="exact"/>
        <w:rPr>
          <w:sz w:val="20"/>
          <w:szCs w:val="20"/>
          <w:color w:val="auto"/>
        </w:rPr>
      </w:pPr>
    </w:p>
    <w:p>
      <w:pPr>
        <w:ind w:left="900" w:hanging="452"/>
        <w:spacing w:after="0"/>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$187.6 million under Comcast Cable's commercial paper program,</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million of our 9.625% Senior Notes due 2002, and</w:t>
      </w:r>
    </w:p>
    <w:p>
      <w:pPr>
        <w:spacing w:after="0" w:line="17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$63.5 million on certain of our revolving credit facilities.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In addition, during the three months ended March 31, 2002, we received proceeds of $56.8 million from settlement of certain of our Swaps and proceeds of $5.0 million from issuances of our common stock.</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Net cash used in investing activities includes the effects of acquisitions, net of cash acquired, purchases of investments, capital expenditures, and additions to intangible and other noncurrent assets, offset by proceeds from sales of investments. Net cash used in investing activities was $456.9 million for the three months ended March 31, 2002, consisting primarily of capital expenditures of $399.1 million and additions to intangible and other noncurrent assets of $55.8 million.</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effects of our recent acquisitions were to increase our revenues and expenses, resulting in increases in our operating income before depreciation and amortization.</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adopted Statement of Financial Accounting Standards ("SFAS") No. 142, "Goodwill and Other Intangible Assets," on January 1, 2002, as required by the new statement. Refer to Notes 2 and 6 to our financial statements included in Item 1 for a discussion of the impact the adoption of the new statement had on our consolidated financial condition and results of operations.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3" w:right="1440" w:bottom="1440" w:gutter="0" w:footer="0" w:header="0"/>
        </w:sectPr>
      </w:pPr>
    </w:p>
    <w:bookmarkStart w:id="19" w:name="page20"/>
    <w:bookmarkEnd w:id="19"/>
    <w:p>
      <w:pPr>
        <w:jc w:val="center"/>
        <w:ind w:right="2952"/>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ind w:left="7" w:right="2959" w:firstLine="454"/>
        <w:spacing w:after="0" w:line="247" w:lineRule="auto"/>
        <w:rPr>
          <w:sz w:val="20"/>
          <w:szCs w:val="20"/>
          <w:color w:val="auto"/>
        </w:rPr>
      </w:pPr>
      <w:r>
        <w:rPr>
          <w:rFonts w:ascii="Courier New" w:cs="Courier New" w:eastAsia="Courier New" w:hAnsi="Courier New"/>
          <w:sz w:val="15"/>
          <w:szCs w:val="15"/>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2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Three Months Ended</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5680" w:type="dxa"/>
            <w:vAlign w:val="bottom"/>
          </w:tcPr>
          <w:p>
            <w:pPr>
              <w:spacing w:after="0"/>
              <w:rPr>
                <w:sz w:val="15"/>
                <w:szCs w:val="15"/>
                <w:color w:val="auto"/>
              </w:rPr>
            </w:pPr>
          </w:p>
        </w:tc>
        <w:tc>
          <w:tcPr>
            <w:tcW w:w="22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March 31,</w:t>
            </w:r>
          </w:p>
        </w:tc>
        <w:tc>
          <w:tcPr>
            <w:tcW w:w="2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Increase / (Decrease)</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$2,672.5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$2,232.0</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631.2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556.6</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 expenses......</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1,233.1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1,041.2</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191.9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240.8</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93.0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38.6</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493.9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(89.2)</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(100.5)</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521.6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(182.3)</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214.7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(462.7)</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Equity in net income (losses) of affiliates..................</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1,194.2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(1,217.8)</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(482.9)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(26.7)</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accounting change.........................................</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$616.7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($705.6)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NM</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amortization (1) .........................................</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$808.2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$634.2</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$174.0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27.5%</w:t>
            </w:r>
          </w:p>
        </w:tc>
      </w:tr>
      <w:tr>
        <w:trPr>
          <w:trHeight w:val="175"/>
        </w:trPr>
        <w:tc>
          <w:tcPr>
            <w:tcW w:w="5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jc w:val="both"/>
        <w:ind w:left="447" w:right="2959" w:hanging="447"/>
        <w:spacing w:after="0" w:line="246" w:lineRule="auto"/>
        <w:tabs>
          <w:tab w:leader="none" w:pos="4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Consolidated Operating Results</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Revenues</w:t>
      </w:r>
    </w:p>
    <w:p>
      <w:pPr>
        <w:spacing w:after="0" w:line="180"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The increase in consolidated revenues for the interim period from 2001 to 2002 is primarily attributable to an increase in service revenues in our Cable segment and to an increase in net sales in our Commerce segment (see "Operating Results by Business Segment" below). The remaining increases are primarily the result of an increase in revenues from our content operations, principally due to growth in our historical operations and the effects of our acquisitions.</w:t>
      </w:r>
    </w:p>
    <w:p>
      <w:pPr>
        <w:spacing w:after="0" w:line="178"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On January 1, 2002, we adopted Emerging Issues Task Force ("EITF") 01-9, "Accounting for Consideration Given to a Customer (Including a Reseller of the Vendor's Products)" and EITF 01-14, "Income Statement Characterization of Reimbursements Received for 'Out-of-Pocket' Expenses Incurred."</w:t>
      </w:r>
    </w:p>
    <w:p>
      <w:pPr>
        <w:spacing w:after="0" w:line="177" w:lineRule="exact"/>
        <w:rPr>
          <w:sz w:val="20"/>
          <w:szCs w:val="20"/>
          <w:color w:val="auto"/>
        </w:rPr>
      </w:pPr>
    </w:p>
    <w:p>
      <w:pPr>
        <w:jc w:val="both"/>
        <w:ind w:left="7" w:right="2959" w:firstLine="454"/>
        <w:spacing w:after="0" w:line="246" w:lineRule="auto"/>
        <w:rPr>
          <w:sz w:val="20"/>
          <w:szCs w:val="20"/>
          <w:color w:val="auto"/>
        </w:rPr>
      </w:pPr>
      <w:r>
        <w:rPr>
          <w:rFonts w:ascii="Courier New" w:cs="Courier New" w:eastAsia="Courier New" w:hAnsi="Courier New"/>
          <w:sz w:val="15"/>
          <w:szCs w:val="15"/>
          <w:color w:val="auto"/>
        </w:rPr>
        <w:t>EITF 01-9 requires, among other things, that consideration paid to customers should be classified as a reduction of revenue unless certain criteria are met. Certain of our content subsidiaries have paid or may pay distribution fees to cable television and satellite broadcast systems for carriage of their programming. Upon adoption of EITF 01-9, we reclassified certain of these distribution fees from expense to a revenue reduction for all periods presented in our statement of operations.</w:t>
      </w:r>
    </w:p>
    <w:p>
      <w:pPr>
        <w:spacing w:after="0" w:line="17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EITF 01-14 requires that reimbursements received</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6"/>
          </w:cols>
          <w:pgMar w:left="233" w:top="642" w:right="1440" w:bottom="606" w:gutter="0" w:footer="0" w:header="0"/>
        </w:sectPr>
      </w:pPr>
    </w:p>
    <w:bookmarkStart w:id="20" w:name="page21"/>
    <w:bookmarkEnd w:id="20"/>
    <w:p>
      <w:pPr>
        <w:jc w:val="center"/>
        <w:ind w:right="5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jc w:val="both"/>
        <w:ind w:right="540"/>
        <w:spacing w:after="0" w:line="246" w:lineRule="auto"/>
        <w:rPr>
          <w:sz w:val="20"/>
          <w:szCs w:val="20"/>
          <w:color w:val="auto"/>
        </w:rPr>
      </w:pPr>
      <w:r>
        <w:rPr>
          <w:rFonts w:ascii="Courier New" w:cs="Courier New" w:eastAsia="Courier New" w:hAnsi="Courier New"/>
          <w:sz w:val="15"/>
          <w:szCs w:val="15"/>
          <w:color w:val="auto"/>
        </w:rPr>
        <w:t>for out-of-pocket expenses incurred be characterized as revenue in the statement of operations. Under the terms of our franchise agreements, we are required to pay up to 5% of our gross revenues derived from providing cable services to the local franchising authority. We normally pass these fees through to our cable subscribers. Upon adoption of EITF 01-14, we reclassified franchise fees collected from cable subscribers from a reduction of selling, general and administrative expenses to a component of service revenues for all periods presented in our statement of operations.</w:t>
      </w:r>
    </w:p>
    <w:p>
      <w:pPr>
        <w:spacing w:after="0" w:line="180" w:lineRule="exact"/>
        <w:rPr>
          <w:sz w:val="20"/>
          <w:szCs w:val="20"/>
          <w:color w:val="auto"/>
        </w:rPr>
      </w:pPr>
    </w:p>
    <w:p>
      <w:pPr>
        <w:jc w:val="both"/>
        <w:ind w:right="540" w:firstLine="454"/>
        <w:spacing w:after="0" w:line="246" w:lineRule="auto"/>
        <w:rPr>
          <w:sz w:val="20"/>
          <w:szCs w:val="20"/>
          <w:color w:val="auto"/>
        </w:rPr>
      </w:pPr>
      <w:r>
        <w:rPr>
          <w:rFonts w:ascii="Courier New" w:cs="Courier New" w:eastAsia="Courier New" w:hAnsi="Courier New"/>
          <w:sz w:val="15"/>
          <w:szCs w:val="15"/>
          <w:color w:val="auto"/>
        </w:rPr>
        <w:t>The changes in classification had no impact on our reported operating income (loss) or financial condition. Refer to Note 2 to our financial statements included in Item 1 for a discussion of the adoption of EITF 01-9 and EITF 01-14.</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of goods sold from electronic retailing</w:t>
      </w:r>
    </w:p>
    <w:p>
      <w:pPr>
        <w:spacing w:after="0" w:line="180" w:lineRule="exact"/>
        <w:rPr>
          <w:sz w:val="20"/>
          <w:szCs w:val="20"/>
          <w:color w:val="auto"/>
        </w:rPr>
      </w:pPr>
    </w:p>
    <w:p>
      <w:pPr>
        <w:jc w:val="both"/>
        <w:ind w:right="540" w:firstLine="454"/>
        <w:spacing w:after="0" w:line="247" w:lineRule="auto"/>
        <w:rPr>
          <w:sz w:val="20"/>
          <w:szCs w:val="20"/>
          <w:color w:val="auto"/>
        </w:rPr>
      </w:pPr>
      <w:r>
        <w:rPr>
          <w:rFonts w:ascii="Courier New" w:cs="Courier New" w:eastAsia="Courier New" w:hAnsi="Courier New"/>
          <w:sz w:val="15"/>
          <w:szCs w:val="15"/>
          <w:color w:val="auto"/>
        </w:rPr>
        <w:t>Refer to the "Commerce" section of "Operating Results by Business Segment" below for a discussion of the increase in cost of goods sold from electronic retailing.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80" w:lineRule="exact"/>
        <w:rPr>
          <w:sz w:val="20"/>
          <w:szCs w:val="20"/>
          <w:color w:val="auto"/>
        </w:rPr>
      </w:pPr>
    </w:p>
    <w:p>
      <w:pPr>
        <w:jc w:val="both"/>
        <w:ind w:right="540" w:firstLine="454"/>
        <w:spacing w:after="0" w:line="246" w:lineRule="auto"/>
        <w:rPr>
          <w:sz w:val="20"/>
          <w:szCs w:val="20"/>
          <w:color w:val="auto"/>
        </w:rPr>
      </w:pPr>
      <w:r>
        <w:rPr>
          <w:rFonts w:ascii="Courier New" w:cs="Courier New" w:eastAsia="Courier New" w:hAnsi="Courier New"/>
          <w:sz w:val="15"/>
          <w:szCs w:val="15"/>
          <w:color w:val="auto"/>
        </w:rPr>
        <w:t>The increase in consolidated operating, selling, general and administrative expenses for the interim period from 2001 to 2002 is primarily attributable to increases in expenses in our Cable segment and, to a lesser extent, to increases in expenses in our Commerce segment (see "Operating Results by Business Segment" below). The remaining increases are primarily the result of increased expenses in our content operations, principally due to growth in our historical operations and the effects of our acquisitions.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w:t>
      </w:r>
    </w:p>
    <w:p>
      <w:pPr>
        <w:spacing w:after="0" w:line="180" w:lineRule="exact"/>
        <w:rPr>
          <w:sz w:val="20"/>
          <w:szCs w:val="20"/>
          <w:color w:val="auto"/>
        </w:rPr>
      </w:pPr>
    </w:p>
    <w:p>
      <w:pPr>
        <w:jc w:val="both"/>
        <w:ind w:right="540" w:firstLine="454"/>
        <w:spacing w:after="0" w:line="246" w:lineRule="auto"/>
        <w:rPr>
          <w:sz w:val="20"/>
          <w:szCs w:val="20"/>
          <w:color w:val="auto"/>
        </w:rPr>
      </w:pPr>
      <w:r>
        <w:rPr>
          <w:rFonts w:ascii="Courier New" w:cs="Courier New" w:eastAsia="Courier New" w:hAnsi="Courier New"/>
          <w:sz w:val="15"/>
          <w:szCs w:val="15"/>
          <w:color w:val="auto"/>
        </w:rPr>
        <w:t>The increase in depreciation expense for the interim period from 2001 to 2002 in our Cable segment is primarily due to the effects of our recent acquisitions and our capital expenditures. The increase in depreciation expense for the interim period from 2001 to 2002 in our Commerce segment is primarily due to the effects of our capital expenditures. The remaining increase is primarily the result of increases in depreciation in our content operations, principally due to the effects of our acquisitions.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Amortization</w:t>
      </w:r>
    </w:p>
    <w:p>
      <w:pPr>
        <w:spacing w:after="0" w:line="180" w:lineRule="exact"/>
        <w:rPr>
          <w:sz w:val="20"/>
          <w:szCs w:val="20"/>
          <w:color w:val="auto"/>
        </w:rPr>
      </w:pPr>
    </w:p>
    <w:p>
      <w:pPr>
        <w:jc w:val="both"/>
        <w:ind w:right="540" w:firstLine="454"/>
        <w:spacing w:after="0" w:line="246" w:lineRule="auto"/>
        <w:rPr>
          <w:sz w:val="20"/>
          <w:szCs w:val="20"/>
          <w:color w:val="auto"/>
        </w:rPr>
      </w:pPr>
      <w:r>
        <w:rPr>
          <w:rFonts w:ascii="Courier New" w:cs="Courier New" w:eastAsia="Courier New" w:hAnsi="Courier New"/>
          <w:sz w:val="15"/>
          <w:szCs w:val="15"/>
          <w:color w:val="auto"/>
        </w:rPr>
        <w:t>The decrease in amortization expense for the interim period from 2001 to 2002 is attributable to the adoption of SFAS No. 142 on January 1, 2002. Refer to Note 6 to our financial statements included in Item 1 for the pro forma impact of adoption of SFAS No. 142 on amortization expense.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80" w:lineRule="exact"/>
        <w:rPr>
          <w:sz w:val="20"/>
          <w:szCs w:val="20"/>
          <w:color w:val="auto"/>
        </w:rPr>
      </w:pPr>
    </w:p>
    <w:p>
      <w:pPr>
        <w:jc w:val="both"/>
        <w:ind w:right="540" w:firstLine="454"/>
        <w:spacing w:after="0" w:line="246" w:lineRule="auto"/>
        <w:rPr>
          <w:sz w:val="20"/>
          <w:szCs w:val="20"/>
          <w:color w:val="auto"/>
        </w:rPr>
      </w:pPr>
      <w:r>
        <w:rPr>
          <w:rFonts w:ascii="Courier New" w:cs="Courier New" w:eastAsia="Courier New" w:hAnsi="Courier New"/>
          <w:sz w:val="15"/>
          <w:szCs w:val="15"/>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11 to our financial statements included in Item 1 for a summary of our financial data by business segment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Cable</w:t>
            </w:r>
          </w:p>
        </w:tc>
        <w:tc>
          <w:tcPr>
            <w:tcW w:w="2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5720" w:type="dxa"/>
            <w:vAlign w:val="bottom"/>
          </w:tcPr>
          <w:p>
            <w:pPr>
              <w:spacing w:after="0"/>
              <w:rPr>
                <w:sz w:val="15"/>
                <w:szCs w:val="15"/>
                <w:color w:val="auto"/>
              </w:rPr>
            </w:pPr>
          </w:p>
        </w:tc>
        <w:tc>
          <w:tcPr>
            <w:tcW w:w="20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March 31,</w:t>
            </w:r>
          </w:p>
        </w:tc>
      </w:tr>
      <w:tr>
        <w:trPr>
          <w:trHeight w:val="175"/>
        </w:trPr>
        <w:tc>
          <w:tcPr>
            <w:tcW w:w="5720" w:type="dxa"/>
            <w:vAlign w:val="bottom"/>
          </w:tcPr>
          <w:p>
            <w:pPr>
              <w:spacing w:after="0"/>
              <w:rPr>
                <w:sz w:val="15"/>
                <w:szCs w:val="15"/>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2002</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57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Video........................................................</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$984.8</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High-speed Internet..........................................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Advertising sales............................................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66.2</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45.7</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Franchise fees...............................................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43.2</w:t>
            </w:r>
          </w:p>
        </w:tc>
      </w:tr>
      <w:tr>
        <w:trPr>
          <w:trHeight w:val="175"/>
        </w:trPr>
        <w:tc>
          <w:tcPr>
            <w:tcW w:w="57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1,194.4</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707.3</w:t>
            </w:r>
          </w:p>
        </w:tc>
      </w:tr>
      <w:tr>
        <w:trPr>
          <w:trHeight w:val="175"/>
        </w:trPr>
        <w:tc>
          <w:tcPr>
            <w:tcW w:w="57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$487.1</w:t>
            </w:r>
          </w:p>
        </w:tc>
      </w:tr>
      <w:tr>
        <w:trPr>
          <w:trHeight w:val="175"/>
        </w:trPr>
        <w:tc>
          <w:tcPr>
            <w:tcW w:w="57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Increase</w:t>
      </w:r>
    </w:p>
    <w:p>
      <w:pPr>
        <w:spacing w:after="0" w:line="5" w:lineRule="exact"/>
        <w:rPr>
          <w:sz w:val="20"/>
          <w:szCs w:val="20"/>
          <w:color w:val="auto"/>
        </w:rPr>
      </w:pPr>
    </w:p>
    <w:p>
      <w:pPr>
        <w:ind w:left="1440" w:hanging="1084"/>
        <w:spacing w:after="0"/>
        <w:tabs>
          <w:tab w:leader="none" w:pos="14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119.4</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275.0</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w:t>
            </w:r>
          </w:p>
        </w:tc>
      </w:tr>
      <w:tr>
        <w:trPr>
          <w:trHeight w:val="350"/>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r>
      <w:tr>
        <w:trPr>
          <w:trHeight w:val="175"/>
        </w:trPr>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800" w:space="380"/>
            <w:col w:w="2039"/>
          </w:cols>
          <w:pgMar w:left="240" w:top="642" w:right="1440" w:bottom="256" w:gutter="0" w:footer="0" w:header="0"/>
        </w:sectPr>
      </w:pPr>
    </w:p>
    <w:bookmarkStart w:id="21" w:name="page22"/>
    <w:bookmarkEnd w:id="21"/>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Video revenue consists of our basic, expanded basic, premium, pay-per-view, equipment and digital subscriptions. Of the $164.8 million increase in video revenues for the interim period from 2001 to 2002, $92.3 million is attributable to the effects of our acquisitions of cable systems and $72.5 million relates to increased rates and subscriber growth in our historical operations, driven principally by growth in digital subscriptions. During the three months ended March 31, 2002, we added approximately 203,700 digital subscriptions.</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increase in high-speed Internet revenue for the interim period from 2001 to 2002 is primarily due to the addition of approximately 92,400 high-speed Internet subscribers during the three months ended March 31, 2002, and to the effects of rate increases.</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increase in advertising sales revenue for the interim period from 2001 to 2002 is primarily attributable to the effects of an additional broadcast week in the first quarter of 2002 and the continued leveraging of our market-wide fiber interconnects.</w:t>
      </w:r>
    </w:p>
    <w:p>
      <w:pPr>
        <w:spacing w:after="0" w:line="177"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Other revenue includes installation revenues, guide revenues, commissions from electronic retailing, revenues of our regional sports programming networks and revenue from other product offerings. The increase for the interim period from 2001 to 2002 is primarily attributable to the effects of our acquisitions, growth in our regional sports programming networks, and growth in commissions from electronic retailing.</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increase in franchise fees collected from our cable subscribers under the terms of our franchise agreements for the interim period from 2001 to 2002 is attributable to the increases in our revenues upon which the fees apply.</w:t>
      </w:r>
    </w:p>
    <w:p>
      <w:pPr>
        <w:spacing w:after="0" w:line="17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increase in operating, selling, general and administrative expense is primarily due to the effects of our acquisitions of cable systems, as well as to the effects of increases in the costs of cable programming, high- speed Internet subscriber growth, and, to a lesser extent, increases in labor costs and other volume related expenses in our historical operations.</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Commerce (QVC, Inc. and Subsidiaries)</w:t>
            </w:r>
          </w:p>
        </w:tc>
        <w:tc>
          <w:tcPr>
            <w:tcW w:w="23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Three Months Ended</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5720" w:type="dxa"/>
            <w:vAlign w:val="bottom"/>
          </w:tcPr>
          <w:p>
            <w:pPr>
              <w:spacing w:after="0"/>
              <w:rPr>
                <w:sz w:val="15"/>
                <w:szCs w:val="15"/>
                <w:color w:val="auto"/>
              </w:rPr>
            </w:pPr>
          </w:p>
        </w:tc>
        <w:tc>
          <w:tcPr>
            <w:tcW w:w="2320" w:type="dxa"/>
            <w:vAlign w:val="bottom"/>
            <w:gridSpan w:val="2"/>
          </w:tcPr>
          <w:p>
            <w:pPr>
              <w:jc w:val="right"/>
              <w:ind w:right="704"/>
              <w:spacing w:after="0"/>
              <w:rPr>
                <w:sz w:val="20"/>
                <w:szCs w:val="20"/>
                <w:color w:val="auto"/>
              </w:rPr>
            </w:pPr>
            <w:r>
              <w:rPr>
                <w:rFonts w:ascii="Courier New" w:cs="Courier New" w:eastAsia="Courier New" w:hAnsi="Courier New"/>
                <w:sz w:val="15"/>
                <w:szCs w:val="15"/>
                <w:color w:val="auto"/>
              </w:rPr>
              <w:t>March 31,</w:t>
            </w:r>
          </w:p>
        </w:tc>
        <w:tc>
          <w:tcPr>
            <w:tcW w:w="214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Increase</w:t>
            </w:r>
          </w:p>
        </w:tc>
      </w:tr>
      <w:tr>
        <w:trPr>
          <w:trHeight w:val="175"/>
        </w:trPr>
        <w:tc>
          <w:tcPr>
            <w:tcW w:w="5720" w:type="dxa"/>
            <w:vAlign w:val="bottom"/>
          </w:tcPr>
          <w:p>
            <w:pPr>
              <w:spacing w:after="0"/>
              <w:rPr>
                <w:sz w:val="15"/>
                <w:szCs w:val="15"/>
                <w:color w:val="auto"/>
              </w:rPr>
            </w:pP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$993.5</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$884.0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631.2</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556.6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13.4</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154.7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w:t>
            </w:r>
          </w:p>
        </w:tc>
      </w:tr>
      <w:tr>
        <w:trPr>
          <w:trHeight w:val="175"/>
        </w:trPr>
        <w:tc>
          <w:tcPr>
            <w:tcW w:w="57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$192.3</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$172.7</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5"/>
        </w:trPr>
        <w:tc>
          <w:tcPr>
            <w:tcW w:w="57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36.5%</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5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See footnote (1) on page 18.</w:t>
      </w:r>
    </w:p>
    <w:p>
      <w:pPr>
        <w:spacing w:after="0" w:line="200" w:lineRule="exact"/>
        <w:rPr>
          <w:sz w:val="20"/>
          <w:szCs w:val="20"/>
          <w:color w:val="auto"/>
        </w:rPr>
      </w:pPr>
    </w:p>
    <w:p>
      <w:pPr>
        <w:spacing w:after="0" w:line="32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Of the $109.5 million increase in net sales from electronic retailing for the interim period from 2001 to 2002, $86.8 million is attributable to increases in net sales in the United States. This growth is principally the result of increases over the prior year interim period in the average number of homes receiving QVC services and in net sales per home as follows:</w:t>
      </w:r>
    </w:p>
    <w:p>
      <w:pPr>
        <w:spacing w:after="0" w:line="353"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March 31, 2002</w:t>
      </w:r>
    </w:p>
    <w:p>
      <w:pPr>
        <w:spacing w:after="0" w:line="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2" w:right="1440" w:bottom="78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average number of homes in 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net sales per home in U.S.........................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w:t>
      </w:r>
    </w:p>
    <w:p>
      <w:pPr>
        <w:spacing w:after="0" w:line="200" w:lineRule="exact"/>
        <w:rPr>
          <w:sz w:val="20"/>
          <w:szCs w:val="20"/>
          <w:color w:val="auto"/>
        </w:rPr>
      </w:pPr>
    </w:p>
    <w:p>
      <w:pPr>
        <w:sectPr>
          <w:pgSz w:w="11900" w:h="16838" w:orient="portrait"/>
          <w:cols w:equalWidth="0" w:num="2">
            <w:col w:w="5720" w:space="720"/>
            <w:col w:w="3779"/>
          </w:cols>
          <w:pgMar w:left="240" w:top="642" w:right="1440" w:bottom="780" w:gutter="0" w:footer="0" w:header="0"/>
          <w:type w:val="continuous"/>
        </w:sectPr>
      </w:pPr>
    </w:p>
    <w:p>
      <w:pPr>
        <w:spacing w:after="0" w:line="1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2" w:right="1440" w:bottom="780" w:gutter="0" w:footer="0" w:header="0"/>
          <w:type w:val="continuous"/>
        </w:sectPr>
      </w:pPr>
    </w:p>
    <w:bookmarkStart w:id="22" w:name="page23"/>
    <w:bookmarkEnd w:id="22"/>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It is unlikely that the number of homes receiving the QVC service domestically will continue to grow at rates comparable to prior periods given that the QVC service is already received by approximately 96% of all U.S. cable television homes and substantially all satellite television homes in the U.S. Future growth in sales will depend increasingly on continued additions of new customers from homes already receiving the QVC service and continued growth in repeat sales to existing customers.</w:t>
      </w:r>
    </w:p>
    <w:p>
      <w:pPr>
        <w:spacing w:after="0" w:line="179"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remaining increase of $22.7 million in net sales from electronic retailing for the interim period from 2001 to 2002 is primarily attributable to an increase in net sales in Germany and Japan offset, in part, by a decrease in net sales in the United Kingdom, and to the effects of fluctuations in foreign currency exchange rates during the period.</w:t>
      </w:r>
    </w:p>
    <w:p>
      <w:pPr>
        <w:spacing w:after="0" w:line="178"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increase in cost of goods sold is primarily related to the growth in net sales. The decrease in gross margin is primarily due to the effect of a shift in sales mix.</w:t>
      </w:r>
    </w:p>
    <w:p>
      <w:pPr>
        <w:spacing w:after="0" w:line="174"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increase in operating, selling, general and administrative expenses is primarily attributable to higher variable costs and personnel costs associated with the increase in sales volume.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Expense</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increase in interest expense for the interim period from 2001 to 2002 is primarily due to the increase in our net borrowings.</w:t>
      </w:r>
    </w:p>
    <w:p>
      <w:pPr>
        <w:spacing w:after="0" w:line="175"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We anticipate that, for the foreseeable future, interest expense will be a significant cost to us. We believe we will continue to be able to meet our obligations through our ability both to generate operating income before depreciation and amortization and to obtain external financing.</w:t>
      </w:r>
    </w:p>
    <w:p>
      <w:pPr>
        <w:spacing w:after="0" w:line="17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 (Expense)</w:t>
      </w:r>
    </w:p>
    <w:p>
      <w:pPr>
        <w:spacing w:after="0" w:line="5"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5"/>
          <w:szCs w:val="15"/>
          <w:color w:val="auto"/>
        </w:rPr>
        <w:t>Investment</w:t>
        <w:tab/>
        <w:t>income (expense) for the interim periods includes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99"/>
        </w:trPr>
        <w:tc>
          <w:tcPr>
            <w:tcW w:w="6500" w:type="dxa"/>
            <w:vAlign w:val="bottom"/>
          </w:tcPr>
          <w:p>
            <w:pPr>
              <w:spacing w:after="0"/>
              <w:rPr>
                <w:sz w:val="24"/>
                <w:szCs w:val="24"/>
                <w:color w:val="auto"/>
              </w:rPr>
            </w:pPr>
          </w:p>
        </w:tc>
        <w:tc>
          <w:tcPr>
            <w:tcW w:w="27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5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spacing w:after="0"/>
              <w:rPr>
                <w:sz w:val="15"/>
                <w:szCs w:val="15"/>
                <w:color w:val="auto"/>
              </w:rPr>
            </w:pPr>
          </w:p>
        </w:tc>
      </w:tr>
      <w:tr>
        <w:trPr>
          <w:trHeight w:val="175"/>
        </w:trPr>
        <w:tc>
          <w:tcPr>
            <w:tcW w:w="6500" w:type="dxa"/>
            <w:vAlign w:val="bottom"/>
          </w:tcPr>
          <w:p>
            <w:pPr>
              <w:spacing w:after="0"/>
              <w:rPr>
                <w:sz w:val="15"/>
                <w:szCs w:val="15"/>
                <w:color w:val="auto"/>
              </w:rPr>
            </w:pPr>
          </w:p>
        </w:tc>
        <w:tc>
          <w:tcPr>
            <w:tcW w:w="18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2001</w:t>
            </w:r>
          </w:p>
        </w:tc>
      </w:tr>
      <w:tr>
        <w:trPr>
          <w:trHeight w:val="175"/>
        </w:trPr>
        <w:tc>
          <w:tcPr>
            <w:tcW w:w="6500" w:type="dxa"/>
            <w:vAlign w:val="bottom"/>
          </w:tcPr>
          <w:p>
            <w:pPr>
              <w:spacing w:after="0"/>
              <w:rPr>
                <w:sz w:val="15"/>
                <w:szCs w:val="15"/>
                <w:color w:val="auto"/>
              </w:rPr>
            </w:pPr>
          </w:p>
        </w:tc>
        <w:tc>
          <w:tcPr>
            <w:tcW w:w="18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and dividend income..........................................</w:t>
            </w:r>
          </w:p>
        </w:tc>
        <w:tc>
          <w:tcPr>
            <w:tcW w:w="18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w:t>
            </w:r>
          </w:p>
        </w:tc>
      </w:tr>
      <w:tr>
        <w:trPr>
          <w:trHeight w:val="175"/>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Gains on sales and exchanges of investments, net......................</w:t>
            </w:r>
          </w:p>
        </w:tc>
        <w:tc>
          <w:tcPr>
            <w:tcW w:w="18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w:t>
            </w:r>
          </w:p>
        </w:tc>
      </w:tr>
      <w:tr>
        <w:trPr>
          <w:trHeight w:val="175"/>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impairment losses..........................................</w:t>
            </w:r>
          </w:p>
        </w:tc>
        <w:tc>
          <w:tcPr>
            <w:tcW w:w="18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(894.1)</w:t>
            </w:r>
          </w:p>
        </w:tc>
      </w:tr>
      <w:tr>
        <w:trPr>
          <w:trHeight w:val="175"/>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Reclassification of unrealized gains..................................</w:t>
            </w:r>
          </w:p>
        </w:tc>
        <w:tc>
          <w:tcPr>
            <w:tcW w:w="180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1,092.4</w:t>
            </w:r>
          </w:p>
        </w:tc>
      </w:tr>
      <w:tr>
        <w:trPr>
          <w:trHeight w:val="175"/>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Unrealized losses on Sprint PCS common stock..........................</w:t>
            </w:r>
          </w:p>
        </w:tc>
        <w:tc>
          <w:tcPr>
            <w:tcW w:w="18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(1,019.5)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(126.8)</w:t>
            </w:r>
          </w:p>
        </w:tc>
      </w:tr>
      <w:tr>
        <w:trPr>
          <w:trHeight w:val="175"/>
        </w:trPr>
        <w:tc>
          <w:tcPr>
            <w:tcW w:w="650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 related to Sprint PCS</w:t>
            </w: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 stock.....................................................</w:t>
            </w:r>
          </w:p>
        </w:tc>
        <w:tc>
          <w:tcPr>
            <w:tcW w:w="18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846.9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126.4</w:t>
            </w:r>
          </w:p>
        </w:tc>
      </w:tr>
      <w:tr>
        <w:trPr>
          <w:trHeight w:val="175"/>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Mark to market adjustments on derivatives and hedged items............</w:t>
            </w:r>
          </w:p>
        </w:tc>
        <w:tc>
          <w:tcPr>
            <w:tcW w:w="18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(71.3)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r>
      <w:tr>
        <w:trPr>
          <w:trHeight w:val="175"/>
        </w:trPr>
        <w:tc>
          <w:tcPr>
            <w:tcW w:w="6500" w:type="dxa"/>
            <w:vAlign w:val="bottom"/>
          </w:tcPr>
          <w:p>
            <w:pPr>
              <w:spacing w:after="0"/>
              <w:rPr>
                <w:sz w:val="15"/>
                <w:szCs w:val="15"/>
                <w:color w:val="auto"/>
              </w:rPr>
            </w:pPr>
          </w:p>
        </w:tc>
        <w:tc>
          <w:tcPr>
            <w:tcW w:w="18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6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income (expense)......................................</w:t>
            </w:r>
          </w:p>
        </w:tc>
        <w:tc>
          <w:tcPr>
            <w:tcW w:w="180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($248.0)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$214.7</w:t>
            </w:r>
          </w:p>
        </w:tc>
      </w:tr>
      <w:tr>
        <w:trPr>
          <w:trHeight w:val="175"/>
        </w:trPr>
        <w:tc>
          <w:tcPr>
            <w:tcW w:w="6500" w:type="dxa"/>
            <w:vAlign w:val="bottom"/>
          </w:tcPr>
          <w:p>
            <w:pPr>
              <w:spacing w:after="0"/>
              <w:rPr>
                <w:sz w:val="15"/>
                <w:szCs w:val="15"/>
                <w:color w:val="auto"/>
              </w:rPr>
            </w:pPr>
          </w:p>
        </w:tc>
        <w:tc>
          <w:tcPr>
            <w:tcW w:w="1800" w:type="dxa"/>
            <w:vAlign w:val="bottom"/>
          </w:tcPr>
          <w:p>
            <w:pPr>
              <w:jc w:val="right"/>
              <w:ind w:right="6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investment impairment loss for the three months ended March 31, 2001 relates principally to an other than temporary decline in our investment in AT&amp;T.</w:t>
      </w:r>
    </w:p>
    <w:p>
      <w:pPr>
        <w:spacing w:after="0" w:line="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in Net Income (Losses) of Affiliates</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change in equity in net income (losses) of affiliates for the interim period from 2001 to 2002 is primarily attributable to effects of changes in the net income or loss of our equity method investees.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Income (Expense)</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to other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42" w:right="1440" w:bottom="606" w:gutter="0" w:footer="0" w:header="0"/>
        </w:sectPr>
      </w:pPr>
    </w:p>
    <w:bookmarkStart w:id="23" w:name="page24"/>
    <w:bookmarkEnd w:id="23"/>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income (expense) a pre-tax gain of $1.199 billion, representing the difference between the estimated fair value of $1.799 billion as of the closing date of the transaction and our cost basis in the systems exchanged.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 Expense</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decrease in income tax expense for the interim period from 2001 to 2002 is primarily the result of the effects of changes in our income before taxes, minority interest and cumulative effect of accounting change.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The change in minority interest for the interim period from 2001 to 2002 is attributable to the effects of changes in the net income or loss of our less than wholly owned consolidated subsidiaries.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Cumulative Effect of Accounting Change</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the adoption of SFAS No. 142, we completed an initial transitional impairment assessment of goodwill and other indefinite lived intangible assets, which consist primarily of our cable franchise operating rights. Based upon further guidance provided by the EITF, we determined that no cumulative effect results from adopting this change in accounting principle.</w:t>
      </w:r>
    </w:p>
    <w:p>
      <w:pPr>
        <w:spacing w:after="0" w:line="178"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In connection with the adoption of SFAS No. 133, "Accounting for Derivative Instruments and Hedging Activities," as amended, we recognized as income a cumulative effect of accounting change, net of related income taxes, of $384.5 million during the three months ended March 31, 2001. The income consisted of a $400.2 million adjustment to record the debt component of our ZONES at a discount from its value at maturity and $191.3 million principally related to the reclassification of gains previously recognized as a component of accumulated other comprehensive income (loss) on our equity derivative instruments, net of related deferred income taxes of $207.0 million.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pacing w:after="0" w:line="18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0" w:lineRule="exact"/>
        <w:rPr>
          <w:sz w:val="20"/>
          <w:szCs w:val="20"/>
          <w:color w:val="auto"/>
        </w:rPr>
      </w:pPr>
    </w:p>
    <w:p>
      <w:pPr>
        <w:jc w:val="both"/>
        <w:ind w:left="440" w:right="2959"/>
        <w:spacing w:after="0" w:line="246" w:lineRule="auto"/>
        <w:rPr>
          <w:sz w:val="20"/>
          <w:szCs w:val="20"/>
          <w:color w:val="auto"/>
        </w:rPr>
      </w:pPr>
      <w:r>
        <w:rPr>
          <w:rFonts w:ascii="Courier New" w:cs="Courier New" w:eastAsia="Courier New" w:hAnsi="Courier New"/>
          <w:sz w:val="15"/>
          <w:szCs w:val="15"/>
          <w:color w:val="auto"/>
        </w:rPr>
        <w:t>We are subject to legal proceedings and claims which arise in the ordinary course of our business. In the opinion of our management, the amount of ultimate liability with respect to such actions is not expected to materially affect our financial condition, results of operations or liquidity.</w:t>
      </w:r>
    </w:p>
    <w:p>
      <w:pPr>
        <w:spacing w:after="0" w:line="178"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0" w:lineRule="exact"/>
        <w:rPr>
          <w:sz w:val="20"/>
          <w:szCs w:val="20"/>
          <w:color w:val="auto"/>
        </w:rPr>
      </w:pPr>
    </w:p>
    <w:p>
      <w:pPr>
        <w:jc w:val="both"/>
        <w:ind w:left="440" w:right="2959"/>
        <w:spacing w:after="0" w:line="246" w:lineRule="auto"/>
        <w:rPr>
          <w:sz w:val="20"/>
          <w:szCs w:val="20"/>
          <w:color w:val="auto"/>
        </w:rPr>
      </w:pPr>
      <w:r>
        <w:rPr>
          <w:rFonts w:ascii="Courier New" w:cs="Courier New" w:eastAsia="Courier New" w:hAnsi="Courier New"/>
          <w:sz w:val="15"/>
          <w:szCs w:val="15"/>
          <w:color w:val="auto"/>
        </w:rPr>
        <w:t>The date of the Company's 2002 annual meeting of shareholders will be July 10, 2002, which date is more than 30 calendar days later than the one-year anniversary of the date of the Company's 2001 annual meeting of shareholders. Had a shareholder desired to have a shareholder proposal included in the Company's proxy statement for the 2002 annual meeting, the shareholder would have had to give timely notice of the proposal in writing to Stanley Wang, Executive Vice President and Secretary, at the address of the Company set forth on the cover page of this Form 10-Q by January 2, 2002. The Company did not receive any shareholder proposals by this date. Because of the change in the date of the annual meeting of shareholders, the Company is extending until May 22, 2002, the deadline for submitting such proposals for inclusion in the Company's proxy statement for the 2002 annual meeting of shareholders. In addition, a shareholder may wish to have a proposal presented at the 2002 annual meeting of shareholders but not to have such proposal included in the Company's proxy statement and form of proxy relating to that meeting. Pursuant to Section 2-9 of the Company's by-laws, notice of any such proposal must be received by the Company by May 28, 2002. If it is not received by that date, such proposal shall be deemed "untimely" for purposes of Rule14a-4(c) under the Securities Exchange Act of 1934, and, therefore, the proxies will have the right to exercise discretionary authority with respect to such proposal. Any such proposal should be directed to Stanley Wang, Executive Vice President and Secretary, at the address of the Company set forth on the cover page of this Form 10-Q.</w:t>
      </w:r>
    </w:p>
    <w:p>
      <w:pPr>
        <w:spacing w:after="0" w:line="1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43" w:right="1440" w:bottom="1440" w:gutter="0" w:footer="0" w:header="0"/>
        </w:sectPr>
      </w:pPr>
    </w:p>
    <w:bookmarkStart w:id="24" w:name="page25"/>
    <w:bookmarkEnd w:id="24"/>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354"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0" w:lineRule="exact"/>
        <w:rPr>
          <w:sz w:val="20"/>
          <w:szCs w:val="20"/>
          <w:color w:val="auto"/>
        </w:rPr>
      </w:pPr>
    </w:p>
    <w:p>
      <w:pPr>
        <w:ind w:left="820" w:hanging="372"/>
        <w:spacing w:after="0"/>
        <w:tabs>
          <w:tab w:leader="none" w:pos="8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9" w:lineRule="exact"/>
        <w:rPr>
          <w:rFonts w:ascii="Courier New" w:cs="Courier New" w:eastAsia="Courier New" w:hAnsi="Courier New"/>
          <w:sz w:val="15"/>
          <w:szCs w:val="15"/>
          <w:color w:val="auto"/>
        </w:rPr>
      </w:pPr>
    </w:p>
    <w:p>
      <w:pPr>
        <w:ind w:left="1620" w:right="2959" w:hanging="81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10.1First Amendment to Five-Year Revolving Credit Agreement, dated as of May 7, 2002, among Comcast Cable Communications, Inc., AT&amp;T Comcast Corporation and the Financial Institutions Party Hereto, Banc of America Securities LLC and J.P. Morgan Securities Inc. (f/k/a Chase Securities Inc.), as Joint Lead Arrangers and Joint Book Managers, BNY Capital Markets, Inc. and Salomon Smith Barney Inc., as Co-Arrangers, Bank of America, N.A., as Administrative Agent, J.P. Morgan Securities Inc. (f/k/a Chase Securities Inc.) as Syndication Agent, and Citibank, N.A. and The Bank of New York, as Co-Documentation Agents (incorporated by reference to Exhibit 10.1 to the Comcast Cable Communications, Inc. Quarterly Report on Form 10-Q for the quarter ended March 31, 2002).</w:t>
      </w:r>
    </w:p>
    <w:p>
      <w:pPr>
        <w:spacing w:after="0" w:line="182" w:lineRule="exact"/>
        <w:rPr>
          <w:rFonts w:ascii="Courier New" w:cs="Courier New" w:eastAsia="Courier New" w:hAnsi="Courier New"/>
          <w:sz w:val="15"/>
          <w:szCs w:val="15"/>
          <w:color w:val="auto"/>
        </w:rPr>
      </w:pPr>
    </w:p>
    <w:p>
      <w:pPr>
        <w:jc w:val="right"/>
        <w:ind w:left="1620" w:right="2959" w:hanging="81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10.2364-Day Revolving Credit  Agreement,  dated as of May 7, 2002, among  Comcast  Cable   Communications,   Inc.,  AT&amp;T  Comcast Corporation and the Financial  Institutions Party Hereto, Banc of America  Securities LLC and J.P. Morgan Securities Inc., as Joint Lead  Arrangers and Joint Book  Managers,  Credit Suisse First Boston,  Barclays Banc PLC and Deutsche Bank  Securities Inc.,   as   Co-Arrangers,   Bank   of   America,   N.A.,   as Administrative   Agent,   J.P.  Morgan   Securities  Inc.,  as Syndication  Agent,  and Credit Suisse First Boston,  Barclays</w:t>
      </w:r>
    </w:p>
    <w:p>
      <w:pPr>
        <w:spacing w:after="0" w:line="5" w:lineRule="exact"/>
        <w:rPr>
          <w:rFonts w:ascii="Courier New" w:cs="Courier New" w:eastAsia="Courier New" w:hAnsi="Courier New"/>
          <w:sz w:val="15"/>
          <w:szCs w:val="15"/>
          <w:color w:val="auto"/>
        </w:rPr>
      </w:pPr>
    </w:p>
    <w:p>
      <w:pPr>
        <w:jc w:val="both"/>
        <w:ind w:left="162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Banc PLC and Deutsche Bank Securities Inc., as Co-Documentation Agents (incorporated by reference to Exhibit 10.2 to the Comcast Cable Communications, Inc. Quarterly Report on Form 10-Q for the quarter ended March 31, 2002).</w:t>
      </w:r>
    </w:p>
    <w:p>
      <w:pPr>
        <w:spacing w:after="0" w:line="177" w:lineRule="exact"/>
        <w:rPr>
          <w:rFonts w:ascii="Courier New" w:cs="Courier New" w:eastAsia="Courier New" w:hAnsi="Courier New"/>
          <w:sz w:val="15"/>
          <w:szCs w:val="15"/>
          <w:color w:val="auto"/>
        </w:rPr>
      </w:pPr>
    </w:p>
    <w:p>
      <w:pPr>
        <w:ind w:left="1620" w:right="2959" w:hanging="81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10.3Annex I to Five-Year Revolving Credit Agreement, dated as of August 24, 2000, Amended and Restated as of the Effective Date Defined Herein, among Comcast Cable Communications, Inc., AT&amp;T Comcast Corporation and the Financial Institutions Party Hereto, Banc of America Securities LLC and J.P. Morgan Securities Inc. (f/k/a Chase Securities Inc.), as Joint Lead Arrangers and Joint Book Managers, BNY Capital Markets, Inc. and Salomon Smith Barney Inc., as Co-Arrangers, Bank of America, N.A., as Administrative Agent, J.P. Morgan Securities Inc. (f/k/a Chase Securities Inc.) as Syndication Agent, and Citibank, N.A. and The Bank of New York, as Co-Documentation Agents (incorporated by reference to Exhibit 10.3 to the Comcast Cable Communications, Inc. Quarterly Report on Form 10-Q for the quarter ended March 31, 2002).</w:t>
      </w:r>
    </w:p>
    <w:p>
      <w:pPr>
        <w:spacing w:after="0" w:line="183" w:lineRule="exact"/>
        <w:rPr>
          <w:rFonts w:ascii="Courier New" w:cs="Courier New" w:eastAsia="Courier New" w:hAnsi="Courier New"/>
          <w:sz w:val="15"/>
          <w:szCs w:val="15"/>
          <w:color w:val="auto"/>
        </w:rPr>
      </w:pPr>
    </w:p>
    <w:p>
      <w:pPr>
        <w:jc w:val="right"/>
        <w:ind w:left="1620" w:right="2959" w:hanging="818"/>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10.4Annex I to 364-Day Revolving Credit Agreement, dated as of May 7, 2002, Amended and Restated as of the Effective Date Defined Herein, among Comcast Cable Communications, Inc., AT&amp;T Comcast Corporation and the Financial  Institutions Party Hereto, Banc of America  Securities LLC and J.P. Morgan Securities Inc., as Joint Lead  Arrangers and Joint Book  Managers,  Credit Suisse First Boston,  Barclays Banc PLC and Deutsche Bank  Securities Inc.,   as   Co-Arrangers,   Bank   of   America,   N.A.,   as Administrative   Agent,   J.P.  Morgan   Securities  Inc.,  as Syndication  Agent,  and Credit Suisse First Boston,  Barclays</w:t>
      </w:r>
    </w:p>
    <w:p>
      <w:pPr>
        <w:spacing w:after="0" w:line="6" w:lineRule="exact"/>
        <w:rPr>
          <w:rFonts w:ascii="Courier New" w:cs="Courier New" w:eastAsia="Courier New" w:hAnsi="Courier New"/>
          <w:sz w:val="15"/>
          <w:szCs w:val="15"/>
          <w:color w:val="auto"/>
        </w:rPr>
      </w:pPr>
    </w:p>
    <w:p>
      <w:pPr>
        <w:jc w:val="both"/>
        <w:ind w:left="162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Banc PLC and Deutsche Bank Securities Inc., as Co-Documentation Agents (incorporated by reference to Exhibit 10.4 to the Comcast Cable Communications, Inc. Quarterly Report on Form 10-Q for the quarter ended March 31, 2002).</w:t>
      </w:r>
    </w:p>
    <w:p>
      <w:pPr>
        <w:spacing w:after="0" w:line="177"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2" w:right="1440" w:bottom="1440" w:gutter="0" w:footer="0" w:header="0"/>
        </w:sectPr>
      </w:pPr>
    </w:p>
    <w:bookmarkStart w:id="25" w:name="page26"/>
    <w:bookmarkEnd w:id="25"/>
    <w:p>
      <w:pPr>
        <w:jc w:val="center"/>
        <w:ind w:right="295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FORM 10-Q</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QUARTER ENDED MARCH 31, 2002</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jc w:val="both"/>
        <w:ind w:right="2959" w:firstLine="818"/>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Lawrence J. Salva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(Principal Accounting Officer)</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15,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sectPr>
      <w:pgSz w:w="11900" w:h="16838" w:orient="portrait"/>
      <w:cols w:equalWidth="0" w:num="1">
        <w:col w:w="10219"/>
      </w:cols>
      <w:pgMar w:left="240"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o"/>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decimal"/>
      <w:start w:val="10"/>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o"/>
      <w:numFmt w:val="bullet"/>
      <w:start w:val="1"/>
    </w:lvl>
  </w:abstractNum>
  <w:abstractNum w:abstractNumId="14">
    <w:nsid w:val="431BD7B7"/>
    <w:multiLevelType w:val="hybridMultilevel"/>
    <w:lvl w:ilvl="0">
      <w:lvlJc w:val="left"/>
      <w:lvlText w:val="o"/>
      <w:numFmt w:val="bullet"/>
      <w:start w:val="1"/>
    </w:lvl>
  </w:abstractNum>
  <w:abstractNum w:abstractNumId="15">
    <w:nsid w:val="3F2DBA31"/>
    <w:multiLevelType w:val="hybridMultilevel"/>
    <w:lvl w:ilvl="0">
      <w:lvlJc w:val="left"/>
      <w:lvlText w:val="o"/>
      <w:numFmt w:val="bullet"/>
      <w:start w:val="1"/>
    </w:lvl>
  </w:abstractNum>
  <w:abstractNum w:abstractNumId="16">
    <w:nsid w:val="7C83E458"/>
    <w:multiLevelType w:val="hybridMultilevel"/>
    <w:lvl w:ilvl="0">
      <w:lvlJc w:val="left"/>
      <w:lvlText w:val="o"/>
      <w:numFmt w:val="bullet"/>
      <w:start w:val="1"/>
    </w:lvl>
  </w:abstractNum>
  <w:abstractNum w:abstractNumId="17">
    <w:nsid w:val="257130A3"/>
    <w:multiLevelType w:val="hybridMultilevel"/>
    <w:lvl w:ilvl="0">
      <w:lvlJc w:val="left"/>
      <w:lvlText w:val="o"/>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2019-12-12T23:03:23Z</dcterms:created>
  <dcterms:modified xsi:type="dcterms:W3CDTF">2019-12-12T23:03:23Z</dcterms:modified>
</cp:coreProperties>
</file>