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32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line="238" w:lineRule="auto"/>
        <w:rPr>
          <w:sz w:val="20"/>
          <w:szCs w:val="20"/>
          <w:color w:val="auto"/>
        </w:rPr>
      </w:pPr>
      <w:r>
        <w:rPr>
          <w:rFonts w:ascii="Courier New" w:cs="Courier New" w:eastAsia="Courier New" w:hAnsi="Courier New"/>
          <w:sz w:val="18"/>
          <w:szCs w:val="18"/>
          <w:color w:val="auto"/>
        </w:rPr>
        <w:t>Washington, D. C. 20549</w:t>
      </w:r>
    </w:p>
    <w:p>
      <w:pPr>
        <w:ind w:left="28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AMENDMENT NO. 9</w:t>
      </w:r>
    </w:p>
    <w:p>
      <w:pPr>
        <w:ind w:left="4020"/>
        <w:spacing w:after="0" w:line="238" w:lineRule="auto"/>
        <w:rPr>
          <w:sz w:val="20"/>
          <w:szCs w:val="20"/>
          <w:color w:val="auto"/>
        </w:rPr>
      </w:pPr>
      <w:r>
        <w:rPr>
          <w:rFonts w:ascii="Courier New" w:cs="Courier New" w:eastAsia="Courier New" w:hAnsi="Courier New"/>
          <w:sz w:val="18"/>
          <w:szCs w:val="18"/>
          <w:color w:val="auto"/>
        </w:rPr>
        <w:t>to</w:t>
      </w:r>
    </w:p>
    <w:p>
      <w:pPr>
        <w:ind w:left="3380"/>
        <w:spacing w:after="0"/>
        <w:rPr>
          <w:sz w:val="20"/>
          <w:szCs w:val="20"/>
          <w:color w:val="auto"/>
        </w:rPr>
      </w:pPr>
      <w:r>
        <w:rPr>
          <w:rFonts w:ascii="Courier New" w:cs="Courier New" w:eastAsia="Courier New" w:hAnsi="Courier New"/>
          <w:sz w:val="18"/>
          <w:szCs w:val="18"/>
          <w:color w:val="auto"/>
        </w:rPr>
        <w:t>SCHEDULE 14D-1(*)</w:t>
      </w:r>
    </w:p>
    <w:p>
      <w:pPr>
        <w:spacing w:after="0" w:line="206" w:lineRule="exact"/>
        <w:rPr>
          <w:sz w:val="24"/>
          <w:szCs w:val="24"/>
          <w:color w:val="auto"/>
        </w:rPr>
      </w:pPr>
    </w:p>
    <w:p>
      <w:pPr>
        <w:ind w:left="1480"/>
        <w:spacing w:after="0"/>
        <w:rPr>
          <w:sz w:val="20"/>
          <w:szCs w:val="20"/>
          <w:color w:val="auto"/>
        </w:rPr>
      </w:pPr>
      <w:r>
        <w:rPr>
          <w:rFonts w:ascii="Courier New" w:cs="Courier New" w:eastAsia="Courier New" w:hAnsi="Courier New"/>
          <w:sz w:val="16"/>
          <w:szCs w:val="16"/>
          <w:color w:val="auto"/>
        </w:rPr>
        <w:t>Tender Offer Statement Pursuant to Section 14(d)(1)</w:t>
      </w:r>
    </w:p>
    <w:p>
      <w:pPr>
        <w:spacing w:after="0" w:line="16"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of the Securities Exchange Act of 1934</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QVC, INC.</w:t>
      </w:r>
    </w:p>
    <w:p>
      <w:pPr>
        <w:jc w:val="center"/>
        <w:ind w:right="1879"/>
        <w:spacing w:after="0" w:line="238" w:lineRule="auto"/>
        <w:rPr>
          <w:sz w:val="20"/>
          <w:szCs w:val="20"/>
          <w:color w:val="auto"/>
        </w:rPr>
      </w:pPr>
      <w:r>
        <w:rPr>
          <w:rFonts w:ascii="Courier New" w:cs="Courier New" w:eastAsia="Courier New" w:hAnsi="Courier New"/>
          <w:sz w:val="18"/>
          <w:szCs w:val="18"/>
          <w:color w:val="auto"/>
        </w:rPr>
        <w:t>(Name of Subject Company)</w:t>
      </w:r>
    </w:p>
    <w:p>
      <w:pPr>
        <w:spacing w:after="0" w:line="202"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QVC PROGRAMMING HOLDINGS, INC.</w:t>
      </w:r>
    </w:p>
    <w:p>
      <w:pPr>
        <w:jc w:val="center"/>
        <w:ind w:right="1879"/>
        <w:spacing w:after="0" w:line="238" w:lineRule="auto"/>
        <w:rPr>
          <w:sz w:val="20"/>
          <w:szCs w:val="20"/>
          <w:color w:val="auto"/>
        </w:rPr>
      </w:pPr>
      <w:r>
        <w:rPr>
          <w:rFonts w:ascii="Courier New" w:cs="Courier New" w:eastAsia="Courier New" w:hAnsi="Courier New"/>
          <w:sz w:val="18"/>
          <w:szCs w:val="18"/>
          <w:color w:val="auto"/>
        </w:rPr>
        <w:t>COMCAST CORPORATION</w:t>
      </w:r>
    </w:p>
    <w:p>
      <w:pPr>
        <w:jc w:val="center"/>
        <w:ind w:right="1879"/>
        <w:spacing w:after="0"/>
        <w:rPr>
          <w:sz w:val="20"/>
          <w:szCs w:val="20"/>
          <w:color w:val="auto"/>
        </w:rPr>
      </w:pPr>
      <w:r>
        <w:rPr>
          <w:rFonts w:ascii="Courier New" w:cs="Courier New" w:eastAsia="Courier New" w:hAnsi="Courier New"/>
          <w:sz w:val="18"/>
          <w:szCs w:val="18"/>
          <w:color w:val="auto"/>
        </w:rPr>
        <w:t>TELE-COMMUNICATIONS, INC.</w:t>
      </w:r>
    </w:p>
    <w:p>
      <w:pPr>
        <w:jc w:val="center"/>
        <w:ind w:right="1879"/>
        <w:spacing w:after="0" w:line="237" w:lineRule="auto"/>
        <w:rPr>
          <w:sz w:val="20"/>
          <w:szCs w:val="20"/>
          <w:color w:val="auto"/>
        </w:rPr>
      </w:pPr>
      <w:r>
        <w:rPr>
          <w:rFonts w:ascii="Courier New" w:cs="Courier New" w:eastAsia="Courier New" w:hAnsi="Courier New"/>
          <w:sz w:val="18"/>
          <w:szCs w:val="18"/>
          <w:color w:val="auto"/>
        </w:rPr>
        <w:t>(Bidders)</w:t>
      </w:r>
    </w:p>
    <w:p>
      <w:pPr>
        <w:spacing w:after="0" w:line="202"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Common Stock, $.01 Par Value Per Share</w:t>
      </w:r>
    </w:p>
    <w:p>
      <w:pPr>
        <w:jc w:val="center"/>
        <w:ind w:right="199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747262 10 3</w:t>
      </w:r>
    </w:p>
    <w:p>
      <w:pPr>
        <w:jc w:val="center"/>
        <w:ind w:right="1879"/>
        <w:spacing w:after="0" w:line="238" w:lineRule="auto"/>
        <w:rPr>
          <w:sz w:val="20"/>
          <w:szCs w:val="20"/>
          <w:color w:val="auto"/>
        </w:rPr>
      </w:pPr>
      <w:r>
        <w:rPr>
          <w:rFonts w:ascii="Courier New" w:cs="Courier New" w:eastAsia="Courier New" w:hAnsi="Courier New"/>
          <w:sz w:val="18"/>
          <w:szCs w:val="18"/>
          <w:color w:val="auto"/>
        </w:rPr>
        <w:t>(CUSIP Number of Class of Securities)</w:t>
      </w:r>
    </w:p>
    <w:p>
      <w:pPr>
        <w:sectPr>
          <w:pgSz w:w="11900" w:h="16838" w:orient="portrait"/>
          <w:cols w:equalWidth="0" w:num="1">
            <w:col w:w="10219"/>
          </w:cols>
          <w:pgMar w:left="240" w:top="649"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center"/>
        <w:ind w:left="740" w:right="540"/>
        <w:spacing w:after="0" w:line="237" w:lineRule="auto"/>
        <w:rPr>
          <w:sz w:val="20"/>
          <w:szCs w:val="20"/>
          <w:color w:val="auto"/>
        </w:rPr>
      </w:pPr>
      <w:r>
        <w:rPr>
          <w:rFonts w:ascii="Courier New" w:cs="Courier New" w:eastAsia="Courier New" w:hAnsi="Courier New"/>
          <w:sz w:val="18"/>
          <w:szCs w:val="18"/>
          <w:color w:val="auto"/>
        </w:rPr>
        <w:t>Stanley L. Wang Comcast Corporation 1500 Market Street Philadelphia, PA 19102 (215) 665-1700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Stephen M. Brett</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Tele-Communications, Inc.</w:t>
      </w:r>
    </w:p>
    <w:p>
      <w:pPr>
        <w:spacing w:after="0" w:line="16"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5619 DTC Parkway</w:t>
      </w:r>
    </w:p>
    <w:p>
      <w:pPr>
        <w:ind w:left="320"/>
        <w:spacing w:after="0" w:line="238" w:lineRule="auto"/>
        <w:rPr>
          <w:sz w:val="20"/>
          <w:szCs w:val="20"/>
          <w:color w:val="auto"/>
        </w:rPr>
      </w:pPr>
      <w:r>
        <w:rPr>
          <w:rFonts w:ascii="Courier New" w:cs="Courier New" w:eastAsia="Courier New" w:hAnsi="Courier New"/>
          <w:sz w:val="18"/>
          <w:szCs w:val="18"/>
          <w:color w:val="auto"/>
        </w:rPr>
        <w:t>Englewood, CO 80111</w:t>
      </w:r>
    </w:p>
    <w:p>
      <w:pPr>
        <w:ind w:left="540"/>
        <w:spacing w:after="0"/>
        <w:rPr>
          <w:sz w:val="20"/>
          <w:szCs w:val="20"/>
          <w:color w:val="auto"/>
        </w:rPr>
      </w:pPr>
      <w:r>
        <w:rPr>
          <w:rFonts w:ascii="Courier New" w:cs="Courier New" w:eastAsia="Courier New" w:hAnsi="Courier New"/>
          <w:sz w:val="18"/>
          <w:szCs w:val="18"/>
          <w:color w:val="auto"/>
        </w:rPr>
        <w:t>(303) 267-5500</w:t>
      </w:r>
    </w:p>
    <w:p>
      <w:pPr>
        <w:spacing w:after="0" w:line="200" w:lineRule="exact"/>
        <w:rPr>
          <w:sz w:val="24"/>
          <w:szCs w:val="24"/>
          <w:color w:val="auto"/>
        </w:rPr>
      </w:pPr>
    </w:p>
    <w:p>
      <w:pPr>
        <w:sectPr>
          <w:pgSz w:w="11900" w:h="16838" w:orient="portrait"/>
          <w:cols w:equalWidth="0" w:num="2">
            <w:col w:w="3600" w:space="720"/>
            <w:col w:w="5899"/>
          </w:cols>
          <w:pgMar w:left="240" w:top="649" w:right="1440" w:bottom="0" w:gutter="0" w:footer="0" w:header="0"/>
          <w:type w:val="continuous"/>
        </w:sectPr>
      </w:pPr>
    </w:p>
    <w:p>
      <w:pPr>
        <w:spacing w:after="0" w:line="6"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6"/>
          <w:szCs w:val="16"/>
          <w:color w:val="auto"/>
        </w:rPr>
        <w:t>(Name, Address and Telephone Number of Person Authorized to Receive Notices</w:t>
      </w:r>
    </w:p>
    <w:p>
      <w:pPr>
        <w:spacing w:after="0" w:line="16"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and Communications on Behalf of Bidder)</w:t>
      </w:r>
    </w:p>
    <w:p>
      <w:pPr>
        <w:spacing w:after="0" w:line="201"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w:t>
      </w:r>
    </w:p>
    <w:p>
      <w:pPr>
        <w:ind w:left="3580"/>
        <w:spacing w:after="0" w:line="238" w:lineRule="auto"/>
        <w:rPr>
          <w:sz w:val="20"/>
          <w:szCs w:val="20"/>
          <w:color w:val="auto"/>
        </w:rPr>
      </w:pPr>
      <w:r>
        <w:rPr>
          <w:rFonts w:ascii="Courier New" w:cs="Courier New" w:eastAsia="Courier New" w:hAnsi="Courier New"/>
          <w:sz w:val="18"/>
          <w:szCs w:val="18"/>
          <w:color w:val="auto"/>
        </w:rPr>
        <w:t>Copies to:</w:t>
      </w:r>
    </w:p>
    <w:p>
      <w:pPr>
        <w:sectPr>
          <w:pgSz w:w="11900" w:h="16838" w:orient="portrait"/>
          <w:cols w:equalWidth="0" w:num="1">
            <w:col w:w="10219"/>
          </w:cols>
          <w:pgMar w:left="240" w:top="649" w:right="1440" w:bottom="0" w:gutter="0" w:footer="0" w:header="0"/>
          <w:type w:val="continuous"/>
        </w:sectPr>
      </w:pPr>
    </w:p>
    <w:p>
      <w:pPr>
        <w:spacing w:after="0" w:line="200" w:lineRule="exact"/>
        <w:rPr>
          <w:sz w:val="24"/>
          <w:szCs w:val="24"/>
          <w:color w:val="auto"/>
        </w:rPr>
      </w:pPr>
    </w:p>
    <w:p>
      <w:pPr>
        <w:spacing w:after="0" w:line="204"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Dennis S. Hersch</w:t>
      </w:r>
    </w:p>
    <w:p>
      <w:pPr>
        <w:spacing w:after="0" w:line="4" w:lineRule="exact"/>
        <w:rPr>
          <w:sz w:val="24"/>
          <w:szCs w:val="24"/>
          <w:color w:val="auto"/>
        </w:rPr>
      </w:pPr>
    </w:p>
    <w:p>
      <w:pPr>
        <w:ind w:left="860"/>
        <w:spacing w:after="0"/>
        <w:rPr>
          <w:sz w:val="20"/>
          <w:szCs w:val="20"/>
          <w:color w:val="auto"/>
        </w:rPr>
      </w:pPr>
      <w:r>
        <w:rPr>
          <w:rFonts w:ascii="Courier New" w:cs="Courier New" w:eastAsia="Courier New" w:hAnsi="Courier New"/>
          <w:sz w:val="16"/>
          <w:szCs w:val="16"/>
          <w:color w:val="auto"/>
        </w:rPr>
        <w:t>Davis Polk &amp; Wardwell</w:t>
      </w:r>
    </w:p>
    <w:p>
      <w:pPr>
        <w:spacing w:after="0" w:line="16"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450 Lexington Avenue</w:t>
      </w:r>
    </w:p>
    <w:p>
      <w:pPr>
        <w:ind w:left="960"/>
        <w:spacing w:after="0" w:line="238" w:lineRule="auto"/>
        <w:rPr>
          <w:sz w:val="20"/>
          <w:szCs w:val="20"/>
          <w:color w:val="auto"/>
        </w:rPr>
      </w:pPr>
      <w:r>
        <w:rPr>
          <w:rFonts w:ascii="Courier New" w:cs="Courier New" w:eastAsia="Courier New" w:hAnsi="Courier New"/>
          <w:sz w:val="18"/>
          <w:szCs w:val="18"/>
          <w:color w:val="auto"/>
        </w:rPr>
        <w:t>New York, NY 10017</w:t>
      </w:r>
    </w:p>
    <w:p>
      <w:pPr>
        <w:ind w:left="1160"/>
        <w:spacing w:after="0"/>
        <w:rPr>
          <w:sz w:val="20"/>
          <w:szCs w:val="20"/>
          <w:color w:val="auto"/>
        </w:rPr>
      </w:pPr>
      <w:r>
        <w:rPr>
          <w:rFonts w:ascii="Courier New" w:cs="Courier New" w:eastAsia="Courier New" w:hAnsi="Courier New"/>
          <w:sz w:val="18"/>
          <w:szCs w:val="18"/>
          <w:color w:val="auto"/>
        </w:rPr>
        <w:t>(212) 450-4000</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Frederick H. McGrath</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Baker &amp; Botts, L.L.P.</w:t>
      </w:r>
    </w:p>
    <w:p>
      <w:pPr>
        <w:spacing w:after="0" w:line="16"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885 Third Avenue</w:t>
      </w:r>
    </w:p>
    <w:p>
      <w:pPr>
        <w:ind w:left="100"/>
        <w:spacing w:after="0" w:line="238" w:lineRule="auto"/>
        <w:rPr>
          <w:sz w:val="20"/>
          <w:szCs w:val="20"/>
          <w:color w:val="auto"/>
        </w:rPr>
      </w:pPr>
      <w:r>
        <w:rPr>
          <w:rFonts w:ascii="Courier New" w:cs="Courier New" w:eastAsia="Courier New" w:hAnsi="Courier New"/>
          <w:sz w:val="18"/>
          <w:szCs w:val="18"/>
          <w:color w:val="auto"/>
        </w:rPr>
        <w:t>New York, NY 10022</w:t>
      </w:r>
    </w:p>
    <w:p>
      <w:pPr>
        <w:ind w:left="300"/>
        <w:spacing w:after="0"/>
        <w:rPr>
          <w:sz w:val="20"/>
          <w:szCs w:val="20"/>
          <w:color w:val="auto"/>
        </w:rPr>
      </w:pPr>
      <w:r>
        <w:rPr>
          <w:rFonts w:ascii="Courier New" w:cs="Courier New" w:eastAsia="Courier New" w:hAnsi="Courier New"/>
          <w:sz w:val="18"/>
          <w:szCs w:val="18"/>
          <w:color w:val="auto"/>
        </w:rPr>
        <w:t>(212) 705-5000</w:t>
      </w:r>
    </w:p>
    <w:p>
      <w:pPr>
        <w:spacing w:after="0" w:line="200" w:lineRule="exact"/>
        <w:rPr>
          <w:sz w:val="24"/>
          <w:szCs w:val="24"/>
          <w:color w:val="auto"/>
        </w:rPr>
      </w:pPr>
    </w:p>
    <w:p>
      <w:pPr>
        <w:sectPr>
          <w:pgSz w:w="11900" w:h="16838" w:orient="portrait"/>
          <w:cols w:equalWidth="0" w:num="2">
            <w:col w:w="3720" w:space="720"/>
            <w:col w:w="5779"/>
          </w:cols>
          <w:pgMar w:left="240" w:top="649" w:right="1440" w:bottom="0" w:gutter="0" w:footer="0" w:header="0"/>
          <w:type w:val="continuous"/>
        </w:sectPr>
      </w:pPr>
    </w:p>
    <w:p>
      <w:pPr>
        <w:spacing w:after="0" w:line="6" w:lineRule="exact"/>
        <w:rPr>
          <w:sz w:val="24"/>
          <w:szCs w:val="24"/>
          <w:color w:val="auto"/>
        </w:rPr>
      </w:pPr>
    </w:p>
    <w:p>
      <w:pPr>
        <w:ind w:left="320" w:right="1999" w:hanging="312"/>
        <w:spacing w:after="0" w:line="237" w:lineRule="auto"/>
        <w:tabs>
          <w:tab w:leader="none" w:pos="3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Statement also constitutes Amendment No. 10 to the Schedule 13D filed by Tele-Communications, Inc. and Amendment No. 31 to the Schedule 13D filed by Comcast Corporation in each case with respect to the securities of the Subject Company.</w:t>
      </w:r>
    </w:p>
    <w:p>
      <w:pPr>
        <w:spacing w:after="0" w:line="207" w:lineRule="exact"/>
        <w:rPr>
          <w:sz w:val="24"/>
          <w:szCs w:val="24"/>
          <w:color w:val="auto"/>
        </w:rPr>
      </w:pPr>
    </w:p>
    <w:p>
      <w:pPr>
        <w:ind w:right="2099" w:firstLine="1264"/>
        <w:spacing w:after="0" w:line="268" w:lineRule="auto"/>
        <w:rPr>
          <w:sz w:val="20"/>
          <w:szCs w:val="20"/>
          <w:color w:val="auto"/>
        </w:rPr>
      </w:pPr>
      <w:r>
        <w:rPr>
          <w:rFonts w:ascii="Courier New" w:cs="Courier New" w:eastAsia="Courier New" w:hAnsi="Courier New"/>
          <w:sz w:val="16"/>
          <w:szCs w:val="16"/>
          <w:color w:val="auto"/>
        </w:rPr>
        <w:t>QVC Programming Holdings, Inc., Comcast Corporation and Tele-Communications, Inc. hereby amend and supplement their Tender Offer Statement on Schedule 14D-1 filed with the Securities and Exchange Commission on August 11, 1994 (as previously amended and supplemented, the "Schedule</w:t>
      </w:r>
    </w:p>
    <w:p>
      <w:pPr>
        <w:spacing w:after="0" w:line="1" w:lineRule="exact"/>
        <w:rPr>
          <w:sz w:val="24"/>
          <w:szCs w:val="24"/>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14D-1") with respect to Bidders' Offer to Purchase for cash all outstanding shares of Common Stock and Preferred Stock of the Company.</w:t>
      </w:r>
    </w:p>
    <w:p>
      <w:pPr>
        <w:spacing w:after="0" w:line="200" w:lineRule="exact"/>
        <w:rPr>
          <w:sz w:val="24"/>
          <w:szCs w:val="24"/>
          <w:color w:val="auto"/>
        </w:rPr>
      </w:pPr>
    </w:p>
    <w:p>
      <w:pPr>
        <w:spacing w:after="0" w:line="387" w:lineRule="exact"/>
        <w:rPr>
          <w:sz w:val="24"/>
          <w:szCs w:val="24"/>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Information contained in the Schedule 14D-1 as hereby amended and supplemented with respect to Comcast, Liberty, TCI and the Purchaser and their respective executive officers, directors and controlling persons is given solely by such person, and no other person has responsibility for the accuracy or completeness of information supplied by such other persons.</w:t>
      </w:r>
    </w:p>
    <w:p>
      <w:pPr>
        <w:spacing w:after="0" w:line="209" w:lineRule="exact"/>
        <w:rPr>
          <w:sz w:val="24"/>
          <w:szCs w:val="24"/>
          <w:color w:val="auto"/>
        </w:rPr>
      </w:pPr>
    </w:p>
    <w:p>
      <w:pPr>
        <w:ind w:right="2419" w:firstLine="1264"/>
        <w:spacing w:after="0" w:line="290" w:lineRule="auto"/>
        <w:rPr>
          <w:sz w:val="20"/>
          <w:szCs w:val="20"/>
          <w:color w:val="auto"/>
        </w:rPr>
      </w:pPr>
      <w:r>
        <w:rPr>
          <w:rFonts w:ascii="Courier New" w:cs="Courier New" w:eastAsia="Courier New" w:hAnsi="Courier New"/>
          <w:sz w:val="16"/>
          <w:szCs w:val="16"/>
          <w:color w:val="auto"/>
        </w:rPr>
        <w:t>Capitalized terms used but not defined herein have the meaning assigned to them in the Offer to Purchase and the Schedule 14D-1.</w:t>
      </w:r>
    </w:p>
    <w:p>
      <w:pPr>
        <w:spacing w:after="0" w:line="164"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Additional Information.</w:t>
      </w:r>
    </w:p>
    <w:p>
      <w:pPr>
        <w:spacing w:after="0" w:line="207" w:lineRule="exact"/>
        <w:rPr>
          <w:sz w:val="24"/>
          <w:szCs w:val="24"/>
          <w:color w:val="auto"/>
        </w:rPr>
      </w:pPr>
    </w:p>
    <w:p>
      <w:pPr>
        <w:ind w:right="2099" w:firstLine="1272"/>
        <w:spacing w:after="0" w:line="237" w:lineRule="auto"/>
        <w:tabs>
          <w:tab w:leader="none" w:pos="1685"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(f) The information set forth under "Introduction", "The Tender Offer -- 1. Terms of the Tender Offer", "-- 2. Acceptance for Payment and Payment", "-- 3. Procedure for Tendering Shares", "-- 4. Withdrawal Rights", "-- 10. Certain Conditions of the Offer" and "-- 11. Certain Legal Matters; Regulatory Approvals" in the Offer to Purchase is hereby amended and supplemented to include the following information:</w:t>
      </w:r>
    </w:p>
    <w:p>
      <w:pPr>
        <w:spacing w:after="0" w:line="204"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On October 21, 1994, Comcast and TCI issued a press release in</w:t>
      </w:r>
    </w:p>
    <w:p>
      <w:pPr>
        <w:sectPr>
          <w:pgSz w:w="11900" w:h="16838" w:orient="portrait"/>
          <w:cols w:equalWidth="0" w:num="1">
            <w:col w:w="10219"/>
          </w:cols>
          <w:pgMar w:left="240" w:top="649" w:right="1440" w:bottom="0" w:gutter="0" w:footer="0" w:header="0"/>
          <w:type w:val="continuous"/>
        </w:sectPr>
      </w:pPr>
    </w:p>
    <w:bookmarkStart w:id="1" w:name="page2"/>
    <w:bookmarkEnd w:id="1"/>
    <w:p>
      <w:pPr>
        <w:ind w:right="1999"/>
        <w:spacing w:after="0" w:line="237" w:lineRule="auto"/>
        <w:rPr>
          <w:sz w:val="20"/>
          <w:szCs w:val="20"/>
          <w:color w:val="auto"/>
        </w:rPr>
      </w:pPr>
      <w:r>
        <w:rPr>
          <w:rFonts w:ascii="Courier New" w:cs="Courier New" w:eastAsia="Courier New" w:hAnsi="Courier New"/>
          <w:sz w:val="18"/>
          <w:szCs w:val="18"/>
          <w:color w:val="auto"/>
        </w:rPr>
        <w:t>which they announced that they do not expect that the waiting periods under the HSR Act relating to the Offer will have expired by 11:59 P.M., New York City time on October 21, 1994, the time at which the Offer is currently scheduled to expire. As previously disclosed, the Offer may not be consummated until the waiting periods under the HSR Act applicable to both (i) the purchase of Shares pursuant to the Offer and (ii) the acquisition by the Parent Purchasers of the shares of the Purchaser and the Parent Contribution have expired.</w:t>
      </w:r>
    </w:p>
    <w:p>
      <w:pPr>
        <w:spacing w:after="0" w:line="212" w:lineRule="exact"/>
        <w:rPr>
          <w:sz w:val="20"/>
          <w:szCs w:val="20"/>
          <w:color w:val="auto"/>
        </w:rPr>
      </w:pPr>
    </w:p>
    <w:p>
      <w:pPr>
        <w:ind w:right="2319" w:firstLine="1264"/>
        <w:spacing w:after="0" w:line="235" w:lineRule="auto"/>
        <w:rPr>
          <w:sz w:val="20"/>
          <w:szCs w:val="20"/>
          <w:color w:val="auto"/>
        </w:rPr>
      </w:pPr>
      <w:r>
        <w:rPr>
          <w:rFonts w:ascii="Courier New" w:cs="Courier New" w:eastAsia="Courier New" w:hAnsi="Courier New"/>
          <w:sz w:val="18"/>
          <w:szCs w:val="18"/>
          <w:color w:val="auto"/>
        </w:rPr>
        <w:t>As a result, the Purchaser has extended the Expiration Date for the Offer until 5:00 P.M., New York City time, on November 18, 1994.</w:t>
      </w:r>
    </w:p>
    <w:p>
      <w:pPr>
        <w:spacing w:after="0" w:line="208" w:lineRule="exact"/>
        <w:rPr>
          <w:sz w:val="20"/>
          <w:szCs w:val="20"/>
          <w:color w:val="auto"/>
        </w:rPr>
      </w:pPr>
    </w:p>
    <w:p>
      <w:pPr>
        <w:ind w:right="2319" w:firstLine="1264"/>
        <w:spacing w:after="0" w:line="237" w:lineRule="auto"/>
        <w:rPr>
          <w:sz w:val="20"/>
          <w:szCs w:val="20"/>
          <w:color w:val="auto"/>
        </w:rPr>
      </w:pPr>
      <w:r>
        <w:rPr>
          <w:rFonts w:ascii="Courier New" w:cs="Courier New" w:eastAsia="Courier New" w:hAnsi="Courier New"/>
          <w:sz w:val="18"/>
          <w:szCs w:val="18"/>
          <w:color w:val="auto"/>
        </w:rPr>
        <w:t>As of the close of business on October 20, 1994 approximately 14,154,131 shares of QVC Common Stock, 468 shares of QVC Series B Preferred Stock and 35,502 shares of QVC Series C Preferred Stock have been tendered pursuant to the Offer.</w:t>
      </w:r>
    </w:p>
    <w:p>
      <w:pPr>
        <w:spacing w:after="0" w:line="207" w:lineRule="exact"/>
        <w:rPr>
          <w:sz w:val="20"/>
          <w:szCs w:val="20"/>
          <w:color w:val="auto"/>
        </w:rPr>
      </w:pPr>
    </w:p>
    <w:p>
      <w:pPr>
        <w:ind w:right="2099" w:firstLine="1264"/>
        <w:spacing w:after="0" w:line="237" w:lineRule="auto"/>
        <w:rPr>
          <w:sz w:val="20"/>
          <w:szCs w:val="20"/>
          <w:color w:val="auto"/>
        </w:rPr>
      </w:pPr>
      <w:r>
        <w:rPr>
          <w:rFonts w:ascii="Courier New" w:cs="Courier New" w:eastAsia="Courier New" w:hAnsi="Courier New"/>
          <w:sz w:val="18"/>
          <w:szCs w:val="18"/>
          <w:color w:val="auto"/>
        </w:rPr>
        <w:t>A copy of the press release of Comcast and TCI relating to the foregoing is attached hereto as Exhibit (a)(13) and is hereby incorporated by reference, and the foregoing description is qualified in its entirety by reference to such Exhibit.</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11.</w:t>
      </w:r>
      <w:r>
        <w:rPr>
          <w:sz w:val="20"/>
          <w:szCs w:val="20"/>
          <w:color w:val="auto"/>
        </w:rPr>
        <w:tab/>
      </w:r>
      <w:r>
        <w:rPr>
          <w:rFonts w:ascii="Courier New" w:cs="Courier New" w:eastAsia="Courier New" w:hAnsi="Courier New"/>
          <w:sz w:val="16"/>
          <w:szCs w:val="16"/>
          <w:color w:val="auto"/>
        </w:rPr>
        <w:t>Material to be Filed as Exhibits.</w:t>
      </w:r>
    </w:p>
    <w:p>
      <w:pPr>
        <w:spacing w:after="0" w:line="207" w:lineRule="exact"/>
        <w:rPr>
          <w:sz w:val="20"/>
          <w:szCs w:val="20"/>
          <w:color w:val="auto"/>
        </w:rPr>
      </w:pPr>
    </w:p>
    <w:p>
      <w:pPr>
        <w:ind w:right="2519" w:firstLine="1264"/>
        <w:spacing w:after="0" w:line="235" w:lineRule="auto"/>
        <w:rPr>
          <w:sz w:val="20"/>
          <w:szCs w:val="20"/>
          <w:color w:val="auto"/>
        </w:rPr>
      </w:pPr>
      <w:r>
        <w:rPr>
          <w:rFonts w:ascii="Courier New" w:cs="Courier New" w:eastAsia="Courier New" w:hAnsi="Courier New"/>
          <w:sz w:val="18"/>
          <w:szCs w:val="18"/>
          <w:color w:val="auto"/>
        </w:rPr>
        <w:t>(a)(14) -- Text of Press Release issued by Comcast and TCI on October 21, 1994.</w:t>
      </w:r>
    </w:p>
    <w:p>
      <w:pPr>
        <w:spacing w:after="0" w:line="200" w:lineRule="exact"/>
        <w:rPr>
          <w:sz w:val="20"/>
          <w:szCs w:val="20"/>
          <w:color w:val="auto"/>
        </w:rPr>
      </w:pPr>
    </w:p>
    <w:p>
      <w:pPr>
        <w:spacing w:after="0" w:line="205"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firstLine="1264"/>
        <w:spacing w:after="0" w:line="236" w:lineRule="auto"/>
        <w:rPr>
          <w:sz w:val="20"/>
          <w:szCs w:val="20"/>
          <w:color w:val="auto"/>
        </w:rPr>
      </w:pPr>
      <w:r>
        <w:rPr>
          <w:rFonts w:ascii="Courier New" w:cs="Courier New" w:eastAsia="Courier New" w:hAnsi="Courier New"/>
          <w:sz w:val="18"/>
          <w:szCs w:val="18"/>
          <w:color w:val="auto"/>
        </w:rPr>
        <w:t>After due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October 21, 1994</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QVC PROGRAMMING HOLDINGS, INC.</w:t>
      </w:r>
    </w:p>
    <w:p>
      <w:pPr>
        <w:sectPr>
          <w:pgSz w:w="11900" w:h="16838" w:orient="portrait"/>
          <w:cols w:equalWidth="0" w:num="1">
            <w:col w:w="10219"/>
          </w:cols>
          <w:pgMar w:left="240" w:top="142" w:right="1440" w:bottom="1440" w:gutter="0" w:footer="0" w:header="0"/>
        </w:sectPr>
      </w:pPr>
    </w:p>
    <w:bookmarkStart w:id="2" w:name="page3"/>
    <w:bookmarkEnd w:id="2"/>
    <w:p>
      <w:pPr>
        <w:ind w:left="3800"/>
        <w:spacing w:after="0"/>
        <w:tabs>
          <w:tab w:leader="none" w:pos="472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JULIAN A. BRODSKY</w:t>
      </w:r>
    </w:p>
    <w:p>
      <w:pPr>
        <w:spacing w:after="0" w:line="4"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_________________________</w:t>
      </w:r>
    </w:p>
    <w:p>
      <w:pPr>
        <w:spacing w:after="0" w:line="16" w:lineRule="exact"/>
        <w:rPr>
          <w:sz w:val="20"/>
          <w:szCs w:val="20"/>
          <w:color w:val="auto"/>
        </w:rPr>
      </w:pPr>
    </w:p>
    <w:p>
      <w:pPr>
        <w:ind w:left="4100"/>
        <w:spacing w:after="0"/>
        <w:tabs>
          <w:tab w:leader="none" w:pos="4820" w:val="left"/>
        </w:tabs>
        <w:rPr>
          <w:sz w:val="20"/>
          <w:szCs w:val="20"/>
          <w:color w:val="auto"/>
        </w:rPr>
      </w:pPr>
      <w:r>
        <w:rPr>
          <w:rFonts w:ascii="Courier New" w:cs="Courier New" w:eastAsia="Courier New" w:hAnsi="Courier New"/>
          <w:sz w:val="18"/>
          <w:szCs w:val="18"/>
          <w:color w:val="auto"/>
        </w:rPr>
        <w:t>Name:</w:t>
        <w:tab/>
        <w:t>Julian A. Brodsky</w:t>
      </w:r>
    </w:p>
    <w:p>
      <w:pPr>
        <w:ind w:left="4100"/>
        <w:spacing w:after="0" w:line="238" w:lineRule="auto"/>
        <w:rPr>
          <w:sz w:val="20"/>
          <w:szCs w:val="20"/>
          <w:color w:val="auto"/>
        </w:rPr>
      </w:pPr>
      <w:r>
        <w:rPr>
          <w:rFonts w:ascii="Courier New" w:cs="Courier New" w:eastAsia="Courier New" w:hAnsi="Courier New"/>
          <w:sz w:val="18"/>
          <w:szCs w:val="18"/>
          <w:color w:val="auto"/>
        </w:rPr>
        <w:t>Title: Vice Chairman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800"/>
        <w:spacing w:after="0"/>
        <w:tabs>
          <w:tab w:leader="none" w:pos="472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JULIAN A. BRODSKY</w:t>
      </w:r>
    </w:p>
    <w:p>
      <w:pPr>
        <w:spacing w:after="0" w:line="4"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_________________________</w:t>
      </w:r>
    </w:p>
    <w:p>
      <w:pPr>
        <w:spacing w:after="0" w:line="16" w:lineRule="exact"/>
        <w:rPr>
          <w:sz w:val="20"/>
          <w:szCs w:val="20"/>
          <w:color w:val="auto"/>
        </w:rPr>
      </w:pPr>
    </w:p>
    <w:p>
      <w:pPr>
        <w:ind w:left="4100"/>
        <w:spacing w:after="0"/>
        <w:rPr>
          <w:sz w:val="20"/>
          <w:szCs w:val="20"/>
          <w:color w:val="auto"/>
        </w:rPr>
      </w:pPr>
      <w:r>
        <w:rPr>
          <w:rFonts w:ascii="Courier New" w:cs="Courier New" w:eastAsia="Courier New" w:hAnsi="Courier New"/>
          <w:sz w:val="18"/>
          <w:szCs w:val="18"/>
          <w:color w:val="auto"/>
        </w:rPr>
        <w:t>Name: Julian A. Brodsky</w:t>
      </w:r>
    </w:p>
    <w:p>
      <w:pPr>
        <w:ind w:left="4100"/>
        <w:spacing w:after="0" w:line="238" w:lineRule="auto"/>
        <w:rPr>
          <w:sz w:val="20"/>
          <w:szCs w:val="20"/>
          <w:color w:val="auto"/>
        </w:rPr>
      </w:pPr>
      <w:r>
        <w:rPr>
          <w:rFonts w:ascii="Courier New" w:cs="Courier New" w:eastAsia="Courier New" w:hAnsi="Courier New"/>
          <w:sz w:val="18"/>
          <w:szCs w:val="18"/>
          <w:color w:val="auto"/>
        </w:rPr>
        <w:t>Title: Vice Chairman</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TELE-COMMUNICATIONS,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800"/>
        <w:spacing w:after="0"/>
        <w:tabs>
          <w:tab w:leader="none" w:pos="472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STEPHEN M. BRETT</w:t>
      </w:r>
    </w:p>
    <w:p>
      <w:pPr>
        <w:spacing w:after="0" w:line="4"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_________________________</w:t>
      </w:r>
    </w:p>
    <w:p>
      <w:pPr>
        <w:spacing w:after="0" w:line="16" w:lineRule="exact"/>
        <w:rPr>
          <w:sz w:val="20"/>
          <w:szCs w:val="20"/>
          <w:color w:val="auto"/>
        </w:rPr>
      </w:pPr>
    </w:p>
    <w:p>
      <w:pPr>
        <w:ind w:left="4100"/>
        <w:spacing w:after="0"/>
        <w:rPr>
          <w:sz w:val="20"/>
          <w:szCs w:val="20"/>
          <w:color w:val="auto"/>
        </w:rPr>
      </w:pPr>
      <w:r>
        <w:rPr>
          <w:rFonts w:ascii="Courier New" w:cs="Courier New" w:eastAsia="Courier New" w:hAnsi="Courier New"/>
          <w:sz w:val="18"/>
          <w:szCs w:val="18"/>
          <w:color w:val="auto"/>
        </w:rPr>
        <w:t>Name: Stephen M. Brett</w:t>
      </w:r>
    </w:p>
    <w:p>
      <w:pPr>
        <w:ind w:left="4100"/>
        <w:spacing w:after="0" w:line="238" w:lineRule="auto"/>
        <w:rPr>
          <w:sz w:val="20"/>
          <w:szCs w:val="20"/>
          <w:color w:val="auto"/>
        </w:rPr>
      </w:pPr>
      <w:r>
        <w:rPr>
          <w:rFonts w:ascii="Courier New" w:cs="Courier New" w:eastAsia="Courier New" w:hAnsi="Courier New"/>
          <w:sz w:val="18"/>
          <w:szCs w:val="18"/>
          <w:color w:val="auto"/>
        </w:rPr>
        <w:t>Title: Executive Vice</w:t>
      </w:r>
    </w:p>
    <w:p>
      <w:pPr>
        <w:ind w:left="4960"/>
        <w:spacing w:after="0"/>
        <w:rPr>
          <w:sz w:val="20"/>
          <w:szCs w:val="20"/>
          <w:color w:val="auto"/>
        </w:rPr>
      </w:pPr>
      <w:r>
        <w:rPr>
          <w:rFonts w:ascii="Courier New" w:cs="Courier New" w:eastAsia="Courier New" w:hAnsi="Courier New"/>
          <w:sz w:val="18"/>
          <w:szCs w:val="18"/>
          <w:color w:val="auto"/>
        </w:rPr>
        <w:t>President</w:t>
      </w:r>
    </w:p>
    <w:p>
      <w:pPr>
        <w:spacing w:after="0" w:line="200" w:lineRule="exact"/>
        <w:rPr>
          <w:sz w:val="20"/>
          <w:szCs w:val="20"/>
          <w:color w:val="auto"/>
        </w:rPr>
      </w:pPr>
    </w:p>
    <w:p>
      <w:pPr>
        <w:spacing w:after="0" w:line="203" w:lineRule="exact"/>
        <w:rPr>
          <w:sz w:val="20"/>
          <w:szCs w:val="20"/>
          <w:color w:val="auto"/>
        </w:rPr>
      </w:pPr>
    </w:p>
    <w:p>
      <w:pPr>
        <w:ind w:left="2840"/>
        <w:spacing w:after="0"/>
        <w:rPr>
          <w:sz w:val="20"/>
          <w:szCs w:val="20"/>
          <w:color w:val="auto"/>
        </w:rPr>
      </w:pPr>
      <w:r>
        <w:rPr>
          <w:rFonts w:ascii="Courier New" w:cs="Courier New" w:eastAsia="Courier New" w:hAnsi="Courier New"/>
          <w:sz w:val="18"/>
          <w:szCs w:val="18"/>
          <w:color w:val="auto"/>
        </w:rPr>
        <w:t>EXHIBIT INDEX</w:t>
      </w:r>
    </w:p>
    <w:p>
      <w:pPr>
        <w:sectPr>
          <w:pgSz w:w="11900" w:h="16838" w:orient="portrait"/>
          <w:cols w:equalWidth="0" w:num="1">
            <w:col w:w="9579"/>
          </w:cols>
          <w:pgMar w:left="880" w:top="919"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Sequentially</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Numbered Page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w:t>
      </w:r>
    </w:p>
    <w:p>
      <w:pPr>
        <w:spacing w:after="0" w:line="200" w:lineRule="exact"/>
        <w:rPr>
          <w:sz w:val="20"/>
          <w:szCs w:val="20"/>
          <w:color w:val="auto"/>
        </w:rPr>
      </w:pPr>
    </w:p>
    <w:p>
      <w:pPr>
        <w:sectPr>
          <w:pgSz w:w="11900" w:h="16838" w:orient="portrait"/>
          <w:cols w:equalWidth="0" w:num="3">
            <w:col w:w="1800" w:space="720"/>
            <w:col w:w="2760" w:space="720"/>
            <w:col w:w="3579"/>
          </w:cols>
          <w:pgMar w:left="880" w:top="919"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(a)(14)</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Text of Press Release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issued by Comcast and</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6"/>
          <w:szCs w:val="16"/>
          <w:color w:val="auto"/>
        </w:rPr>
        <w:t>6</w:t>
      </w:r>
    </w:p>
    <w:p>
      <w:pPr>
        <w:spacing w:after="0" w:line="223" w:lineRule="exact"/>
        <w:rPr>
          <w:sz w:val="20"/>
          <w:szCs w:val="20"/>
          <w:color w:val="auto"/>
        </w:rPr>
      </w:pPr>
    </w:p>
    <w:p>
      <w:pPr>
        <w:sectPr>
          <w:pgSz w:w="11900" w:h="16838" w:orient="portrait"/>
          <w:cols w:equalWidth="0" w:num="3">
            <w:col w:w="1180" w:space="720"/>
            <w:col w:w="4120" w:space="720"/>
            <w:col w:w="2839"/>
          </w:cols>
          <w:pgMar w:left="880" w:top="919" w:right="1440" w:bottom="1440" w:gutter="0" w:footer="0" w:header="0"/>
          <w:type w:val="continuous"/>
        </w:sectPr>
      </w:pPr>
    </w:p>
    <w:p>
      <w:pPr>
        <w:ind w:left="1900"/>
        <w:spacing w:after="0"/>
        <w:rPr>
          <w:sz w:val="20"/>
          <w:szCs w:val="20"/>
          <w:color w:val="auto"/>
        </w:rPr>
      </w:pPr>
      <w:r>
        <w:rPr>
          <w:rFonts w:ascii="Courier New" w:cs="Courier New" w:eastAsia="Courier New" w:hAnsi="Courier New"/>
          <w:sz w:val="16"/>
          <w:szCs w:val="16"/>
          <w:color w:val="auto"/>
        </w:rPr>
        <w:t>TCI on October 21,</w:t>
      </w:r>
    </w:p>
    <w:p>
      <w:pPr>
        <w:spacing w:after="0" w:line="16"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1994.</w:t>
      </w:r>
    </w:p>
    <w:p>
      <w:pPr>
        <w:sectPr>
          <w:pgSz w:w="11900" w:h="16838" w:orient="portrait"/>
          <w:cols w:equalWidth="0" w:num="1">
            <w:col w:w="9579"/>
          </w:cols>
          <w:pgMar w:left="880" w:top="919" w:right="1440" w:bottom="1440" w:gutter="0" w:footer="0" w:header="0"/>
          <w:type w:val="continuous"/>
        </w:sectPr>
      </w:pPr>
    </w:p>
    <w:bookmarkStart w:id="3" w:name="page4"/>
    <w:bookmarkEnd w:id="3"/>
    <w:p>
      <w:pPr>
        <w:jc w:val="right"/>
        <w:ind w:right="1999"/>
        <w:spacing w:after="0"/>
        <w:rPr>
          <w:sz w:val="20"/>
          <w:szCs w:val="20"/>
          <w:color w:val="auto"/>
        </w:rPr>
      </w:pPr>
      <w:r>
        <w:rPr>
          <w:rFonts w:ascii="Courier New" w:cs="Courier New" w:eastAsia="Courier New" w:hAnsi="Courier New"/>
          <w:sz w:val="18"/>
          <w:szCs w:val="18"/>
          <w:color w:val="auto"/>
        </w:rPr>
        <w:t>Exhibit (a)(14)</w:t>
      </w:r>
    </w:p>
    <w:p>
      <w:pPr>
        <w:spacing w:after="0" w:line="200" w:lineRule="exact"/>
        <w:rPr>
          <w:sz w:val="20"/>
          <w:szCs w:val="20"/>
          <w:color w:val="auto"/>
        </w:rPr>
      </w:pPr>
    </w:p>
    <w:p>
      <w:pPr>
        <w:spacing w:after="0" w:line="204" w:lineRule="exact"/>
        <w:rPr>
          <w:sz w:val="20"/>
          <w:szCs w:val="20"/>
          <w:color w:val="auto"/>
        </w:rPr>
      </w:pPr>
    </w:p>
    <w:p>
      <w:pPr>
        <w:jc w:val="right"/>
        <w:ind w:right="1999"/>
        <w:spacing w:after="0"/>
        <w:rPr>
          <w:sz w:val="20"/>
          <w:szCs w:val="20"/>
          <w:color w:val="auto"/>
        </w:rPr>
      </w:pPr>
      <w:r>
        <w:rPr>
          <w:rFonts w:ascii="Courier New" w:cs="Courier New" w:eastAsia="Courier New" w:hAnsi="Courier New"/>
          <w:sz w:val="18"/>
          <w:szCs w:val="18"/>
          <w:color w:val="auto"/>
        </w:rPr>
        <w:t>FOR IMMEDIATE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COMCAST AND LIBERTY MEDIA</w:t>
      </w:r>
    </w:p>
    <w:p>
      <w:pPr>
        <w:jc w:val="center"/>
        <w:ind w:right="1879"/>
        <w:spacing w:after="0" w:line="238" w:lineRule="auto"/>
        <w:rPr>
          <w:sz w:val="20"/>
          <w:szCs w:val="20"/>
          <w:color w:val="auto"/>
        </w:rPr>
      </w:pPr>
      <w:r>
        <w:rPr>
          <w:rFonts w:ascii="Courier New" w:cs="Courier New" w:eastAsia="Courier New" w:hAnsi="Courier New"/>
          <w:sz w:val="18"/>
          <w:szCs w:val="18"/>
          <w:color w:val="auto"/>
        </w:rPr>
        <w:t>EXTEND QVC TENDER OFFER</w:t>
      </w:r>
    </w:p>
    <w:p>
      <w:pPr>
        <w:jc w:val="center"/>
        <w:ind w:right="1879"/>
        <w:spacing w:after="0"/>
        <w:rPr>
          <w:sz w:val="20"/>
          <w:szCs w:val="20"/>
          <w:color w:val="auto"/>
        </w:rPr>
      </w:pPr>
      <w:r>
        <w:rPr>
          <w:rFonts w:ascii="Courier New" w:cs="Courier New" w:eastAsia="Courier New" w:hAnsi="Courier New"/>
          <w:sz w:val="18"/>
          <w:szCs w:val="18"/>
          <w:color w:val="auto"/>
        </w:rPr>
        <w:t>UNTIL NOVEMBER 18</w:t>
      </w:r>
    </w:p>
    <w:p>
      <w:pPr>
        <w:ind w:left="2220"/>
        <w:spacing w:after="0" w:line="237" w:lineRule="auto"/>
        <w:rPr>
          <w:sz w:val="20"/>
          <w:szCs w:val="20"/>
          <w:color w:val="auto"/>
        </w:rPr>
      </w:pPr>
      <w:r>
        <w:rPr>
          <w:rFonts w:ascii="Courier New" w:cs="Courier New" w:eastAsia="Courier New" w:hAnsi="Courier New"/>
          <w:sz w:val="18"/>
          <w:szCs w:val="18"/>
          <w:color w:val="auto"/>
        </w:rPr>
        <w:t>____________________________________</w:t>
      </w:r>
    </w:p>
    <w:p>
      <w:pPr>
        <w:spacing w:after="0" w:line="200" w:lineRule="exact"/>
        <w:rPr>
          <w:sz w:val="20"/>
          <w:szCs w:val="20"/>
          <w:color w:val="auto"/>
        </w:rPr>
      </w:pPr>
    </w:p>
    <w:p>
      <w:pPr>
        <w:spacing w:after="0" w:line="210" w:lineRule="exact"/>
        <w:rPr>
          <w:sz w:val="20"/>
          <w:szCs w:val="20"/>
          <w:color w:val="auto"/>
        </w:rPr>
      </w:pPr>
    </w:p>
    <w:p>
      <w:pPr>
        <w:ind w:right="1999"/>
        <w:spacing w:after="0" w:line="272" w:lineRule="auto"/>
        <w:rPr>
          <w:sz w:val="20"/>
          <w:szCs w:val="20"/>
          <w:color w:val="auto"/>
        </w:rPr>
      </w:pPr>
      <w:r>
        <w:rPr>
          <w:rFonts w:ascii="Courier New" w:cs="Courier New" w:eastAsia="Courier New" w:hAnsi="Courier New"/>
          <w:sz w:val="16"/>
          <w:szCs w:val="16"/>
          <w:color w:val="auto"/>
        </w:rPr>
        <w:t>Philadelphia, PA and Englewood, CO -- October 21, 1994: Comcast Corporation and Tele-Communications, Inc. ("TCI") announced today that they do not expect that the applicable waiting periods under the Hart-Scott-Rodino Antitrust Improvements Act relating to the acquisition of QVC, Inc. will have expired by 11:59 P.M., New York City time, on October 21, 1994, the time at which the tender offer for the stock of QVC is currently scheduled to expire.</w:t>
      </w:r>
    </w:p>
    <w:p>
      <w:pPr>
        <w:spacing w:after="0" w:line="186" w:lineRule="exact"/>
        <w:rPr>
          <w:sz w:val="20"/>
          <w:szCs w:val="20"/>
          <w:color w:val="auto"/>
        </w:rPr>
      </w:pPr>
    </w:p>
    <w:p>
      <w:pPr>
        <w:ind w:right="1999" w:firstLine="1264"/>
        <w:spacing w:after="0" w:line="271" w:lineRule="auto"/>
        <w:rPr>
          <w:sz w:val="20"/>
          <w:szCs w:val="20"/>
          <w:color w:val="auto"/>
        </w:rPr>
      </w:pPr>
      <w:r>
        <w:rPr>
          <w:rFonts w:ascii="Courier New" w:cs="Courier New" w:eastAsia="Courier New" w:hAnsi="Courier New"/>
          <w:sz w:val="16"/>
          <w:szCs w:val="16"/>
          <w:color w:val="auto"/>
        </w:rPr>
        <w:t>As a result, QVC Programming Holdings, Inc., an acquisition vehicle jointly owned by Comcast and Liberty Media Corporation, a wholly-owned subsidiary of TCI, has extended the expiration date for the tender offer until 5:00 P.M., New York City time, on November 18, 1994. As a consequence of the extension of the expiration date, holders of QVC shares are entitled to tender or withdraw their shares pursuant to the tender offer until 5:00 P.M., New York City time, on November 18, 1994, unless the offer is further extended.</w:t>
      </w:r>
    </w:p>
    <w:p>
      <w:pPr>
        <w:spacing w:after="0" w:line="188" w:lineRule="exact"/>
        <w:rPr>
          <w:sz w:val="20"/>
          <w:szCs w:val="20"/>
          <w:color w:val="auto"/>
        </w:rPr>
      </w:pPr>
    </w:p>
    <w:p>
      <w:pPr>
        <w:ind w:right="1999" w:firstLine="1264"/>
        <w:spacing w:after="0" w:line="271" w:lineRule="auto"/>
        <w:rPr>
          <w:sz w:val="20"/>
          <w:szCs w:val="20"/>
          <w:color w:val="auto"/>
        </w:rPr>
      </w:pPr>
      <w:r>
        <w:rPr>
          <w:rFonts w:ascii="Courier New" w:cs="Courier New" w:eastAsia="Courier New" w:hAnsi="Courier New"/>
          <w:sz w:val="16"/>
          <w:szCs w:val="16"/>
          <w:color w:val="auto"/>
        </w:rPr>
        <w:t>If the applicable waiting periods under the Hart-Scott-Rodino Antitrust Improvements Act have not expired or been terminated at such time, QVC Programming Holdings, Inc. may elect to extend the tender offer beyond such time. However, under the terms of the Merger Agreement pursuant to which the tender offer is being made, QVC Programming Holdings, Inc. may not terminate the tender offer prior to December 31, 1994 by reason of the applicable waiting periods under the Hart-Scott-Rodino Antitrust Improvements Act not having expired or been terminated, although the expiration of the applicable waiting periods is a condition to the tender offer.</w:t>
      </w:r>
    </w:p>
    <w:p>
      <w:pPr>
        <w:spacing w:after="0" w:line="388" w:lineRule="exact"/>
        <w:rPr>
          <w:sz w:val="20"/>
          <w:szCs w:val="20"/>
          <w:color w:val="auto"/>
        </w:rPr>
      </w:pPr>
    </w:p>
    <w:p>
      <w:pPr>
        <w:ind w:right="2319" w:firstLine="1264"/>
        <w:spacing w:after="0" w:line="237" w:lineRule="auto"/>
        <w:rPr>
          <w:sz w:val="20"/>
          <w:szCs w:val="20"/>
          <w:color w:val="auto"/>
        </w:rPr>
      </w:pPr>
      <w:r>
        <w:rPr>
          <w:rFonts w:ascii="Courier New" w:cs="Courier New" w:eastAsia="Courier New" w:hAnsi="Courier New"/>
          <w:sz w:val="18"/>
          <w:szCs w:val="18"/>
          <w:color w:val="auto"/>
        </w:rPr>
        <w:t>As of the close of business on October 20, 1994, approximately 14,154,131 shares of QVC Common Stock, 468 shares of QVC Series B Preferred Stock and 35,502 shares of QVC Series C Preferred Stock had been tendered pursuant to the tender offer.</w:t>
      </w:r>
    </w:p>
    <w:p>
      <w:pPr>
        <w:spacing w:after="0" w:line="207" w:lineRule="exact"/>
        <w:rPr>
          <w:sz w:val="20"/>
          <w:szCs w:val="20"/>
          <w:color w:val="auto"/>
        </w:rPr>
      </w:pPr>
    </w:p>
    <w:p>
      <w:pPr>
        <w:ind w:right="2099" w:firstLine="1264"/>
        <w:spacing w:after="0" w:line="237" w:lineRule="auto"/>
        <w:rPr>
          <w:sz w:val="20"/>
          <w:szCs w:val="20"/>
          <w:color w:val="auto"/>
        </w:rPr>
      </w:pPr>
      <w:r>
        <w:rPr>
          <w:rFonts w:ascii="Courier New" w:cs="Courier New" w:eastAsia="Courier New" w:hAnsi="Courier New"/>
          <w:sz w:val="18"/>
          <w:szCs w:val="18"/>
          <w:color w:val="auto"/>
        </w:rPr>
        <w:t>Comcast Corporation is principally engaged in the development, management and operation of cable communications networks. Comcast's consolidated and affiliated operations served approximately 3.0 million cable subscribers at June 30, 1994. After completion of the acquisition of Maclean Hunter's United States cable properties, Comcast's consolidated and prorated affiliated operations will serve approximately 3.5 million cable subscribers, making it the third largest cable operator in the country. Comcast provides cellular telephone services in the Northeast United States to markets encompassing a population in excess of 7.4 million. Comcast also has investments in cable programming, telecommunications systems, and international cable and telephony franchises.</w:t>
      </w:r>
    </w:p>
    <w:p>
      <w:pPr>
        <w:spacing w:after="0" w:line="216" w:lineRule="exact"/>
        <w:rPr>
          <w:sz w:val="20"/>
          <w:szCs w:val="20"/>
          <w:color w:val="auto"/>
        </w:rPr>
      </w:pPr>
    </w:p>
    <w:p>
      <w:pPr>
        <w:ind w:right="2199" w:firstLine="1264"/>
        <w:spacing w:after="0" w:line="290" w:lineRule="auto"/>
        <w:rPr>
          <w:sz w:val="20"/>
          <w:szCs w:val="20"/>
          <w:color w:val="auto"/>
        </w:rPr>
      </w:pPr>
      <w:r>
        <w:rPr>
          <w:rFonts w:ascii="Courier New" w:cs="Courier New" w:eastAsia="Courier New" w:hAnsi="Courier New"/>
          <w:sz w:val="16"/>
          <w:szCs w:val="16"/>
          <w:color w:val="auto"/>
        </w:rPr>
        <w:t>Comcast's Class A and Class A Special Common Stock are traded on the Nasdaq Stock Market under the symbols CMCSA and CMCSK, respectively.</w:t>
      </w:r>
    </w:p>
    <w:p>
      <w:pPr>
        <w:spacing w:after="0" w:line="170" w:lineRule="exact"/>
        <w:rPr>
          <w:sz w:val="20"/>
          <w:szCs w:val="20"/>
          <w:color w:val="auto"/>
        </w:rPr>
      </w:pPr>
    </w:p>
    <w:p>
      <w:pPr>
        <w:ind w:right="1999" w:firstLine="1264"/>
        <w:spacing w:after="0" w:line="275" w:lineRule="auto"/>
        <w:rPr>
          <w:sz w:val="20"/>
          <w:szCs w:val="20"/>
          <w:color w:val="auto"/>
        </w:rPr>
      </w:pPr>
      <w:r>
        <w:rPr>
          <w:rFonts w:ascii="Courier New" w:cs="Courier New" w:eastAsia="Courier New" w:hAnsi="Courier New"/>
          <w:sz w:val="16"/>
          <w:szCs w:val="16"/>
          <w:color w:val="auto"/>
        </w:rPr>
        <w:t>Liberty is a wholly-owned subsidiary of Tele-Communications, Inc. TCI is the United States' largest cable television operator, serving 10.9 million customers in 48 states, Puerto Rico and the District of Columbia. The company also holds interests in several national cable programming networks.</w:t>
      </w:r>
    </w:p>
    <w:p>
      <w:pPr>
        <w:spacing w:after="0" w:line="182" w:lineRule="exact"/>
        <w:rPr>
          <w:sz w:val="20"/>
          <w:szCs w:val="20"/>
          <w:color w:val="auto"/>
        </w:rPr>
      </w:pPr>
    </w:p>
    <w:p>
      <w:pPr>
        <w:ind w:right="2099" w:firstLine="1264"/>
        <w:spacing w:after="0" w:line="279" w:lineRule="auto"/>
        <w:rPr>
          <w:sz w:val="20"/>
          <w:szCs w:val="20"/>
          <w:color w:val="auto"/>
        </w:rPr>
      </w:pPr>
      <w:r>
        <w:rPr>
          <w:rFonts w:ascii="Courier New" w:cs="Courier New" w:eastAsia="Courier New" w:hAnsi="Courier New"/>
          <w:sz w:val="16"/>
          <w:szCs w:val="16"/>
          <w:color w:val="auto"/>
        </w:rPr>
        <w:t>Tele-Communications, Inc. is traded in the Nasdaq National Market with Class A and Class B Common Stock and Class B Preferred Stock trading separately under the symbols of TCOMA, TCOMB and TCOMP, respectively.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FURTHER INFORMATION CONTACT: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Comcast Corporation</w:t>
      </w:r>
    </w:p>
    <w:p>
      <w:pPr>
        <w:spacing w:after="0" w:line="238" w:lineRule="auto"/>
        <w:rPr>
          <w:sz w:val="20"/>
          <w:szCs w:val="20"/>
          <w:color w:val="auto"/>
        </w:rPr>
      </w:pPr>
      <w:r>
        <w:rPr>
          <w:rFonts w:ascii="Courier New" w:cs="Courier New" w:eastAsia="Courier New" w:hAnsi="Courier New"/>
          <w:sz w:val="18"/>
          <w:szCs w:val="18"/>
          <w:color w:val="auto"/>
        </w:rPr>
        <w:t>William E. Dordelman</w:t>
      </w:r>
    </w:p>
    <w:p>
      <w:pPr>
        <w:spacing w:after="0"/>
        <w:rPr>
          <w:sz w:val="20"/>
          <w:szCs w:val="20"/>
          <w:color w:val="auto"/>
        </w:rPr>
      </w:pPr>
      <w:r>
        <w:rPr>
          <w:rFonts w:ascii="Courier New" w:cs="Courier New" w:eastAsia="Courier New" w:hAnsi="Courier New"/>
          <w:sz w:val="18"/>
          <w:szCs w:val="18"/>
          <w:color w:val="auto"/>
        </w:rPr>
        <w:t>Assistant Treasurer</w:t>
      </w:r>
    </w:p>
    <w:p>
      <w:pPr>
        <w:spacing w:after="0" w:line="237" w:lineRule="auto"/>
        <w:rPr>
          <w:sz w:val="20"/>
          <w:szCs w:val="20"/>
          <w:color w:val="auto"/>
        </w:rPr>
      </w:pPr>
      <w:r>
        <w:rPr>
          <w:rFonts w:ascii="Courier New" w:cs="Courier New" w:eastAsia="Courier New" w:hAnsi="Courier New"/>
          <w:sz w:val="18"/>
          <w:szCs w:val="18"/>
          <w:color w:val="auto"/>
        </w:rPr>
        <w:t>(215) 981-7550</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Kathleen B. Jacoby</w:t>
      </w:r>
    </w:p>
    <w:p>
      <w:pPr>
        <w:spacing w:after="0" w:line="238" w:lineRule="auto"/>
        <w:rPr>
          <w:sz w:val="20"/>
          <w:szCs w:val="20"/>
          <w:color w:val="auto"/>
        </w:rPr>
      </w:pPr>
      <w:r>
        <w:rPr>
          <w:rFonts w:ascii="Courier New" w:cs="Courier New" w:eastAsia="Courier New" w:hAnsi="Courier New"/>
          <w:sz w:val="18"/>
          <w:szCs w:val="18"/>
          <w:color w:val="auto"/>
        </w:rPr>
        <w:t>Director of Investor Relations</w:t>
      </w:r>
    </w:p>
    <w:p>
      <w:pPr>
        <w:spacing w:after="0"/>
        <w:rPr>
          <w:sz w:val="20"/>
          <w:szCs w:val="20"/>
          <w:color w:val="auto"/>
        </w:rPr>
      </w:pPr>
      <w:r>
        <w:rPr>
          <w:rFonts w:ascii="Courier New" w:cs="Courier New" w:eastAsia="Courier New" w:hAnsi="Courier New"/>
          <w:sz w:val="18"/>
          <w:szCs w:val="18"/>
          <w:color w:val="auto"/>
        </w:rPr>
        <w:t>(215) 981-7392</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Tele-Communications, Inc.</w:t>
      </w:r>
    </w:p>
    <w:p>
      <w:pPr>
        <w:sectPr>
          <w:pgSz w:w="11900" w:h="16838" w:orient="portrait"/>
          <w:cols w:equalWidth="0" w:num="1">
            <w:col w:w="10219"/>
          </w:cols>
          <w:pgMar w:left="240" w:top="339"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Steve Smith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Investor Relations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(303) 267-5048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Vivian Carr</w:t>
      </w:r>
    </w:p>
    <w:p>
      <w:pPr>
        <w:spacing w:after="0" w:line="238" w:lineRule="auto"/>
        <w:rPr>
          <w:sz w:val="20"/>
          <w:szCs w:val="20"/>
          <w:color w:val="auto"/>
        </w:rPr>
      </w:pPr>
      <w:r>
        <w:rPr>
          <w:rFonts w:ascii="Courier New" w:cs="Courier New" w:eastAsia="Courier New" w:hAnsi="Courier New"/>
          <w:sz w:val="18"/>
          <w:szCs w:val="18"/>
          <w:color w:val="auto"/>
        </w:rPr>
        <w:t>Liberty Media</w:t>
      </w:r>
    </w:p>
    <w:p>
      <w:pPr>
        <w:spacing w:after="0"/>
        <w:rPr>
          <w:sz w:val="20"/>
          <w:szCs w:val="20"/>
          <w:color w:val="auto"/>
        </w:rPr>
      </w:pPr>
      <w:r>
        <w:rPr>
          <w:rFonts w:ascii="Courier New" w:cs="Courier New" w:eastAsia="Courier New" w:hAnsi="Courier New"/>
          <w:sz w:val="18"/>
          <w:szCs w:val="18"/>
          <w:color w:val="auto"/>
        </w:rPr>
        <w:t>(303) 721-5406</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2019-12-16T11:32:08Z</dcterms:created>
  <dcterms:modified xsi:type="dcterms:W3CDTF">2019-12-16T11:32:08Z</dcterms:modified>
</cp:coreProperties>
</file>