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1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4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1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3"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w:t>
      </w:r>
    </w:p>
    <w:p>
      <w:pPr>
        <w:spacing w:after="0" w:line="8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SEPTEMBER 30, 2005</w:t>
      </w:r>
    </w:p>
    <w:p>
      <w:pPr>
        <w:spacing w:after="0" w:line="2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w:t>
      </w:r>
    </w:p>
    <w:p>
      <w:pPr>
        <w:spacing w:after="0" w:line="54" w:lineRule="exact"/>
        <w:rPr>
          <w:rFonts w:ascii="MS PGothic" w:cs="MS PGothic" w:eastAsia="MS PGothic" w:hAnsi="MS PGothic"/>
          <w:sz w:val="16"/>
          <w:szCs w:val="16"/>
          <w:color w:val="auto"/>
        </w:rPr>
      </w:pPr>
    </w:p>
    <w:p>
      <w:pPr>
        <w:ind w:left="460"/>
        <w:spacing w:after="0"/>
        <w:rPr>
          <w:rFonts w:ascii="MS PGothic" w:cs="MS PGothic" w:eastAsia="MS PGothic" w:hAnsi="MS PGothic"/>
          <w:sz w:val="16"/>
          <w:szCs w:val="16"/>
          <w:color w:val="auto"/>
        </w:rPr>
      </w:pPr>
      <w:r>
        <w:rPr>
          <w:rFonts w:ascii="Times New Roman" w:cs="Times New Roman" w:eastAsia="Times New Roman" w:hAnsi="Times New Roman"/>
          <w:sz w:val="18"/>
          <w:szCs w:val="18"/>
          <w:b w:val="1"/>
          <w:bCs w:val="1"/>
          <w:color w:val="auto"/>
        </w:rPr>
        <w:t>to</w:t>
      </w:r>
      <w:r>
        <w:rPr>
          <w:rFonts w:ascii="Times New Roman" w:cs="Times New Roman" w:eastAsia="Times New Roman" w:hAnsi="Times New Roman"/>
          <w:sz w:val="16"/>
          <w:szCs w:val="16"/>
          <w:b w:val="1"/>
          <w:bCs w:val="1"/>
          <w:color w:val="auto"/>
        </w:rPr>
        <w:t>.</w:t>
      </w:r>
    </w:p>
    <w:p>
      <w:pPr>
        <w:spacing w:after="0" w:line="13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Commission File Number 000-50093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2165985</wp:posOffset>
            </wp:positionH>
            <wp:positionV relativeFrom="paragraph">
              <wp:posOffset>110490</wp:posOffset>
            </wp:positionV>
            <wp:extent cx="2933065" cy="7461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33065" cy="7461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COMCAST CORPORATION</w:t>
      </w:r>
    </w:p>
    <w:p>
      <w:pPr>
        <w:spacing w:after="0" w:line="4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340"/>
          </w:cols>
          <w:pgMar w:left="240" w:top="365" w:right="319" w:bottom="1440" w:gutter="0" w:footer="0" w:header="0"/>
        </w:sectPr>
      </w:pPr>
    </w:p>
    <w:p>
      <w:pPr>
        <w:spacing w:after="0" w:line="136" w:lineRule="exact"/>
        <w:rPr>
          <w:sz w:val="24"/>
          <w:szCs w:val="24"/>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PENNSYLVANIA</w:t>
      </w:r>
    </w:p>
    <w:p>
      <w:pPr>
        <w:spacing w:after="0" w:line="23" w:lineRule="exact"/>
        <w:rPr>
          <w:sz w:val="24"/>
          <w:szCs w:val="24"/>
          <w:color w:val="auto"/>
        </w:rPr>
      </w:pPr>
    </w:p>
    <w:p>
      <w:pPr>
        <w:ind w:left="1800"/>
        <w:spacing w:after="0"/>
        <w:rPr>
          <w:sz w:val="20"/>
          <w:szCs w:val="20"/>
          <w:color w:val="auto"/>
        </w:rPr>
      </w:pPr>
      <w:r>
        <w:rPr>
          <w:rFonts w:ascii="Times New Roman" w:cs="Times New Roman" w:eastAsia="Times New Roman" w:hAnsi="Times New Roman"/>
          <w:sz w:val="16"/>
          <w:szCs w:val="16"/>
          <w:color w:val="auto"/>
        </w:rPr>
        <w:t>(State or other jurisdiction of</w:t>
      </w:r>
    </w:p>
    <w:p>
      <w:pPr>
        <w:spacing w:after="0" w:line="32" w:lineRule="exact"/>
        <w:rPr>
          <w:sz w:val="24"/>
          <w:szCs w:val="24"/>
          <w:color w:val="auto"/>
        </w:rPr>
      </w:pPr>
    </w:p>
    <w:p>
      <w:pPr>
        <w:ind w:left="1760"/>
        <w:spacing w:after="0"/>
        <w:rPr>
          <w:sz w:val="20"/>
          <w:szCs w:val="20"/>
          <w:color w:val="auto"/>
        </w:rPr>
      </w:pPr>
      <w:r>
        <w:rPr>
          <w:rFonts w:ascii="Times New Roman" w:cs="Times New Roman" w:eastAsia="Times New Roman" w:hAnsi="Times New Roman"/>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27-0000798</w:t>
      </w:r>
    </w:p>
    <w:p>
      <w:pPr>
        <w:spacing w:after="0" w:line="23"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6"/>
          <w:szCs w:val="16"/>
          <w:color w:val="auto"/>
        </w:rPr>
        <w:t>Identification No.)</w:t>
      </w:r>
    </w:p>
    <w:p>
      <w:pPr>
        <w:spacing w:after="0" w:line="180" w:lineRule="exact"/>
        <w:rPr>
          <w:sz w:val="24"/>
          <w:szCs w:val="24"/>
          <w:color w:val="auto"/>
        </w:rPr>
      </w:pPr>
    </w:p>
    <w:p>
      <w:pPr>
        <w:sectPr>
          <w:pgSz w:w="11900" w:h="16838" w:orient="portrait"/>
          <w:cols w:equalWidth="0" w:num="2">
            <w:col w:w="7360" w:space="720"/>
            <w:col w:w="3260"/>
          </w:cols>
          <w:pgMar w:left="240" w:top="365" w:right="319" w:bottom="1440" w:gutter="0" w:footer="0" w:header="0"/>
          <w:type w:val="continuous"/>
        </w:sect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1500 Market Street, Philadelphia, PA 19102-2148</w:t>
      </w:r>
    </w:p>
    <w:p>
      <w:pPr>
        <w:spacing w:after="0" w:line="2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(Zip Code)</w:t>
      </w:r>
    </w:p>
    <w:p>
      <w:pPr>
        <w:spacing w:after="0" w:line="14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Registrant’s telephone number, including area code: (215) 665-1700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192405</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ectPr>
          <w:pgSz w:w="11900" w:h="16838" w:orient="portrait"/>
          <w:cols w:equalWidth="0" w:num="1">
            <w:col w:w="11340"/>
          </w:cols>
          <w:pgMar w:left="240" w:top="365" w:right="319" w:bottom="1440" w:gutter="0" w:footer="0" w:header="0"/>
          <w:type w:val="continuous"/>
        </w:sectPr>
      </w:pPr>
    </w:p>
    <w:p>
      <w:pPr>
        <w:spacing w:after="0" w:line="200" w:lineRule="exact"/>
        <w:rPr>
          <w:sz w:val="24"/>
          <w:szCs w:val="24"/>
          <w:color w:val="auto"/>
        </w:rPr>
      </w:pPr>
    </w:p>
    <w:p>
      <w:pPr>
        <w:spacing w:after="0" w:line="359" w:lineRule="exact"/>
        <w:rPr>
          <w:sz w:val="24"/>
          <w:szCs w:val="24"/>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requirements for the past 90 days.</w:t>
      </w:r>
    </w:p>
    <w:p>
      <w:pPr>
        <w:spacing w:after="0" w:line="11" w:lineRule="exact"/>
        <w:rPr>
          <w:sz w:val="24"/>
          <w:szCs w:val="24"/>
          <w:color w:val="auto"/>
        </w:rPr>
      </w:pPr>
    </w:p>
    <w:p>
      <w:pPr>
        <w:jc w:val="center"/>
        <w:ind w:right="-79"/>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143510</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80"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is an accelerated filer (as defined in Rule 12-b2 of the Exchange Act).</w:t>
      </w:r>
    </w:p>
    <w:p>
      <w:pPr>
        <w:spacing w:after="0" w:line="57" w:lineRule="exact"/>
        <w:rPr>
          <w:sz w:val="24"/>
          <w:szCs w:val="24"/>
          <w:color w:val="auto"/>
        </w:rPr>
      </w:pPr>
    </w:p>
    <w:p>
      <w:pPr>
        <w:ind w:left="526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57" w:lineRule="exact"/>
        <w:rPr>
          <w:sz w:val="24"/>
          <w:szCs w:val="24"/>
          <w:color w:val="auto"/>
        </w:rPr>
      </w:pPr>
    </w:p>
    <w:p>
      <w:pPr>
        <w:ind w:left="526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ind w:right="440"/>
        <w:spacing w:after="0" w:line="275" w:lineRule="auto"/>
        <w:rPr>
          <w:sz w:val="20"/>
          <w:szCs w:val="20"/>
          <w:color w:val="auto"/>
        </w:rPr>
      </w:pPr>
      <w:r>
        <w:rPr>
          <w:rFonts w:ascii="Times New Roman" w:cs="Times New Roman" w:eastAsia="Times New Roman" w:hAnsi="Times New Roman"/>
          <w:sz w:val="18"/>
          <w:szCs w:val="18"/>
          <w:color w:val="auto"/>
        </w:rPr>
        <w:t>As of September 30, 2005, there were 1,362,615,109 shares of our Class A Common Stock, 799,441,569 shares of our Class A Special Common Stock and 9,444,375 shares of our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40"/>
          </w:cols>
          <w:pgMar w:left="240" w:top="365" w:right="3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20" w:type="dxa"/>
            <w:vAlign w:val="bottom"/>
            <w:gridSpan w:val="16"/>
          </w:tcPr>
          <w:p>
            <w:pPr>
              <w:jc w:val="center"/>
              <w:ind w:right="3060"/>
              <w:spacing w:after="0"/>
              <w:rPr>
                <w:sz w:val="20"/>
                <w:szCs w:val="20"/>
                <w:color w:val="auto"/>
              </w:rPr>
            </w:pPr>
            <w:r>
              <w:rPr>
                <w:rFonts w:ascii="Times New Roman" w:cs="Times New Roman" w:eastAsia="Times New Roman" w:hAnsi="Times New Roman"/>
                <w:sz w:val="18"/>
                <w:szCs w:val="18"/>
                <w:b w:val="1"/>
                <w:bCs w:val="1"/>
                <w:color w:val="auto"/>
                <w:w w:val="97"/>
              </w:rPr>
              <w:t>COMCAST CORPORATION AND SUBSIDIARIES</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40" w:type="dxa"/>
            <w:vAlign w:val="bottom"/>
            <w:gridSpan w:val="11"/>
          </w:tcPr>
          <w:p>
            <w:pPr>
              <w:jc w:val="center"/>
              <w:ind w:right="4540"/>
              <w:spacing w:after="0"/>
              <w:rPr>
                <w:sz w:val="20"/>
                <w:szCs w:val="20"/>
                <w:color w:val="auto"/>
              </w:rPr>
            </w:pPr>
            <w:r>
              <w:rPr>
                <w:rFonts w:ascii="Times New Roman" w:cs="Times New Roman" w:eastAsia="Times New Roman" w:hAnsi="Times New Roman"/>
                <w:sz w:val="18"/>
                <w:szCs w:val="18"/>
                <w:b w:val="1"/>
                <w:bCs w:val="1"/>
                <w:color w:val="auto"/>
                <w:w w:val="96"/>
              </w:rPr>
              <w:t>FORM 10-Q</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20" w:type="dxa"/>
            <w:vAlign w:val="bottom"/>
            <w:gridSpan w:val="16"/>
          </w:tcPr>
          <w:p>
            <w:pPr>
              <w:jc w:val="center"/>
              <w:ind w:right="3040"/>
              <w:spacing w:after="0"/>
              <w:rPr>
                <w:sz w:val="20"/>
                <w:szCs w:val="20"/>
                <w:color w:val="auto"/>
              </w:rPr>
            </w:pPr>
            <w:r>
              <w:rPr>
                <w:rFonts w:ascii="Times New Roman" w:cs="Times New Roman" w:eastAsia="Times New Roman" w:hAnsi="Times New Roman"/>
                <w:sz w:val="18"/>
                <w:szCs w:val="18"/>
                <w:b w:val="1"/>
                <w:bCs w:val="1"/>
                <w:color w:val="auto"/>
                <w:w w:val="97"/>
              </w:rPr>
              <w:t>QUARTER ENDED SEPTEMBER 30, 2005</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0" w:type="dxa"/>
            <w:vAlign w:val="bottom"/>
            <w:gridSpan w:val="14"/>
          </w:tcPr>
          <w:p>
            <w:pPr>
              <w:jc w:val="center"/>
              <w:ind w:right="3960"/>
              <w:spacing w:after="0"/>
              <w:rPr>
                <w:sz w:val="20"/>
                <w:szCs w:val="20"/>
                <w:color w:val="auto"/>
              </w:rPr>
            </w:pPr>
            <w:r>
              <w:rPr>
                <w:rFonts w:ascii="Times New Roman" w:cs="Times New Roman" w:eastAsia="Times New Roman" w:hAnsi="Times New Roman"/>
                <w:sz w:val="18"/>
                <w:szCs w:val="18"/>
                <w:b w:val="1"/>
                <w:bCs w:val="1"/>
                <w:color w:val="auto"/>
                <w:w w:val="96"/>
              </w:rPr>
              <w:t>TABLE OF CONTENTS</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2"/>
        </w:trPr>
        <w:tc>
          <w:tcPr>
            <w:tcW w:w="2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8"/>
        </w:trPr>
        <w:tc>
          <w:tcPr>
            <w:tcW w:w="2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0" w:type="dxa"/>
            <w:vAlign w:val="bottom"/>
          </w:tcPr>
          <w:p>
            <w:pPr>
              <w:spacing w:after="0"/>
              <w:rPr>
                <w:sz w:val="1"/>
                <w:szCs w:val="1"/>
                <w:color w:val="auto"/>
              </w:rPr>
            </w:pPr>
          </w:p>
        </w:tc>
      </w:tr>
      <w:tr>
        <w:trPr>
          <w:trHeight w:val="95"/>
        </w:trPr>
        <w:tc>
          <w:tcPr>
            <w:tcW w:w="2820" w:type="dxa"/>
            <w:vAlign w:val="bottom"/>
            <w:gridSpan w:val="3"/>
            <w:vMerge w:val="restart"/>
          </w:tcPr>
          <w:p>
            <w:pPr>
              <w:spacing w:after="0"/>
              <w:rPr>
                <w:rFonts w:ascii="Times New Roman" w:cs="Times New Roman" w:eastAsia="Times New Roman" w:hAnsi="Times New Roman"/>
                <w:sz w:val="18"/>
                <w:szCs w:val="18"/>
                <w:color w:val="0000EE"/>
                <w:w w:val="95"/>
              </w:rPr>
            </w:pPr>
            <w:hyperlink w:anchor="page3">
              <w:r>
                <w:rPr>
                  <w:rFonts w:ascii="Times New Roman" w:cs="Times New Roman" w:eastAsia="Times New Roman" w:hAnsi="Times New Roman"/>
                  <w:sz w:val="18"/>
                  <w:szCs w:val="18"/>
                  <w:color w:val="0000EE"/>
                  <w:w w:val="95"/>
                </w:rPr>
                <w:t>PART I. FINANCIAL INFORMATION</w:t>
              </w:r>
            </w:hyperlink>
          </w:p>
        </w:tc>
        <w:tc>
          <w:tcPr>
            <w:tcW w:w="760" w:type="dxa"/>
            <w:vAlign w:val="bottom"/>
            <w:gridSpan w:val="2"/>
            <w:vMerge w:val="restart"/>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2820" w:type="dxa"/>
            <w:vAlign w:val="bottom"/>
            <w:tcBorders>
              <w:bottom w:val="single" w:sz="8" w:color="0000EE"/>
            </w:tcBorders>
            <w:gridSpan w:val="3"/>
            <w:vMerge w:val="continue"/>
          </w:tcPr>
          <w:p>
            <w:pPr>
              <w:spacing w:after="0"/>
              <w:rPr>
                <w:sz w:val="24"/>
                <w:szCs w:val="24"/>
                <w:color w:val="auto"/>
              </w:rPr>
            </w:pPr>
          </w:p>
        </w:tc>
        <w:tc>
          <w:tcPr>
            <w:tcW w:w="76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80" w:type="dxa"/>
            <w:vAlign w:val="bottom"/>
          </w:tcPr>
          <w:p>
            <w:pPr>
              <w:spacing w:after="0"/>
              <w:rPr>
                <w:sz w:val="17"/>
                <w:szCs w:val="17"/>
                <w:color w:val="auto"/>
              </w:rPr>
            </w:pPr>
          </w:p>
        </w:tc>
        <w:tc>
          <w:tcPr>
            <w:tcW w:w="1300" w:type="dxa"/>
            <w:vAlign w:val="bottom"/>
            <w:gridSpan w:val="4"/>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14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6"/>
              </w:rPr>
            </w:pPr>
            <w:hyperlink w:anchor="page3">
              <w:r>
                <w:rPr>
                  <w:rFonts w:ascii="Times New Roman" w:cs="Times New Roman" w:eastAsia="Times New Roman" w:hAnsi="Times New Roman"/>
                  <w:sz w:val="18"/>
                  <w:szCs w:val="18"/>
                  <w:color w:val="0000EE"/>
                  <w:w w:val="96"/>
                </w:rPr>
                <w:t>Financial Statements</w:t>
              </w:r>
            </w:hyperlink>
          </w:p>
        </w:tc>
        <w:tc>
          <w:tcPr>
            <w:tcW w:w="5840" w:type="dxa"/>
            <w:vAlign w:val="bottom"/>
            <w:gridSpan w:val="11"/>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320" w:type="dxa"/>
            <w:vAlign w:val="bottom"/>
            <w:gridSpan w:val="16"/>
          </w:tcPr>
          <w:p>
            <w:pPr>
              <w:spacing w:after="0" w:line="19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Balance Sheet as of September 30, 2005 and December 31,</w:t>
              </w:r>
            </w:hyperlink>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w:anchor="page3">
              <w:r>
                <w:rPr>
                  <w:rFonts w:ascii="Times New Roman" w:cs="Times New Roman" w:eastAsia="Times New Roman" w:hAnsi="Times New Roman"/>
                  <w:sz w:val="18"/>
                  <w:szCs w:val="18"/>
                  <w:color w:val="0000EE"/>
                  <w:w w:val="97"/>
                </w:rPr>
                <w:t>2004 (Unaudited)</w:t>
              </w:r>
            </w:hyperlink>
          </w:p>
        </w:tc>
        <w:tc>
          <w:tcPr>
            <w:tcW w:w="4700" w:type="dxa"/>
            <w:vAlign w:val="bottom"/>
            <w:tcBorders>
              <w:top w:val="single" w:sz="8" w:color="0000EE"/>
            </w:tcBorders>
            <w:gridSpan w:val="10"/>
          </w:tcPr>
          <w:p>
            <w:pPr>
              <w:spacing w:after="0"/>
              <w:rPr>
                <w:sz w:val="17"/>
                <w:szCs w:val="17"/>
                <w:color w:val="auto"/>
              </w:rPr>
            </w:pPr>
          </w:p>
        </w:tc>
        <w:tc>
          <w:tcPr>
            <w:tcW w:w="1360" w:type="dxa"/>
            <w:vAlign w:val="bottom"/>
            <w:gridSpan w:val="3"/>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2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320" w:type="dxa"/>
            <w:vAlign w:val="bottom"/>
            <w:gridSpan w:val="16"/>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Statement of Operations for the Three and Nine Months Ended</w:t>
              </w:r>
            </w:hyperlink>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2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September 30, 2005 and 2004 (Unaudited)</w:t>
              </w:r>
            </w:hyperlink>
          </w:p>
        </w:tc>
        <w:tc>
          <w:tcPr>
            <w:tcW w:w="1100" w:type="dxa"/>
            <w:vAlign w:val="bottom"/>
            <w:gridSpan w:val="2"/>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320" w:type="dxa"/>
            <w:vAlign w:val="bottom"/>
            <w:gridSpan w:val="16"/>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 of Cash Flows for the Nine Months Ended</w:t>
              </w:r>
            </w:hyperlink>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52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September 30, 2005 and 2004 (Unaudited)</w:t>
              </w:r>
            </w:hyperlink>
          </w:p>
        </w:tc>
        <w:tc>
          <w:tcPr>
            <w:tcW w:w="1800" w:type="dxa"/>
            <w:vAlign w:val="bottom"/>
            <w:gridSpan w:val="4"/>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7"/>
              </w:rPr>
            </w:pPr>
            <w:hyperlink w:anchor="page6">
              <w:r>
                <w:rPr>
                  <w:rFonts w:ascii="Times New Roman" w:cs="Times New Roman" w:eastAsia="Times New Roman" w:hAnsi="Times New Roman"/>
                  <w:sz w:val="18"/>
                  <w:szCs w:val="18"/>
                  <w:color w:val="0000EE"/>
                  <w:w w:val="97"/>
                </w:rPr>
                <w:t>Notes to Condensed Consolidated Financial Statements (Unaudited)</w:t>
              </w:r>
            </w:hyperlink>
          </w:p>
        </w:tc>
        <w:tc>
          <w:tcPr>
            <w:tcW w:w="2520" w:type="dxa"/>
            <w:vAlign w:val="bottom"/>
            <w:gridSpan w:val="5"/>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2280" w:type="dxa"/>
            <w:vAlign w:val="bottom"/>
          </w:tcPr>
          <w:p>
            <w:pPr>
              <w:spacing w:after="0"/>
              <w:rPr>
                <w:sz w:val="17"/>
                <w:szCs w:val="17"/>
                <w:color w:val="auto"/>
              </w:rPr>
            </w:pPr>
          </w:p>
        </w:tc>
        <w:tc>
          <w:tcPr>
            <w:tcW w:w="1300" w:type="dxa"/>
            <w:vAlign w:val="bottom"/>
            <w:gridSpan w:val="4"/>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63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7"/>
              </w:rPr>
            </w:pPr>
            <w:hyperlink w:anchor="page31">
              <w:r>
                <w:rPr>
                  <w:rFonts w:ascii="Times New Roman" w:cs="Times New Roman" w:eastAsia="Times New Roman" w:hAnsi="Times New Roman"/>
                  <w:sz w:val="18"/>
                  <w:szCs w:val="18"/>
                  <w:color w:val="0000EE"/>
                  <w:w w:val="97"/>
                </w:rPr>
                <w:t>Management’s Discussion and Analysis of Financial Condition and Results of Operations</w:t>
              </w:r>
            </w:hyperlink>
          </w:p>
        </w:tc>
        <w:tc>
          <w:tcPr>
            <w:tcW w:w="102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96"/>
        </w:trPr>
        <w:tc>
          <w:tcPr>
            <w:tcW w:w="2280" w:type="dxa"/>
            <w:vAlign w:val="bottom"/>
          </w:tcPr>
          <w:p>
            <w:pPr>
              <w:spacing w:after="0"/>
              <w:rPr>
                <w:sz w:val="17"/>
                <w:szCs w:val="17"/>
                <w:color w:val="auto"/>
              </w:rPr>
            </w:pPr>
          </w:p>
        </w:tc>
        <w:tc>
          <w:tcPr>
            <w:tcW w:w="1300" w:type="dxa"/>
            <w:vAlign w:val="bottom"/>
            <w:gridSpan w:val="4"/>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2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7"/>
              </w:rPr>
            </w:pPr>
            <w:hyperlink w:anchor="page40">
              <w:r>
                <w:rPr>
                  <w:rFonts w:ascii="Times New Roman" w:cs="Times New Roman" w:eastAsia="Times New Roman" w:hAnsi="Times New Roman"/>
                  <w:sz w:val="18"/>
                  <w:szCs w:val="18"/>
                  <w:color w:val="0000EE"/>
                  <w:w w:val="97"/>
                </w:rPr>
                <w:t>Quantitative and Qualitative Disclosures About Market Risk</w:t>
              </w:r>
            </w:hyperlink>
          </w:p>
        </w:tc>
        <w:tc>
          <w:tcPr>
            <w:tcW w:w="3060" w:type="dxa"/>
            <w:vAlign w:val="bottom"/>
            <w:gridSpan w:val="6"/>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96"/>
        </w:trPr>
        <w:tc>
          <w:tcPr>
            <w:tcW w:w="2280" w:type="dxa"/>
            <w:vAlign w:val="bottom"/>
          </w:tcPr>
          <w:p>
            <w:pPr>
              <w:spacing w:after="0"/>
              <w:rPr>
                <w:sz w:val="17"/>
                <w:szCs w:val="17"/>
                <w:color w:val="auto"/>
              </w:rPr>
            </w:pPr>
          </w:p>
        </w:tc>
        <w:tc>
          <w:tcPr>
            <w:tcW w:w="1300" w:type="dxa"/>
            <w:vAlign w:val="bottom"/>
            <w:gridSpan w:val="4"/>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7320" w:type="dxa"/>
            <w:vAlign w:val="bottom"/>
            <w:gridSpan w:val="16"/>
          </w:tcPr>
          <w:p>
            <w:pPr>
              <w:spacing w:after="0" w:line="196" w:lineRule="exact"/>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Controls and Procedures</w:t>
              </w:r>
            </w:hyperlink>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96"/>
        </w:trPr>
        <w:tc>
          <w:tcPr>
            <w:tcW w:w="25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5"/>
              </w:rPr>
            </w:pPr>
            <w:hyperlink w:anchor="page40">
              <w:r>
                <w:rPr>
                  <w:rFonts w:ascii="Times New Roman" w:cs="Times New Roman" w:eastAsia="Times New Roman" w:hAnsi="Times New Roman"/>
                  <w:sz w:val="18"/>
                  <w:szCs w:val="18"/>
                  <w:color w:val="0000EE"/>
                  <w:w w:val="95"/>
                </w:rPr>
                <w:t>PART II. OTHER INFORMATION</w:t>
              </w:r>
            </w:hyperlink>
          </w:p>
        </w:tc>
        <w:tc>
          <w:tcPr>
            <w:tcW w:w="1060" w:type="dxa"/>
            <w:vAlign w:val="bottom"/>
            <w:gridSpan w:val="3"/>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80" w:type="dxa"/>
            <w:vAlign w:val="bottom"/>
          </w:tcPr>
          <w:p>
            <w:pPr>
              <w:spacing w:after="0"/>
              <w:rPr>
                <w:sz w:val="17"/>
                <w:szCs w:val="17"/>
                <w:color w:val="auto"/>
              </w:rPr>
            </w:pPr>
          </w:p>
        </w:tc>
        <w:tc>
          <w:tcPr>
            <w:tcW w:w="1300" w:type="dxa"/>
            <w:vAlign w:val="bottom"/>
            <w:gridSpan w:val="4"/>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7320" w:type="dxa"/>
            <w:vAlign w:val="bottom"/>
            <w:gridSpan w:val="16"/>
          </w:tcPr>
          <w:p>
            <w:pPr>
              <w:spacing w:after="0" w:line="196" w:lineRule="exact"/>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Legal Proceedings</w:t>
              </w:r>
            </w:hyperlink>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80" w:type="dxa"/>
            <w:vAlign w:val="bottom"/>
            <w:gridSpan w:val="7"/>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80" w:type="dxa"/>
            <w:vAlign w:val="bottom"/>
          </w:tcPr>
          <w:p>
            <w:pPr>
              <w:spacing w:after="0"/>
              <w:rPr>
                <w:sz w:val="17"/>
                <w:szCs w:val="17"/>
                <w:color w:val="auto"/>
              </w:rPr>
            </w:pPr>
          </w:p>
        </w:tc>
        <w:tc>
          <w:tcPr>
            <w:tcW w:w="1300" w:type="dxa"/>
            <w:vAlign w:val="bottom"/>
            <w:gridSpan w:val="4"/>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7320" w:type="dxa"/>
            <w:vAlign w:val="bottom"/>
            <w:gridSpan w:val="16"/>
          </w:tcPr>
          <w:p>
            <w:pPr>
              <w:spacing w:after="0" w:line="196" w:lineRule="exact"/>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Unregistered Sales of Equity Securities and Use of Proceeds</w:t>
              </w:r>
            </w:hyperlink>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96"/>
        </w:trPr>
        <w:tc>
          <w:tcPr>
            <w:tcW w:w="2280" w:type="dxa"/>
            <w:vAlign w:val="bottom"/>
          </w:tcPr>
          <w:p>
            <w:pPr>
              <w:spacing w:after="0"/>
              <w:rPr>
                <w:sz w:val="17"/>
                <w:szCs w:val="17"/>
                <w:color w:val="auto"/>
              </w:rPr>
            </w:pPr>
          </w:p>
        </w:tc>
        <w:tc>
          <w:tcPr>
            <w:tcW w:w="1300" w:type="dxa"/>
            <w:vAlign w:val="bottom"/>
            <w:gridSpan w:val="4"/>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424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Other Information</w:t>
              </w:r>
            </w:hyperlink>
          </w:p>
        </w:tc>
        <w:tc>
          <w:tcPr>
            <w:tcW w:w="3080" w:type="dxa"/>
            <w:vAlign w:val="bottom"/>
            <w:gridSpan w:val="7"/>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196"/>
        </w:trPr>
        <w:tc>
          <w:tcPr>
            <w:tcW w:w="2280" w:type="dxa"/>
            <w:vAlign w:val="bottom"/>
          </w:tcPr>
          <w:p>
            <w:pPr>
              <w:spacing w:after="0"/>
              <w:rPr>
                <w:sz w:val="17"/>
                <w:szCs w:val="17"/>
                <w:color w:val="auto"/>
              </w:rPr>
            </w:pPr>
          </w:p>
        </w:tc>
        <w:tc>
          <w:tcPr>
            <w:tcW w:w="1300" w:type="dxa"/>
            <w:vAlign w:val="bottom"/>
            <w:gridSpan w:val="4"/>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Exhibits</w:t>
              </w:r>
            </w:hyperlink>
          </w:p>
        </w:tc>
        <w:tc>
          <w:tcPr>
            <w:tcW w:w="6020" w:type="dxa"/>
            <w:vAlign w:val="bottom"/>
            <w:gridSpan w:val="12"/>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196"/>
        </w:trPr>
        <w:tc>
          <w:tcPr>
            <w:tcW w:w="2280" w:type="dxa"/>
            <w:vAlign w:val="bottom"/>
          </w:tcPr>
          <w:p>
            <w:pPr>
              <w:spacing w:after="0"/>
              <w:rPr>
                <w:sz w:val="17"/>
                <w:szCs w:val="17"/>
                <w:color w:val="auto"/>
              </w:rPr>
            </w:pPr>
          </w:p>
        </w:tc>
        <w:tc>
          <w:tcPr>
            <w:tcW w:w="1300" w:type="dxa"/>
            <w:vAlign w:val="bottom"/>
            <w:gridSpan w:val="4"/>
          </w:tcPr>
          <w:p>
            <w:pPr>
              <w:spacing w:after="0" w:line="196" w:lineRule="exact"/>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SIGNATURES</w:t>
              </w:r>
            </w:hyperlink>
          </w:p>
        </w:tc>
        <w:tc>
          <w:tcPr>
            <w:tcW w:w="60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77"/>
        </w:trPr>
        <w:tc>
          <w:tcPr>
            <w:tcW w:w="228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right="60"/>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is for the three and nine months ended September 30, 2005. This Quarterly Report modifies and supersedes documents filed prior to this Quarterly Report. The SEC allows us to “incorporate by reference” information that we file with them, which means that we can disclose important information to you by referring you directly to those documents. Information incorporated by reference is considered to be part of this Quarterly Report. In addition, information that we file with the SEC in the future will automatically update and supersede information contained in this Quarterly Report. Throughout this Quarterly Report, we refer to Comcast Corporation as “Comcast”; Comcast and its consolidated subsidiaries as “we,” “us” and “our”; and Comcast Holdings Corporation as “Comcast Holdings.”</w:t>
      </w:r>
    </w:p>
    <w:p>
      <w:pPr>
        <w:spacing w:after="0" w:line="12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You should carefully review the information contained in this Quarterly Report and particularly consider any risk factors that we set forth in this Quarterly Report and in other reports or documents that we file from time to time with the SEC. In this Quarterly Report, we state our beliefs of future events and of our future financial performance. In some cases, you can identify these so-called “forward-looking statements” by words such as “may,” “will,” “should,” “expects,” “plans,” “anticipates,” “believes,” “estimates,” “predicts,” “potential,” or “continue,” or the negative of these words, and other comparable words. You should be aware that these statements are only our predictions. In evaluating these statements, you should specifically consider various factors, including the risks and uncertainties outlined below. Actual events or our actual results may differ materially from any of our forward-looking statements.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businesses may be affected by, among other things, the following:</w:t>
      </w:r>
    </w:p>
    <w:p>
      <w:pPr>
        <w:spacing w:after="0" w:line="77" w:lineRule="exact"/>
        <w:rPr>
          <w:sz w:val="20"/>
          <w:szCs w:val="20"/>
          <w:color w:val="auto"/>
        </w:rPr>
      </w:pPr>
    </w:p>
    <w:p>
      <w:pPr>
        <w:ind w:left="560" w:hanging="214"/>
        <w:spacing w:after="0"/>
        <w:tabs>
          <w:tab w:leader="none" w:pos="5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services offered by our cable systems face a wide range of competition that could adversely affect our future results of operations</w:t>
      </w:r>
    </w:p>
    <w:p>
      <w:pPr>
        <w:spacing w:after="0" w:line="36" w:lineRule="exact"/>
        <w:rPr>
          <w:rFonts w:ascii="Times New Roman" w:cs="Times New Roman" w:eastAsia="Times New Roman" w:hAnsi="Times New Roman"/>
          <w:sz w:val="18"/>
          <w:szCs w:val="18"/>
          <w:color w:val="auto"/>
        </w:rPr>
      </w:pPr>
    </w:p>
    <w:p>
      <w:pPr>
        <w:ind w:left="560" w:hanging="214"/>
        <w:spacing w:after="0"/>
        <w:tabs>
          <w:tab w:leader="none" w:pos="5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Programming costs are increasing, which could adversely affect our future results of operations</w:t>
      </w:r>
    </w:p>
    <w:p>
      <w:pPr>
        <w:spacing w:after="0" w:line="36" w:lineRule="exact"/>
        <w:rPr>
          <w:rFonts w:ascii="Times New Roman" w:cs="Times New Roman" w:eastAsia="Times New Roman" w:hAnsi="Times New Roman"/>
          <w:sz w:val="18"/>
          <w:szCs w:val="18"/>
          <w:color w:val="auto"/>
        </w:rPr>
      </w:pPr>
    </w:p>
    <w:p>
      <w:pPr>
        <w:ind w:left="560" w:hanging="214"/>
        <w:spacing w:after="0"/>
        <w:tabs>
          <w:tab w:leader="none" w:pos="5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regulation by federal, state and local governments, which may change and cause increased costs and restrictions</w:t>
      </w:r>
    </w:p>
    <w:p>
      <w:pPr>
        <w:spacing w:after="0" w:line="36" w:lineRule="exact"/>
        <w:rPr>
          <w:rFonts w:ascii="Times New Roman" w:cs="Times New Roman" w:eastAsia="Times New Roman" w:hAnsi="Times New Roman"/>
          <w:sz w:val="18"/>
          <w:szCs w:val="18"/>
          <w:color w:val="auto"/>
        </w:rPr>
      </w:pPr>
    </w:p>
    <w:p>
      <w:pPr>
        <w:ind w:left="560" w:right="340" w:hanging="214"/>
        <w:spacing w:after="0" w:line="257" w:lineRule="auto"/>
        <w:tabs>
          <w:tab w:leader="none" w:pos="5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increased competition because of technological advances and changing regulatory requirements, which could adversely affect our future results of operations</w:t>
      </w:r>
    </w:p>
    <w:p>
      <w:pPr>
        <w:spacing w:after="0" w:line="1" w:lineRule="exact"/>
        <w:rPr>
          <w:rFonts w:ascii="Times New Roman" w:cs="Times New Roman" w:eastAsia="Times New Roman" w:hAnsi="Times New Roman"/>
          <w:sz w:val="18"/>
          <w:szCs w:val="18"/>
          <w:color w:val="auto"/>
        </w:rPr>
      </w:pPr>
    </w:p>
    <w:p>
      <w:pPr>
        <w:ind w:left="560" w:hanging="214"/>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face risks arising from the outcome of various litigation matters, including litigation associated with our acquisition of AT&amp;T’s Broadband operations</w:t>
      </w:r>
    </w:p>
    <w:p>
      <w:pPr>
        <w:spacing w:after="0" w:line="46" w:lineRule="exact"/>
        <w:rPr>
          <w:rFonts w:ascii="Times New Roman" w:cs="Times New Roman" w:eastAsia="Times New Roman" w:hAnsi="Times New Roman"/>
          <w:sz w:val="16"/>
          <w:szCs w:val="16"/>
          <w:color w:val="auto"/>
        </w:rPr>
      </w:pPr>
    </w:p>
    <w:p>
      <w:pPr>
        <w:ind w:left="560" w:hanging="214"/>
        <w:spacing w:after="0"/>
        <w:tabs>
          <w:tab w:leader="none" w:pos="5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Chairman and CEO has considerable influence over our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more detailed explanation of the factors affecting our businesses, please refer to the Risk Factors section in Item 1 of our 2004 Form 10-K.</w:t>
      </w:r>
    </w:p>
    <w:p>
      <w:pPr>
        <w:spacing w:after="0" w:line="15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272"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CORPORATION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 ENDED SEPTEMBER 30, 2005</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I.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p>
      <w:pPr>
        <w:ind w:left="9620"/>
        <w:spacing w:after="0"/>
        <w:rPr>
          <w:sz w:val="20"/>
          <w:szCs w:val="20"/>
          <w:color w:val="auto"/>
        </w:rPr>
      </w:pPr>
      <w:r>
        <w:rPr>
          <w:rFonts w:ascii="Times New Roman" w:cs="Times New Roman" w:eastAsia="Times New Roman" w:hAnsi="Times New Roman"/>
          <w:sz w:val="14"/>
          <w:szCs w:val="14"/>
          <w:b w:val="1"/>
          <w:bCs w:val="1"/>
          <w:color w:val="auto"/>
        </w:rPr>
        <w:t>(Dollars in millions,</w:t>
      </w:r>
    </w:p>
    <w:p>
      <w:pPr>
        <w:spacing w:after="0" w:line="5" w:lineRule="exact"/>
        <w:rPr>
          <w:sz w:val="20"/>
          <w:szCs w:val="20"/>
          <w:color w:val="auto"/>
        </w:rPr>
      </w:pPr>
    </w:p>
    <w:p>
      <w:pPr>
        <w:ind w:left="9660"/>
        <w:spacing w:after="0"/>
        <w:rPr>
          <w:sz w:val="20"/>
          <w:szCs w:val="20"/>
          <w:color w:val="auto"/>
        </w:rPr>
      </w:pPr>
      <w:r>
        <w:rPr>
          <w:rFonts w:ascii="Times New Roman" w:cs="Times New Roman" w:eastAsia="Times New Roman" w:hAnsi="Times New Roman"/>
          <w:sz w:val="14"/>
          <w:szCs w:val="14"/>
          <w:b w:val="1"/>
          <w:bCs w:val="1"/>
          <w:color w:val="auto"/>
        </w:rPr>
        <w:t>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5725160</wp:posOffset>
            </wp:positionH>
            <wp:positionV relativeFrom="paragraph">
              <wp:posOffset>60325</wp:posOffset>
            </wp:positionV>
            <wp:extent cx="14833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83360" cy="8890"/>
                    </a:xfrm>
                    <a:prstGeom prst="rect">
                      <a:avLst/>
                    </a:prstGeom>
                    <a:noFill/>
                  </pic:spPr>
                </pic:pic>
              </a:graphicData>
            </a:graphic>
          </wp:anchor>
        </w:drawing>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000" w:type="dxa"/>
            <w:vAlign w:val="bottom"/>
          </w:tcPr>
          <w:p>
            <w:pPr>
              <w:spacing w:after="0"/>
              <w:rPr>
                <w:sz w:val="13"/>
                <w:szCs w:val="13"/>
                <w:color w:val="auto"/>
              </w:rPr>
            </w:pPr>
          </w:p>
        </w:tc>
        <w:tc>
          <w:tcPr>
            <w:tcW w:w="15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900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73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2005</w:t>
            </w: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73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90" w:type="dxa"/>
            <w:vAlign w:val="bottom"/>
          </w:tcPr>
          <w:p>
            <w:pPr>
              <w:spacing w:after="0"/>
              <w:rPr>
                <w:sz w:val="8"/>
                <w:szCs w:val="8"/>
                <w:color w:val="auto"/>
              </w:rPr>
            </w:pPr>
          </w:p>
        </w:tc>
        <w:tc>
          <w:tcPr>
            <w:tcW w:w="73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0" w:type="dxa"/>
            <w:vAlign w:val="bottom"/>
            <w:shd w:val="clear" w:color="auto" w:fill="CCEEFF"/>
          </w:tcPr>
          <w:p>
            <w:pPr>
              <w:spacing w:after="0"/>
              <w:rPr>
                <w:sz w:val="18"/>
                <w:szCs w:val="18"/>
                <w:color w:val="auto"/>
              </w:rPr>
            </w:pPr>
          </w:p>
        </w:tc>
        <w:tc>
          <w:tcPr>
            <w:tcW w:w="73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90" w:type="dxa"/>
            <w:vAlign w:val="bottom"/>
          </w:tcPr>
          <w:p>
            <w:pPr>
              <w:spacing w:after="0"/>
              <w:rPr>
                <w:sz w:val="18"/>
                <w:szCs w:val="18"/>
                <w:color w:val="auto"/>
              </w:rPr>
            </w:pPr>
          </w:p>
        </w:tc>
        <w:tc>
          <w:tcPr>
            <w:tcW w:w="73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3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Investments</w:t>
            </w:r>
          </w:p>
        </w:tc>
        <w:tc>
          <w:tcPr>
            <w:tcW w:w="90" w:type="dxa"/>
            <w:vAlign w:val="bottom"/>
          </w:tcPr>
          <w:p>
            <w:pPr>
              <w:spacing w:after="0"/>
              <w:rPr>
                <w:sz w:val="18"/>
                <w:szCs w:val="18"/>
                <w:color w:val="auto"/>
              </w:rPr>
            </w:pPr>
          </w:p>
        </w:tc>
        <w:tc>
          <w:tcPr>
            <w:tcW w:w="73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Accounts receivable, less allowance for doubtful accounts of $146 and $132</w:t>
            </w:r>
          </w:p>
        </w:tc>
        <w:tc>
          <w:tcPr>
            <w:tcW w:w="90" w:type="dxa"/>
            <w:vAlign w:val="bottom"/>
            <w:shd w:val="clear" w:color="auto" w:fill="CCEEFF"/>
          </w:tcPr>
          <w:p>
            <w:pPr>
              <w:spacing w:after="0"/>
              <w:rPr>
                <w:sz w:val="18"/>
                <w:szCs w:val="18"/>
                <w:color w:val="auto"/>
              </w:rPr>
            </w:pPr>
          </w:p>
        </w:tc>
        <w:tc>
          <w:tcPr>
            <w:tcW w:w="73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0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current assets</w:t>
            </w:r>
          </w:p>
        </w:tc>
        <w:tc>
          <w:tcPr>
            <w:tcW w:w="90" w:type="dxa"/>
            <w:vAlign w:val="bottom"/>
          </w:tcPr>
          <w:p>
            <w:pPr>
              <w:spacing w:after="0"/>
              <w:rPr>
                <w:sz w:val="19"/>
                <w:szCs w:val="19"/>
                <w:color w:val="auto"/>
              </w:rPr>
            </w:pPr>
          </w:p>
        </w:tc>
        <w:tc>
          <w:tcPr>
            <w:tcW w:w="73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73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90" w:type="dxa"/>
            <w:vAlign w:val="bottom"/>
          </w:tcPr>
          <w:p>
            <w:pPr>
              <w:spacing w:after="0"/>
              <w:rPr>
                <w:sz w:val="8"/>
                <w:szCs w:val="8"/>
                <w:color w:val="auto"/>
              </w:rPr>
            </w:pPr>
          </w:p>
        </w:tc>
        <w:tc>
          <w:tcPr>
            <w:tcW w:w="73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current assets</w:t>
            </w:r>
          </w:p>
        </w:tc>
        <w:tc>
          <w:tcPr>
            <w:tcW w:w="90" w:type="dxa"/>
            <w:vAlign w:val="bottom"/>
            <w:shd w:val="clear" w:color="auto" w:fill="CCEEFF"/>
          </w:tcPr>
          <w:p>
            <w:pPr>
              <w:spacing w:after="0"/>
              <w:rPr>
                <w:sz w:val="18"/>
                <w:szCs w:val="18"/>
                <w:color w:val="auto"/>
              </w:rPr>
            </w:pPr>
          </w:p>
        </w:tc>
        <w:tc>
          <w:tcPr>
            <w:tcW w:w="73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73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90" w:type="dxa"/>
            <w:vAlign w:val="bottom"/>
          </w:tcPr>
          <w:p>
            <w:pPr>
              <w:spacing w:after="0"/>
              <w:rPr>
                <w:sz w:val="8"/>
                <w:szCs w:val="8"/>
                <w:color w:val="auto"/>
              </w:rPr>
            </w:pPr>
          </w:p>
        </w:tc>
        <w:tc>
          <w:tcPr>
            <w:tcW w:w="73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w:t>
            </w:r>
          </w:p>
        </w:tc>
        <w:tc>
          <w:tcPr>
            <w:tcW w:w="90" w:type="dxa"/>
            <w:vAlign w:val="bottom"/>
            <w:shd w:val="clear" w:color="auto" w:fill="CCEEFF"/>
          </w:tcPr>
          <w:p>
            <w:pPr>
              <w:spacing w:after="0"/>
              <w:rPr>
                <w:sz w:val="18"/>
                <w:szCs w:val="18"/>
                <w:color w:val="auto"/>
              </w:rPr>
            </w:pPr>
          </w:p>
        </w:tc>
        <w:tc>
          <w:tcPr>
            <w:tcW w:w="73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13,018</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 of accumulated depreciation of $11,811 and $9,416</w:t>
            </w:r>
          </w:p>
        </w:tc>
        <w:tc>
          <w:tcPr>
            <w:tcW w:w="90" w:type="dxa"/>
            <w:vAlign w:val="bottom"/>
          </w:tcPr>
          <w:p>
            <w:pPr>
              <w:spacing w:after="0"/>
              <w:rPr>
                <w:sz w:val="18"/>
                <w:szCs w:val="18"/>
                <w:color w:val="auto"/>
              </w:rPr>
            </w:pPr>
          </w:p>
        </w:tc>
        <w:tc>
          <w:tcPr>
            <w:tcW w:w="73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18,781</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FRANCHISE RIGHTS</w:t>
            </w:r>
          </w:p>
        </w:tc>
        <w:tc>
          <w:tcPr>
            <w:tcW w:w="90" w:type="dxa"/>
            <w:vAlign w:val="bottom"/>
            <w:shd w:val="clear" w:color="auto" w:fill="CCEEFF"/>
          </w:tcPr>
          <w:p>
            <w:pPr>
              <w:spacing w:after="0"/>
              <w:rPr>
                <w:sz w:val="18"/>
                <w:szCs w:val="18"/>
                <w:color w:val="auto"/>
              </w:rPr>
            </w:pPr>
          </w:p>
        </w:tc>
        <w:tc>
          <w:tcPr>
            <w:tcW w:w="73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51,111</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90" w:type="dxa"/>
            <w:vAlign w:val="bottom"/>
          </w:tcPr>
          <w:p>
            <w:pPr>
              <w:spacing w:after="0"/>
              <w:rPr>
                <w:sz w:val="18"/>
                <w:szCs w:val="18"/>
                <w:color w:val="auto"/>
              </w:rPr>
            </w:pPr>
          </w:p>
        </w:tc>
        <w:tc>
          <w:tcPr>
            <w:tcW w:w="73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14,111</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 ASSETS, net of accumulated amortization of $4,405 and $3,452</w:t>
            </w:r>
          </w:p>
        </w:tc>
        <w:tc>
          <w:tcPr>
            <w:tcW w:w="90" w:type="dxa"/>
            <w:vAlign w:val="bottom"/>
            <w:shd w:val="clear" w:color="auto" w:fill="CCEEFF"/>
          </w:tcPr>
          <w:p>
            <w:pPr>
              <w:spacing w:after="0"/>
              <w:rPr>
                <w:sz w:val="18"/>
                <w:szCs w:val="18"/>
                <w:color w:val="auto"/>
              </w:rPr>
            </w:pPr>
          </w:p>
        </w:tc>
        <w:tc>
          <w:tcPr>
            <w:tcW w:w="73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3,378</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 net</w:t>
            </w:r>
          </w:p>
        </w:tc>
        <w:tc>
          <w:tcPr>
            <w:tcW w:w="90" w:type="dxa"/>
            <w:vAlign w:val="bottom"/>
          </w:tcPr>
          <w:p>
            <w:pPr>
              <w:spacing w:after="0"/>
              <w:rPr>
                <w:sz w:val="19"/>
                <w:szCs w:val="19"/>
                <w:color w:val="auto"/>
              </w:rPr>
            </w:pPr>
          </w:p>
        </w:tc>
        <w:tc>
          <w:tcPr>
            <w:tcW w:w="73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73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90" w:type="dxa"/>
            <w:vAlign w:val="bottom"/>
          </w:tcPr>
          <w:p>
            <w:pPr>
              <w:spacing w:after="0"/>
              <w:rPr>
                <w:sz w:val="8"/>
                <w:szCs w:val="8"/>
                <w:color w:val="auto"/>
              </w:rPr>
            </w:pPr>
          </w:p>
        </w:tc>
        <w:tc>
          <w:tcPr>
            <w:tcW w:w="73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3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103,397</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73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900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73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90" w:type="dxa"/>
            <w:vAlign w:val="bottom"/>
            <w:shd w:val="clear" w:color="auto" w:fill="CCEEFF"/>
          </w:tcPr>
          <w:p>
            <w:pPr>
              <w:spacing w:after="0"/>
              <w:rPr>
                <w:sz w:val="18"/>
                <w:szCs w:val="18"/>
                <w:color w:val="auto"/>
              </w:rPr>
            </w:pPr>
          </w:p>
        </w:tc>
        <w:tc>
          <w:tcPr>
            <w:tcW w:w="73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90" w:type="dxa"/>
            <w:vAlign w:val="bottom"/>
          </w:tcPr>
          <w:p>
            <w:pPr>
              <w:spacing w:after="0"/>
              <w:rPr>
                <w:sz w:val="18"/>
                <w:szCs w:val="18"/>
                <w:color w:val="auto"/>
              </w:rPr>
            </w:pPr>
          </w:p>
        </w:tc>
        <w:tc>
          <w:tcPr>
            <w:tcW w:w="73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Accounts payable and accrued expenses related to trade creditors</w:t>
            </w:r>
          </w:p>
        </w:tc>
        <w:tc>
          <w:tcPr>
            <w:tcW w:w="9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3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90" w:type="dxa"/>
            <w:vAlign w:val="bottom"/>
          </w:tcPr>
          <w:p>
            <w:pPr>
              <w:spacing w:after="0"/>
              <w:rPr>
                <w:sz w:val="18"/>
                <w:szCs w:val="18"/>
                <w:color w:val="auto"/>
              </w:rPr>
            </w:pPr>
          </w:p>
        </w:tc>
        <w:tc>
          <w:tcPr>
            <w:tcW w:w="73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Deferred income taxes</w:t>
            </w:r>
          </w:p>
        </w:tc>
        <w:tc>
          <w:tcPr>
            <w:tcW w:w="90" w:type="dxa"/>
            <w:vAlign w:val="bottom"/>
            <w:shd w:val="clear" w:color="auto" w:fill="CCEEFF"/>
          </w:tcPr>
          <w:p>
            <w:pPr>
              <w:spacing w:after="0"/>
              <w:rPr>
                <w:sz w:val="18"/>
                <w:szCs w:val="18"/>
                <w:color w:val="auto"/>
              </w:rPr>
            </w:pPr>
          </w:p>
        </w:tc>
        <w:tc>
          <w:tcPr>
            <w:tcW w:w="73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0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90" w:type="dxa"/>
            <w:vAlign w:val="bottom"/>
          </w:tcPr>
          <w:p>
            <w:pPr>
              <w:spacing w:after="0"/>
              <w:rPr>
                <w:sz w:val="19"/>
                <w:szCs w:val="19"/>
                <w:color w:val="auto"/>
              </w:rPr>
            </w:pPr>
          </w:p>
        </w:tc>
        <w:tc>
          <w:tcPr>
            <w:tcW w:w="73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73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90" w:type="dxa"/>
            <w:vAlign w:val="bottom"/>
          </w:tcPr>
          <w:p>
            <w:pPr>
              <w:spacing w:after="0"/>
              <w:rPr>
                <w:sz w:val="8"/>
                <w:szCs w:val="8"/>
                <w:color w:val="auto"/>
              </w:rPr>
            </w:pPr>
          </w:p>
        </w:tc>
        <w:tc>
          <w:tcPr>
            <w:tcW w:w="73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90" w:type="dxa"/>
            <w:vAlign w:val="bottom"/>
            <w:shd w:val="clear" w:color="auto" w:fill="CCEEFF"/>
          </w:tcPr>
          <w:p>
            <w:pPr>
              <w:spacing w:after="0"/>
              <w:rPr>
                <w:sz w:val="18"/>
                <w:szCs w:val="18"/>
                <w:color w:val="auto"/>
              </w:rPr>
            </w:pPr>
          </w:p>
        </w:tc>
        <w:tc>
          <w:tcPr>
            <w:tcW w:w="73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7,162</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73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90" w:type="dxa"/>
            <w:vAlign w:val="bottom"/>
          </w:tcPr>
          <w:p>
            <w:pPr>
              <w:spacing w:after="0"/>
              <w:rPr>
                <w:sz w:val="8"/>
                <w:szCs w:val="8"/>
                <w:color w:val="auto"/>
              </w:rPr>
            </w:pPr>
          </w:p>
        </w:tc>
        <w:tc>
          <w:tcPr>
            <w:tcW w:w="73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90" w:type="dxa"/>
            <w:vAlign w:val="bottom"/>
            <w:shd w:val="clear" w:color="auto" w:fill="CCEEFF"/>
          </w:tcPr>
          <w:p>
            <w:pPr>
              <w:spacing w:after="0"/>
              <w:rPr>
                <w:sz w:val="18"/>
                <w:szCs w:val="18"/>
                <w:color w:val="auto"/>
              </w:rPr>
            </w:pPr>
          </w:p>
        </w:tc>
        <w:tc>
          <w:tcPr>
            <w:tcW w:w="73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20,107</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90" w:type="dxa"/>
            <w:vAlign w:val="bottom"/>
          </w:tcPr>
          <w:p>
            <w:pPr>
              <w:spacing w:after="0"/>
              <w:rPr>
                <w:sz w:val="18"/>
                <w:szCs w:val="18"/>
                <w:color w:val="auto"/>
              </w:rPr>
            </w:pPr>
          </w:p>
        </w:tc>
        <w:tc>
          <w:tcPr>
            <w:tcW w:w="73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27,130</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90" w:type="dxa"/>
            <w:vAlign w:val="bottom"/>
            <w:shd w:val="clear" w:color="auto" w:fill="CCEEFF"/>
          </w:tcPr>
          <w:p>
            <w:pPr>
              <w:spacing w:after="0"/>
              <w:rPr>
                <w:sz w:val="18"/>
                <w:szCs w:val="18"/>
                <w:color w:val="auto"/>
              </w:rPr>
            </w:pPr>
          </w:p>
        </w:tc>
        <w:tc>
          <w:tcPr>
            <w:tcW w:w="73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7,388</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MINORITY INTEREST</w:t>
            </w:r>
          </w:p>
        </w:tc>
        <w:tc>
          <w:tcPr>
            <w:tcW w:w="90" w:type="dxa"/>
            <w:vAlign w:val="bottom"/>
          </w:tcPr>
          <w:p>
            <w:pPr>
              <w:spacing w:after="0"/>
              <w:rPr>
                <w:sz w:val="18"/>
                <w:szCs w:val="18"/>
                <w:color w:val="auto"/>
              </w:rPr>
            </w:pPr>
          </w:p>
        </w:tc>
        <w:tc>
          <w:tcPr>
            <w:tcW w:w="73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90" w:type="dxa"/>
            <w:vAlign w:val="bottom"/>
            <w:shd w:val="clear" w:color="auto" w:fill="CCEEFF"/>
          </w:tcPr>
          <w:p>
            <w:pPr>
              <w:spacing w:after="0"/>
              <w:rPr>
                <w:sz w:val="18"/>
                <w:szCs w:val="18"/>
                <w:color w:val="auto"/>
              </w:rPr>
            </w:pPr>
          </w:p>
        </w:tc>
        <w:tc>
          <w:tcPr>
            <w:tcW w:w="73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90" w:type="dxa"/>
            <w:vAlign w:val="bottom"/>
          </w:tcPr>
          <w:p>
            <w:pPr>
              <w:spacing w:after="0"/>
              <w:rPr>
                <w:sz w:val="18"/>
                <w:szCs w:val="18"/>
                <w:color w:val="auto"/>
              </w:rPr>
            </w:pPr>
          </w:p>
        </w:tc>
        <w:tc>
          <w:tcPr>
            <w:tcW w:w="73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stock—authorized 20,000,000 shares; issued, zero</w:t>
            </w:r>
          </w:p>
        </w:tc>
        <w:tc>
          <w:tcPr>
            <w:tcW w:w="90" w:type="dxa"/>
            <w:vAlign w:val="bottom"/>
            <w:shd w:val="clear" w:color="auto" w:fill="CCEEFF"/>
          </w:tcPr>
          <w:p>
            <w:pPr>
              <w:spacing w:after="0"/>
              <w:rPr>
                <w:sz w:val="18"/>
                <w:szCs w:val="18"/>
                <w:color w:val="auto"/>
              </w:rPr>
            </w:pPr>
          </w:p>
        </w:tc>
        <w:tc>
          <w:tcPr>
            <w:tcW w:w="145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00" w:type="dxa"/>
            <w:vAlign w:val="bottom"/>
          </w:tcPr>
          <w:p>
            <w:pPr>
              <w:ind w:left="420"/>
              <w:spacing w:after="0" w:line="201" w:lineRule="exact"/>
              <w:rPr>
                <w:sz w:val="20"/>
                <w:szCs w:val="20"/>
                <w:color w:val="auto"/>
              </w:rPr>
            </w:pPr>
            <w:r>
              <w:rPr>
                <w:rFonts w:ascii="Times New Roman" w:cs="Times New Roman" w:eastAsia="Times New Roman" w:hAnsi="Times New Roman"/>
                <w:sz w:val="18"/>
                <w:szCs w:val="18"/>
                <w:color w:val="auto"/>
              </w:rPr>
              <w:t>Class A common stock, $0.01 par value—authorized, 7,500,000,000 shares; issued, 1,606,255,609 and</w:t>
            </w:r>
          </w:p>
        </w:tc>
        <w:tc>
          <w:tcPr>
            <w:tcW w:w="90" w:type="dxa"/>
            <w:vAlign w:val="bottom"/>
          </w:tcPr>
          <w:p>
            <w:pPr>
              <w:spacing w:after="0"/>
              <w:rPr>
                <w:sz w:val="17"/>
                <w:szCs w:val="17"/>
                <w:color w:val="auto"/>
              </w:rPr>
            </w:pPr>
          </w:p>
        </w:tc>
        <w:tc>
          <w:tcPr>
            <w:tcW w:w="73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0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1,603,320,864; outstanding, 1,362,615,109 and 1,359,680,364</w:t>
            </w:r>
          </w:p>
        </w:tc>
        <w:tc>
          <w:tcPr>
            <w:tcW w:w="90" w:type="dxa"/>
            <w:vAlign w:val="bottom"/>
          </w:tcPr>
          <w:p>
            <w:pPr>
              <w:spacing w:after="0"/>
              <w:rPr>
                <w:sz w:val="19"/>
                <w:szCs w:val="19"/>
                <w:color w:val="auto"/>
              </w:rPr>
            </w:pPr>
          </w:p>
        </w:tc>
        <w:tc>
          <w:tcPr>
            <w:tcW w:w="73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00" w:type="dxa"/>
            <w:vAlign w:val="bottom"/>
            <w:shd w:val="clear" w:color="auto" w:fill="CCEEFF"/>
          </w:tcPr>
          <w:p>
            <w:pPr>
              <w:ind w:left="420"/>
              <w:spacing w:after="0" w:line="203" w:lineRule="exact"/>
              <w:rPr>
                <w:sz w:val="20"/>
                <w:szCs w:val="20"/>
                <w:color w:val="auto"/>
              </w:rPr>
            </w:pPr>
            <w:r>
              <w:rPr>
                <w:rFonts w:ascii="Times New Roman" w:cs="Times New Roman" w:eastAsia="Times New Roman" w:hAnsi="Times New Roman"/>
                <w:sz w:val="18"/>
                <w:szCs w:val="18"/>
                <w:color w:val="auto"/>
              </w:rPr>
              <w:t>Class A Special common stock, $0.01 par value—authorized, 7,500,000,000 shares; issued 846,731,412 and</w:t>
            </w:r>
          </w:p>
        </w:tc>
        <w:tc>
          <w:tcPr>
            <w:tcW w:w="90" w:type="dxa"/>
            <w:vAlign w:val="bottom"/>
            <w:shd w:val="clear" w:color="auto" w:fill="CCEEFF"/>
          </w:tcPr>
          <w:p>
            <w:pPr>
              <w:spacing w:after="0"/>
              <w:rPr>
                <w:sz w:val="17"/>
                <w:szCs w:val="17"/>
                <w:color w:val="auto"/>
              </w:rPr>
            </w:pPr>
          </w:p>
        </w:tc>
        <w:tc>
          <w:tcPr>
            <w:tcW w:w="73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890,234,413; outstanding, 799,441,569 and 842,944,570</w:t>
            </w:r>
          </w:p>
        </w:tc>
        <w:tc>
          <w:tcPr>
            <w:tcW w:w="90" w:type="dxa"/>
            <w:vAlign w:val="bottom"/>
            <w:shd w:val="clear" w:color="auto" w:fill="CCEEFF"/>
          </w:tcPr>
          <w:p>
            <w:pPr>
              <w:spacing w:after="0"/>
              <w:rPr>
                <w:sz w:val="20"/>
                <w:szCs w:val="20"/>
                <w:color w:val="auto"/>
              </w:rPr>
            </w:pPr>
          </w:p>
        </w:tc>
        <w:tc>
          <w:tcPr>
            <w:tcW w:w="73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Class B common stock, $0.01 par value—authorized, 75,000,000 shares; issued and outstanding, 9,444,375</w:t>
            </w:r>
          </w:p>
        </w:tc>
        <w:tc>
          <w:tcPr>
            <w:tcW w:w="90" w:type="dxa"/>
            <w:vAlign w:val="bottom"/>
          </w:tcPr>
          <w:p>
            <w:pPr>
              <w:spacing w:after="0"/>
              <w:rPr>
                <w:sz w:val="18"/>
                <w:szCs w:val="18"/>
                <w:color w:val="auto"/>
              </w:rPr>
            </w:pPr>
          </w:p>
        </w:tc>
        <w:tc>
          <w:tcPr>
            <w:tcW w:w="145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capital</w:t>
            </w:r>
          </w:p>
        </w:tc>
        <w:tc>
          <w:tcPr>
            <w:tcW w:w="90" w:type="dxa"/>
            <w:vAlign w:val="bottom"/>
            <w:shd w:val="clear" w:color="auto" w:fill="CCEEFF"/>
          </w:tcPr>
          <w:p>
            <w:pPr>
              <w:spacing w:after="0"/>
              <w:rPr>
                <w:sz w:val="18"/>
                <w:szCs w:val="18"/>
                <w:color w:val="auto"/>
              </w:rPr>
            </w:pPr>
          </w:p>
        </w:tc>
        <w:tc>
          <w:tcPr>
            <w:tcW w:w="73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43,516</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90" w:type="dxa"/>
            <w:vAlign w:val="bottom"/>
          </w:tcPr>
          <w:p>
            <w:pPr>
              <w:spacing w:after="0"/>
              <w:rPr>
                <w:sz w:val="18"/>
                <w:szCs w:val="18"/>
                <w:color w:val="auto"/>
              </w:rPr>
            </w:pPr>
          </w:p>
        </w:tc>
        <w:tc>
          <w:tcPr>
            <w:tcW w:w="73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5,046</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stock, 243,640,500 Class A common shares and 47,289,843 Class A Special common shares</w:t>
            </w:r>
          </w:p>
        </w:tc>
        <w:tc>
          <w:tcPr>
            <w:tcW w:w="90" w:type="dxa"/>
            <w:vAlign w:val="bottom"/>
            <w:shd w:val="clear" w:color="auto" w:fill="CCEEFF"/>
          </w:tcPr>
          <w:p>
            <w:pPr>
              <w:spacing w:after="0"/>
              <w:rPr>
                <w:sz w:val="18"/>
                <w:szCs w:val="18"/>
                <w:color w:val="auto"/>
              </w:rPr>
            </w:pPr>
          </w:p>
        </w:tc>
        <w:tc>
          <w:tcPr>
            <w:tcW w:w="145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(7,517)</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90" w:type="dxa"/>
            <w:vAlign w:val="bottom"/>
          </w:tcPr>
          <w:p>
            <w:pPr>
              <w:spacing w:after="0"/>
              <w:rPr>
                <w:sz w:val="19"/>
                <w:szCs w:val="19"/>
                <w:color w:val="auto"/>
              </w:rPr>
            </w:pPr>
          </w:p>
        </w:tc>
        <w:tc>
          <w:tcPr>
            <w:tcW w:w="145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(65)</w:t>
            </w:r>
          </w:p>
        </w:tc>
        <w:tc>
          <w:tcPr>
            <w:tcW w:w="16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73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90" w:type="dxa"/>
            <w:vAlign w:val="bottom"/>
          </w:tcPr>
          <w:p>
            <w:pPr>
              <w:spacing w:after="0"/>
              <w:rPr>
                <w:sz w:val="8"/>
                <w:szCs w:val="8"/>
                <w:color w:val="auto"/>
              </w:rPr>
            </w:pPr>
          </w:p>
        </w:tc>
        <w:tc>
          <w:tcPr>
            <w:tcW w:w="73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90" w:type="dxa"/>
            <w:vAlign w:val="bottom"/>
            <w:shd w:val="clear" w:color="auto" w:fill="CCEEFF"/>
          </w:tcPr>
          <w:p>
            <w:pPr>
              <w:spacing w:after="0"/>
              <w:rPr>
                <w:sz w:val="18"/>
                <w:szCs w:val="18"/>
                <w:color w:val="auto"/>
              </w:rPr>
            </w:pPr>
          </w:p>
        </w:tc>
        <w:tc>
          <w:tcPr>
            <w:tcW w:w="73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41,005</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73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90" w:type="dxa"/>
            <w:vAlign w:val="bottom"/>
          </w:tcPr>
          <w:p>
            <w:pPr>
              <w:spacing w:after="0"/>
              <w:rPr>
                <w:sz w:val="8"/>
                <w:szCs w:val="8"/>
                <w:color w:val="auto"/>
              </w:rPr>
            </w:pPr>
          </w:p>
        </w:tc>
        <w:tc>
          <w:tcPr>
            <w:tcW w:w="73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3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103,397</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0" w:type="dxa"/>
            <w:vAlign w:val="bottom"/>
            <w:vMerge w:val="restart"/>
          </w:tcPr>
          <w:p>
            <w:pPr>
              <w:ind w:left="366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tc>
        <w:tc>
          <w:tcPr>
            <w:tcW w:w="90" w:type="dxa"/>
            <w:vAlign w:val="bottom"/>
            <w:tcBorders>
              <w:bottom w:val="single" w:sz="8" w:color="auto"/>
            </w:tcBorders>
          </w:tcPr>
          <w:p>
            <w:pPr>
              <w:spacing w:after="0"/>
              <w:rPr>
                <w:sz w:val="11"/>
                <w:szCs w:val="11"/>
                <w:color w:val="auto"/>
              </w:rPr>
            </w:pPr>
          </w:p>
        </w:tc>
        <w:tc>
          <w:tcPr>
            <w:tcW w:w="73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000" w:type="dxa"/>
            <w:vAlign w:val="bottom"/>
            <w:vMerge w:val="continue"/>
          </w:tcPr>
          <w:p>
            <w:pPr>
              <w:spacing w:after="0"/>
              <w:rPr>
                <w:sz w:val="24"/>
                <w:szCs w:val="24"/>
                <w:color w:val="auto"/>
              </w:rPr>
            </w:pPr>
          </w:p>
        </w:tc>
        <w:tc>
          <w:tcPr>
            <w:tcW w:w="90" w:type="dxa"/>
            <w:vAlign w:val="bottom"/>
          </w:tcPr>
          <w:p>
            <w:pPr>
              <w:spacing w:after="0"/>
              <w:rPr>
                <w:sz w:val="24"/>
                <w:szCs w:val="24"/>
                <w:color w:val="auto"/>
              </w:rPr>
            </w:pPr>
          </w:p>
        </w:tc>
        <w:tc>
          <w:tcPr>
            <w:tcW w:w="73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5723255</wp:posOffset>
            </wp:positionH>
            <wp:positionV relativeFrom="paragraph">
              <wp:posOffset>-4571365</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-4571365</wp:posOffset>
            </wp:positionV>
            <wp:extent cx="2159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-4571365</wp:posOffset>
            </wp:positionV>
            <wp:extent cx="3873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-4571365</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-4571365</wp:posOffset>
            </wp:positionV>
            <wp:extent cx="2159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-4571365</wp:posOffset>
            </wp:positionV>
            <wp:extent cx="3873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-325755</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-325755</wp:posOffset>
            </wp:positionV>
            <wp:extent cx="2159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-325755</wp:posOffset>
            </wp:positionV>
            <wp:extent cx="3873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-325755</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-325755</wp:posOffset>
            </wp:positionV>
            <wp:extent cx="2159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420"/>
          </w:cols>
          <w:pgMar w:left="240" w:top="272" w:right="23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CORPORATION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 ENDED SEPTEMBER 30, 2005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7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80" w:type="dxa"/>
            <w:vAlign w:val="bottom"/>
            <w:gridSpan w:val="11"/>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gridSpan w:val="3"/>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2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100" w:type="dxa"/>
            <w:vAlign w:val="bottom"/>
          </w:tcPr>
          <w:p>
            <w:pPr>
              <w:spacing w:after="0"/>
              <w:rPr>
                <w:sz w:val="20"/>
                <w:szCs w:val="20"/>
                <w:color w:val="auto"/>
              </w:rPr>
            </w:pPr>
          </w:p>
        </w:tc>
        <w:tc>
          <w:tcPr>
            <w:tcW w:w="1520" w:type="dxa"/>
            <w:vAlign w:val="bottom"/>
            <w:gridSpan w:val="6"/>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gridSpan w:val="6"/>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5"/>
                <w:szCs w:val="15"/>
                <w:color w:val="auto"/>
              </w:rPr>
            </w:pPr>
          </w:p>
        </w:tc>
        <w:tc>
          <w:tcPr>
            <w:tcW w:w="1520" w:type="dxa"/>
            <w:vAlign w:val="bottom"/>
            <w:gridSpan w:val="6"/>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2005</w:t>
            </w: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2004</w:t>
            </w: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2005</w:t>
            </w: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5,578</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5,098</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16,539</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15,072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Operating (excluding depreciation)</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5,908</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4,293</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Depreciation</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Amortization</w:t>
            </w: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8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4,695</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4,412</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13,742</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12,875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Interest expense</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(423)</w:t>
            </w: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8"/>
              </w:rPr>
              <w:t>(1,334)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Investment income (loss), net</w:t>
            </w:r>
          </w:p>
        </w:tc>
        <w:tc>
          <w:tcPr>
            <w:tcW w:w="8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Equity in net losses of affiliates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income (expense)</w:t>
            </w: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8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(528)</w:t>
            </w: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8"/>
              </w:rPr>
              <w:t>(1,381)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 AND MINORITY INTEREST</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80" w:type="dxa"/>
            <w:vAlign w:val="bottom"/>
          </w:tcPr>
          <w:p>
            <w:pPr>
              <w:spacing w:after="0"/>
              <w:rPr>
                <w:sz w:val="19"/>
                <w:szCs w:val="19"/>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Pr>
          <w:p>
            <w:pPr>
              <w:spacing w:after="0"/>
              <w:rPr>
                <w:sz w:val="19"/>
                <w:szCs w:val="19"/>
                <w:color w:val="auto"/>
              </w:rPr>
            </w:pPr>
          </w:p>
        </w:tc>
        <w:tc>
          <w:tcPr>
            <w:tcW w:w="8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19"/>
                <w:szCs w:val="19"/>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8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MINORITY INTEREST</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MINORITY INTEREST</w:t>
            </w: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8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8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8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FOR COMMON STOCKHOLDERS PER COMMON SHARE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8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8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FOR COMMON STOCKHOLDERS PER COMMON SHARE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8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-629285</wp:posOffset>
            </wp:positionV>
            <wp:extent cx="37274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72745"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-629285</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-629285</wp:posOffset>
            </wp:positionV>
            <wp:extent cx="2159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-629285</wp:posOffset>
            </wp:positionV>
            <wp:extent cx="3873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-629285</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-629285</wp:posOffset>
            </wp:positionV>
            <wp:extent cx="2159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-629285</wp:posOffset>
            </wp:positionV>
            <wp:extent cx="3873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-629285</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-629285</wp:posOffset>
            </wp:positionV>
            <wp:extent cx="2159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-629285</wp:posOffset>
            </wp:positionV>
            <wp:extent cx="3873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-329565</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-329565</wp:posOffset>
            </wp:positionV>
            <wp:extent cx="2159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-329565</wp:posOffset>
            </wp:positionV>
            <wp:extent cx="3873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-329565</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-329565</wp:posOffset>
            </wp:positionV>
            <wp:extent cx="2159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-329565</wp:posOffset>
            </wp:positionV>
            <wp:extent cx="3873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-329565</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-329565</wp:posOffset>
            </wp:positionV>
            <wp:extent cx="2159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-329565</wp:posOffset>
            </wp:positionV>
            <wp:extent cx="3873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-329565</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-329565</wp:posOffset>
            </wp:positionV>
            <wp:extent cx="2159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-329565</wp:posOffset>
            </wp:positionV>
            <wp:extent cx="3873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-29210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-29210</wp:posOffset>
            </wp:positionV>
            <wp:extent cx="2159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-29210</wp:posOffset>
            </wp:positionV>
            <wp:extent cx="3873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-29210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-29210</wp:posOffset>
            </wp:positionV>
            <wp:extent cx="2159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-29210</wp:posOffset>
            </wp:positionV>
            <wp:extent cx="3873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-29210</wp:posOffset>
            </wp:positionV>
            <wp:extent cx="2159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3873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-29210</wp:posOffset>
            </wp:positionV>
            <wp:extent cx="2159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272"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CORPORATION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 ENDED SEPTEMBER 30, 2005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9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5"/>
              </w:rPr>
              <w:t>(Dollars in millions)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9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Nine Months Ended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9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3"/>
          </w:tcPr>
          <w:p>
            <w:pPr>
              <w:jc w:val="center"/>
              <w:ind w:left="275"/>
              <w:spacing w:after="0"/>
              <w:rPr>
                <w:sz w:val="20"/>
                <w:szCs w:val="20"/>
                <w:color w:val="auto"/>
              </w:rPr>
            </w:pPr>
            <w:r>
              <w:rPr>
                <w:rFonts w:ascii="Times New Roman" w:cs="Times New Roman" w:eastAsia="Times New Roman" w:hAnsi="Times New Roman"/>
                <w:sz w:val="14"/>
                <w:szCs w:val="14"/>
                <w:b w:val="1"/>
                <w:bCs w:val="1"/>
                <w:color w:val="auto"/>
                <w:w w:val="95"/>
              </w:rPr>
              <w:t>September 30,</w:t>
            </w: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2005</w:t>
            </w: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7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Depreciation</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Amortization</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Non-cash interest expense, net</w:t>
            </w:r>
          </w:p>
        </w:tc>
        <w:tc>
          <w:tcPr>
            <w:tcW w:w="100" w:type="dxa"/>
            <w:vAlign w:val="bottom"/>
          </w:tcPr>
          <w:p>
            <w:pPr>
              <w:spacing w:after="0"/>
              <w:rPr>
                <w:sz w:val="18"/>
                <w:szCs w:val="18"/>
                <w:color w:val="auto"/>
              </w:rPr>
            </w:pPr>
          </w:p>
        </w:tc>
        <w:tc>
          <w:tcPr>
            <w:tcW w:w="11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Equity in net losses of affiliates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Gains on investments and other (income) expense, net</w:t>
            </w:r>
          </w:p>
        </w:tc>
        <w:tc>
          <w:tcPr>
            <w:tcW w:w="100" w:type="dxa"/>
            <w:vAlign w:val="bottom"/>
          </w:tcPr>
          <w:p>
            <w:pPr>
              <w:spacing w:after="0"/>
              <w:rPr>
                <w:sz w:val="18"/>
                <w:szCs w:val="18"/>
                <w:color w:val="auto"/>
              </w:rPr>
            </w:pPr>
          </w:p>
        </w:tc>
        <w:tc>
          <w:tcPr>
            <w:tcW w:w="11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Non-cash contribution expense</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Minority interest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Proceeds from sales or exchanges of trading securities</w:t>
            </w:r>
          </w:p>
        </w:tc>
        <w:tc>
          <w:tcPr>
            <w:tcW w:w="100" w:type="dxa"/>
            <w:vAlign w:val="bottom"/>
          </w:tcPr>
          <w:p>
            <w:pPr>
              <w:spacing w:after="0"/>
              <w:rPr>
                <w:sz w:val="18"/>
                <w:szCs w:val="18"/>
                <w:color w:val="auto"/>
              </w:rPr>
            </w:pPr>
          </w:p>
        </w:tc>
        <w:tc>
          <w:tcPr>
            <w:tcW w:w="11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 net of effects of acquisitions and divestitures: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Change in accounts receivable, net</w:t>
            </w:r>
          </w:p>
        </w:tc>
        <w:tc>
          <w:tcPr>
            <w:tcW w:w="100" w:type="dxa"/>
            <w:vAlign w:val="bottom"/>
          </w:tcPr>
          <w:p>
            <w:pPr>
              <w:spacing w:after="0"/>
              <w:rPr>
                <w:sz w:val="18"/>
                <w:szCs w:val="18"/>
                <w:color w:val="auto"/>
              </w:rPr>
            </w:pPr>
          </w:p>
        </w:tc>
        <w:tc>
          <w:tcPr>
            <w:tcW w:w="11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Change in accounts payable and accrued expenses related to trade creditors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Change in other operating assets and liabilities</w:t>
            </w:r>
          </w:p>
        </w:tc>
        <w:tc>
          <w:tcPr>
            <w:tcW w:w="100" w:type="dxa"/>
            <w:vAlign w:val="bottom"/>
          </w:tcPr>
          <w:p>
            <w:pPr>
              <w:spacing w:after="0"/>
              <w:rPr>
                <w:sz w:val="19"/>
                <w:szCs w:val="19"/>
                <w:color w:val="auto"/>
              </w:rPr>
            </w:pPr>
          </w:p>
        </w:tc>
        <w:tc>
          <w:tcPr>
            <w:tcW w:w="11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3,940</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Proceeds from borrowings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Retirements and repayments of debt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w w:val="95"/>
              </w:rPr>
              <w:t>(1,942)</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Issuances of common stock</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w w:val="95"/>
              </w:rPr>
              <w:t>(1,291)</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(1,007)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(797)</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(1,878)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Capital expenditures</w:t>
            </w:r>
          </w:p>
        </w:tc>
        <w:tc>
          <w:tcPr>
            <w:tcW w:w="100" w:type="dxa"/>
            <w:vAlign w:val="bottom"/>
          </w:tcPr>
          <w:p>
            <w:pPr>
              <w:spacing w:after="0"/>
              <w:rPr>
                <w:sz w:val="18"/>
                <w:szCs w:val="18"/>
                <w:color w:val="auto"/>
              </w:rPr>
            </w:pPr>
          </w:p>
        </w:tc>
        <w:tc>
          <w:tcPr>
            <w:tcW w:w="11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w w:val="95"/>
              </w:rPr>
              <w:t>(2,753)</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(2,610)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Proceeds from sales and restructuring of investments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Purchases of investments</w:t>
            </w:r>
          </w:p>
        </w:tc>
        <w:tc>
          <w:tcPr>
            <w:tcW w:w="100" w:type="dxa"/>
            <w:vAlign w:val="bottom"/>
          </w:tcPr>
          <w:p>
            <w:pPr>
              <w:spacing w:after="0"/>
              <w:rPr>
                <w:sz w:val="18"/>
                <w:szCs w:val="18"/>
                <w:color w:val="auto"/>
              </w:rPr>
            </w:pPr>
          </w:p>
        </w:tc>
        <w:tc>
          <w:tcPr>
            <w:tcW w:w="11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Additions to intangible and other noncurrent assets</w:t>
            </w:r>
          </w:p>
        </w:tc>
        <w:tc>
          <w:tcPr>
            <w:tcW w:w="100" w:type="dxa"/>
            <w:vAlign w:val="bottom"/>
          </w:tcPr>
          <w:p>
            <w:pPr>
              <w:spacing w:after="0"/>
              <w:rPr>
                <w:sz w:val="18"/>
                <w:szCs w:val="18"/>
                <w:color w:val="auto"/>
              </w:rPr>
            </w:pPr>
          </w:p>
        </w:tc>
        <w:tc>
          <w:tcPr>
            <w:tcW w:w="11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Purchases of short-term investments, net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Proceeds from settlement of contract of acquired company</w:t>
            </w:r>
          </w:p>
        </w:tc>
        <w:tc>
          <w:tcPr>
            <w:tcW w:w="100" w:type="dxa"/>
            <w:vAlign w:val="bottom"/>
          </w:tcPr>
          <w:p>
            <w:pPr>
              <w:spacing w:after="0"/>
              <w:rPr>
                <w:sz w:val="19"/>
                <w:szCs w:val="19"/>
                <w:color w:val="auto"/>
              </w:rPr>
            </w:pPr>
          </w:p>
        </w:tc>
        <w:tc>
          <w:tcPr>
            <w:tcW w:w="11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w w:val="95"/>
              </w:rPr>
              <w:t>(3,016)</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(3,390)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520" w:type="dxa"/>
            <w:vAlign w:val="bottom"/>
          </w:tcPr>
          <w:p>
            <w:pPr>
              <w:jc w:val="center"/>
              <w:ind w:left="1772"/>
              <w:spacing w:after="0"/>
              <w:rPr>
                <w:sz w:val="20"/>
                <w:szCs w:val="20"/>
                <w:color w:val="auto"/>
              </w:rPr>
            </w:pPr>
            <w:r>
              <w:rPr>
                <w:rFonts w:ascii="Times New Roman" w:cs="Times New Roman" w:eastAsia="Times New Roman" w:hAnsi="Times New Roman"/>
                <w:sz w:val="18"/>
                <w:szCs w:val="18"/>
                <w:color w:val="auto"/>
                <w:w w:val="97"/>
              </w:rPr>
              <w:t>See notes to condensed consolidated financial statements.</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540" w:type="dxa"/>
            <w:vAlign w:val="bottom"/>
            <w:gridSpan w:val="2"/>
          </w:tcPr>
          <w:p>
            <w:pPr>
              <w:jc w:val="right"/>
              <w:ind w:right="3692"/>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-557530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-557530</wp:posOffset>
            </wp:positionV>
            <wp:extent cx="2159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-557530</wp:posOffset>
            </wp:positionV>
            <wp:extent cx="3873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-557530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-557530</wp:posOffset>
            </wp:positionV>
            <wp:extent cx="2159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-557530</wp:posOffset>
            </wp:positionV>
            <wp:extent cx="3873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5" w:name="page6"/>
    <w:bookmarkEnd w:id="5"/>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CORPORATION AND SUBSIDIARIES</w:t>
      </w:r>
    </w:p>
    <w:p>
      <w:pPr>
        <w:spacing w:after="0" w:line="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QUARTER ENDED SEPTEMBER 30, 2005</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CONDENSED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60"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18"/>
          <w:szCs w:val="18"/>
          <w:color w:val="auto"/>
        </w:rPr>
        <w:t>We have prepared these unaudited condensed consolidated financial statements based upon Securities and Exchange Commission (“SEC”) rules that permit reduced disclosure for interim periods.</w:t>
      </w:r>
    </w:p>
    <w:p>
      <w:pPr>
        <w:spacing w:after="0" w:line="106"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These financial statements include all adjustments that are necessary for a fair presentation of our financial condition, results of operations and cash flows for the interim periods shown, including normal recurring accruals and other items. The results of operations for the interim periods presented are not necessarily indicative of results for the full year.</w:t>
      </w:r>
    </w:p>
    <w:p>
      <w:pPr>
        <w:spacing w:after="0" w:line="119"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For a more complete discussion of our accounting policies and certain other information, refer to our annual financial statements for the preceding fiscal year as filed with the SEC.</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Reclassifications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reclassifications have been made to the prior year financial statements to conform to those classifications used in 2005.</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RECENT ACCOUNTING PRONOUNCEMENTS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SFAS No. 123R</w:t>
      </w:r>
    </w:p>
    <w:p>
      <w:pPr>
        <w:spacing w:after="0" w:line="16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In December 2004, the Financial Accounting Standards Board (“FASB”) issued Statement of Financial Accounting Standards (“SFAS”) No. 123 (revised 2004), “Share-Based Payment” (“SFAS No. 123R”), which replaces SFAS No. 123, “Accounting for Stock-Based Compensation” (“SFAS No. 123”) and supersedes Accounting Principles Board (“APB”) Opinion No. 25, “Accounting for Stock Issued to Employees” (“APB No. 25”). SFAS No. 123R requires all share-based payments to employees, including grants of employee stock options, to be recognized in the financial statements based on their fair values, beginning with the next fiscal year that begins after June 15, 2005, with early adoption encouraged. In addition, SFAS No. 123R will cause unrecognized expense (based on the amounts in our pro forma footnote disclosure) related to options vesting after the date of initial adoption to be recognized as a charge to results of operations over the remaining vesting period. We are required to adopt SFAS No. 123R beginning January 1, 2006. Under SFAS No. 123R, we must determine the appropriate fair value model to be used for valuing share-based payments, the amortization method for compensation cost and the transition method to be used at the date of adoption. The transition alternatives include prospective and retroactive adoption methods. Under the retroactive methods, prior periods may be retroactively adjusted either as of the beginning of the year of adoption or for all periods presented. The prospective method requires that compensation expense be recorded for all unvested stock options and share awards at the beginning of the first quarter of adoption of SFAS No. 123R, while the retroactive methods would record compensation expense for all unvested stock options and share awards beginning with the first period retroactively adjusted. We are evaluating the requirements of SFAS No. 123R, and we expect that the adoption of SFAS No. 123R will have a material impact on our consolidated results of operations and earnings per share. We have not determined the date or method of adoption or the effect of adopting SFAS No. 123R.</w:t>
      </w:r>
    </w:p>
    <w:p>
      <w:pPr>
        <w:spacing w:after="0" w:line="3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360"/>
          </w:cols>
          <w:pgMar w:left="240" w:top="272" w:right="29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QUARTER ENDED SEPTEMBER 30, 2005</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 No. 47</w:t>
      </w:r>
    </w:p>
    <w:p>
      <w:pPr>
        <w:spacing w:after="0" w:line="160" w:lineRule="exact"/>
        <w:rPr>
          <w:sz w:val="20"/>
          <w:szCs w:val="20"/>
          <w:color w:val="auto"/>
        </w:rPr>
      </w:pPr>
    </w:p>
    <w:p>
      <w:pPr>
        <w:ind w:right="80"/>
        <w:spacing w:after="0" w:line="301" w:lineRule="auto"/>
        <w:rPr>
          <w:sz w:val="20"/>
          <w:szCs w:val="20"/>
          <w:color w:val="auto"/>
        </w:rPr>
      </w:pPr>
      <w:r>
        <w:rPr>
          <w:rFonts w:ascii="Times New Roman" w:cs="Times New Roman" w:eastAsia="Times New Roman" w:hAnsi="Times New Roman"/>
          <w:sz w:val="16"/>
          <w:szCs w:val="16"/>
          <w:color w:val="auto"/>
        </w:rPr>
        <w:t>In March 2005, the FASB issued FASB Interpretation (“FIN”) No. 47, “Accounting for Conditional Asset Retirement Obligations – an Interpretation of FASB Statement No. 143” (“FIN No. 47”). FIN No. 47 clarifies the timing of liability recognition for legal obligations associated with the retirement of a tangible long-lived asset when the timing and/or method of settlement are conditional on a future event. FIN No. 47 is effective for us no later than December 31, 2005. We do not expect that the adoption of FIN No. 47 will have a material impact on our consolidated financial condition or results of operations.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SFAS No. 153</w:t>
      </w:r>
    </w:p>
    <w:p>
      <w:pPr>
        <w:spacing w:after="0" w:line="160" w:lineRule="exact"/>
        <w:rPr>
          <w:sz w:val="20"/>
          <w:szCs w:val="20"/>
          <w:color w:val="auto"/>
        </w:rPr>
      </w:pPr>
    </w:p>
    <w:p>
      <w:pPr>
        <w:ind w:right="300"/>
        <w:spacing w:after="0" w:line="255" w:lineRule="auto"/>
        <w:rPr>
          <w:sz w:val="20"/>
          <w:szCs w:val="20"/>
          <w:color w:val="auto"/>
        </w:rPr>
      </w:pPr>
      <w:r>
        <w:rPr>
          <w:rFonts w:ascii="Times New Roman" w:cs="Times New Roman" w:eastAsia="Times New Roman" w:hAnsi="Times New Roman"/>
          <w:sz w:val="18"/>
          <w:szCs w:val="18"/>
          <w:color w:val="auto"/>
        </w:rPr>
        <w:t>In December 2004, the FASB issued SFAS No. 153, “Exchanges of Nonmonetary Assets—an amendment of APB Opinion No. 29” (“SFAS No. 153”). The guidance in APB Opinion No. 29, “Accounting for Nonmonetary Transactions,” is based on the principle that exchanges of nonmonetary assets should be measured based on the fair value of the assets exchanged. The guidance in APB Opinion No. 29, however, included certain exceptions to that principle. This Statement amends APB Opinion No. 29 to eliminate the exception for nonmonetary exchanges of similar productive assets and replaces it with a general exception for exchanges of nonmonetary assets that do not have commercial substance. SFAS No. 153 is effective for such exchange transactions occurring in fiscal periods beginning after June 15, 2005.</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SFAS No. 154</w:t>
      </w:r>
    </w:p>
    <w:p>
      <w:pPr>
        <w:spacing w:after="0" w:line="16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May 2005, the FASB issued SFAS No. 154, “Accounting Changes and Error Corrections—a replacement of APB Opinion No. 20 and FASB Statement No. 3” (“SFAS No. 154”). This Statement replaces APB Opinion No. 20, “Accounting Changes,” and FASB Statement No. 3, “Reporting Accounting Changes in Interim Financial Statements,” and changes the accounting and reporting requirements for a change in accounting principle. SFAS No. 154 applies to all voluntary changes in an accounting principle. It also applies to changes required by an accounting pronouncement in the unusual instance that the pronouncement does not include specific transition provisions. When a pronouncement includes specific transition provisions, those provisions should be followed. SFAS No. 154 is effective for accounting changes and error corrections occurring in fiscal years beginning after December 15, 2005.</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EARNINGS PER SHARE</w:t>
      </w:r>
    </w:p>
    <w:p>
      <w:pPr>
        <w:spacing w:after="0" w:line="160"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Basic earnings (loss) per common share (“Basic EPS”) is computed by dividing net income (loss) for common stockholders by the weighted average number of common shares during the period.</w:t>
      </w:r>
    </w:p>
    <w:p>
      <w:pPr>
        <w:spacing w:after="0" w:line="106"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Our potentially dilutive securities include potential common shares related to our stock options, restricted stock and Comcast exchangeable notes (see Note 7). Diluted earnings for common stockholders per common share (“Diluted EPS”) considers the impact of potentially dilutive securities except in periods in which there is a loss because the inclusion of the potential common shares would have an antidilutive effect. Diluted EPS excludes the impact of potential common shares related to our stock options in periods in which the option exercise price is greater than the average market price of our Class A common stock and our Class A Special common stock for the period. Diluted EPS excludes the impact of potential common shares related to our Class A Special common stock held in treasury related to our Comcast exchangeable notes because they were settled using cash.</w:t>
      </w:r>
    </w:p>
    <w:p>
      <w:pPr>
        <w:spacing w:after="0" w:line="126"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Diluted EPS for the three and nine months ended September 30, 2005, excludes approximately 93 million and 87 million potential common shares, respectively, and Diluted EPS for the three and nine months ended</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272"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CORPORATION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 ENDED SEPTEMBER 30, 2005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5"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8"/>
          <w:szCs w:val="18"/>
          <w:color w:val="auto"/>
        </w:rPr>
        <w:t>September 30, 2004, excludes approximately 108 million and 102 million potential common shares, respectively, related to our stock plans because the option exercise price was greater than the average market price of our Class A common stock and our Class A Special common stock for the period.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reconciles the numerator and denominator of the computations of Diluted EPS for common stockholders for the interim periods presented:</w:t>
      </w:r>
    </w:p>
    <w:p>
      <w:pPr>
        <w:spacing w:after="0" w:line="178"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4"/>
          <w:szCs w:val="14"/>
          <w:b w:val="1"/>
          <w:bCs w:val="1"/>
          <w:color w:val="auto"/>
        </w:rPr>
        <w:t>(Amounts in millions, except per share data)</w:t>
      </w:r>
    </w:p>
    <w:p>
      <w:pPr>
        <w:spacing w:after="0" w:line="5"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60325</wp:posOffset>
            </wp:positionV>
            <wp:extent cx="297561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2005</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2004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7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4"/>
              </w:rPr>
              <w:t>Per Share</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4"/>
              </w:rPr>
              <w:t>Per Share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720" w:type="dxa"/>
            <w:vAlign w:val="bottom"/>
          </w:tcPr>
          <w:p>
            <w:pPr>
              <w:spacing w:after="0"/>
              <w:rPr>
                <w:sz w:val="15"/>
                <w:szCs w:val="15"/>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3"/>
              </w:rPr>
              <w:t>Shares</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40" w:type="dxa"/>
            <w:vAlign w:val="bottom"/>
          </w:tcPr>
          <w:p>
            <w:pPr>
              <w:spacing w:after="0"/>
              <w:rPr>
                <w:sz w:val="15"/>
                <w:szCs w:val="15"/>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4"/>
              </w:rPr>
              <w:t>Income</w:t>
            </w:r>
          </w:p>
        </w:tc>
        <w:tc>
          <w:tcPr>
            <w:tcW w:w="340" w:type="dxa"/>
            <w:vAlign w:val="bottom"/>
          </w:tcPr>
          <w:p>
            <w:pPr>
              <w:spacing w:after="0"/>
              <w:rPr>
                <w:sz w:val="15"/>
                <w:szCs w:val="15"/>
                <w:color w:val="auto"/>
              </w:rPr>
            </w:pP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5"/>
                <w:szCs w:val="15"/>
                <w:color w:val="auto"/>
              </w:rPr>
            </w:pPr>
          </w:p>
        </w:tc>
        <w:tc>
          <w:tcPr>
            <w:tcW w:w="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7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EPS for common stockholders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2,196</w:t>
            </w:r>
          </w:p>
        </w:tc>
        <w:tc>
          <w:tcPr>
            <w:tcW w:w="60" w:type="dxa"/>
            <w:vAlign w:val="bottom"/>
            <w:shd w:val="clear" w:color="auto" w:fill="CCEEFF"/>
          </w:tcPr>
          <w:p>
            <w:pPr>
              <w:spacing w:after="0"/>
              <w:rPr>
                <w:sz w:val="18"/>
                <w:szCs w:val="18"/>
                <w:color w:val="auto"/>
              </w:rPr>
            </w:pPr>
          </w:p>
        </w:tc>
        <w:tc>
          <w:tcPr>
            <w:tcW w:w="46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4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exercise or issuance of shares relating to stock plans</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EPS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2,209</w:t>
            </w:r>
          </w:p>
        </w:tc>
        <w:tc>
          <w:tcPr>
            <w:tcW w:w="60" w:type="dxa"/>
            <w:vAlign w:val="bottom"/>
            <w:shd w:val="clear" w:color="auto" w:fill="CCEEFF"/>
          </w:tcPr>
          <w:p>
            <w:pPr>
              <w:spacing w:after="0"/>
              <w:rPr>
                <w:sz w:val="18"/>
                <w:szCs w:val="18"/>
                <w:color w:val="auto"/>
              </w:rPr>
            </w:pPr>
          </w:p>
        </w:tc>
        <w:tc>
          <w:tcPr>
            <w:tcW w:w="46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4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7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20" w:type="dxa"/>
            <w:vAlign w:val="bottom"/>
            <w:gridSpan w:val="2"/>
          </w:tcPr>
          <w:p>
            <w:pPr>
              <w:spacing w:after="0"/>
              <w:rPr>
                <w:sz w:val="11"/>
                <w:szCs w:val="11"/>
                <w:color w:val="auto"/>
              </w:rPr>
            </w:pPr>
          </w:p>
        </w:tc>
        <w:tc>
          <w:tcPr>
            <w:tcW w:w="620" w:type="dxa"/>
            <w:vAlign w:val="bottom"/>
            <w:tcBorders>
              <w:bottom w:val="single" w:sz="8" w:color="auto"/>
            </w:tcBorders>
            <w:gridSpan w:val="3"/>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Borders>
              <w:bottom w:val="single" w:sz="8" w:color="auto"/>
            </w:tcBorders>
            <w:gridSpan w:val="2"/>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60" w:type="dxa"/>
            <w:vAlign w:val="bottom"/>
            <w:gridSpan w:val="1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6"/>
              </w:rPr>
              <w:t>(Amounts in millions, except per share data)</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780" w:type="dxa"/>
            <w:vAlign w:val="bottom"/>
            <w:gridSpan w:val="11"/>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w w:val="95"/>
              </w:rPr>
              <w:t>Nine Months Ended September 30,</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7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gridSpan w:val="2"/>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gridSpan w:val="3"/>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2005</w:t>
            </w: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2004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7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4"/>
              </w:rPr>
              <w:t>Per Share</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4"/>
              </w:rPr>
              <w:t>Per Share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720" w:type="dxa"/>
            <w:vAlign w:val="bottom"/>
          </w:tcPr>
          <w:p>
            <w:pPr>
              <w:spacing w:after="0"/>
              <w:rPr>
                <w:sz w:val="15"/>
                <w:szCs w:val="15"/>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3"/>
              </w:rPr>
              <w:t>Shares</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40" w:type="dxa"/>
            <w:vAlign w:val="bottom"/>
          </w:tcPr>
          <w:p>
            <w:pPr>
              <w:spacing w:after="0"/>
              <w:rPr>
                <w:sz w:val="15"/>
                <w:szCs w:val="15"/>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4"/>
              </w:rPr>
              <w:t>Income</w:t>
            </w:r>
          </w:p>
        </w:tc>
        <w:tc>
          <w:tcPr>
            <w:tcW w:w="340" w:type="dxa"/>
            <w:vAlign w:val="bottom"/>
          </w:tcPr>
          <w:p>
            <w:pPr>
              <w:spacing w:after="0"/>
              <w:rPr>
                <w:sz w:val="15"/>
                <w:szCs w:val="15"/>
                <w:color w:val="auto"/>
              </w:rPr>
            </w:pP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5"/>
                <w:szCs w:val="15"/>
                <w:color w:val="auto"/>
              </w:rPr>
            </w:pPr>
          </w:p>
        </w:tc>
        <w:tc>
          <w:tcPr>
            <w:tcW w:w="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gridSpan w:val="3"/>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gridSpan w:val="2"/>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gridSpan w:val="2"/>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EPS for common stockholders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2,206</w:t>
            </w:r>
          </w:p>
        </w:tc>
        <w:tc>
          <w:tcPr>
            <w:tcW w:w="60" w:type="dxa"/>
            <w:vAlign w:val="bottom"/>
            <w:shd w:val="clear" w:color="auto" w:fill="CCEEFF"/>
          </w:tcPr>
          <w:p>
            <w:pPr>
              <w:spacing w:after="0"/>
              <w:rPr>
                <w:sz w:val="18"/>
                <w:szCs w:val="18"/>
                <w:color w:val="auto"/>
              </w:rPr>
            </w:pPr>
          </w:p>
        </w:tc>
        <w:tc>
          <w:tcPr>
            <w:tcW w:w="46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4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exercise or issuance of shares relating to stock plans</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gridSpan w:val="3"/>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gridSpan w:val="2"/>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Diluted EPS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2,219</w:t>
            </w:r>
          </w:p>
        </w:tc>
        <w:tc>
          <w:tcPr>
            <w:tcW w:w="60" w:type="dxa"/>
            <w:vAlign w:val="bottom"/>
            <w:shd w:val="clear" w:color="auto" w:fill="CCEEFF"/>
          </w:tcPr>
          <w:p>
            <w:pPr>
              <w:spacing w:after="0"/>
              <w:rPr>
                <w:sz w:val="18"/>
                <w:szCs w:val="18"/>
                <w:color w:val="auto"/>
              </w:rPr>
            </w:pPr>
          </w:p>
        </w:tc>
        <w:tc>
          <w:tcPr>
            <w:tcW w:w="46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4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7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4273550</wp:posOffset>
            </wp:positionH>
            <wp:positionV relativeFrom="paragraph">
              <wp:posOffset>-1890395</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-1890395</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-1890395</wp:posOffset>
            </wp:positionV>
            <wp:extent cx="2159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-1890395</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-1890395</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-1890395</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-1890395</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-1890395</wp:posOffset>
            </wp:positionV>
            <wp:extent cx="2159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-1890395</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-1890395</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-1890395</wp:posOffset>
            </wp:positionV>
            <wp:extent cx="2159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-1890395</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-1890395</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-1890395</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-1890395</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-1890395</wp:posOffset>
            </wp:positionV>
            <wp:extent cx="2159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-29210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-29210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-29210</wp:posOffset>
            </wp:positionV>
            <wp:extent cx="2159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-29210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-29210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-29210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-29210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-29210</wp:posOffset>
            </wp:positionV>
            <wp:extent cx="2159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-29210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-29210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-29210</wp:posOffset>
            </wp:positionV>
            <wp:extent cx="2159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-29210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-29210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-29210</wp:posOffset>
            </wp:positionV>
            <wp:extent cx="2159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ACQUISITIONS AND OTHER SIGNIFICANT EVENTS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Motorola</w:t>
      </w:r>
    </w:p>
    <w:p>
      <w:pPr>
        <w:spacing w:after="0" w:line="16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March 31, 2005, we entered into a strategic alliance with Motorola, Inc. whereby we will jointly develop next-generation conditional access software for cable networks and related products and market such products to other equipment manufacturers and cable companies through the creation of two ventures. Under the agreements, in addition to funding approximately 50% of the annual cost requirements of the ventures, we have paid, through the ventures, $20 million to Motorola and committed up to $80 million in cash, also to be paid through the ventures, over a four-year period to Motorola based on the achievement of certain milestones. Motorola contributed licenses to conditional access and related technology for their ownership in these entities. These two ventures are both considered variable interest entities under FASB Interpretation No. 46, “Consolidation of Variable Interest Entities,” and we have consolidated both of these ventures since we are the primary beneficiary. Accordingly, we have recorded approximately $190 million in other intangible assets, of which we recorded a charge of approximately $20 million related to in-process research and development in the first quarter that has been included in amortization expense. These amounts are based on a preliminary valuation estimate of the intangibles contributed to the ventures, and these intangibles, including in-process research and development, are subject to further adjustment as final valuations are obtained.</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272" w:right="2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QUARTER ENDED SEPTEMBER 30, 2005</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MGM</w:t>
      </w:r>
    </w:p>
    <w:p>
      <w:pPr>
        <w:spacing w:after="0" w:line="160" w:lineRule="exact"/>
        <w:rPr>
          <w:sz w:val="20"/>
          <w:szCs w:val="20"/>
          <w:color w:val="auto"/>
        </w:rPr>
      </w:pPr>
    </w:p>
    <w:p>
      <w:pPr>
        <w:ind w:right="880"/>
        <w:spacing w:after="0" w:line="275" w:lineRule="auto"/>
        <w:rPr>
          <w:sz w:val="20"/>
          <w:szCs w:val="20"/>
          <w:color w:val="auto"/>
        </w:rPr>
      </w:pPr>
      <w:r>
        <w:rPr>
          <w:rFonts w:ascii="Times New Roman" w:cs="Times New Roman" w:eastAsia="Times New Roman" w:hAnsi="Times New Roman"/>
          <w:sz w:val="18"/>
          <w:szCs w:val="18"/>
          <w:color w:val="auto"/>
        </w:rPr>
        <w:t>On April 8, 2005, we completed a transaction with a consortium of investors to acquire Metro-Goldwyn-Mayer Inc. We acquired our 20% interest for approximately $250 million in cash. We are accounting for this investment under the equity method of accounting.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Broadband Exit Activities</w:t>
      </w:r>
    </w:p>
    <w:p>
      <w:pPr>
        <w:spacing w:after="0" w:line="160"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In connection with the purchase price allocation of AT&amp;T Broadband in 2002 (the “Broadband acquisition”), we recorded approximately $1.5 billion of liabilities associated with exit activities and employee termination accruals. Remaining amounts under these accruals as of December 31, 2004, totaled $75 million. Payments under these liabilities are expected to continue over the next six years.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INVESTMENTS</w:t>
      </w:r>
    </w:p>
    <w:p>
      <w:pPr>
        <w:spacing w:after="0" w:line="14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w w:val="97"/>
              </w:rPr>
              <w:t>(Dollars in millions)</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1340" w:type="dxa"/>
            <w:vAlign w:val="bottom"/>
            <w:gridSpan w:val="3"/>
          </w:tcPr>
          <w:p>
            <w:pPr>
              <w:ind w:left="5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September 30,</w:t>
            </w:r>
          </w:p>
        </w:tc>
        <w:tc>
          <w:tcPr>
            <w:tcW w:w="780" w:type="dxa"/>
            <w:vAlign w:val="bottom"/>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2005</w:t>
            </w: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method</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Cablevision</w:t>
            </w:r>
          </w:p>
        </w:tc>
        <w:tc>
          <w:tcPr>
            <w:tcW w:w="6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9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Discovery Holding Company</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Liberty Global</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Liberty Media Corporation</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Microsoft</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Sprint</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Time Warner</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Vodafone</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3,596</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Equity method, principally cable-related</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2,809</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4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Cost method, principally Time Warner Cable at September 30, 2005, and Time Warner Cable and</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Time Warner at December 31, 2004</w:t>
            </w:r>
          </w:p>
        </w:tc>
        <w:tc>
          <w:tcPr>
            <w:tcW w:w="5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6,820</w:t>
            </w:r>
          </w:p>
        </w:tc>
        <w:tc>
          <w:tcPr>
            <w:tcW w:w="7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investments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13,225</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investments</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investments</w:t>
            </w:r>
          </w:p>
        </w:tc>
        <w:tc>
          <w:tcPr>
            <w:tcW w:w="6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13,018</w:t>
            </w:r>
          </w:p>
        </w:tc>
        <w:tc>
          <w:tcPr>
            <w:tcW w:w="9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5363210</wp:posOffset>
            </wp:positionH>
            <wp:positionV relativeFrom="paragraph">
              <wp:posOffset>-29210</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-29210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-29210</wp:posOffset>
            </wp:positionV>
            <wp:extent cx="2159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-29210</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-29210</wp:posOffset>
            </wp:positionV>
            <wp:extent cx="2159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of December 31, 2004, TWE Holdings II Trust (the “Trust”), a Delaware statutory trust whose beneficial interest is indirectly wholly held by Comcast, beneficially owned one share of Time Warner Inc. (“TW”) Series A Mandatorily Convertible Preferred Stock (the “Preferred Stock”). We accounted for the Preferred Stock as a cost method investment with a carrying value of $1.5 billion as of December 31, 2004. On March 31, 2005, the Preferred Stock was converted into 83,835,883 shares of TW common stock (the “TW Stock Conversion”). We recorded the TW common stock received at its fair value of approximately $1.471 billion at the date of the TW Stock Conversion and recognized an investment loss of approximately $29 million, representing the difference between the fair value of the TW common stock on the date it was converted and the carrying amount of our investment in the Preferred Stock. We have designated our investment in the TW common stock as an</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272" w:right="259" w:bottom="1440" w:gutter="0" w:footer="0" w:header="0"/>
        </w:sectPr>
      </w:pPr>
    </w:p>
    <w:bookmarkStart w:id="9" w:name="page10"/>
    <w:bookmarkEnd w:id="9"/>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CORPORATION AND SUBSIDIARIES</w:t>
      </w:r>
    </w:p>
    <w:p>
      <w:pPr>
        <w:spacing w:after="0" w:line="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QUARTER ENDED SEPTEMBER 30, 2005</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5"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available for sale security. In the third quarter of 2005, we sold 16,835,883 shares of TW common stock for proceeds of $308 million and recognized a gain of $13 million to investment income.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Method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hold unrestricted equity investments, which we account for as available for sale or trading securities, in publicly traded companies. Our investments 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Discovery Holding Company (“Discovery” – see below), Liberty Media Corporation (“Liberty”), Liberty Global Inc. (formerly known as Liberty Media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International Inc. (“Liberty Global”), Microsoft, Sprint and Vodafone, and approximately 44% of our investment in Cablevision, are accounted for as trading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The net unrealized pre-tax gains on investments accounted for as available for sale securities as of September 30, 2005 and December 31, 2004,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$111 million and $26 million, respectively, have been reported in our consolidated balance sheet as a component of accumulated other comprehensive loss, net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deferred income taxes of $39 million and $9 million, respectively.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cost, fair value and unrealized gains and losses related to our available for sale securities are as follows (dollars in millions):</w:t>
      </w:r>
    </w:p>
    <w:p>
      <w:pPr>
        <w:spacing w:after="0" w:line="14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4020" w:type="dxa"/>
            <w:vAlign w:val="bottom"/>
            <w:gridSpan w:val="3"/>
          </w:tcPr>
          <w:p>
            <w:pPr>
              <w:ind w:left="3200"/>
              <w:spacing w:after="0"/>
              <w:rPr>
                <w:sz w:val="20"/>
                <w:szCs w:val="20"/>
                <w:color w:val="auto"/>
              </w:rPr>
            </w:pPr>
            <w:r>
              <w:rPr>
                <w:rFonts w:ascii="Times New Roman" w:cs="Times New Roman" w:eastAsia="Times New Roman" w:hAnsi="Times New Roman"/>
                <w:sz w:val="14"/>
                <w:szCs w:val="14"/>
                <w:b w:val="1"/>
                <w:bCs w:val="1"/>
                <w:color w:val="auto"/>
                <w:w w:val="93"/>
              </w:rPr>
              <w:t>September 30,</w:t>
            </w:r>
          </w:p>
        </w:tc>
        <w:tc>
          <w:tcPr>
            <w:tcW w:w="1020" w:type="dxa"/>
            <w:vAlign w:val="bottom"/>
          </w:tcPr>
          <w:p>
            <w:pPr>
              <w:spacing w:after="0"/>
              <w:rPr>
                <w:sz w:val="13"/>
                <w:szCs w:val="13"/>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December 31,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2005</w:t>
            </w: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20" w:type="dxa"/>
            <w:vAlign w:val="bottom"/>
          </w:tcPr>
          <w:p>
            <w:pPr>
              <w:spacing w:after="0"/>
              <w:rPr>
                <w:sz w:val="8"/>
                <w:szCs w:val="8"/>
                <w:color w:val="auto"/>
              </w:rPr>
            </w:pPr>
          </w:p>
        </w:tc>
        <w:tc>
          <w:tcPr>
            <w:tcW w:w="32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20" w:type="dxa"/>
            <w:vAlign w:val="bottom"/>
          </w:tcPr>
          <w:p>
            <w:pPr>
              <w:spacing w:after="0"/>
              <w:rPr>
                <w:sz w:val="8"/>
                <w:szCs w:val="8"/>
                <w:color w:val="auto"/>
              </w:rPr>
            </w:pPr>
          </w:p>
        </w:tc>
        <w:tc>
          <w:tcPr>
            <w:tcW w:w="3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w:t>
            </w:r>
          </w:p>
        </w:tc>
        <w:tc>
          <w:tcPr>
            <w:tcW w:w="3380" w:type="dxa"/>
            <w:vAlign w:val="bottom"/>
            <w:gridSpan w:val="2"/>
            <w:shd w:val="clear" w:color="auto" w:fill="CCEEFF"/>
          </w:tcPr>
          <w:p>
            <w:pPr>
              <w:ind w:left="3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118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gains</w:t>
            </w:r>
          </w:p>
        </w:tc>
        <w:tc>
          <w:tcPr>
            <w:tcW w:w="3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losses</w:t>
            </w:r>
          </w:p>
        </w:tc>
        <w:tc>
          <w:tcPr>
            <w:tcW w:w="3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20" w:type="dxa"/>
            <w:vAlign w:val="bottom"/>
          </w:tcPr>
          <w:p>
            <w:pPr>
              <w:spacing w:after="0"/>
              <w:rPr>
                <w:sz w:val="8"/>
                <w:szCs w:val="8"/>
                <w:color w:val="auto"/>
              </w:rPr>
            </w:pPr>
          </w:p>
        </w:tc>
        <w:tc>
          <w:tcPr>
            <w:tcW w:w="3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w:t>
            </w:r>
          </w:p>
        </w:tc>
        <w:tc>
          <w:tcPr>
            <w:tcW w:w="3380" w:type="dxa"/>
            <w:vAlign w:val="bottom"/>
            <w:gridSpan w:val="2"/>
            <w:shd w:val="clear" w:color="auto" w:fill="CCEEFF"/>
          </w:tcPr>
          <w:p>
            <w:pPr>
              <w:ind w:left="3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118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-29210</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-29210</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-29210</wp:posOffset>
            </wp:positionV>
            <wp:extent cx="2159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-29210</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-29210</wp:posOffset>
            </wp:positionV>
            <wp:extent cx="2159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In February 2005, we entered into a 10 year prepaid forward sale of approximately 2.7 million shares of Liberty Global Series A common stock for proceeds of $99 million.</w:t>
      </w:r>
    </w:p>
    <w:p>
      <w:pPr>
        <w:spacing w:after="0" w:line="10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June 2005, we, through a majority owned partnership, entered into a seven year, seven month prepaid forward sale of approximately 5.1 million shares of Cablevision Class A Common Stock for proceeds of $114 million. We have designated the derivative component of the prepaid forward as a fair value hedge of the related Cablevision shares. Accordingly, the mark to market adjustment on the 56% of the Cablevision shares held by us and classified as available for sale securities will be recorded to investment income, net over the term of the prepaid forward.</w:t>
      </w:r>
    </w:p>
    <w:p>
      <w:pPr>
        <w:spacing w:after="0" w:line="123"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In July 2005, we received 10 million shares of Discovery Series A common stock in connection with the spin off by Liberty of Discovery. We have classified all of the shares of Discovery Series A common stock that we received as trading securities recorded at fair value. All of these shares collateralize a portion of the ten-year prepaid forward sale of Liberty common stock that we entered into in December 2003.</w:t>
      </w:r>
    </w:p>
    <w:p>
      <w:pPr>
        <w:spacing w:after="0" w:line="119"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6"/>
          <w:szCs w:val="16"/>
          <w:color w:val="auto"/>
        </w:rPr>
        <w:t>In September 2005, we received approximately 7.7 million shares of Liberty Global Series C common stock in connection with Liberty Global’s special stock dividend. We have classified all of the shares of Liberty Global Series C common stock that we received as trading securities recorded at fair value. Substantially all of these shares collateralize a portion of the ten year prepaid forward sale of Liberty common stock that we entered into in December 2003 and the seven year</w:t>
      </w:r>
    </w:p>
    <w:p>
      <w:pPr>
        <w:spacing w:after="0" w:line="1" w:lineRule="exact"/>
        <w:rPr>
          <w:sz w:val="20"/>
          <w:szCs w:val="20"/>
          <w:color w:val="auto"/>
        </w:rPr>
      </w:pPr>
    </w:p>
    <w:p>
      <w:pPr>
        <w:ind w:left="5680" w:right="3760" w:hanging="5662"/>
        <w:spacing w:after="0" w:line="433" w:lineRule="auto"/>
        <w:rPr>
          <w:sz w:val="20"/>
          <w:szCs w:val="20"/>
          <w:color w:val="auto"/>
        </w:rPr>
      </w:pPr>
      <w:r>
        <w:rPr>
          <w:rFonts w:ascii="Times New Roman" w:cs="Times New Roman" w:eastAsia="Times New Roman" w:hAnsi="Times New Roman"/>
          <w:sz w:val="18"/>
          <w:szCs w:val="18"/>
          <w:color w:val="auto"/>
        </w:rPr>
        <w:t>– seven month prepaid forward sale of Liberty Global common stock that we entered into in February 2005. 9</w:t>
      </w:r>
    </w:p>
    <w:p>
      <w:pPr>
        <w:sectPr>
          <w:pgSz w:w="11900" w:h="16838" w:orient="portrait"/>
          <w:cols w:equalWidth="0" w:num="1">
            <w:col w:w="11360"/>
          </w:cols>
          <w:pgMar w:left="240" w:top="272" w:right="29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CORPORATION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 ENDED SEPTEMBER 30, 2005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Income (Loss), Net</w:t>
      </w:r>
    </w:p>
    <w:p>
      <w:pPr>
        <w:spacing w:after="0" w:line="1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Investment income (loss), net for the interim periods includes the following (dollars in millions):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580" w:type="dxa"/>
            <w:vAlign w:val="bottom"/>
            <w:gridSpan w:val="6"/>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w w:val="99"/>
              </w:rPr>
              <w:t>2005</w:t>
            </w: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w w:val="85"/>
              </w:rPr>
              <w:t>2004</w:t>
            </w: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w w:val="99"/>
              </w:rPr>
              <w:t>2005</w:t>
            </w: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w w:val="92"/>
              </w:rPr>
              <w:t>2004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Gains (losses) on sales and exchanges of investments, net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impairment losses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losses on trading securities and hedged items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to market adjustments on derivatives related to trading securities and hedged items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(126)</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Mark to market adjustments on derivatives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9"/>
                <w:szCs w:val="19"/>
                <w:color w:val="auto"/>
              </w:rPr>
            </w:pP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Investment income (loss), net</w:t>
            </w: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-29210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-29210</wp:posOffset>
            </wp:positionV>
            <wp:extent cx="2159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-29210</wp:posOffset>
            </wp:positionV>
            <wp:extent cx="3873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-29210</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-29210</wp:posOffset>
            </wp:positionV>
            <wp:extent cx="2159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-29210</wp:posOffset>
            </wp:positionV>
            <wp:extent cx="3873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-29210</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-29210</wp:posOffset>
            </wp:positionV>
            <wp:extent cx="2159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-29210</wp:posOffset>
            </wp:positionV>
            <wp:extent cx="3873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-29210</wp:posOffset>
            </wp:positionV>
            <wp:extent cx="37274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72745" cy="2984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GOODWILL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by business segment (see Note 11) for the period presented are as follows (dollars in millions):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6"/>
              </w:rPr>
              <w:t>Corporate</w:t>
            </w: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58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8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Cable</w:t>
            </w:r>
          </w:p>
        </w:tc>
        <w:tc>
          <w:tcPr>
            <w:tcW w:w="240" w:type="dxa"/>
            <w:vAlign w:val="bottom"/>
          </w:tcPr>
          <w:p>
            <w:pPr>
              <w:spacing w:after="0"/>
              <w:rPr>
                <w:sz w:val="15"/>
                <w:szCs w:val="15"/>
                <w:color w:val="auto"/>
              </w:rPr>
            </w:pPr>
          </w:p>
        </w:tc>
        <w:tc>
          <w:tcPr>
            <w:tcW w:w="6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Content</w:t>
            </w:r>
          </w:p>
        </w:tc>
        <w:tc>
          <w:tcPr>
            <w:tcW w:w="46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6"/>
              </w:rPr>
              <w:t>and Other</w:t>
            </w: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46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46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2004</w:t>
            </w:r>
          </w:p>
        </w:tc>
        <w:tc>
          <w:tcPr>
            <w:tcW w:w="2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$12,998</w:t>
            </w:r>
          </w:p>
        </w:tc>
        <w:tc>
          <w:tcPr>
            <w:tcW w:w="3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$14,020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Settlement or adjustments</w:t>
            </w:r>
          </w:p>
        </w:tc>
        <w:tc>
          <w:tcPr>
            <w:tcW w:w="26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(62)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17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46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46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September 30, 2005</w:t>
            </w:r>
          </w:p>
        </w:tc>
        <w:tc>
          <w:tcPr>
            <w:tcW w:w="2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$12,936</w:t>
            </w:r>
          </w:p>
        </w:tc>
        <w:tc>
          <w:tcPr>
            <w:tcW w:w="3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$ 14,111</w:t>
            </w:r>
          </w:p>
        </w:tc>
        <w:tc>
          <w:tcPr>
            <w:tcW w:w="0" w:type="dxa"/>
            <w:vAlign w:val="bottom"/>
          </w:tcPr>
          <w:p>
            <w:pPr>
              <w:spacing w:after="0"/>
              <w:rPr>
                <w:sz w:val="1"/>
                <w:szCs w:val="1"/>
                <w:color w:val="auto"/>
              </w:rPr>
            </w:pPr>
          </w:p>
        </w:tc>
      </w:tr>
      <w:tr>
        <w:trPr>
          <w:trHeight w:val="132"/>
        </w:trPr>
        <w:tc>
          <w:tcPr>
            <w:tcW w:w="5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7. LONG-TERM DEBT</w:t>
            </w:r>
          </w:p>
        </w:tc>
        <w:tc>
          <w:tcPr>
            <w:tcW w:w="172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5180" w:type="dxa"/>
            <w:vAlign w:val="bottom"/>
            <w:gridSpan w:val="2"/>
            <w:vMerge w:val="continue"/>
          </w:tcPr>
          <w:p>
            <w:pPr>
              <w:spacing w:after="0"/>
              <w:rPr>
                <w:sz w:val="24"/>
                <w:szCs w:val="24"/>
                <w:color w:val="auto"/>
              </w:rPr>
            </w:pPr>
          </w:p>
        </w:tc>
        <w:tc>
          <w:tcPr>
            <w:tcW w:w="1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5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w w:val="95"/>
              </w:rPr>
              <w:t>(Dollars in millions)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5"/>
          </w:tcPr>
          <w:p>
            <w:pPr>
              <w:ind w:left="2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September 30,</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0" w:type="dxa"/>
            <w:vAlign w:val="bottom"/>
          </w:tcPr>
          <w:p>
            <w:pPr>
              <w:spacing w:after="0"/>
              <w:rPr>
                <w:sz w:val="1"/>
                <w:szCs w:val="1"/>
                <w:color w:val="auto"/>
              </w:rPr>
            </w:pPr>
          </w:p>
        </w:tc>
      </w:tr>
      <w:tr>
        <w:trPr>
          <w:trHeight w:val="178"/>
        </w:trPr>
        <w:tc>
          <w:tcPr>
            <w:tcW w:w="58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2005</w:t>
            </w: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gridSpan w:val="3"/>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2004</w:t>
            </w: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46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Borders>
              <w:bottom w:val="single" w:sz="8" w:color="auto"/>
            </w:tcBorders>
            <w:gridSpan w:val="2"/>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46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exchangeable into common stock</w:t>
            </w:r>
          </w:p>
        </w:tc>
        <w:tc>
          <w:tcPr>
            <w:tcW w:w="1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4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Bank and public debt</w:t>
            </w:r>
          </w:p>
        </w:tc>
        <w:tc>
          <w:tcPr>
            <w:tcW w:w="1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22,076</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21,457</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including capital lease obligations</w:t>
            </w:r>
          </w:p>
        </w:tc>
        <w:tc>
          <w:tcPr>
            <w:tcW w:w="1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46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Borders>
              <w:bottom w:val="single" w:sz="8" w:color="auto"/>
            </w:tcBorders>
            <w:gridSpan w:val="2"/>
          </w:tcPr>
          <w:p>
            <w:pPr>
              <w:spacing w:after="0"/>
              <w:rPr>
                <w:sz w:val="9"/>
                <w:szCs w:val="9"/>
                <w:color w:val="auto"/>
              </w:rPr>
            </w:pPr>
          </w:p>
        </w:tc>
        <w:tc>
          <w:tcPr>
            <w:tcW w:w="660" w:type="dxa"/>
            <w:vAlign w:val="bottom"/>
            <w:tcBorders>
              <w:bottom w:val="single" w:sz="8" w:color="auto"/>
            </w:tcBorders>
            <w:gridSpan w:val="2"/>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46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debt</w:t>
            </w:r>
          </w:p>
        </w:tc>
        <w:tc>
          <w:tcPr>
            <w:tcW w:w="1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22,605</w:t>
            </w:r>
          </w:p>
        </w:tc>
        <w:tc>
          <w:tcPr>
            <w:tcW w:w="4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23,592</w:t>
            </w:r>
          </w:p>
        </w:tc>
        <w:tc>
          <w:tcPr>
            <w:tcW w:w="0" w:type="dxa"/>
            <w:vAlign w:val="bottom"/>
          </w:tcPr>
          <w:p>
            <w:pPr>
              <w:spacing w:after="0"/>
              <w:rPr>
                <w:sz w:val="1"/>
                <w:szCs w:val="1"/>
                <w:color w:val="auto"/>
              </w:rPr>
            </w:pPr>
          </w:p>
        </w:tc>
      </w:tr>
      <w:tr>
        <w:trPr>
          <w:trHeight w:val="132"/>
        </w:trPr>
        <w:tc>
          <w:tcPr>
            <w:tcW w:w="58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4376420</wp:posOffset>
            </wp:positionH>
            <wp:positionV relativeFrom="paragraph">
              <wp:posOffset>-1641475</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-1641475</wp:posOffset>
            </wp:positionV>
            <wp:extent cx="2159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-1641475</wp:posOffset>
            </wp:positionV>
            <wp:extent cx="3873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-1641475</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-1641475</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-1641475</wp:posOffset>
            </wp:positionV>
            <wp:extent cx="2159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-1641475</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-1641475</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-1641475</wp:posOffset>
            </wp:positionV>
            <wp:extent cx="2159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-1641475</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-1641475</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-1641475</wp:posOffset>
            </wp:positionV>
            <wp:extent cx="2159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-29210</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-29210</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-29210</wp:posOffset>
            </wp:positionV>
            <wp:extent cx="2159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-29210</wp:posOffset>
            </wp:positionV>
            <wp:extent cx="1270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-29210</wp:posOffset>
            </wp:positionV>
            <wp:extent cx="2159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Cross-Guarantee Structure</w:t>
      </w:r>
    </w:p>
    <w:p>
      <w:pPr>
        <w:spacing w:after="0" w:line="160"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We and a number of our wholly-owned subsidiaries that hold substantially all of our cable assets have unconditionally guaranteed each other’s debt securities and indebtedness for borrowed money. As of September 30, 2005, $20.795 billion of our debt was included in the cross-guarantee structure.</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272" w:right="239" w:bottom="1440" w:gutter="0" w:footer="0" w:header="0"/>
        </w:sectPr>
      </w:pPr>
    </w:p>
    <w:bookmarkStart w:id="11" w:name="page12"/>
    <w:bookmarkEnd w:id="1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CORPORATION AND SUBSIDIARIES</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QUARTER ENDED SEPTEMBER 30, 2005</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Comcast Holdings Guarantee</w:t>
      </w:r>
    </w:p>
    <w:p>
      <w:pPr>
        <w:spacing w:after="0" w:line="160"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In September 2005, we unconditionally guaranteed the ZONES due October 2029 (see below) and the 10 5/8% Senior Subordinated Debentures due 2012 issued by Comcast Holdings.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 Offering</w:t>
      </w:r>
    </w:p>
    <w:p>
      <w:pPr>
        <w:spacing w:after="0" w:line="160"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8"/>
          <w:szCs w:val="18"/>
          <w:color w:val="auto"/>
        </w:rPr>
        <w:t>In June 2005, we issued $1.5 billion of notes consisting of $750 million of 4.95% notes due 2016 and $750 million of 5.65% notes due 2035. We used the net proceeds of this offering for working capital and general corporate purposes, including repayment of existing indebtedness.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Redemption</w:t>
      </w:r>
    </w:p>
    <w:p>
      <w:pPr>
        <w:spacing w:after="0" w:line="16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In August 2005, we redeemed our 9.5% Senior Notes due 2013 with an aggregate principal amount of $525 million at a premium of 4.75% over par and recorded a $46 million gain on the early termination as a reduction to interest expense.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Lines and Letters of Credit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2005, we and certain of our subsidiaries had unused lines of credit of $2.998 billion under respective credit facilities.</w:t>
      </w:r>
    </w:p>
    <w:p>
      <w:pPr>
        <w:spacing w:after="0" w:line="158"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As of September 30, 2005, we and certain of our subsidiaries had unused irrevocable standby letters of credit totaling $385 million to cover potential fundings under various agreements.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Notes Exchangeable into Common Stock</w:t>
      </w:r>
    </w:p>
    <w:p>
      <w:pPr>
        <w:spacing w:after="0" w:line="160" w:lineRule="exact"/>
        <w:rPr>
          <w:sz w:val="20"/>
          <w:szCs w:val="20"/>
          <w:color w:val="auto"/>
        </w:rPr>
      </w:pPr>
    </w:p>
    <w:p>
      <w:pPr>
        <w:jc w:val="both"/>
        <w:ind w:right="200"/>
        <w:spacing w:after="0" w:line="262" w:lineRule="auto"/>
        <w:rPr>
          <w:sz w:val="20"/>
          <w:szCs w:val="20"/>
          <w:color w:val="auto"/>
        </w:rPr>
      </w:pPr>
      <w:r>
        <w:rPr>
          <w:rFonts w:ascii="Times New Roman" w:cs="Times New Roman" w:eastAsia="Times New Roman" w:hAnsi="Times New Roman"/>
          <w:sz w:val="18"/>
          <w:szCs w:val="18"/>
          <w:color w:val="auto"/>
        </w:rPr>
        <w:t>As of September 30, 2005, we held Vodafone exchangeable notes that are mandatorily redeemable at our option into Vodafone ADRs, the cash equivalent, or a combination of cash and Vodafone ADRs. The maturity value of the exchangeable notes varies based upon the fair value of the security to which it is indexed. Our exchangeable notes are collateralized by our investment in Vodafone (see Note 5).</w:t>
      </w:r>
    </w:p>
    <w:p>
      <w:pPr>
        <w:spacing w:after="0" w:line="1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During the three and nine months ended September 30, 2005, we settled an aggregate of $743 million face amount and $1.315 billion face amount, respectively, of our obligations relating to our Cablevision, Microsoft, and Vodafone exchangeable notes by delivering the underlying shares or ADRs to the counterparties, and the equity collar agreements related to the underlying securities were exercised. The Cablevision, Microsoft, and Vodafone transactions represented non-cash investing and financing activities and had no effect on our statement of cash flows due to their non-cash nature. During the three and nine months ended September 30, 2005, we settled the remaining outstanding $329 million face amount of our obligations relating to our Comcast exchangeable notes due November 2005 with cash and the settlement of the related equity collars.</w:t>
      </w:r>
    </w:p>
    <w:p>
      <w:pPr>
        <w:spacing w:after="0" w:line="126" w:lineRule="exact"/>
        <w:rPr>
          <w:sz w:val="20"/>
          <w:szCs w:val="20"/>
          <w:color w:val="auto"/>
        </w:rPr>
      </w:pPr>
    </w:p>
    <w:p>
      <w:pPr>
        <w:ind w:right="600"/>
        <w:spacing w:after="0" w:line="275" w:lineRule="auto"/>
        <w:rPr>
          <w:sz w:val="20"/>
          <w:szCs w:val="20"/>
          <w:color w:val="auto"/>
        </w:rPr>
      </w:pPr>
      <w:r>
        <w:rPr>
          <w:rFonts w:ascii="Times New Roman" w:cs="Times New Roman" w:eastAsia="Times New Roman" w:hAnsi="Times New Roman"/>
          <w:sz w:val="18"/>
          <w:szCs w:val="18"/>
          <w:color w:val="auto"/>
        </w:rPr>
        <w:t>As of September 30, 2005, the securities we held collateralizing the exchangeable notes were sufficient to satisfy the debt obligations associated with the outstanding exchangeable notes (see Notes 5 and 9).</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360"/>
          </w:cols>
          <w:pgMar w:left="240" w:top="272" w:right="29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CORPORATION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 ENDED SEPTEMBER 30, 2005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ZONES</w:t>
      </w:r>
    </w:p>
    <w:p>
      <w:pPr>
        <w:spacing w:after="0" w:line="160"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At maturity, holders of our 2.0% Exchangeable Subordinated Debentures due 2029 (the “ZONES”) are entitled to receive in cash an amount equal to the higher of the principal amount of the ZONES of $1.807 billion or the fair value of Sprint common stock. Prior to maturity, each ZONES is exchangeable at the holder’s option for an amount of cash equal to 95% of the fair value of Sprint common stock.</w:t>
      </w:r>
    </w:p>
    <w:p>
      <w:pPr>
        <w:spacing w:after="0" w:line="119"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color w:val="auto"/>
        </w:rPr>
        <w:t>We separated the accounting for the Exchangeable Notes and the ZONES into derivative and debt components. We record the change in the fair value of the derivative component of the Exchangeable Notes and the ZONES (see Note 5) and the change in the carrying value of the debt component of the exchangeable notes and the ZONES as follows (dollars in millions):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7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5"/>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6"/>
              </w:rPr>
              <w:t>Exchangeable Notes</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ZONES</w:t>
            </w: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7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gridSpan w:val="5"/>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5"/>
              </w:rPr>
              <w:t>Nine Months Ended</w:t>
            </w:r>
          </w:p>
        </w:tc>
        <w:tc>
          <w:tcPr>
            <w:tcW w:w="100" w:type="dxa"/>
            <w:vAlign w:val="bottom"/>
          </w:tcPr>
          <w:p>
            <w:pPr>
              <w:spacing w:after="0"/>
              <w:rPr>
                <w:sz w:val="20"/>
                <w:szCs w:val="20"/>
                <w:color w:val="auto"/>
              </w:rPr>
            </w:pPr>
          </w:p>
        </w:tc>
        <w:tc>
          <w:tcPr>
            <w:tcW w:w="146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Nine Months Ended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5"/>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5"/>
              </w:rPr>
              <w:t>September 30,</w:t>
            </w:r>
          </w:p>
        </w:tc>
        <w:tc>
          <w:tcPr>
            <w:tcW w:w="100" w:type="dxa"/>
            <w:vAlign w:val="bottom"/>
          </w:tcPr>
          <w:p>
            <w:pPr>
              <w:spacing w:after="0"/>
              <w:rPr>
                <w:sz w:val="15"/>
                <w:szCs w:val="15"/>
                <w:color w:val="auto"/>
              </w:rPr>
            </w:pPr>
          </w:p>
        </w:tc>
        <w:tc>
          <w:tcPr>
            <w:tcW w:w="146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5"/>
              </w:rPr>
              <w:t>September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7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2005</w:t>
            </w:r>
          </w:p>
        </w:tc>
        <w:tc>
          <w:tcPr>
            <w:tcW w:w="460" w:type="dxa"/>
            <w:vAlign w:val="bottom"/>
          </w:tcPr>
          <w:p>
            <w:pPr>
              <w:spacing w:after="0"/>
              <w:rPr>
                <w:sz w:val="22"/>
                <w:szCs w:val="22"/>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2004</w:t>
            </w: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w w:val="92"/>
              </w:rPr>
              <w:t>2005</w:t>
            </w: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2004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7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Debt component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4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$ 5,030</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Derivative component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(59)</w:t>
            </w:r>
          </w:p>
        </w:tc>
        <w:tc>
          <w:tcPr>
            <w:tcW w:w="104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(712)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4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Decrease in debt component due to maturities and redemptions</w:t>
            </w:r>
          </w:p>
        </w:tc>
        <w:tc>
          <w:tcPr>
            <w:tcW w:w="10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w w:val="95"/>
              </w:rPr>
              <w:t>(1,644)</w:t>
            </w:r>
          </w:p>
        </w:tc>
        <w:tc>
          <w:tcPr>
            <w:tcW w:w="104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(1,376)</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Change in debt component to interest expense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w:t>
            </w:r>
          </w:p>
        </w:tc>
        <w:tc>
          <w:tcPr>
            <w:tcW w:w="104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Change in derivative component to investment income (loss), net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60" w:type="dxa"/>
            <w:vAlign w:val="bottom"/>
          </w:tcPr>
          <w:p>
            <w:pPr>
              <w:spacing w:after="0"/>
              <w:rPr>
                <w:sz w:val="18"/>
                <w:szCs w:val="18"/>
                <w:color w:val="auto"/>
              </w:rPr>
            </w:pPr>
          </w:p>
        </w:tc>
        <w:tc>
          <w:tcPr>
            <w:tcW w:w="104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Change in derivative component due to settlements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4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Debt component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4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7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Derivative component</w:t>
            </w: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60" w:type="dxa"/>
            <w:vAlign w:val="bottom"/>
          </w:tcPr>
          <w:p>
            <w:pPr>
              <w:spacing w:after="0"/>
              <w:rPr>
                <w:sz w:val="19"/>
                <w:szCs w:val="19"/>
                <w:color w:val="auto"/>
              </w:rPr>
            </w:pPr>
          </w:p>
        </w:tc>
        <w:tc>
          <w:tcPr>
            <w:tcW w:w="104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7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4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$ 2,991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7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-29210</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-29210</wp:posOffset>
            </wp:positionV>
            <wp:extent cx="2159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-29210</wp:posOffset>
            </wp:positionV>
            <wp:extent cx="3873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-29210</wp:posOffset>
            </wp:positionV>
            <wp:extent cx="38163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81635"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-29210</wp:posOffset>
            </wp:positionV>
            <wp:extent cx="1270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-29210</wp:posOffset>
            </wp:positionV>
            <wp:extent cx="1270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2159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-29210</wp:posOffset>
            </wp:positionV>
            <wp:extent cx="40703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07035" cy="2984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Derivatives</w:t>
      </w:r>
    </w:p>
    <w:p>
      <w:pPr>
        <w:spacing w:after="0" w:line="160" w:lineRule="exact"/>
        <w:rPr>
          <w:sz w:val="20"/>
          <w:szCs w:val="20"/>
          <w:color w:val="auto"/>
        </w:rPr>
      </w:pPr>
    </w:p>
    <w:p>
      <w:pPr>
        <w:ind w:right="760"/>
        <w:spacing w:after="0" w:line="339" w:lineRule="auto"/>
        <w:rPr>
          <w:sz w:val="20"/>
          <w:szCs w:val="20"/>
          <w:color w:val="auto"/>
        </w:rPr>
      </w:pPr>
      <w:r>
        <w:rPr>
          <w:rFonts w:ascii="Times New Roman" w:cs="Times New Roman" w:eastAsia="Times New Roman" w:hAnsi="Times New Roman"/>
          <w:sz w:val="16"/>
          <w:szCs w:val="16"/>
          <w:color w:val="auto"/>
        </w:rPr>
        <w:t>We use derivative financial instruments to manage our exposure to fluctuations in interest rates and securities prices. We have entered into indexed debt instruments and prepaid forward sale agreements whose value, in part, is derived from the market value of certain publicly traded common stock.</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Rates</w:t>
      </w:r>
    </w:p>
    <w:p>
      <w:pPr>
        <w:spacing w:after="0" w:line="160"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Excluding the derivative component of the Exchangeable Notes and the ZONES whose changes in fair value are recorded to investment income, net, our effective weighted average interest rate on our total debt outstanding was 7.34% and 7.38% as of September 30, 2005, and December 31, 2004, respectively. As of September 30, 2005, and December 31, 2004, accrued interest was $347 million and $444 million, respectively.</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272" w:right="239" w:bottom="1440" w:gutter="0" w:footer="0" w:header="0"/>
        </w:sectPr>
      </w:pPr>
    </w:p>
    <w:bookmarkStart w:id="13" w:name="page14"/>
    <w:bookmarkEnd w:id="1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CORPORATION AND SUBSIDIARIES</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QUARTER ENDED SEPTEMBER 30, 2005</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STOCKHOLDERS’ EQUITY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Board-Authorized Repurchase Program</w:t>
      </w:r>
    </w:p>
    <w:p>
      <w:pPr>
        <w:spacing w:after="0" w:line="16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During the three and nine months ended September 30, 2005, we repurchased approximately 25.3 million shares and 45.2 million shares, respectively, of our Class A Special common stock for aggregate consideration of $752 million and $1.389 billion (on a trade date basis), respectively, pursuant to our Board-authorized share repurchase program. On April 27, 2005, our Board of Directors authorized a $2 billion increase to our share repurchase program. The maximum dollar value of shares that may yet be repurchased under the program is approximately $1.25 billion as of September 30, 2005.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16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account for stock-based compensation in accordance with APB No. 25 and related interpretations, as permitted by SFAS No. 123, as amended. Compensation expense for stock options is measured as the excess, if any, of the quoted market price of our stock at the date of the grant over the amount an optionee must pay to acquire the stock. We record compensation expense for restricted stock awards based on the quoted market price of our stock at the date of the grant and the vesting period. We record compensation expense for stock appreciation rights based on the changes in quoted market prices of our stock or other determinants of fair value.</w:t>
      </w:r>
    </w:p>
    <w:p>
      <w:pPr>
        <w:spacing w:after="0" w:line="125"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The following table illustrates the effect on net income and earnings per share if we had applied the fair value recognition provisions of SFAS No. 123 to stock-based compensation. Total stock-based compensation expense was determined under the fair value-based method for all awards using the accelerated recognition method as permitted under SFAS No. 123 (dollars in millions, except per share data):</w:t>
      </w:r>
    </w:p>
    <w:p>
      <w:pPr>
        <w:spacing w:after="0" w:line="10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6"/>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6"/>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w w:val="99"/>
              </w:rPr>
              <w:t>2005</w:t>
            </w: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2004</w:t>
            </w: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w w:val="92"/>
              </w:rPr>
              <w:t>2005</w:t>
            </w: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w w:val="99"/>
              </w:rPr>
              <w:t>2004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as reported</w:t>
            </w: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Add: Stock-based compensation expense included in net income, as reported above,</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of related tax effects</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18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Deduct: Stock-based compensation expense determined under fair value-based</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method for all awards, net of related tax effects</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income</w:t>
            </w: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for common stockholders per common share: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As reported</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8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8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28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w:t>
            </w: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for common stockholders per common share: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reported</w:t>
            </w: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Pro forma</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280" w:type="dxa"/>
            <w:vAlign w:val="bottom"/>
          </w:tcPr>
          <w:p>
            <w:pPr>
              <w:spacing w:after="0"/>
              <w:rPr>
                <w:sz w:val="19"/>
                <w:szCs w:val="19"/>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80" w:type="dxa"/>
            <w:vAlign w:val="bottom"/>
          </w:tcPr>
          <w:p>
            <w:pPr>
              <w:spacing w:after="0"/>
              <w:rPr>
                <w:sz w:val="19"/>
                <w:szCs w:val="19"/>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280" w:type="dxa"/>
            <w:vAlign w:val="bottom"/>
          </w:tcPr>
          <w:p>
            <w:pPr>
              <w:spacing w:after="0"/>
              <w:rPr>
                <w:sz w:val="19"/>
                <w:szCs w:val="19"/>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-927100</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-927100</wp:posOffset>
            </wp:positionV>
            <wp:extent cx="2159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-927100</wp:posOffset>
            </wp:positionV>
            <wp:extent cx="3873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-927100</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-927100</wp:posOffset>
            </wp:positionV>
            <wp:extent cx="2159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-927100</wp:posOffset>
            </wp:positionV>
            <wp:extent cx="3873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-927100</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-927100</wp:posOffset>
            </wp:positionV>
            <wp:extent cx="2159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-927100</wp:posOffset>
            </wp:positionV>
            <wp:extent cx="3873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-927100</wp:posOffset>
            </wp:positionV>
            <wp:extent cx="1270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-927100</wp:posOffset>
            </wp:positionV>
            <wp:extent cx="2159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-927100</wp:posOffset>
            </wp:positionV>
            <wp:extent cx="3873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02" w:lineRule="exact"/>
        <w:rPr>
          <w:sz w:val="20"/>
          <w:szCs w:val="20"/>
          <w:color w:val="auto"/>
        </w:rPr>
      </w:pPr>
    </w:p>
    <w:p>
      <w:pPr>
        <w:jc w:val="both"/>
        <w:ind w:right="500"/>
        <w:spacing w:after="0" w:line="262" w:lineRule="auto"/>
        <w:rPr>
          <w:sz w:val="20"/>
          <w:szCs w:val="20"/>
          <w:color w:val="auto"/>
        </w:rPr>
      </w:pPr>
      <w:r>
        <w:rPr>
          <w:rFonts w:ascii="Times New Roman" w:cs="Times New Roman" w:eastAsia="Times New Roman" w:hAnsi="Times New Roman"/>
          <w:sz w:val="18"/>
          <w:szCs w:val="18"/>
          <w:color w:val="auto"/>
        </w:rPr>
        <w:t>The pro forma effect on net income and net earnings per share for the interim periods by applying SFAS No. 123 may not be indicative of the effect on net income or loss in future years since SFAS No. 123 does not take into consideration additional awards that may be granted in future years on a much larger employee base.</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360"/>
          </w:cols>
          <w:pgMar w:left="240" w:top="272" w:right="29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CORPORATION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 ENDED SEPTEMBER 30, 2005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of the Comcast option plans during the nine months ended September 30, 2005 (options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5"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w w:val="91"/>
              </w:rPr>
              <w:t>Class A Special</w:t>
            </w:r>
          </w:p>
        </w:tc>
        <w:tc>
          <w:tcPr>
            <w:tcW w:w="475"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120" w:type="dxa"/>
            <w:vAlign w:val="bottom"/>
          </w:tcPr>
          <w:p>
            <w:pPr>
              <w:spacing w:after="0"/>
              <w:rPr>
                <w:sz w:val="15"/>
                <w:szCs w:val="15"/>
                <w:color w:val="auto"/>
              </w:rPr>
            </w:pPr>
          </w:p>
        </w:tc>
        <w:tc>
          <w:tcPr>
            <w:tcW w:w="136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w w:val="95"/>
              </w:rPr>
              <w:t>Common Stock</w:t>
            </w: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5"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w w:val="91"/>
              </w:rPr>
              <w:t>Common Stock</w:t>
            </w:r>
          </w:p>
        </w:tc>
        <w:tc>
          <w:tcPr>
            <w:tcW w:w="475"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1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475"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60" w:type="dxa"/>
            <w:vAlign w:val="bottom"/>
            <w:gridSpan w:val="5"/>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w w:val="92"/>
              </w:rPr>
              <w:t>Average</w:t>
            </w:r>
          </w:p>
        </w:tc>
        <w:tc>
          <w:tcPr>
            <w:tcW w:w="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60" w:type="dxa"/>
            <w:vAlign w:val="bottom"/>
            <w:gridSpan w:val="5"/>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Exercise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12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6"/>
              </w:rPr>
              <w:t>Options</w:t>
            </w: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4"/>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1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5" w:type="dxa"/>
            <w:vAlign w:val="bottom"/>
          </w:tcPr>
          <w:p>
            <w:pPr>
              <w:spacing w:after="0"/>
              <w:rPr>
                <w:sz w:val="15"/>
                <w:szCs w:val="15"/>
                <w:color w:val="auto"/>
              </w:rPr>
            </w:pPr>
          </w:p>
        </w:tc>
        <w:tc>
          <w:tcPr>
            <w:tcW w:w="495" w:type="dxa"/>
            <w:vAlign w:val="bottom"/>
            <w:gridSpan w:val="2"/>
          </w:tcPr>
          <w:p>
            <w:pPr>
              <w:jc w:val="center"/>
              <w:ind w:right="125"/>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1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475"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5" w:type="dxa"/>
            <w:vAlign w:val="bottom"/>
          </w:tcPr>
          <w:p>
            <w:pPr>
              <w:spacing w:after="0"/>
              <w:rPr>
                <w:sz w:val="8"/>
                <w:szCs w:val="8"/>
                <w:color w:val="auto"/>
              </w:rPr>
            </w:pPr>
          </w:p>
        </w:tc>
        <w:tc>
          <w:tcPr>
            <w:tcW w:w="475"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beginning of period</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82,344</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36.99</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55,238</w:t>
            </w:r>
          </w:p>
        </w:tc>
        <w:tc>
          <w:tcPr>
            <w:tcW w:w="720" w:type="dxa"/>
            <w:vAlign w:val="bottom"/>
            <w:shd w:val="clear" w:color="auto" w:fill="CCEEFF"/>
          </w:tcPr>
          <w:p>
            <w:pPr>
              <w:spacing w:after="0"/>
              <w:rPr>
                <w:sz w:val="18"/>
                <w:szCs w:val="18"/>
                <w:color w:val="auto"/>
              </w:rPr>
            </w:pPr>
          </w:p>
        </w:tc>
        <w:tc>
          <w:tcPr>
            <w:tcW w:w="125"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75"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9,835</w:t>
            </w:r>
          </w:p>
        </w:tc>
        <w:tc>
          <w:tcPr>
            <w:tcW w:w="140" w:type="dxa"/>
            <w:vAlign w:val="bottom"/>
          </w:tcPr>
          <w:p>
            <w:pPr>
              <w:spacing w:after="0"/>
              <w:rPr>
                <w:sz w:val="18"/>
                <w:szCs w:val="18"/>
                <w:color w:val="auto"/>
              </w:rPr>
            </w:pPr>
          </w:p>
        </w:tc>
        <w:tc>
          <w:tcPr>
            <w:tcW w:w="7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33.45</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25" w:type="dxa"/>
            <w:vAlign w:val="bottom"/>
          </w:tcPr>
          <w:p>
            <w:pPr>
              <w:spacing w:after="0"/>
              <w:rPr>
                <w:sz w:val="18"/>
                <w:szCs w:val="18"/>
                <w:color w:val="auto"/>
              </w:rPr>
            </w:pPr>
          </w:p>
        </w:tc>
        <w:tc>
          <w:tcPr>
            <w:tcW w:w="475"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8"/>
              </w:rPr>
              <w:t>(1,552)</w:t>
            </w:r>
          </w:p>
        </w:tc>
        <w:tc>
          <w:tcPr>
            <w:tcW w:w="7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24.17</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w w:val="98"/>
              </w:rPr>
              <w:t>(1,739)</w:t>
            </w:r>
          </w:p>
        </w:tc>
        <w:tc>
          <w:tcPr>
            <w:tcW w:w="125"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75"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Forfeited, expired or cancelled</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8"/>
              </w:rPr>
              <w:t>(4,747)</w:t>
            </w:r>
          </w:p>
        </w:tc>
        <w:tc>
          <w:tcPr>
            <w:tcW w:w="7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38.74</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(879)</w:t>
            </w:r>
          </w:p>
        </w:tc>
        <w:tc>
          <w:tcPr>
            <w:tcW w:w="125"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75"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1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475"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5" w:type="dxa"/>
            <w:vAlign w:val="bottom"/>
          </w:tcPr>
          <w:p>
            <w:pPr>
              <w:spacing w:after="0"/>
              <w:rPr>
                <w:sz w:val="8"/>
                <w:szCs w:val="8"/>
                <w:color w:val="auto"/>
              </w:rPr>
            </w:pPr>
          </w:p>
        </w:tc>
        <w:tc>
          <w:tcPr>
            <w:tcW w:w="475"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end of period</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85,880</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36.80</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52,620</w:t>
            </w:r>
          </w:p>
        </w:tc>
        <w:tc>
          <w:tcPr>
            <w:tcW w:w="720" w:type="dxa"/>
            <w:vAlign w:val="bottom"/>
            <w:shd w:val="clear" w:color="auto" w:fill="CCEEFF"/>
          </w:tcPr>
          <w:p>
            <w:pPr>
              <w:spacing w:after="0"/>
              <w:rPr>
                <w:sz w:val="18"/>
                <w:szCs w:val="18"/>
                <w:color w:val="auto"/>
              </w:rPr>
            </w:pPr>
          </w:p>
        </w:tc>
        <w:tc>
          <w:tcPr>
            <w:tcW w:w="125"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75"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12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25" w:type="dxa"/>
            <w:vAlign w:val="bottom"/>
            <w:tcBorders>
              <w:bottom w:val="single" w:sz="8" w:color="auto"/>
            </w:tcBorders>
          </w:tcPr>
          <w:p>
            <w:pPr>
              <w:spacing w:after="0"/>
              <w:rPr>
                <w:sz w:val="11"/>
                <w:szCs w:val="11"/>
                <w:color w:val="auto"/>
              </w:rPr>
            </w:pPr>
          </w:p>
        </w:tc>
        <w:tc>
          <w:tcPr>
            <w:tcW w:w="475"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5" w:type="dxa"/>
            <w:vAlign w:val="bottom"/>
          </w:tcPr>
          <w:p>
            <w:pPr>
              <w:spacing w:after="0"/>
              <w:rPr>
                <w:sz w:val="9"/>
                <w:szCs w:val="9"/>
                <w:color w:val="auto"/>
              </w:rPr>
            </w:pPr>
          </w:p>
        </w:tc>
        <w:tc>
          <w:tcPr>
            <w:tcW w:w="475"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end of period</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49,519</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41.80</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48,297</w:t>
            </w:r>
          </w:p>
        </w:tc>
        <w:tc>
          <w:tcPr>
            <w:tcW w:w="720" w:type="dxa"/>
            <w:vAlign w:val="bottom"/>
            <w:shd w:val="clear" w:color="auto" w:fill="CCEEFF"/>
          </w:tcPr>
          <w:p>
            <w:pPr>
              <w:spacing w:after="0"/>
              <w:rPr>
                <w:sz w:val="18"/>
                <w:szCs w:val="18"/>
                <w:color w:val="auto"/>
              </w:rPr>
            </w:pPr>
          </w:p>
        </w:tc>
        <w:tc>
          <w:tcPr>
            <w:tcW w:w="125"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75"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12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25" w:type="dxa"/>
            <w:vAlign w:val="bottom"/>
            <w:tcBorders>
              <w:bottom w:val="single" w:sz="8" w:color="auto"/>
            </w:tcBorders>
          </w:tcPr>
          <w:p>
            <w:pPr>
              <w:spacing w:after="0"/>
              <w:rPr>
                <w:sz w:val="11"/>
                <w:szCs w:val="11"/>
                <w:color w:val="auto"/>
              </w:rPr>
            </w:pPr>
          </w:p>
        </w:tc>
        <w:tc>
          <w:tcPr>
            <w:tcW w:w="475"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-329565</wp:posOffset>
            </wp:positionV>
            <wp:extent cx="127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-329565</wp:posOffset>
            </wp:positionV>
            <wp:extent cx="3873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-329565</wp:posOffset>
            </wp:positionV>
            <wp:extent cx="1270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-329565</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-329565</wp:posOffset>
            </wp:positionV>
            <wp:extent cx="2159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-329565</wp:posOffset>
            </wp:positionV>
            <wp:extent cx="1270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-329565</wp:posOffset>
            </wp:positionV>
            <wp:extent cx="3873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-329565</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-329565</wp:posOffset>
            </wp:positionV>
            <wp:extent cx="1270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-329565</wp:posOffset>
            </wp:positionV>
            <wp:extent cx="2159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-29210</wp:posOffset>
            </wp:positionV>
            <wp:extent cx="1270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-29210</wp:posOffset>
            </wp:positionV>
            <wp:extent cx="3873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-29210</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-29210</wp:posOffset>
            </wp:positionV>
            <wp:extent cx="127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-29210</wp:posOffset>
            </wp:positionV>
            <wp:extent cx="2159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-29210</wp:posOffset>
            </wp:positionV>
            <wp:extent cx="127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-29210</wp:posOffset>
            </wp:positionV>
            <wp:extent cx="3873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-29210</wp:posOffset>
            </wp:positionV>
            <wp:extent cx="127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-29210</wp:posOffset>
            </wp:positionV>
            <wp:extent cx="2159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of our restricted stock plan during the nine months ended September 30, 2005 (shares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560" w:type="dxa"/>
            <w:vAlign w:val="bottom"/>
          </w:tcPr>
          <w:p>
            <w:pPr>
              <w:spacing w:after="0"/>
              <w:rPr>
                <w:sz w:val="13"/>
                <w:szCs w:val="13"/>
                <w:color w:val="auto"/>
              </w:rPr>
            </w:pPr>
          </w:p>
        </w:tc>
        <w:tc>
          <w:tcPr>
            <w:tcW w:w="1880" w:type="dxa"/>
            <w:vAlign w:val="bottom"/>
            <w:gridSpan w:val="2"/>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w w:val="92"/>
              </w:rPr>
              <w:t>Class A</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5"/>
              </w:rPr>
              <w:t>Class A Special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60" w:type="dxa"/>
            <w:vAlign w:val="bottom"/>
          </w:tcPr>
          <w:p>
            <w:pPr>
              <w:spacing w:after="0"/>
              <w:rPr>
                <w:sz w:val="12"/>
                <w:szCs w:val="12"/>
                <w:color w:val="auto"/>
              </w:rPr>
            </w:pPr>
          </w:p>
        </w:tc>
        <w:tc>
          <w:tcPr>
            <w:tcW w:w="1880" w:type="dxa"/>
            <w:vAlign w:val="bottom"/>
            <w:gridSpan w:val="2"/>
          </w:tcPr>
          <w:p>
            <w:pPr>
              <w:jc w:val="center"/>
              <w:ind w:right="9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Common Stock</w:t>
            </w:r>
          </w:p>
        </w:tc>
        <w:tc>
          <w:tcPr>
            <w:tcW w:w="9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Common Stock</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560" w:type="dxa"/>
            <w:vAlign w:val="bottom"/>
          </w:tcPr>
          <w:p>
            <w:pPr>
              <w:spacing w:after="0"/>
              <w:rPr>
                <w:sz w:val="15"/>
                <w:szCs w:val="15"/>
                <w:color w:val="auto"/>
              </w:rPr>
            </w:pPr>
          </w:p>
        </w:tc>
        <w:tc>
          <w:tcPr>
            <w:tcW w:w="1880" w:type="dxa"/>
            <w:vAlign w:val="bottom"/>
            <w:gridSpan w:val="2"/>
          </w:tcPr>
          <w:p>
            <w:pPr>
              <w:jc w:val="center"/>
              <w:ind w:right="1000"/>
              <w:spacing w:after="0"/>
              <w:rPr>
                <w:sz w:val="20"/>
                <w:szCs w:val="20"/>
                <w:color w:val="auto"/>
              </w:rPr>
            </w:pPr>
            <w:r>
              <w:rPr>
                <w:rFonts w:ascii="Times New Roman" w:cs="Times New Roman" w:eastAsia="Times New Roman" w:hAnsi="Times New Roman"/>
                <w:sz w:val="14"/>
                <w:szCs w:val="14"/>
                <w:b w:val="1"/>
                <w:bCs w:val="1"/>
                <w:color w:val="auto"/>
                <w:w w:val="94"/>
              </w:rPr>
              <w:t>Awards</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4"/>
              </w:rPr>
              <w:t>Awards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56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98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60" w:type="dxa"/>
            <w:vAlign w:val="bottom"/>
          </w:tcPr>
          <w:p>
            <w:pPr>
              <w:spacing w:after="0"/>
              <w:rPr>
                <w:sz w:val="8"/>
                <w:szCs w:val="8"/>
                <w:color w:val="auto"/>
              </w:rPr>
            </w:pPr>
          </w:p>
        </w:tc>
        <w:tc>
          <w:tcPr>
            <w:tcW w:w="900" w:type="dxa"/>
            <w:vAlign w:val="bottom"/>
          </w:tcPr>
          <w:p>
            <w:pPr>
              <w:spacing w:after="0"/>
              <w:rPr>
                <w:sz w:val="8"/>
                <w:szCs w:val="8"/>
                <w:color w:val="auto"/>
              </w:rPr>
            </w:pPr>
          </w:p>
        </w:tc>
        <w:tc>
          <w:tcPr>
            <w:tcW w:w="98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Awards outstanding at beginning of period</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w:t>
            </w:r>
          </w:p>
        </w:tc>
        <w:tc>
          <w:tcPr>
            <w:tcW w:w="9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3,835</w:t>
            </w:r>
          </w:p>
        </w:tc>
        <w:tc>
          <w:tcPr>
            <w:tcW w:w="9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Awards vested and shares issued</w:t>
            </w:r>
          </w:p>
        </w:tc>
        <w:tc>
          <w:tcPr>
            <w:tcW w:w="188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(450)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Forfeited or cancelled</w:t>
            </w:r>
          </w:p>
        </w:tc>
        <w:tc>
          <w:tcPr>
            <w:tcW w:w="188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(165)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56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98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60" w:type="dxa"/>
            <w:vAlign w:val="bottom"/>
          </w:tcPr>
          <w:p>
            <w:pPr>
              <w:spacing w:after="0"/>
              <w:rPr>
                <w:sz w:val="8"/>
                <w:szCs w:val="8"/>
                <w:color w:val="auto"/>
              </w:rPr>
            </w:pPr>
          </w:p>
        </w:tc>
        <w:tc>
          <w:tcPr>
            <w:tcW w:w="900" w:type="dxa"/>
            <w:vAlign w:val="bottom"/>
          </w:tcPr>
          <w:p>
            <w:pPr>
              <w:spacing w:after="0"/>
              <w:rPr>
                <w:sz w:val="8"/>
                <w:szCs w:val="8"/>
                <w:color w:val="auto"/>
              </w:rPr>
            </w:pPr>
          </w:p>
        </w:tc>
        <w:tc>
          <w:tcPr>
            <w:tcW w:w="98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Awards outstanding at end of period</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5,756</w:t>
            </w:r>
          </w:p>
        </w:tc>
        <w:tc>
          <w:tcPr>
            <w:tcW w:w="9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56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5448935</wp:posOffset>
            </wp:positionH>
            <wp:positionV relativeFrom="paragraph">
              <wp:posOffset>-29210</wp:posOffset>
            </wp:positionV>
            <wp:extent cx="1270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-29210</wp:posOffset>
            </wp:positionV>
            <wp:extent cx="38735"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-29210</wp:posOffset>
            </wp:positionV>
            <wp:extent cx="1270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share price of each Class A Common restricted stock grant during the nine months ended September 30, 2005, was $33.50.</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Comprehensive Income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total comprehensive income for the interim periods was as follows (dollars in millions):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40" w:type="dxa"/>
            <w:vAlign w:val="bottom"/>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29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62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w w:val="99"/>
              </w:rPr>
              <w:t>2005</w:t>
            </w: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w w:val="99"/>
              </w:rPr>
              <w:t>2004</w:t>
            </w: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gridSpan w:val="2"/>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w w:val="92"/>
              </w:rPr>
              <w:t>2005</w:t>
            </w: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w w:val="99"/>
              </w:rPr>
              <w:t>2004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29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20" w:type="dxa"/>
            <w:vAlign w:val="bottom"/>
          </w:tcPr>
          <w:p>
            <w:pPr>
              <w:spacing w:after="0"/>
              <w:rPr>
                <w:sz w:val="8"/>
                <w:szCs w:val="8"/>
                <w:color w:val="auto"/>
              </w:rPr>
            </w:pPr>
          </w:p>
        </w:tc>
        <w:tc>
          <w:tcPr>
            <w:tcW w:w="29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3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795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gains (losses) on marketable securities</w:t>
            </w:r>
          </w:p>
        </w:tc>
        <w:tc>
          <w:tcPr>
            <w:tcW w:w="2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 adjustments included in net income</w:t>
            </w:r>
          </w:p>
        </w:tc>
        <w:tc>
          <w:tcPr>
            <w:tcW w:w="2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29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Comprehensive income</w:t>
            </w:r>
          </w:p>
        </w:tc>
        <w:tc>
          <w:tcPr>
            <w:tcW w:w="3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3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849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2920" w:type="dxa"/>
            <w:vAlign w:val="bottom"/>
            <w:vMerge w:val="restart"/>
          </w:tcPr>
          <w:p>
            <w:pPr>
              <w:jc w:val="right"/>
              <w:ind w:right="1672"/>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-325755</wp:posOffset>
            </wp:positionV>
            <wp:extent cx="1270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-325755</wp:posOffset>
            </wp:positionV>
            <wp:extent cx="1270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-325755</wp:posOffset>
            </wp:positionV>
            <wp:extent cx="2159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-325755</wp:posOffset>
            </wp:positionV>
            <wp:extent cx="1270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-325755</wp:posOffset>
            </wp:positionV>
            <wp:extent cx="2159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-325755</wp:posOffset>
            </wp:positionV>
            <wp:extent cx="3873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-325755</wp:posOffset>
            </wp:positionV>
            <wp:extent cx="347345"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47345"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-325755</wp:posOffset>
            </wp:positionV>
            <wp:extent cx="1270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-325755</wp:posOffset>
            </wp:positionV>
            <wp:extent cx="2159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CORPORATION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 ENDED SEPTEMBER 30, 2005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STATEMENT OF CASH FLOWS—SUPPLEMENTAL INFORMATION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made cash payments for interest and income taxes during the interim periods as follows (dollars in millions):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4"/>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Nine Months Ended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4"/>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5"/>
              </w:rPr>
              <w:t>September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3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40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w w:val="99"/>
              </w:rPr>
              <w:t>2005</w:t>
            </w: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w w:val="99"/>
              </w:rPr>
              <w:t>2004</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w w:val="99"/>
              </w:rPr>
              <w:t>2005</w:t>
            </w: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w w:val="99"/>
              </w:rPr>
              <w:t>2004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3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0" w:type="dxa"/>
            <w:vAlign w:val="bottom"/>
          </w:tcPr>
          <w:p>
            <w:pPr>
              <w:spacing w:after="0"/>
              <w:rPr>
                <w:sz w:val="8"/>
                <w:szCs w:val="8"/>
                <w:color w:val="auto"/>
              </w:rPr>
            </w:pPr>
          </w:p>
        </w:tc>
        <w:tc>
          <w:tcPr>
            <w:tcW w:w="3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w:t>
            </w:r>
          </w:p>
        </w:tc>
        <w:tc>
          <w:tcPr>
            <w:tcW w:w="3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8"/>
              </w:rPr>
              <w:t>1,438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3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475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September 30, 2005, we:</w:t>
      </w:r>
    </w:p>
    <w:p>
      <w:pPr>
        <w:spacing w:after="0" w:line="77" w:lineRule="exact"/>
        <w:rPr>
          <w:sz w:val="20"/>
          <w:szCs w:val="20"/>
          <w:color w:val="auto"/>
        </w:rPr>
      </w:pPr>
    </w:p>
    <w:p>
      <w:pPr>
        <w:ind w:left="780" w:right="440" w:hanging="326"/>
        <w:spacing w:after="0" w:line="275" w:lineRule="auto"/>
        <w:tabs>
          <w:tab w:leader="none" w:pos="7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$170 million of intangible assets and incurred a corresponding liability in connection with the formation of the ventures in the Motorola transaction, which is considered a non-cash investing and financing activity,</w:t>
      </w:r>
    </w:p>
    <w:p>
      <w:pPr>
        <w:spacing w:after="0" w:line="25" w:lineRule="exact"/>
        <w:rPr>
          <w:rFonts w:ascii="Times New Roman" w:cs="Times New Roman" w:eastAsia="Times New Roman" w:hAnsi="Times New Roman"/>
          <w:sz w:val="18"/>
          <w:szCs w:val="18"/>
          <w:color w:val="auto"/>
        </w:rPr>
      </w:pPr>
    </w:p>
    <w:p>
      <w:pPr>
        <w:ind w:left="780" w:right="700" w:hanging="326"/>
        <w:spacing w:after="0" w:line="275" w:lineRule="auto"/>
        <w:tabs>
          <w:tab w:leader="none" w:pos="7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an investment of $40 million and incurred a corresponding liability related to the purchase of an equity method investment, which is considered a non-cash investing and financing activity, and</w:t>
      </w:r>
    </w:p>
    <w:p>
      <w:pPr>
        <w:spacing w:after="0" w:line="25" w:lineRule="exact"/>
        <w:rPr>
          <w:rFonts w:ascii="Times New Roman" w:cs="Times New Roman" w:eastAsia="Times New Roman" w:hAnsi="Times New Roman"/>
          <w:sz w:val="18"/>
          <w:szCs w:val="18"/>
          <w:color w:val="auto"/>
        </w:rPr>
      </w:pPr>
    </w:p>
    <w:p>
      <w:pPr>
        <w:ind w:left="780" w:right="460" w:hanging="326"/>
        <w:spacing w:after="0" w:line="262" w:lineRule="auto"/>
        <w:tabs>
          <w:tab w:leader="none" w:pos="7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an additional equity interest with a fair value of $45 million in one of our equity method investments and recorded a liability for a corresponding amount in connection with our achievement of certain subscriber launch milestones, which is considered a non-cash investing and operating activity.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September 30, 2004, we:</w:t>
      </w:r>
    </w:p>
    <w:p>
      <w:pPr>
        <w:spacing w:after="0" w:line="77" w:lineRule="exact"/>
        <w:rPr>
          <w:sz w:val="20"/>
          <w:szCs w:val="20"/>
          <w:color w:val="auto"/>
        </w:rPr>
      </w:pPr>
    </w:p>
    <w:p>
      <w:pPr>
        <w:ind w:left="780" w:hanging="326"/>
        <w:spacing w:after="0"/>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cable systems through the assumption of $68 million of debt which is considered a non-cash financing and investing activity, and</w:t>
      </w:r>
    </w:p>
    <w:p>
      <w:pPr>
        <w:spacing w:after="0" w:line="103" w:lineRule="exact"/>
        <w:rPr>
          <w:rFonts w:ascii="Times New Roman" w:cs="Times New Roman" w:eastAsia="Times New Roman" w:hAnsi="Times New Roman"/>
          <w:sz w:val="18"/>
          <w:szCs w:val="18"/>
          <w:color w:val="auto"/>
        </w:rPr>
      </w:pPr>
    </w:p>
    <w:p>
      <w:pPr>
        <w:ind w:left="780" w:right="20" w:hanging="326"/>
        <w:spacing w:after="0" w:line="275" w:lineRule="auto"/>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shares of G4 with a value of approximately $70 million in connection with the acquisition of Tech TV, which is considered a non-cash financing and investing activity.</w:t>
      </w:r>
    </w:p>
    <w:p>
      <w:pPr>
        <w:spacing w:after="0" w:line="106"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During the nine months ended September 30, 2005 and 2004, we entered into non-cash financing and investing activities related to certain of our Exchangeable Notes (see Note 7).</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Commitments</w:t>
      </w:r>
    </w:p>
    <w:p>
      <w:pPr>
        <w:spacing w:after="0" w:line="16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Certain of our subsidiaries support debt compliance with respect to obligations of certain cable television partnerships and investments in which we hold an ownership interest (see Note 5). The obligations expire between March 2007 and September 2010. Although there can be no assurance, we believe that we will not be required to meet our obligations under such commitments. The total notional amount of our commitments was $1.021 billion as of September 30, 2005, at which time there were no quoted market prices for similar agreements.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272" w:right="23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QUARTER ENDED SEPTEMBER 30, 2005</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1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At Home</w:t>
      </w:r>
    </w:p>
    <w:p>
      <w:pPr>
        <w:spacing w:after="0" w:line="15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Litigation has been filed against us as a result of our alleged conduct with respect to our investment in and distribution relationship with At Home Corporation. At Home was a provider of high-speed Internet services that filed for bankruptcy protection in September 2001. Filed actions are: (i) class action lawsuits against us, Brian L. Roberts (our Chairman and Chief Executive Officer and a director), AT&amp;T (the former controlling shareholder of At Home and also a former distributor of the At Home service) and others in the Superior Court of San Mateo County, California, alleging breaches of fiduciary duty in connection with transactions agreed to in March 2000 among At Home, AT&amp;T, Cox Communications, Inc. (Cox is also an investor in At Home and a former distributor of the At Home service) and us; (ii) class action lawsuits brought in the name of At Home’s shareholders against us, AT&amp;T and others in the United States District Court for the Southern District of New York, alleging securities law violations and common law fraud in connection with disclosures made by At Home in 2001; (iii) a lawsuit brought by an individual At Home shareholder in the United States District Court for the Southern District of New York against us, AT&amp;T and others making substantively similar allegations concerning At Home’s disclosures as the class action described in item (ii) above; (iv) a lawsuit brought in the United States District Court for the District of Delaware in the name of At Home by certain At Home bondholders against us, Brian L. Roberts, Cox and others, alleging breaches of fiduciary duty relating to the March 2000 transactions and seeking recovery of alleged short-swing profits of at least $600 million, pursuant to Section 16(b) of the Securities Exchange Act of 1934, as amended (“the 1934 Act”), purported to have arisen in connection with certain transactions relating to At Home stock, effected pursuant to the March 2000 agreements; (v) a lawsuit brought by At Home’s bondholders in the Delaware Court of Chancery against us, Brian L. Roberts, Cox and others alleging breaches of fiduciary duty relating to the March 2000 transactions; and (vi) a lawsuit brought in the United States Bankruptcy Court for the Northern District of California by certain At Home bondholders against us, AT&amp;T, AT&amp;T Credit Holdings, Inc. and AT&amp;T Wireless Services, Inc., seeking to avoid and recover certain alleged “preference” payments in excess of $89 million, allegedly made to the defendants prior to the At Home bankruptcy filing.</w:t>
      </w:r>
    </w:p>
    <w:p>
      <w:pPr>
        <w:spacing w:after="0" w:line="127" w:lineRule="exact"/>
        <w:rPr>
          <w:sz w:val="20"/>
          <w:szCs w:val="20"/>
          <w:color w:val="auto"/>
        </w:rPr>
      </w:pPr>
    </w:p>
    <w:p>
      <w:pPr>
        <w:ind w:right="40"/>
        <w:spacing w:after="0" w:line="283" w:lineRule="auto"/>
        <w:rPr>
          <w:sz w:val="20"/>
          <w:szCs w:val="20"/>
          <w:color w:val="auto"/>
        </w:rPr>
      </w:pPr>
      <w:r>
        <w:rPr>
          <w:rFonts w:ascii="Times New Roman" w:cs="Times New Roman" w:eastAsia="Times New Roman" w:hAnsi="Times New Roman"/>
          <w:sz w:val="16"/>
          <w:szCs w:val="16"/>
          <w:color w:val="auto"/>
        </w:rPr>
        <w:t>The actions in San Mateo County, California (item (i) above), have been stayed by the United States Bankruptcy Court for the Northern District of California, the court in which At Home filed for bankruptcy, as violating the automatic bankruptcy stay. The decision to stay the actions was affirmed by the District Court, and an appeal to the Court of Appeals for the Ninth Circuit is pending, with oral argument scheduled for November 14, 2005. In the Southern District of New York actions (item (ii) above), the court has dismissed the common law fraud claims against all defendants, leaving only the securities law claims. In a subsequent decision, the court limited the remaining claims against us and Mr. Roberts to disclosures that are alleged to have been made by At Home prior to August 28, 2000. On March 10, 2005, the court certified a class of all purchasers of publicly traded At Home stock between March 28, 2000, and September 28, 2001. Plaintiffs have moved to amend the complaint so as to move the commencement of the class period back to November 9, 1999. We are opposing this amendment. We have also moved to dismiss this class action on the grounds that Plaintiffs cannot adequately plead loss causation. The individual shareholder’s action (item</w:t>
      </w:r>
    </w:p>
    <w:p>
      <w:pPr>
        <w:spacing w:after="0" w:line="5" w:lineRule="exact"/>
        <w:rPr>
          <w:sz w:val="20"/>
          <w:szCs w:val="20"/>
          <w:color w:val="auto"/>
        </w:rPr>
      </w:pPr>
    </w:p>
    <w:p>
      <w:pPr>
        <w:ind w:right="140" w:firstLine="8"/>
        <w:spacing w:after="0" w:line="254" w:lineRule="auto"/>
        <w:tabs>
          <w:tab w:leader="none" w:pos="30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has been stayed until the court in the class action rules on the pending motions. The Delaware case (item (iv) above) was transferred to the United States District Court for the Southern District of New York. The court dismissed the Section 16(b) claims against us for failure to state a claim and the breach of fiduciary duty claim for lack of federal jurisdiction. The plaintiffs have appealed the decision dismissing the Section 16(b) claims. Oral argument was held on October 17, 2005, and the court reserved its decision. The Bondholders have also recommenced the breach of fiduciary duty claim</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00"/>
          </w:cols>
          <w:pgMar w:left="240" w:top="272" w:right="259" w:bottom="1440" w:gutter="0" w:footer="0" w:header="0"/>
        </w:sectPr>
      </w:pPr>
    </w:p>
    <w:bookmarkStart w:id="17" w:name="page18"/>
    <w:bookmarkEnd w:id="17"/>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CORPORATION AND SUBSIDIARIES</w:t>
      </w:r>
    </w:p>
    <w:p>
      <w:pPr>
        <w:spacing w:after="0" w:line="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QUARTER ENDED SEPTEMBER 30, 2005</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5"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18"/>
          <w:szCs w:val="18"/>
          <w:color w:val="auto"/>
        </w:rPr>
        <w:t>in Delaware Chancery Court (item (v) above. The action in the United States Bankruptcy Court for the Northern District of California (item (v) above) was dismissed upon approval by the Bankruptcy Court of the settlement between At Home’s bondholders and AT&amp;T described below.</w:t>
      </w:r>
    </w:p>
    <w:p>
      <w:pPr>
        <w:spacing w:after="0" w:line="106"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16"/>
          <w:szCs w:val="16"/>
          <w:color w:val="auto"/>
        </w:rPr>
        <w:t>Under the terms of the Broadband acquisition, we are contractually liable for 50% of any liabilities of AT&amp;T relating to certain At Home litigation. For litigation in which we are contractually liable for 50% of any liabilities, AT&amp;T will be liable for the other 50%. In addition to the actions against AT&amp;T described in items (i), (ii) and (iv) above, (in which we are also a defendant), such litigation matters included two additional actions brought by At Home’s bondholders’ liquidating trust against AT&amp;T (and not naming us): (i) a lawsuit filed against AT&amp;T and certain of its senior officers in Santa Clara, California, state court alleging various breaches of fiduciary duties, misappropriation of trade secrets and other causes of action in connection with the transactions and prior and subsequent alleged conduct on the part of the defendants and (ii) an action filed against AT&amp;T in the District Court for the Northern District of California, alleging that AT&amp;T infringes an At Home patent by using its broadband distribution and high-speed Internet backbone networks and equipment.</w:t>
      </w:r>
    </w:p>
    <w:p>
      <w:pPr>
        <w:spacing w:after="0" w:line="10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May 2005, At Home bondholders’ liquidating trust and AT&amp;T agreed to settle these two actions. Pursuant to the settlement, AT&amp;T agreed to pay $340 million to the bondholders’ liquidating trust. The settlement is subject to the approval of the Bankruptcy Court. Upon approval, these two actions, as well as the action described in item (iv) above, will be dismissed. As a result of the settlement by AT&amp;T, we recorded a $170 million charge to other income (expense), reflecting our portion of the settlement amount, in our first quarter financial results. In May 2005, we paid $170 million representing our share of the settlement amount to AT&amp;T, and we have classified such payment as an operating activity in our statement of cash flows.</w:t>
      </w:r>
    </w:p>
    <w:p>
      <w:pPr>
        <w:spacing w:after="0" w:line="12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deny any wrongdoing in connection with the claims that have been made directly against us, our subsidiaries and Brian L. Roberts, and are defending all of these claims vigorously. The final disposition of these claims is not expected to have a material adverse effect on our consolidated financial position but could possibly be material to our consolidated results of operations of any one period. Further, no assurance can be given that any adverse outcome would not be material to our consolidated financial position.</w:t>
      </w:r>
    </w:p>
    <w:p>
      <w:pPr>
        <w:spacing w:after="0" w:line="1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AT&amp;T—Wireless and Common Stock Cases</w:t>
      </w:r>
    </w:p>
    <w:p>
      <w:pPr>
        <w:spacing w:after="0" w:line="158" w:lineRule="exact"/>
        <w:rPr>
          <w:sz w:val="20"/>
          <w:szCs w:val="20"/>
          <w:color w:val="auto"/>
        </w:rPr>
      </w:pPr>
    </w:p>
    <w:p>
      <w:pPr>
        <w:ind w:right="360"/>
        <w:spacing w:after="0" w:line="310" w:lineRule="auto"/>
        <w:rPr>
          <w:sz w:val="20"/>
          <w:szCs w:val="20"/>
          <w:color w:val="auto"/>
        </w:rPr>
      </w:pPr>
      <w:r>
        <w:rPr>
          <w:rFonts w:ascii="Times New Roman" w:cs="Times New Roman" w:eastAsia="Times New Roman" w:hAnsi="Times New Roman"/>
          <w:sz w:val="16"/>
          <w:szCs w:val="16"/>
          <w:color w:val="auto"/>
        </w:rPr>
        <w:t>Under the terms of the Broadband acquisition, we are potentially responsible for a portion of the liabilities arising from two purported securities class action lawsuits brought against AT&amp;T and others and consolidated for pre-trial purposes in the United States District Court for the District of New Jersey. These lawsuits assert claims under Section 11 and Section 12(a)(2) of the Securities Act of 1933, as amended, and Section 10(b) of the 1934 Act.</w:t>
      </w:r>
    </w:p>
    <w:p>
      <w:pPr>
        <w:spacing w:after="0" w:line="84" w:lineRule="exact"/>
        <w:rPr>
          <w:sz w:val="20"/>
          <w:szCs w:val="20"/>
          <w:color w:val="auto"/>
        </w:rPr>
      </w:pPr>
    </w:p>
    <w:p>
      <w:pPr>
        <w:ind w:right="120"/>
        <w:spacing w:after="0" w:line="296" w:lineRule="auto"/>
        <w:rPr>
          <w:sz w:val="20"/>
          <w:szCs w:val="20"/>
          <w:color w:val="auto"/>
        </w:rPr>
      </w:pPr>
      <w:r>
        <w:rPr>
          <w:rFonts w:ascii="Times New Roman" w:cs="Times New Roman" w:eastAsia="Times New Roman" w:hAnsi="Times New Roman"/>
          <w:sz w:val="16"/>
          <w:szCs w:val="16"/>
          <w:color w:val="auto"/>
        </w:rPr>
        <w:t>The first lawsuit, for which our portion of any loss is up to 15%, alleges, among other things, that AT&amp;T made material misstatements and omissions in the Registration Statement and Prospectus for the AT&amp;T Wireless initial public offering (“Wireless Case”). In March 2004, the plaintiffs, and AT&amp;T and the other defendants, moved for summary judgment in the Wireless Case. The New Jersey District Court denied the motions, and the Judicial Panel on Multidistrict Litigation remanded the cases for trial to the United States District Court for the Southern District of New York, where they had originally been brought. A trial date has been set for April 19, 2006. We and AT&amp;T believe that AT&amp;T has meritorious defenses in the Wireless Case, and it is being vigorously defended.</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340"/>
          </w:cols>
          <w:pgMar w:left="240" w:top="272" w:right="31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QUARTER ENDED SEPTEMBER 30, 2005</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5"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The second lawsuit, for which our portion of any loss is 50%, alleges, among other things, that AT&amp;T knowingly provided false projections relating to AT&amp;T common stock (“Common Stock Case”). In October 2004, the plaintiffs, and AT&amp;T and the other defendants, agreed to settle the Common Stock Case for $100 million. In April 2005, the court entered an order approving the proposed settlement. In May 2005, we paid $50 million representing our share of the settlement cost to AT&amp;T and we have classified such payment as an operating activity in our statement of cash flows.</w:t>
      </w:r>
    </w:p>
    <w:p>
      <w:pPr>
        <w:spacing w:after="0" w:line="123" w:lineRule="exact"/>
        <w:rPr>
          <w:sz w:val="20"/>
          <w:szCs w:val="20"/>
          <w:color w:val="auto"/>
        </w:rPr>
      </w:pPr>
    </w:p>
    <w:p>
      <w:pPr>
        <w:ind w:right="280"/>
        <w:spacing w:after="0" w:line="257" w:lineRule="auto"/>
        <w:rPr>
          <w:sz w:val="20"/>
          <w:szCs w:val="20"/>
          <w:color w:val="auto"/>
        </w:rPr>
      </w:pPr>
      <w:r>
        <w:rPr>
          <w:rFonts w:ascii="Times New Roman" w:cs="Times New Roman" w:eastAsia="Times New Roman" w:hAnsi="Times New Roman"/>
          <w:sz w:val="18"/>
          <w:szCs w:val="18"/>
          <w:color w:val="auto"/>
        </w:rPr>
        <w:t>In November 2004, AT&amp;T brought suit against the D&amp;O insurers in Delaware Superior Court, seeking a declaration of coverage and damages in the At Home cases, the Wireless Case and the Common Stock Case. This litigation is in its very early stages.</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AT&amp;T—TCI</w:t>
      </w:r>
    </w:p>
    <w:p>
      <w:pPr>
        <w:spacing w:after="0" w:line="14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 June 1998, the first of a number of purported class action lawsuits was filed by then-shareholders of Tele-Communications, Inc. (“TCI”) Series A TCI Group Common Stock (“Common A”) against AT&amp;T and the directors of TCI relating to the acquisition of TCI by AT&amp;T. A consolidated amended complaint combining the various different actions was filed in February 1999 in the Delaware Court of Chancery. The consolidated amended complaint alleges that former members of the TCI board of directors breached their fiduciary duties to Common A shareholders by agreeing to transaction terms whereby holders of the Series B TCI Group Common Stock received a 10% premium over what Common A shareholders received in connection with the transaction. The complaint further alleges that AT&amp;T aided and abetted the TCI directors’ breach of their fiduciary duties.</w:t>
      </w:r>
    </w:p>
    <w:p>
      <w:pPr>
        <w:spacing w:after="0" w:line="12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connection with the TCI acquisition, which was completed in early 1999, AT&amp;T agreed under certain circumstances to indemnify TCI’s former directors for certain losses, expenses, claims or liabilities, potentially including those incurred in connection with this action. In connection with the Broadband acquisition, we agreed to indemnify AT&amp;T for certain losses, expenses, claims or liabilities. Those losses and expenses potentially include those incurred by AT&amp;T in connection with this action, both as a defendant and in connection with any obligation that AT&amp;T may have to indemnify the former TCI directors for liabilities incurred as a result of the claims against them.</w:t>
      </w:r>
    </w:p>
    <w:p>
      <w:pPr>
        <w:spacing w:after="0" w:line="12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July 2003, the Delaware Court of Chancery granted AT&amp;T’s motion to dismiss on the ground that the complaint failed to adequately plead AT&amp;T’s “knowing participation,” as required to state a claim for aiding and abetting a breach of fiduciary duty. The other claims made in the complaint remain outstanding. Fact discovery in this matter is now closed. In February 2005, the former TCI director defendants filed a motion for summary judgment. In April 2005, plaintiffs filed their brief in opposition.</w:t>
      </w:r>
    </w:p>
    <w:p>
      <w:pPr>
        <w:spacing w:after="0" w:line="123"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The final disposition of these claims is not expected to have a material adverse effect on our consolidated financial position but could possibly be material to our consolidated results of operations of any one period. Further, no assurance can be given that any adverse outcome would not be material to our consolidated financial position.</w:t>
      </w:r>
    </w:p>
    <w:p>
      <w:pPr>
        <w:spacing w:after="0" w:line="1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Acacia</w:t>
      </w:r>
    </w:p>
    <w:p>
      <w:pPr>
        <w:spacing w:after="0" w:line="15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In June 2004, Acacia Media Technologies Corporation (“Acacia”) filed a lawsuit against us and others in the United States District Court for the Northern District of California. The complaint alleges infringement of certain United States patents that allegedly relate to systems and methods for transmitting and/or receiving digital audio</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272" w:right="259" w:bottom="1440" w:gutter="0" w:footer="0" w:header="0"/>
        </w:sectPr>
      </w:pPr>
    </w:p>
    <w:bookmarkStart w:id="19" w:name="page20"/>
    <w:bookmarkEnd w:id="1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CORPORATION AND SUBSIDIARIES</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QUARTER ENDED SEPTEMBER 30, 2005</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and video content. The complaint seeks injunctive relief and damages in an unspecified amount. In the event that a Court ultimately determines that we infringe on any of the patents, we may be subject to substantial damages, which may include treble damages and/or an injunction that could require us to materially modify certain products and services that we currently offer to subscribers. We believe that the claims are without merit and intend to defend the action vigorously.</w:t>
      </w:r>
    </w:p>
    <w:p>
      <w:pPr>
        <w:spacing w:after="0" w:line="123"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color w:val="auto"/>
        </w:rPr>
        <w:t>The final disposition of this claim is not expected to have a material adverse effect on our consolidated financial position but could possibly be material to our consolidated results of operations of any one period. Further, no assurance can be given that any adverse outcome would not be material to our consolidated financial position.</w:t>
      </w:r>
    </w:p>
    <w:p>
      <w:pPr>
        <w:spacing w:after="0" w:line="1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Other</w:t>
      </w:r>
    </w:p>
    <w:p>
      <w:pPr>
        <w:spacing w:after="0" w:line="158"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We are subject to other legal proceedings and claims that arise in the ordinary course of our business. The amount of ultimate liability with respect to such actions is not expected to materially affect our financial position, results of operations or liquidity.</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380"/>
          </w:cols>
          <w:pgMar w:left="240" w:top="272" w:right="27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CORPORATION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 ENDED SEPTEMBER 30, 2005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FINANCIAL DATA BY BUSINESS SEGMENT</w:t>
      </w:r>
    </w:p>
    <w:p>
      <w:pPr>
        <w:spacing w:after="0" w:line="16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Our reportable segments consist of our Cable and Content businesses. Our content segment consists of our national networks E! Entertainment and Style Network, The Golf Channel, OLN, G4 and AZN Television (formerly known as International Channel). In evaluating the profitability of our segments, the components of net income (loss) below operating income (loss) before depreciation and amortization are not separately evaluated by our management (dollars in millions).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Cable(1)</w:t>
            </w:r>
          </w:p>
        </w:tc>
        <w:tc>
          <w:tcPr>
            <w:tcW w:w="260" w:type="dxa"/>
            <w:vAlign w:val="bottom"/>
          </w:tcPr>
          <w:p>
            <w:pPr>
              <w:spacing w:after="0"/>
              <w:rPr>
                <w:sz w:val="15"/>
                <w:szCs w:val="15"/>
                <w:color w:val="auto"/>
              </w:rPr>
            </w:pPr>
          </w:p>
        </w:tc>
        <w:tc>
          <w:tcPr>
            <w:tcW w:w="7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Content</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Other(2)</w:t>
            </w:r>
          </w:p>
        </w:tc>
        <w:tc>
          <w:tcPr>
            <w:tcW w:w="260" w:type="dxa"/>
            <w:vAlign w:val="bottom"/>
          </w:tcPr>
          <w:p>
            <w:pPr>
              <w:spacing w:after="0"/>
              <w:rPr>
                <w:sz w:val="15"/>
                <w:szCs w:val="15"/>
                <w:color w:val="auto"/>
              </w:rPr>
            </w:pPr>
          </w:p>
        </w:tc>
        <w:tc>
          <w:tcPr>
            <w:tcW w:w="124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5"/>
              </w:rPr>
              <w:t>Eliminations(3)</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000" w:type="dxa"/>
            <w:vAlign w:val="bottom"/>
            <w:tcBorders>
              <w:bottom w:val="single" w:sz="8" w:color="auto"/>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w w:val="96"/>
              </w:rPr>
              <w:t>Three Months Ended September 30, 2005</w:t>
            </w:r>
          </w:p>
        </w:tc>
        <w:tc>
          <w:tcPr>
            <w:tcW w:w="20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Revenues(4)</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5,319</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237</w:t>
            </w: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54</w:t>
            </w:r>
          </w:p>
        </w:tc>
        <w:tc>
          <w:tcPr>
            <w:tcW w:w="54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 before depreciation and amortization(5)</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2,116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(89)</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1,168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948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899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1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000" w:type="dxa"/>
            <w:vAlign w:val="bottom"/>
            <w:tcBorders>
              <w:bottom w:val="single" w:sz="8" w:color="auto"/>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w w:val="96"/>
              </w:rPr>
              <w:t>Three Months Ended September 30, 2004</w:t>
            </w:r>
          </w:p>
        </w:tc>
        <w:tc>
          <w:tcPr>
            <w:tcW w:w="20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Revenues(4)</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4,844</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207</w:t>
            </w: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69</w:t>
            </w:r>
          </w:p>
        </w:tc>
        <w:tc>
          <w:tcPr>
            <w:tcW w:w="54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 before depreciation and amortization(5)</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1,858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(60)</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1,112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746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(85)</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871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1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920" w:type="dxa"/>
            <w:vAlign w:val="bottom"/>
            <w:tcBorders>
              <w:bottom w:val="single" w:sz="8" w:color="auto"/>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w w:val="96"/>
              </w:rPr>
              <w:t>Nine Months Ended September 30, 2005</w:t>
            </w:r>
          </w:p>
        </w:tc>
        <w:tc>
          <w:tcPr>
            <w:tcW w:w="2120" w:type="dxa"/>
            <w:vAlign w:val="bottom"/>
            <w:tcBorders>
              <w:bottom w:val="single" w:sz="8" w:color="CCEEFF"/>
            </w:tcBorders>
            <w:gridSpan w:val="2"/>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Revenues(4)</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15,750</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684</w:t>
            </w: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211</w:t>
            </w:r>
          </w:p>
        </w:tc>
        <w:tc>
          <w:tcPr>
            <w:tcW w:w="54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(106)</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 before depreciation and amortization(5)</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6,286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(187)</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3,393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51</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2,893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(238)</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2,718</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1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920" w:type="dxa"/>
            <w:vAlign w:val="bottom"/>
            <w:tcBorders>
              <w:bottom w:val="single" w:sz="8" w:color="auto"/>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w w:val="96"/>
              </w:rPr>
              <w:t>Nine Months Ended September 30, 2004</w:t>
            </w:r>
          </w:p>
        </w:tc>
        <w:tc>
          <w:tcPr>
            <w:tcW w:w="2120" w:type="dxa"/>
            <w:vAlign w:val="bottom"/>
            <w:tcBorders>
              <w:bottom w:val="single" w:sz="8" w:color="CCEEFF"/>
            </w:tcBorders>
            <w:gridSpan w:val="2"/>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Revenues(4)</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14,329</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582</w:t>
            </w: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257</w:t>
            </w:r>
          </w:p>
        </w:tc>
        <w:tc>
          <w:tcPr>
            <w:tcW w:w="54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(96)</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 before depreciation and amortization(5)</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5,497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(158)</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3,172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75</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2,325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(233)</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2,578</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1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4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rPr>
              <w:t>As of September 30, 2005</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Assets</w:t>
            </w:r>
          </w:p>
        </w:tc>
        <w:tc>
          <w:tcPr>
            <w:tcW w:w="3220" w:type="dxa"/>
            <w:vAlign w:val="bottom"/>
            <w:tcBorders>
              <w:top w:val="single" w:sz="8" w:color="CCEEFF"/>
            </w:tcBorders>
            <w:gridSpan w:val="3"/>
          </w:tcPr>
          <w:p>
            <w:pPr>
              <w:spacing w:after="0"/>
              <w:rPr>
                <w:sz w:val="18"/>
                <w:szCs w:val="18"/>
                <w:color w:val="auto"/>
              </w:rPr>
            </w:pPr>
          </w:p>
        </w:tc>
        <w:tc>
          <w:tcPr>
            <w:tcW w:w="58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CCEEFF"/>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101,633</w:t>
            </w:r>
          </w:p>
        </w:tc>
        <w:tc>
          <w:tcPr>
            <w:tcW w:w="360" w:type="dxa"/>
            <w:vAlign w:val="bottom"/>
            <w:tcBorders>
              <w:top w:val="single" w:sz="8" w:color="CCEEFF"/>
            </w:tcBorders>
            <w:gridSpan w:val="2"/>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CCEEFF"/>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3"/>
              </w:rPr>
              <w:t>2,464</w:t>
            </w:r>
          </w:p>
        </w:tc>
        <w:tc>
          <w:tcPr>
            <w:tcW w:w="400" w:type="dxa"/>
            <w:vAlign w:val="bottom"/>
            <w:tcBorders>
              <w:top w:val="single" w:sz="8" w:color="CCEEFF"/>
            </w:tcBorders>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CCEEFF"/>
            </w:tcBorders>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2,528</w:t>
            </w:r>
          </w:p>
        </w:tc>
        <w:tc>
          <w:tcPr>
            <w:tcW w:w="540" w:type="dxa"/>
            <w:vAlign w:val="bottom"/>
            <w:tcBorders>
              <w:top w:val="single" w:sz="8" w:color="CCEEFF"/>
            </w:tcBorders>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CCEEFF"/>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(3,228)</w:t>
            </w:r>
          </w:p>
        </w:tc>
        <w:tc>
          <w:tcPr>
            <w:tcW w:w="36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5"/>
              </w:rPr>
              <w:t>103,397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0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w w:val="95"/>
              </w:rPr>
              <w:t>As of December 31, 2004</w:t>
            </w:r>
          </w:p>
        </w:tc>
        <w:tc>
          <w:tcPr>
            <w:tcW w:w="3240" w:type="dxa"/>
            <w:vAlign w:val="bottom"/>
            <w:tcBorders>
              <w:bottom w:val="single" w:sz="8" w:color="CCEEFF"/>
            </w:tcBorders>
            <w:gridSpan w:val="4"/>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Assets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103,727</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3"/>
              </w:rPr>
              <w:t>2,533</w:t>
            </w: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1,112</w:t>
            </w:r>
          </w:p>
        </w:tc>
        <w:tc>
          <w:tcPr>
            <w:tcW w:w="54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(2,678)</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104,694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4612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83" w:lineRule="exact"/>
        <w:rPr>
          <w:sz w:val="20"/>
          <w:szCs w:val="20"/>
          <w:color w:val="auto"/>
        </w:rPr>
      </w:pPr>
    </w:p>
    <w:p>
      <w:pPr>
        <w:ind w:left="460" w:right="440" w:hanging="452"/>
        <w:spacing w:after="0" w:line="275"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regional sports and news networks Comcast SportsNet, Comcast SportsNet Mid-Atlantic, Comcast SportsNet Chicago, Comcast SportsNet West, Cable Sports Southeast and CN8-The Comcast Network are included in our cable segment.</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272" w:right="239" w:bottom="1440" w:gutter="0" w:footer="0" w:header="0"/>
        </w:sectPr>
      </w:pPr>
    </w:p>
    <w:bookmarkStart w:id="21" w:name="page22"/>
    <w:bookmarkEnd w:id="2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CORPORATION AND SUBSIDIARIES</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QUARTER ENDED SEPTEMBER 30, 2005</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5" w:lineRule="exact"/>
        <w:rPr>
          <w:sz w:val="20"/>
          <w:szCs w:val="20"/>
          <w:color w:val="auto"/>
        </w:rPr>
      </w:pPr>
    </w:p>
    <w:p>
      <w:pPr>
        <w:ind w:left="460" w:right="500" w:hanging="452"/>
        <w:spacing w:after="0" w:line="275" w:lineRule="auto"/>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includes Comcast-Spectacor, corporate activities and all other businesses not presented in our cable or content segments. Assets included in this caption consist primarily of our investments (see Note 5).</w:t>
      </w:r>
    </w:p>
    <w:p>
      <w:pPr>
        <w:spacing w:after="0" w:line="25" w:lineRule="exact"/>
        <w:rPr>
          <w:rFonts w:ascii="Times New Roman" w:cs="Times New Roman" w:eastAsia="Times New Roman" w:hAnsi="Times New Roman"/>
          <w:sz w:val="18"/>
          <w:szCs w:val="18"/>
          <w:color w:val="auto"/>
        </w:rPr>
      </w:pPr>
    </w:p>
    <w:p>
      <w:pPr>
        <w:ind w:left="460" w:right="180" w:hanging="452"/>
        <w:spacing w:after="0" w:line="275" w:lineRule="auto"/>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the Eliminations column are intersegment transactions that our segments enter into with one another. The most common types of transactions are the following:</w:t>
      </w:r>
    </w:p>
    <w:p>
      <w:pPr>
        <w:spacing w:after="0" w:line="25" w:lineRule="exact"/>
        <w:rPr>
          <w:rFonts w:ascii="Times New Roman" w:cs="Times New Roman" w:eastAsia="Times New Roman" w:hAnsi="Times New Roman"/>
          <w:sz w:val="18"/>
          <w:szCs w:val="18"/>
          <w:color w:val="auto"/>
        </w:rPr>
      </w:pPr>
    </w:p>
    <w:p>
      <w:pPr>
        <w:ind w:left="780" w:hanging="326"/>
        <w:spacing w:after="0" w:line="275" w:lineRule="auto"/>
        <w:tabs>
          <w:tab w:leader="none" w:pos="7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content segment generates affiliate revenue by selling cable network programming to our cable segment, which represents a substantial majority of the revenue elimination amount</w:t>
      </w:r>
    </w:p>
    <w:p>
      <w:pPr>
        <w:spacing w:after="0" w:line="25" w:lineRule="exact"/>
        <w:rPr>
          <w:rFonts w:ascii="Times New Roman" w:cs="Times New Roman" w:eastAsia="Times New Roman" w:hAnsi="Times New Roman"/>
          <w:sz w:val="18"/>
          <w:szCs w:val="18"/>
          <w:color w:val="auto"/>
        </w:rPr>
      </w:pPr>
    </w:p>
    <w:p>
      <w:pPr>
        <w:ind w:left="780" w:right="340" w:hanging="326"/>
        <w:spacing w:after="0" w:line="275" w:lineRule="auto"/>
        <w:tabs>
          <w:tab w:leader="none" w:pos="7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cable segment receives incentives offered by our content segment when negotiating programming contracts that are recorded as a reduction of programming costs</w:t>
      </w:r>
    </w:p>
    <w:p>
      <w:pPr>
        <w:spacing w:after="0" w:line="25"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cable segment generates revenue by selling the use of satellite feeds to our content segment</w:t>
      </w:r>
    </w:p>
    <w:p>
      <w:pPr>
        <w:spacing w:after="0" w:line="103" w:lineRule="exact"/>
        <w:rPr>
          <w:rFonts w:ascii="Times New Roman" w:cs="Times New Roman" w:eastAsia="Times New Roman" w:hAnsi="Times New Roman"/>
          <w:sz w:val="18"/>
          <w:szCs w:val="18"/>
          <w:color w:val="auto"/>
        </w:rPr>
      </w:pPr>
    </w:p>
    <w:p>
      <w:pPr>
        <w:ind w:left="780" w:right="40" w:hanging="326"/>
        <w:spacing w:after="0" w:line="262" w:lineRule="auto"/>
        <w:tabs>
          <w:tab w:leader="none" w:pos="7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cable segment generates revenue by selling the use of its fiber-optic lines and site conditioning to our corporate and other segment. Our corporate and other segment pays our cable segment a lump sum and holds the property and the related depreciation expense and accumulated depreciation. Our cable segment’s revenue is generated through the amortization of the deferred revenue recorded for the lump sum payment</w:t>
      </w:r>
    </w:p>
    <w:p>
      <w:pPr>
        <w:spacing w:after="0" w:line="37"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corporate and other segment generates revenue by selling long-distance services to our cable segment</w:t>
      </w:r>
    </w:p>
    <w:p>
      <w:pPr>
        <w:spacing w:after="0" w:line="103"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Non-U.S. revenues were not significant in any period. No single customer accounted for a significant amount of our revenue in any period.</w:t>
      </w:r>
    </w:p>
    <w:p>
      <w:pPr>
        <w:spacing w:after="0" w:line="76" w:lineRule="exact"/>
        <w:rPr>
          <w:rFonts w:ascii="Times New Roman" w:cs="Times New Roman" w:eastAsia="Times New Roman" w:hAnsi="Times New Roman"/>
          <w:sz w:val="18"/>
          <w:szCs w:val="18"/>
          <w:color w:val="auto"/>
        </w:rPr>
      </w:pPr>
    </w:p>
    <w:p>
      <w:pPr>
        <w:ind w:left="460" w:right="20" w:hanging="452"/>
        <w:spacing w:after="0" w:line="253" w:lineRule="auto"/>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(loss) before depreciation and amortization is defined as operating income (loss) before depreciation and amortization, impairment charges, if any, related to fixed and intangible assets, and gains or losses from the sale of assets, if any. As such, it eliminates the significant level of non-cash depreciation and amortization expense that results from the capital intensive nature of our businesses and intangible assets recognized in business combinations, and is unaffected by our capital structure or investment activities. Our management and Board of Directors use this measure in evaluating our consolidated operating performance and the operating performance of all of our operating segments. This metric is used to allocate resources and capital to our operating segments and is a significant component of our annual incentive compensation programs. We believe that this measure is also useful to investors as it is one of the bases for comparing our operating performance with other companies in our industries, although our measure may not be directly comparable to similar measures used by other companies. This measure should not be considered as a substitute for operating income (loss), net income (loss), net cash provided by operating activities or other measures of performance or liquidity reported in accordance with generally accepted accounting principles.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CONDENSED CONSOLIDATING FINANCIAL INFORMATION</w:t>
      </w:r>
    </w:p>
    <w:p>
      <w:pPr>
        <w:spacing w:after="0" w:line="16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and five of our cable holding company subsidiaries, Comcast Cable Communications, LLC (“CCCL”), Comcast Cable Communications Holdings, Inc. (“CCCH”), Comcast MO Group, Inc. (“Comcast MO Group”), Comcast Cable Holdings, LLC (“CCH”), and Comcast MO of Delaware, LLC (“Comcast MO of Delaware”) fully and unconditionally guaranteed each other’s debt securities. Comcast MO Group, CCH and Comcast MO of Delaware are collectively referred to as the “Combined CCHMO Parents.”</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380"/>
          </w:cols>
          <w:pgMar w:left="240" w:top="272" w:right="27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CORPORATION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 ENDED SEPTEMBER 30, 2005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5" w:lineRule="exact"/>
        <w:rPr>
          <w:sz w:val="20"/>
          <w:szCs w:val="20"/>
          <w:color w:val="auto"/>
        </w:rPr>
      </w:pPr>
    </w:p>
    <w:p>
      <w:pPr>
        <w:jc w:val="both"/>
        <w:ind w:right="280"/>
        <w:spacing w:after="0" w:line="262" w:lineRule="auto"/>
        <w:rPr>
          <w:sz w:val="20"/>
          <w:szCs w:val="20"/>
          <w:color w:val="auto"/>
        </w:rPr>
      </w:pPr>
      <w:r>
        <w:rPr>
          <w:rFonts w:ascii="Times New Roman" w:cs="Times New Roman" w:eastAsia="Times New Roman" w:hAnsi="Times New Roman"/>
          <w:sz w:val="18"/>
          <w:szCs w:val="18"/>
          <w:color w:val="auto"/>
        </w:rPr>
        <w:t>In September 2005, we unconditionally guaranteed the ZONES due October 2029 and 10 5/8% Senior Subordinated Debentures due 2012 issued by Comcast Holdings; accordingly we have added Comcast Holdings condensed consolidated information for all periods presented. Our condensed consolidating financial information is as follows (dollars in millions):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September 30, 2005</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5"/>
              </w:rPr>
              <w:t>Elimination</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Combined</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Non-</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86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5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Comcast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CCCL</w:t>
            </w:r>
          </w:p>
        </w:tc>
        <w:tc>
          <w:tcPr>
            <w:tcW w:w="200" w:type="dxa"/>
            <w:vAlign w:val="bottom"/>
          </w:tcPr>
          <w:p>
            <w:pPr>
              <w:spacing w:after="0"/>
              <w:rPr>
                <w:sz w:val="12"/>
                <w:szCs w:val="12"/>
                <w:color w:val="auto"/>
              </w:rPr>
            </w:pPr>
          </w:p>
        </w:tc>
        <w:tc>
          <w:tcPr>
            <w:tcW w:w="4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CCCH</w:t>
            </w:r>
          </w:p>
        </w:tc>
        <w:tc>
          <w:tcPr>
            <w:tcW w:w="22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CCHMO</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Comcast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Guarantor</w:t>
            </w:r>
          </w:p>
        </w:tc>
        <w:tc>
          <w:tcPr>
            <w:tcW w:w="220" w:type="dxa"/>
            <w:vAlign w:val="bottom"/>
          </w:tcPr>
          <w:p>
            <w:pPr>
              <w:spacing w:after="0"/>
              <w:rPr>
                <w:sz w:val="12"/>
                <w:szCs w:val="12"/>
                <w:color w:val="auto"/>
              </w:rPr>
            </w:pPr>
          </w:p>
        </w:tc>
        <w:tc>
          <w:tcPr>
            <w:tcW w:w="112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Consolidation</w:t>
            </w:r>
          </w:p>
        </w:tc>
        <w:tc>
          <w:tcPr>
            <w:tcW w:w="12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Comcast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w w:val="88"/>
              </w:rPr>
              <w:t>Parent</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Parent</w:t>
            </w:r>
          </w:p>
        </w:tc>
        <w:tc>
          <w:tcPr>
            <w:tcW w:w="200" w:type="dxa"/>
            <w:vAlign w:val="bottom"/>
          </w:tcPr>
          <w:p>
            <w:pPr>
              <w:spacing w:after="0"/>
              <w:rPr>
                <w:sz w:val="15"/>
                <w:szCs w:val="15"/>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95"/>
              </w:rPr>
              <w:t>Parents</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6"/>
              </w:rPr>
              <w:t>Holdings</w:t>
            </w:r>
          </w:p>
        </w:tc>
        <w:tc>
          <w:tcPr>
            <w:tcW w:w="200" w:type="dxa"/>
            <w:vAlign w:val="bottom"/>
          </w:tcPr>
          <w:p>
            <w:pPr>
              <w:spacing w:after="0"/>
              <w:rPr>
                <w:sz w:val="15"/>
                <w:szCs w:val="15"/>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Subsidiaries</w:t>
            </w:r>
          </w:p>
        </w:tc>
        <w:tc>
          <w:tcPr>
            <w:tcW w:w="220" w:type="dxa"/>
            <w:vAlign w:val="bottom"/>
          </w:tcPr>
          <w:p>
            <w:pPr>
              <w:spacing w:after="0"/>
              <w:rPr>
                <w:sz w:val="15"/>
                <w:szCs w:val="15"/>
                <w:color w:val="auto"/>
              </w:rPr>
            </w:pPr>
          </w:p>
        </w:tc>
        <w:tc>
          <w:tcPr>
            <w:tcW w:w="11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Adjustments</w:t>
            </w:r>
          </w:p>
        </w:tc>
        <w:tc>
          <w:tcPr>
            <w:tcW w:w="8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6"/>
              </w:rPr>
              <w:t>Corporation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500" w:type="dxa"/>
            <w:vAlign w:val="bottom"/>
            <w:tcBorders>
              <w:bottom w:val="single" w:sz="8" w:color="auto"/>
            </w:tcBorders>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color w:val="auto"/>
                <w:w w:val="91"/>
              </w:rPr>
              <w:t>ASSETS</w:t>
            </w:r>
          </w:p>
        </w:tc>
        <w:tc>
          <w:tcPr>
            <w:tcW w:w="4260" w:type="dxa"/>
            <w:vAlign w:val="bottom"/>
            <w:tcBorders>
              <w:bottom w:val="single" w:sz="8" w:color="CCEEFF"/>
            </w:tcBorders>
            <w:gridSpan w:val="3"/>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560" w:type="dxa"/>
            <w:vAlign w:val="bottom"/>
            <w:gridSpan w:val="4"/>
          </w:tcPr>
          <w:p>
            <w:pPr>
              <w:ind w:left="220"/>
              <w:spacing w:after="0" w:line="142" w:lineRule="exact"/>
              <w:rPr>
                <w:sz w:val="20"/>
                <w:szCs w:val="20"/>
                <w:color w:val="auto"/>
              </w:rPr>
            </w:pPr>
            <w:r>
              <w:rPr>
                <w:rFonts w:ascii="Times New Roman" w:cs="Times New Roman" w:eastAsia="Times New Roman" w:hAnsi="Times New Roman"/>
                <w:sz w:val="14"/>
                <w:szCs w:val="14"/>
                <w:color w:val="auto"/>
              </w:rPr>
              <w:t>Cash and cash equivalents</w:t>
            </w:r>
          </w:p>
        </w:tc>
        <w:tc>
          <w:tcPr>
            <w:tcW w:w="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tcPr>
          <w:p>
            <w:pPr>
              <w:ind w:left="22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3"/>
          </w:tcPr>
          <w:p>
            <w:pPr>
              <w:ind w:left="2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579</w:t>
            </w:r>
          </w:p>
        </w:tc>
        <w:tc>
          <w:tcPr>
            <w:tcW w:w="3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560" w:type="dxa"/>
            <w:vAlign w:val="bottom"/>
            <w:gridSpan w:val="4"/>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Investments</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207</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560" w:type="dxa"/>
            <w:vAlign w:val="bottom"/>
            <w:gridSpan w:val="4"/>
          </w:tcPr>
          <w:p>
            <w:pPr>
              <w:ind w:left="22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990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560" w:type="dxa"/>
            <w:vAlign w:val="bottom"/>
            <w:gridSpan w:val="4"/>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current assets</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581</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260" w:type="dxa"/>
            <w:vAlign w:val="bottom"/>
            <w:gridSpan w:val="3"/>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Total current assets</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2,357</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2,363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6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INVESTMENTS</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13,018</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13,018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760" w:type="dxa"/>
            <w:vAlign w:val="bottom"/>
            <w:gridSpan w:val="5"/>
          </w:tcPr>
          <w:p>
            <w:pPr>
              <w:spacing w:after="0" w:line="136" w:lineRule="exact"/>
              <w:rPr>
                <w:sz w:val="20"/>
                <w:szCs w:val="20"/>
                <w:color w:val="auto"/>
              </w:rPr>
            </w:pPr>
            <w:r>
              <w:rPr>
                <w:rFonts w:ascii="Times New Roman" w:cs="Times New Roman" w:eastAsia="Times New Roman" w:hAnsi="Times New Roman"/>
                <w:sz w:val="14"/>
                <w:szCs w:val="14"/>
                <w:color w:val="auto"/>
              </w:rPr>
              <w:t>INVESTMENTS IN AND AMOUNTS DUE FROM SUBSIDIARIES</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5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ELIMINATED UPON CONSOLIDATION</w:t>
            </w: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52,329</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29,674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3"/>
              </w:rPr>
              <w:t>36,010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40,453</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22,526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(181,562)</w:t>
            </w:r>
          </w:p>
        </w:tc>
        <w:tc>
          <w:tcPr>
            <w:tcW w:w="12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18,766</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18,781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color w:val="auto"/>
              </w:rPr>
              <w:t>FRANCHISE RIGHTS</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51,111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51,111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14,111</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14,111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color w:val="auto"/>
              </w:rPr>
              <w:t>OTHER INTANGIBLE ASSETS, net</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3,371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3,378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NONCURRENT ASSETS, net</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107</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437</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260" w:type="dxa"/>
            <w:vAlign w:val="bottom"/>
            <w:gridSpan w:val="3"/>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Total assets</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52,452</w:t>
            </w:r>
          </w:p>
        </w:tc>
        <w:tc>
          <w:tcPr>
            <w:tcW w:w="28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8"/>
              </w:rPr>
              <w:t>29,698</w:t>
            </w:r>
          </w:p>
        </w:tc>
        <w:tc>
          <w:tcPr>
            <w:tcW w:w="2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3"/>
              </w:rPr>
              <w:t>36,036</w:t>
            </w:r>
          </w:p>
        </w:tc>
        <w:tc>
          <w:tcPr>
            <w:tcW w:w="30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40,453</w:t>
            </w:r>
          </w:p>
        </w:tc>
        <w:tc>
          <w:tcPr>
            <w:tcW w:w="340" w:type="dxa"/>
            <w:vAlign w:val="bottom"/>
            <w:gridSpan w:val="3"/>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22,579</w:t>
            </w:r>
          </w:p>
        </w:tc>
        <w:tc>
          <w:tcPr>
            <w:tcW w:w="2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103,741</w:t>
            </w:r>
          </w:p>
        </w:tc>
        <w:tc>
          <w:tcPr>
            <w:tcW w:w="3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(181,562)</w:t>
            </w: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103,397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760" w:type="dxa"/>
            <w:vAlign w:val="bottom"/>
            <w:gridSpan w:val="5"/>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LIABILITIES AND</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75"/>
              </w:rPr>
              <w:t>STOCKHOLDERS’</w:t>
            </w:r>
          </w:p>
        </w:tc>
        <w:tc>
          <w:tcPr>
            <w:tcW w:w="3620" w:type="dxa"/>
            <w:vAlign w:val="bottom"/>
            <w:tcBorders>
              <w:top w:val="single" w:sz="8" w:color="CCEEFF"/>
            </w:tcBorders>
            <w:gridSpan w:val="2"/>
            <w:shd w:val="clear" w:color="auto" w:fill="CCEEFF"/>
          </w:tcPr>
          <w:p>
            <w:pPr>
              <w:ind w:left="280"/>
              <w:spacing w:after="0" w:line="129" w:lineRule="exact"/>
              <w:rPr>
                <w:sz w:val="20"/>
                <w:szCs w:val="20"/>
                <w:color w:val="auto"/>
              </w:rPr>
            </w:pPr>
            <w:r>
              <w:rPr>
                <w:rFonts w:ascii="Times New Roman" w:cs="Times New Roman" w:eastAsia="Times New Roman" w:hAnsi="Times New Roman"/>
                <w:sz w:val="14"/>
                <w:szCs w:val="14"/>
                <w:b w:val="1"/>
                <w:bCs w:val="1"/>
                <w:color w:val="auto"/>
              </w:rPr>
              <w:t>EQUITY</w:t>
            </w:r>
          </w:p>
        </w:tc>
        <w:tc>
          <w:tcPr>
            <w:tcW w:w="8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CCEEFF"/>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560" w:type="dxa"/>
            <w:vAlign w:val="bottom"/>
            <w:gridSpan w:val="4"/>
          </w:tcPr>
          <w:p>
            <w:pPr>
              <w:ind w:left="220"/>
              <w:spacing w:after="0" w:line="142" w:lineRule="exact"/>
              <w:rPr>
                <w:sz w:val="20"/>
                <w:szCs w:val="20"/>
                <w:color w:val="auto"/>
              </w:rPr>
            </w:pPr>
            <w:r>
              <w:rPr>
                <w:rFonts w:ascii="Times New Roman" w:cs="Times New Roman" w:eastAsia="Times New Roman" w:hAnsi="Times New Roman"/>
                <w:sz w:val="14"/>
                <w:szCs w:val="14"/>
                <w:color w:val="auto"/>
              </w:rPr>
              <w:t>Accounts payable and accrued expenses related to trade creditors</w:t>
            </w:r>
          </w:p>
        </w:tc>
        <w:tc>
          <w:tcPr>
            <w:tcW w:w="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tcPr>
          <w:p>
            <w:pPr>
              <w:ind w:left="22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3"/>
          </w:tcPr>
          <w:p>
            <w:pPr>
              <w:ind w:left="2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1,980</w:t>
            </w:r>
          </w:p>
        </w:tc>
        <w:tc>
          <w:tcPr>
            <w:tcW w:w="3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1,980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560" w:type="dxa"/>
            <w:vAlign w:val="bottom"/>
            <w:gridSpan w:val="4"/>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523</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239</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94</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79</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98</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1,634</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2,667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560" w:type="dxa"/>
            <w:vAlign w:val="bottom"/>
            <w:gridSpan w:val="4"/>
          </w:tcPr>
          <w:p>
            <w:pPr>
              <w:ind w:left="22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560" w:type="dxa"/>
            <w:vAlign w:val="bottom"/>
            <w:gridSpan w:val="4"/>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Current portion of long-term debt</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1,319</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1,038</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141</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260" w:type="dxa"/>
            <w:vAlign w:val="bottom"/>
            <w:gridSpan w:val="3"/>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Total current liabilities</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523</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1,558</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94</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1,117</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98</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3,772</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7,162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6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LONG-TERM DEBT, less current portion</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6,620</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4,994</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3,498</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3,326</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994</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675</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20,107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784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26,346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27,130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NONCURRENT LIABILITIES</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4,304</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2,984</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color w:val="auto"/>
              </w:rPr>
              <w:t>MINORITY INTEREST</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STOCKHOLDERS’ EQUITY</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560" w:type="dxa"/>
            <w:vAlign w:val="bottom"/>
            <w:gridSpan w:val="4"/>
          </w:tcPr>
          <w:p>
            <w:pPr>
              <w:ind w:left="220"/>
              <w:spacing w:after="0" w:line="149" w:lineRule="exact"/>
              <w:rPr>
                <w:sz w:val="20"/>
                <w:szCs w:val="20"/>
                <w:color w:val="auto"/>
              </w:rPr>
            </w:pPr>
            <w:r>
              <w:rPr>
                <w:rFonts w:ascii="Times New Roman" w:cs="Times New Roman" w:eastAsia="Times New Roman" w:hAnsi="Times New Roman"/>
                <w:sz w:val="14"/>
                <w:szCs w:val="14"/>
                <w:color w:val="auto"/>
              </w:rPr>
              <w:t>Common stock</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560" w:type="dxa"/>
            <w:vAlign w:val="bottom"/>
            <w:gridSpan w:val="4"/>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stockholders’ equity</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40,980</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8"/>
              </w:rPr>
              <w:t>23,096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3"/>
              </w:rPr>
              <w:t>32,444</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36,010</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20,653</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69,359</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(181,562)</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40,980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260" w:type="dxa"/>
            <w:vAlign w:val="bottom"/>
            <w:gridSpan w:val="3"/>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Total stockholders’ equity</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41,005</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8"/>
              </w:rPr>
              <w:t>23,096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3"/>
              </w:rPr>
              <w:t>32,444</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36,010</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20,653</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69,359</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(181,562)</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41,005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260" w:type="dxa"/>
            <w:vAlign w:val="bottom"/>
            <w:gridSpan w:val="3"/>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Total liabilities and stockholders’ equity</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52,452</w:t>
            </w:r>
          </w:p>
        </w:tc>
        <w:tc>
          <w:tcPr>
            <w:tcW w:w="28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8"/>
              </w:rPr>
              <w:t>29,698</w:t>
            </w:r>
          </w:p>
        </w:tc>
        <w:tc>
          <w:tcPr>
            <w:tcW w:w="2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3"/>
              </w:rPr>
              <w:t>36,036</w:t>
            </w:r>
          </w:p>
        </w:tc>
        <w:tc>
          <w:tcPr>
            <w:tcW w:w="30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40,453</w:t>
            </w:r>
          </w:p>
        </w:tc>
        <w:tc>
          <w:tcPr>
            <w:tcW w:w="340" w:type="dxa"/>
            <w:vAlign w:val="bottom"/>
            <w:gridSpan w:val="3"/>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22,579</w:t>
            </w:r>
          </w:p>
        </w:tc>
        <w:tc>
          <w:tcPr>
            <w:tcW w:w="2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103,741</w:t>
            </w:r>
          </w:p>
        </w:tc>
        <w:tc>
          <w:tcPr>
            <w:tcW w:w="3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(181,562)</w:t>
            </w: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103,397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3039110</wp:posOffset>
            </wp:positionH>
            <wp:positionV relativeFrom="paragraph">
              <wp:posOffset>-2284730</wp:posOffset>
            </wp:positionV>
            <wp:extent cx="1270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-2284730</wp:posOffset>
            </wp:positionV>
            <wp:extent cx="1270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-2284730</wp:posOffset>
            </wp:positionV>
            <wp:extent cx="2159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-2284730</wp:posOffset>
            </wp:positionV>
            <wp:extent cx="1270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-2284730</wp:posOffset>
            </wp:positionV>
            <wp:extent cx="1270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-2284730</wp:posOffset>
            </wp:positionV>
            <wp:extent cx="2159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-2284730</wp:posOffset>
            </wp:positionV>
            <wp:extent cx="1270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-2284730</wp:posOffset>
            </wp:positionV>
            <wp:extent cx="1270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-2284730</wp:posOffset>
            </wp:positionV>
            <wp:extent cx="2159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-2284730</wp:posOffset>
            </wp:positionV>
            <wp:extent cx="1270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-2284730</wp:posOffset>
            </wp:positionV>
            <wp:extent cx="1270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-2284730</wp:posOffset>
            </wp:positionV>
            <wp:extent cx="2159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-2284730</wp:posOffset>
            </wp:positionV>
            <wp:extent cx="1270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-2284730</wp:posOffset>
            </wp:positionV>
            <wp:extent cx="1270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-2284730</wp:posOffset>
            </wp:positionV>
            <wp:extent cx="2159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-2284730</wp:posOffset>
            </wp:positionV>
            <wp:extent cx="1270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-2284730</wp:posOffset>
            </wp:positionV>
            <wp:extent cx="1270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-2284730</wp:posOffset>
            </wp:positionV>
            <wp:extent cx="2159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-2284730</wp:posOffset>
            </wp:positionV>
            <wp:extent cx="1270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-2284730</wp:posOffset>
            </wp:positionV>
            <wp:extent cx="2159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-2284730</wp:posOffset>
            </wp:positionV>
            <wp:extent cx="38735"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-2284730</wp:posOffset>
            </wp:positionV>
            <wp:extent cx="1270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-2284730</wp:posOffset>
            </wp:positionV>
            <wp:extent cx="1270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-2284730</wp:posOffset>
            </wp:positionV>
            <wp:extent cx="2159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-29210</wp:posOffset>
            </wp:positionV>
            <wp:extent cx="1270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-29210</wp:posOffset>
            </wp:positionV>
            <wp:extent cx="1270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-29210</wp:posOffset>
            </wp:positionV>
            <wp:extent cx="2159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-29210</wp:posOffset>
            </wp:positionV>
            <wp:extent cx="1270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-29210</wp:posOffset>
            </wp:positionV>
            <wp:extent cx="1270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-29210</wp:posOffset>
            </wp:positionV>
            <wp:extent cx="2159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-29210</wp:posOffset>
            </wp:positionV>
            <wp:extent cx="1270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-29210</wp:posOffset>
            </wp:positionV>
            <wp:extent cx="1270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-29210</wp:posOffset>
            </wp:positionV>
            <wp:extent cx="2159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-29210</wp:posOffset>
            </wp:positionV>
            <wp:extent cx="1270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-29210</wp:posOffset>
            </wp:positionV>
            <wp:extent cx="1270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-29210</wp:posOffset>
            </wp:positionV>
            <wp:extent cx="2159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-29210</wp:posOffset>
            </wp:positionV>
            <wp:extent cx="1270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-29210</wp:posOffset>
            </wp:positionV>
            <wp:extent cx="1270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-29210</wp:posOffset>
            </wp:positionV>
            <wp:extent cx="2159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-29210</wp:posOffset>
            </wp:positionV>
            <wp:extent cx="1270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-29210</wp:posOffset>
            </wp:positionV>
            <wp:extent cx="1270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-29210</wp:posOffset>
            </wp:positionV>
            <wp:extent cx="2159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-29210</wp:posOffset>
            </wp:positionV>
            <wp:extent cx="1270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-29210</wp:posOffset>
            </wp:positionV>
            <wp:extent cx="2159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-29210</wp:posOffset>
            </wp:positionV>
            <wp:extent cx="38735"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-29210</wp:posOffset>
            </wp:positionV>
            <wp:extent cx="1270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-29210</wp:posOffset>
            </wp:positionV>
            <wp:extent cx="2159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272" w:right="2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CORPORATION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 ENDED SEPTEMBER 30, 2005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2004</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5"/>
              </w:rPr>
              <w:t>Elimination</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Combined</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Non-</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86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5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Comcast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CCCL</w:t>
            </w:r>
          </w:p>
        </w:tc>
        <w:tc>
          <w:tcPr>
            <w:tcW w:w="200" w:type="dxa"/>
            <w:vAlign w:val="bottom"/>
          </w:tcPr>
          <w:p>
            <w:pPr>
              <w:spacing w:after="0"/>
              <w:rPr>
                <w:sz w:val="12"/>
                <w:szCs w:val="12"/>
                <w:color w:val="auto"/>
              </w:rPr>
            </w:pPr>
          </w:p>
        </w:tc>
        <w:tc>
          <w:tcPr>
            <w:tcW w:w="4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CCCH</w:t>
            </w:r>
          </w:p>
        </w:tc>
        <w:tc>
          <w:tcPr>
            <w:tcW w:w="22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CCHMO</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Comcast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Guarantor</w:t>
            </w:r>
          </w:p>
        </w:tc>
        <w:tc>
          <w:tcPr>
            <w:tcW w:w="220" w:type="dxa"/>
            <w:vAlign w:val="bottom"/>
          </w:tcPr>
          <w:p>
            <w:pPr>
              <w:spacing w:after="0"/>
              <w:rPr>
                <w:sz w:val="12"/>
                <w:szCs w:val="12"/>
                <w:color w:val="auto"/>
              </w:rPr>
            </w:pPr>
          </w:p>
        </w:tc>
        <w:tc>
          <w:tcPr>
            <w:tcW w:w="112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Consolidation</w:t>
            </w:r>
          </w:p>
        </w:tc>
        <w:tc>
          <w:tcPr>
            <w:tcW w:w="12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Comcast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w w:val="88"/>
              </w:rPr>
              <w:t>Parent</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Parent</w:t>
            </w:r>
          </w:p>
        </w:tc>
        <w:tc>
          <w:tcPr>
            <w:tcW w:w="200" w:type="dxa"/>
            <w:vAlign w:val="bottom"/>
          </w:tcPr>
          <w:p>
            <w:pPr>
              <w:spacing w:after="0"/>
              <w:rPr>
                <w:sz w:val="15"/>
                <w:szCs w:val="15"/>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95"/>
              </w:rPr>
              <w:t>Parents</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6"/>
              </w:rPr>
              <w:t>Holdings</w:t>
            </w:r>
          </w:p>
        </w:tc>
        <w:tc>
          <w:tcPr>
            <w:tcW w:w="200" w:type="dxa"/>
            <w:vAlign w:val="bottom"/>
          </w:tcPr>
          <w:p>
            <w:pPr>
              <w:spacing w:after="0"/>
              <w:rPr>
                <w:sz w:val="15"/>
                <w:szCs w:val="15"/>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Subsidiaries</w:t>
            </w:r>
          </w:p>
        </w:tc>
        <w:tc>
          <w:tcPr>
            <w:tcW w:w="220" w:type="dxa"/>
            <w:vAlign w:val="bottom"/>
          </w:tcPr>
          <w:p>
            <w:pPr>
              <w:spacing w:after="0"/>
              <w:rPr>
                <w:sz w:val="15"/>
                <w:szCs w:val="15"/>
                <w:color w:val="auto"/>
              </w:rPr>
            </w:pPr>
          </w:p>
        </w:tc>
        <w:tc>
          <w:tcPr>
            <w:tcW w:w="11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Adjustments</w:t>
            </w:r>
          </w:p>
        </w:tc>
        <w:tc>
          <w:tcPr>
            <w:tcW w:w="8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6"/>
              </w:rPr>
              <w:t>Corporation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500" w:type="dxa"/>
            <w:vAlign w:val="bottom"/>
            <w:tcBorders>
              <w:bottom w:val="single" w:sz="8" w:color="auto"/>
            </w:tcBorders>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color w:val="auto"/>
                <w:w w:val="91"/>
              </w:rPr>
              <w:t>ASSETS</w:t>
            </w:r>
          </w:p>
        </w:tc>
        <w:tc>
          <w:tcPr>
            <w:tcW w:w="4260" w:type="dxa"/>
            <w:vAlign w:val="bottom"/>
            <w:tcBorders>
              <w:bottom w:val="single" w:sz="8" w:color="CCEEFF"/>
            </w:tcBorders>
            <w:gridSpan w:val="2"/>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gridSpan w:val="3"/>
          </w:tcPr>
          <w:p>
            <w:pPr>
              <w:ind w:left="420"/>
              <w:spacing w:after="0" w:line="142" w:lineRule="exact"/>
              <w:rPr>
                <w:sz w:val="20"/>
                <w:szCs w:val="20"/>
                <w:color w:val="auto"/>
              </w:rPr>
            </w:pPr>
            <w:r>
              <w:rPr>
                <w:rFonts w:ascii="Times New Roman" w:cs="Times New Roman" w:eastAsia="Times New Roman" w:hAnsi="Times New Roman"/>
                <w:sz w:val="14"/>
                <w:szCs w:val="14"/>
                <w:color w:val="auto"/>
              </w:rPr>
              <w:t>Cash and cash equivalents</w:t>
            </w:r>
          </w:p>
        </w:tc>
        <w:tc>
          <w:tcPr>
            <w:tcW w:w="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tcPr>
          <w:p>
            <w:pPr>
              <w:ind w:left="22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3"/>
          </w:tcPr>
          <w:p>
            <w:pPr>
              <w:ind w:left="2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452</w:t>
            </w:r>
          </w:p>
        </w:tc>
        <w:tc>
          <w:tcPr>
            <w:tcW w:w="3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3"/>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Investments</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1,555</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3"/>
          </w:tcPr>
          <w:p>
            <w:pPr>
              <w:ind w:left="42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3"/>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Other current assets</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554</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26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Total current assets</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3,520</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3,535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6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INVESTMENTS</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12,812</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12,812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760" w:type="dxa"/>
            <w:vAlign w:val="bottom"/>
            <w:gridSpan w:val="3"/>
          </w:tcPr>
          <w:p>
            <w:pPr>
              <w:spacing w:after="0" w:line="136" w:lineRule="exact"/>
              <w:rPr>
                <w:sz w:val="20"/>
                <w:szCs w:val="20"/>
                <w:color w:val="auto"/>
              </w:rPr>
            </w:pPr>
            <w:r>
              <w:rPr>
                <w:rFonts w:ascii="Times New Roman" w:cs="Times New Roman" w:eastAsia="Times New Roman" w:hAnsi="Times New Roman"/>
                <w:sz w:val="14"/>
                <w:szCs w:val="14"/>
                <w:color w:val="auto"/>
              </w:rPr>
              <w:t>INVESTMENTS IN AND AMOUNTS DUE FROM SUBSIDIARIES</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6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ELIMINATED UPON CONSOLIDATION</w:t>
            </w: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48,317</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28,687</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3"/>
              </w:rPr>
              <w:t>35,642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41,898</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21,734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(176,679)</w:t>
            </w:r>
          </w:p>
        </w:tc>
        <w:tc>
          <w:tcPr>
            <w:tcW w:w="12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18,695</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18,711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FRANCHISE RIGHTS</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51,071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51,071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14,020</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14,020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OTHER INTANGIBLE ASSETS, net</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3,837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NONCURRENT ASSETS, net</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107</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484</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26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Total assets</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48,447</w:t>
            </w:r>
          </w:p>
        </w:tc>
        <w:tc>
          <w:tcPr>
            <w:tcW w:w="28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8"/>
              </w:rPr>
              <w:t>28,717</w:t>
            </w:r>
          </w:p>
        </w:tc>
        <w:tc>
          <w:tcPr>
            <w:tcW w:w="2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3"/>
              </w:rPr>
              <w:t>35,672</w:t>
            </w:r>
          </w:p>
        </w:tc>
        <w:tc>
          <w:tcPr>
            <w:tcW w:w="30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41,898</w:t>
            </w:r>
          </w:p>
        </w:tc>
        <w:tc>
          <w:tcPr>
            <w:tcW w:w="340" w:type="dxa"/>
            <w:vAlign w:val="bottom"/>
            <w:gridSpan w:val="3"/>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21,799</w:t>
            </w:r>
          </w:p>
        </w:tc>
        <w:tc>
          <w:tcPr>
            <w:tcW w:w="2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104,840</w:t>
            </w:r>
          </w:p>
        </w:tc>
        <w:tc>
          <w:tcPr>
            <w:tcW w:w="3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(176,679)</w:t>
            </w: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104,694</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760" w:type="dxa"/>
            <w:vAlign w:val="bottom"/>
            <w:gridSpan w:val="3"/>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gridSpan w:val="3"/>
          </w:tcPr>
          <w:p>
            <w:pPr>
              <w:ind w:left="420"/>
              <w:spacing w:after="0" w:line="142" w:lineRule="exact"/>
              <w:rPr>
                <w:sz w:val="20"/>
                <w:szCs w:val="20"/>
                <w:color w:val="auto"/>
              </w:rPr>
            </w:pPr>
            <w:r>
              <w:rPr>
                <w:rFonts w:ascii="Times New Roman" w:cs="Times New Roman" w:eastAsia="Times New Roman" w:hAnsi="Times New Roman"/>
                <w:sz w:val="14"/>
                <w:szCs w:val="14"/>
                <w:color w:val="auto"/>
              </w:rPr>
              <w:t>Accounts payable and accrued expenses related to trade creditors</w:t>
            </w:r>
          </w:p>
        </w:tc>
        <w:tc>
          <w:tcPr>
            <w:tcW w:w="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tcPr>
          <w:p>
            <w:pPr>
              <w:ind w:left="22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3"/>
          </w:tcPr>
          <w:p>
            <w:pPr>
              <w:ind w:left="2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2,041</w:t>
            </w:r>
          </w:p>
        </w:tc>
        <w:tc>
          <w:tcPr>
            <w:tcW w:w="3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2,041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3"/>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671</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126</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197</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204</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1,321</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3"/>
          </w:tcPr>
          <w:p>
            <w:pPr>
              <w:ind w:left="42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3"/>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Current portion of long-term debt</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1,080</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1,719</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26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Total current liabilities</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671</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916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126</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1,277</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204</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5,441</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8,635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6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LONG-TERM DEBT, less current portion</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4,323</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5,643</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3,498</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4,979</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700</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20,093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733</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26,082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26,815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NONCURRENT LIABILITIES</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2,031</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5,207</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MINORITY INTEREST</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468</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STOCKHOLDERS’ EQUITY</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3"/>
          </w:tcPr>
          <w:p>
            <w:pPr>
              <w:ind w:left="420"/>
              <w:spacing w:after="0" w:line="149" w:lineRule="exact"/>
              <w:rPr>
                <w:sz w:val="20"/>
                <w:szCs w:val="20"/>
                <w:color w:val="auto"/>
              </w:rPr>
            </w:pPr>
            <w:r>
              <w:rPr>
                <w:rFonts w:ascii="Times New Roman" w:cs="Times New Roman" w:eastAsia="Times New Roman" w:hAnsi="Times New Roman"/>
                <w:sz w:val="14"/>
                <w:szCs w:val="14"/>
                <w:color w:val="auto"/>
              </w:rPr>
              <w:t>Common stock</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3"/>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Other stockholders’ equity</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41,397</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8"/>
              </w:rPr>
              <w:t>22,135</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3"/>
              </w:rPr>
              <w:t>32,048</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35,642</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19,912</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66,942</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(176,679)</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41,397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26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Total stockholders’ equity</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41,422</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8"/>
              </w:rPr>
              <w:t>22,135</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3"/>
              </w:rPr>
              <w:t>32,048</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35,642</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19,912</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66,942</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(176,679)</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41,422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26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Total liabilities and stockholders’ equity</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48,447</w:t>
            </w:r>
          </w:p>
        </w:tc>
        <w:tc>
          <w:tcPr>
            <w:tcW w:w="28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8"/>
              </w:rPr>
              <w:t>28,717</w:t>
            </w:r>
          </w:p>
        </w:tc>
        <w:tc>
          <w:tcPr>
            <w:tcW w:w="2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3"/>
              </w:rPr>
              <w:t>35,672</w:t>
            </w:r>
          </w:p>
        </w:tc>
        <w:tc>
          <w:tcPr>
            <w:tcW w:w="30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41,898</w:t>
            </w:r>
          </w:p>
        </w:tc>
        <w:tc>
          <w:tcPr>
            <w:tcW w:w="340" w:type="dxa"/>
            <w:vAlign w:val="bottom"/>
            <w:gridSpan w:val="3"/>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21,799</w:t>
            </w:r>
          </w:p>
        </w:tc>
        <w:tc>
          <w:tcPr>
            <w:tcW w:w="2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104,840</w:t>
            </w:r>
          </w:p>
        </w:tc>
        <w:tc>
          <w:tcPr>
            <w:tcW w:w="3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(176,679)</w:t>
            </w: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104,694</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3039110</wp:posOffset>
            </wp:positionH>
            <wp:positionV relativeFrom="paragraph">
              <wp:posOffset>-2190115</wp:posOffset>
            </wp:positionV>
            <wp:extent cx="1270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-2190115</wp:posOffset>
            </wp:positionV>
            <wp:extent cx="1270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-2190115</wp:posOffset>
            </wp:positionV>
            <wp:extent cx="2159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-2190115</wp:posOffset>
            </wp:positionV>
            <wp:extent cx="12700"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-2190115</wp:posOffset>
            </wp:positionV>
            <wp:extent cx="1270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-2190115</wp:posOffset>
            </wp:positionV>
            <wp:extent cx="2159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-2190115</wp:posOffset>
            </wp:positionV>
            <wp:extent cx="1270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-2190115</wp:posOffset>
            </wp:positionV>
            <wp:extent cx="1270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-2190115</wp:posOffset>
            </wp:positionV>
            <wp:extent cx="2159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-2190115</wp:posOffset>
            </wp:positionV>
            <wp:extent cx="1270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-2190115</wp:posOffset>
            </wp:positionV>
            <wp:extent cx="1270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-2190115</wp:posOffset>
            </wp:positionV>
            <wp:extent cx="2159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-2190115</wp:posOffset>
            </wp:positionV>
            <wp:extent cx="1270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-2190115</wp:posOffset>
            </wp:positionV>
            <wp:extent cx="1270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-2190115</wp:posOffset>
            </wp:positionV>
            <wp:extent cx="2159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-2190115</wp:posOffset>
            </wp:positionV>
            <wp:extent cx="1270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-2190115</wp:posOffset>
            </wp:positionV>
            <wp:extent cx="12700"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-2190115</wp:posOffset>
            </wp:positionV>
            <wp:extent cx="2159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-2190115</wp:posOffset>
            </wp:positionV>
            <wp:extent cx="1270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-2190115</wp:posOffset>
            </wp:positionV>
            <wp:extent cx="2159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-2190115</wp:posOffset>
            </wp:positionV>
            <wp:extent cx="38735"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-2190115</wp:posOffset>
            </wp:positionV>
            <wp:extent cx="12700"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-2190115</wp:posOffset>
            </wp:positionV>
            <wp:extent cx="12700"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-2190115</wp:posOffset>
            </wp:positionV>
            <wp:extent cx="21590"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-29210</wp:posOffset>
            </wp:positionV>
            <wp:extent cx="12700"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-29210</wp:posOffset>
            </wp:positionV>
            <wp:extent cx="12700"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-29210</wp:posOffset>
            </wp:positionV>
            <wp:extent cx="21590"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-29210</wp:posOffset>
            </wp:positionV>
            <wp:extent cx="1270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-29210</wp:posOffset>
            </wp:positionV>
            <wp:extent cx="1270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-29210</wp:posOffset>
            </wp:positionV>
            <wp:extent cx="21590"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-29210</wp:posOffset>
            </wp:positionV>
            <wp:extent cx="12700"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-29210</wp:posOffset>
            </wp:positionV>
            <wp:extent cx="12700"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-29210</wp:posOffset>
            </wp:positionV>
            <wp:extent cx="2159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-29210</wp:posOffset>
            </wp:positionV>
            <wp:extent cx="1270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-29210</wp:posOffset>
            </wp:positionV>
            <wp:extent cx="12700"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-29210</wp:posOffset>
            </wp:positionV>
            <wp:extent cx="2159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-29210</wp:posOffset>
            </wp:positionV>
            <wp:extent cx="1270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-29210</wp:posOffset>
            </wp:positionV>
            <wp:extent cx="12700"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-29210</wp:posOffset>
            </wp:positionV>
            <wp:extent cx="2159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-29210</wp:posOffset>
            </wp:positionV>
            <wp:extent cx="1270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-29210</wp:posOffset>
            </wp:positionV>
            <wp:extent cx="12700"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-29210</wp:posOffset>
            </wp:positionV>
            <wp:extent cx="21590"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-29210</wp:posOffset>
            </wp:positionV>
            <wp:extent cx="12700"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-29210</wp:posOffset>
            </wp:positionV>
            <wp:extent cx="2159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-29210</wp:posOffset>
            </wp:positionV>
            <wp:extent cx="38735"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-29210</wp:posOffset>
            </wp:positionV>
            <wp:extent cx="12700"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-29210</wp:posOffset>
            </wp:positionV>
            <wp:extent cx="21590"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272" w:right="2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CORPORATION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 ENDED SEPTEMBER 30, 2005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2005</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5"/>
              </w:rPr>
              <w:t>Elimination</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Combined</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3"/>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Non-</w:t>
            </w:r>
          </w:p>
        </w:tc>
        <w:tc>
          <w:tcPr>
            <w:tcW w:w="180" w:type="dxa"/>
            <w:vAlign w:val="bottom"/>
          </w:tcPr>
          <w:p>
            <w:pPr>
              <w:spacing w:after="0"/>
              <w:rPr>
                <w:sz w:val="12"/>
                <w:szCs w:val="12"/>
                <w:color w:val="auto"/>
              </w:rPr>
            </w:pPr>
          </w:p>
        </w:tc>
        <w:tc>
          <w:tcPr>
            <w:tcW w:w="110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8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Comcast</w:t>
            </w:r>
          </w:p>
        </w:tc>
        <w:tc>
          <w:tcPr>
            <w:tcW w:w="840" w:type="dxa"/>
            <w:vAlign w:val="bottom"/>
            <w:gridSpan w:val="4"/>
          </w:tcPr>
          <w:p>
            <w:pPr>
              <w:jc w:val="right"/>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0"/>
              </w:rPr>
              <w:t>CCCL</w:t>
            </w:r>
          </w:p>
        </w:tc>
        <w:tc>
          <w:tcPr>
            <w:tcW w:w="8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CCCH</w:t>
            </w:r>
          </w:p>
        </w:tc>
        <w:tc>
          <w:tcPr>
            <w:tcW w:w="108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CCHMO</w:t>
            </w:r>
          </w:p>
        </w:tc>
        <w:tc>
          <w:tcPr>
            <w:tcW w:w="10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Comcast</w:t>
            </w:r>
          </w:p>
        </w:tc>
        <w:tc>
          <w:tcPr>
            <w:tcW w:w="1200" w:type="dxa"/>
            <w:vAlign w:val="bottom"/>
            <w:gridSpan w:val="4"/>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Guarantor</w:t>
            </w:r>
          </w:p>
        </w:tc>
        <w:tc>
          <w:tcPr>
            <w:tcW w:w="1280" w:type="dxa"/>
            <w:vAlign w:val="bottom"/>
            <w:gridSpan w:val="3"/>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Consolidation</w:t>
            </w:r>
          </w:p>
        </w:tc>
        <w:tc>
          <w:tcPr>
            <w:tcW w:w="10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Comcast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9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840" w:type="dxa"/>
            <w:vAlign w:val="bottom"/>
            <w:gridSpan w:val="4"/>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w w:val="88"/>
              </w:rPr>
              <w:t>Parent</w:t>
            </w: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80" w:type="dxa"/>
            <w:vAlign w:val="bottom"/>
          </w:tcPr>
          <w:p>
            <w:pPr>
              <w:spacing w:after="0"/>
              <w:rPr>
                <w:sz w:val="15"/>
                <w:szCs w:val="15"/>
                <w:color w:val="auto"/>
              </w:rPr>
            </w:pPr>
          </w:p>
        </w:tc>
        <w:tc>
          <w:tcPr>
            <w:tcW w:w="10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w w:val="91"/>
              </w:rPr>
              <w:t>Parents</w:t>
            </w: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Holdings</w:t>
            </w:r>
          </w:p>
        </w:tc>
        <w:tc>
          <w:tcPr>
            <w:tcW w:w="12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28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4"/>
              </w:rPr>
              <w:t>Adjustments</w:t>
            </w: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Corporation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REVENUES</w:t>
            </w: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Service revenues</w:t>
            </w:r>
          </w:p>
        </w:tc>
        <w:tc>
          <w:tcPr>
            <w:tcW w:w="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3"/>
          </w:tcPr>
          <w:p>
            <w:pPr>
              <w:ind w:lef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5,578</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jc w:val="right"/>
              <w:ind w:right="5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5,578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Management fee revenue</w:t>
            </w: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115</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w w:val="71"/>
              </w:rPr>
              <w:t>44</w:t>
            </w: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(302)</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115</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w w:val="71"/>
              </w:rPr>
              <w:t>44</w:t>
            </w: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5,578</w:t>
            </w: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(302)</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5,578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COSTS AND EXPENSES</w:t>
            </w: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Operating (excluding depreciation)</w:t>
            </w:r>
          </w:p>
        </w:tc>
        <w:tc>
          <w:tcPr>
            <w:tcW w:w="200" w:type="dxa"/>
            <w:vAlign w:val="bottom"/>
          </w:tcPr>
          <w:p>
            <w:pPr>
              <w:spacing w:after="0"/>
              <w:rPr>
                <w:sz w:val="12"/>
                <w:szCs w:val="12"/>
                <w:color w:val="auto"/>
              </w:rPr>
            </w:pPr>
          </w:p>
        </w:tc>
        <w:tc>
          <w:tcPr>
            <w:tcW w:w="78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40" w:type="dxa"/>
            <w:vAlign w:val="bottom"/>
            <w:gridSpan w:val="3"/>
          </w:tcPr>
          <w:p>
            <w:pPr>
              <w:ind w:lef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2,007</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Selling, general and administrative</w:t>
            </w: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w w:val="71"/>
              </w:rPr>
              <w:t>44</w:t>
            </w: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1,532</w:t>
            </w: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(302)</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1,472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Depreciation</w:t>
            </w:r>
          </w:p>
        </w:tc>
        <w:tc>
          <w:tcPr>
            <w:tcW w:w="2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tcPr>
          <w:p>
            <w:pPr>
              <w:ind w:lef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913</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914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Amortization</w:t>
            </w: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3"/>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299</w:t>
            </w: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w w:val="71"/>
              </w:rPr>
              <w:t>44</w:t>
            </w: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4,751</w:t>
            </w: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(302)</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4,695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ind w:left="860"/>
              <w:spacing w:after="0" w:line="149" w:lineRule="exact"/>
              <w:rPr>
                <w:sz w:val="20"/>
                <w:szCs w:val="20"/>
                <w:color w:val="auto"/>
              </w:rPr>
            </w:pPr>
            <w:r>
              <w:rPr>
                <w:rFonts w:ascii="Times New Roman" w:cs="Times New Roman" w:eastAsia="Times New Roman" w:hAnsi="Times New Roman"/>
                <w:sz w:val="14"/>
                <w:szCs w:val="14"/>
                <w:color w:val="auto"/>
              </w:rPr>
              <w:t>OPERATING INCOME</w:t>
            </w: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3"/>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827</w:t>
            </w: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883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INCOME (EXPENSE)</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(98)</w:t>
            </w:r>
          </w:p>
        </w:tc>
        <w:tc>
          <w:tcPr>
            <w:tcW w:w="100" w:type="dxa"/>
            <w:vAlign w:val="bottom"/>
            <w:shd w:val="clear" w:color="auto" w:fill="CCEEFF"/>
          </w:tcPr>
          <w:p>
            <w:pPr>
              <w:spacing w:after="0"/>
              <w:rPr>
                <w:sz w:val="12"/>
                <w:szCs w:val="12"/>
                <w:color w:val="auto"/>
              </w:rPr>
            </w:pPr>
          </w:p>
        </w:tc>
        <w:tc>
          <w:tcPr>
            <w:tcW w:w="740" w:type="dxa"/>
            <w:vAlign w:val="bottom"/>
            <w:gridSpan w:val="3"/>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(124)</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(82)</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(57)</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Investment loss, net</w:t>
            </w:r>
          </w:p>
        </w:tc>
        <w:tc>
          <w:tcPr>
            <w:tcW w:w="200" w:type="dxa"/>
            <w:vAlign w:val="bottom"/>
          </w:tcPr>
          <w:p>
            <w:pPr>
              <w:spacing w:after="0"/>
              <w:rPr>
                <w:sz w:val="12"/>
                <w:szCs w:val="12"/>
                <w:color w:val="auto"/>
              </w:rPr>
            </w:pPr>
          </w:p>
        </w:tc>
        <w:tc>
          <w:tcPr>
            <w:tcW w:w="78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40" w:type="dxa"/>
            <w:vAlign w:val="bottom"/>
            <w:gridSpan w:val="3"/>
          </w:tcPr>
          <w:p>
            <w:pPr>
              <w:ind w:lef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(86)</w:t>
            </w:r>
          </w:p>
        </w:tc>
        <w:tc>
          <w:tcPr>
            <w:tcW w:w="140" w:type="dxa"/>
            <w:vAlign w:val="bottom"/>
          </w:tcPr>
          <w:p>
            <w:pPr>
              <w:spacing w:after="0"/>
              <w:rPr>
                <w:sz w:val="12"/>
                <w:szCs w:val="12"/>
                <w:color w:val="auto"/>
              </w:rPr>
            </w:pPr>
          </w:p>
        </w:tc>
        <w:tc>
          <w:tcPr>
            <w:tcW w:w="104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Equity in net income (losses) of affiliates</w:t>
            </w: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246</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339</w:t>
            </w: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240</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264</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228</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(1,348)</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Other income</w:t>
            </w:r>
          </w:p>
        </w:tc>
        <w:tc>
          <w:tcPr>
            <w:tcW w:w="200" w:type="dxa"/>
            <w:vAlign w:val="bottom"/>
          </w:tcPr>
          <w:p>
            <w:pPr>
              <w:spacing w:after="0"/>
              <w:rPr>
                <w:sz w:val="15"/>
                <w:szCs w:val="15"/>
                <w:color w:val="auto"/>
              </w:rPr>
            </w:pPr>
          </w:p>
        </w:tc>
        <w:tc>
          <w:tcPr>
            <w:tcW w:w="7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4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332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148</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215</w:t>
            </w: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158</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226</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118</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(1,348)</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0" w:type="dxa"/>
            <w:vAlign w:val="bottom"/>
            <w:vMerge w:val="continue"/>
          </w:tcPr>
          <w:p>
            <w:pPr>
              <w:spacing w:after="0"/>
              <w:rPr>
                <w:sz w:val="11"/>
                <w:szCs w:val="11"/>
                <w:color w:val="auto"/>
              </w:rPr>
            </w:pPr>
          </w:p>
        </w:tc>
        <w:tc>
          <w:tcPr>
            <w:tcW w:w="332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INCOME (LOSS) BEFORE INCOME TAXES AND</w:t>
            </w: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MINORITY INTEREST</w:t>
            </w: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w:t>
            </w:r>
          </w:p>
        </w:tc>
        <w:tc>
          <w:tcPr>
            <w:tcW w:w="4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(1,348)</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20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71"/>
              </w:rPr>
              <w:t>43</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(281)</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332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0" w:type="dxa"/>
            <w:vAlign w:val="bottom"/>
            <w:vMerge w:val="continue"/>
          </w:tcPr>
          <w:p>
            <w:pPr>
              <w:spacing w:after="0"/>
              <w:rPr>
                <w:sz w:val="11"/>
                <w:szCs w:val="11"/>
                <w:color w:val="auto"/>
              </w:rPr>
            </w:pPr>
          </w:p>
        </w:tc>
        <w:tc>
          <w:tcPr>
            <w:tcW w:w="332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INCOME (LOSS) BEFORE MINORITY</w:t>
            </w: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INTEREST</w:t>
            </w: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4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(1,348)</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MINORITY INTEREST</w:t>
            </w:r>
          </w:p>
        </w:tc>
        <w:tc>
          <w:tcPr>
            <w:tcW w:w="200" w:type="dxa"/>
            <w:vAlign w:val="bottom"/>
          </w:tcPr>
          <w:p>
            <w:pPr>
              <w:spacing w:after="0"/>
              <w:rPr>
                <w:sz w:val="15"/>
                <w:szCs w:val="15"/>
                <w:color w:val="auto"/>
              </w:rPr>
            </w:pPr>
          </w:p>
        </w:tc>
        <w:tc>
          <w:tcPr>
            <w:tcW w:w="7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4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332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222</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258</w:t>
            </w: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186</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240</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153</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511</w:t>
            </w: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(1,348)</w:t>
            </w: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2121535</wp:posOffset>
            </wp:positionH>
            <wp:positionV relativeFrom="paragraph">
              <wp:posOffset>-29210</wp:posOffset>
            </wp:positionV>
            <wp:extent cx="1270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-29210</wp:posOffset>
            </wp:positionV>
            <wp:extent cx="21590"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2438400</wp:posOffset>
            </wp:positionH>
            <wp:positionV relativeFrom="paragraph">
              <wp:posOffset>-29210</wp:posOffset>
            </wp:positionV>
            <wp:extent cx="38735"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2738755</wp:posOffset>
            </wp:positionH>
            <wp:positionV relativeFrom="paragraph">
              <wp:posOffset>-29210</wp:posOffset>
            </wp:positionV>
            <wp:extent cx="12700"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-29210</wp:posOffset>
            </wp:positionV>
            <wp:extent cx="21590"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-29210</wp:posOffset>
            </wp:positionV>
            <wp:extent cx="38735"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-29210</wp:posOffset>
            </wp:positionV>
            <wp:extent cx="12700"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-29210</wp:posOffset>
            </wp:positionV>
            <wp:extent cx="21590"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-29210</wp:posOffset>
            </wp:positionV>
            <wp:extent cx="38735"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-29210</wp:posOffset>
            </wp:positionV>
            <wp:extent cx="12700"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-29210</wp:posOffset>
            </wp:positionV>
            <wp:extent cx="21590"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-29210</wp:posOffset>
            </wp:positionV>
            <wp:extent cx="38735"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-29210</wp:posOffset>
            </wp:positionV>
            <wp:extent cx="12700"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-29210</wp:posOffset>
            </wp:positionV>
            <wp:extent cx="21590"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-29210</wp:posOffset>
            </wp:positionV>
            <wp:extent cx="38735"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-29210</wp:posOffset>
            </wp:positionV>
            <wp:extent cx="12700"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-29210</wp:posOffset>
            </wp:positionV>
            <wp:extent cx="21590"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-29210</wp:posOffset>
            </wp:positionV>
            <wp:extent cx="38735"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-29210</wp:posOffset>
            </wp:positionV>
            <wp:extent cx="12700"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-29210</wp:posOffset>
            </wp:positionV>
            <wp:extent cx="21590"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-29210</wp:posOffset>
            </wp:positionV>
            <wp:extent cx="38735"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12700"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-29210</wp:posOffset>
            </wp:positionV>
            <wp:extent cx="21590"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272" w:right="2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CORPORATION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 ENDED SEPTEMBER 30, 2005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2004</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8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5"/>
              </w:rPr>
              <w:t>Elimination</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Combined</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Non-</w:t>
            </w:r>
          </w:p>
        </w:tc>
        <w:tc>
          <w:tcPr>
            <w:tcW w:w="180" w:type="dxa"/>
            <w:vAlign w:val="bottom"/>
          </w:tcPr>
          <w:p>
            <w:pPr>
              <w:spacing w:after="0"/>
              <w:rPr>
                <w:sz w:val="12"/>
                <w:szCs w:val="12"/>
                <w:color w:val="auto"/>
              </w:rPr>
            </w:pPr>
          </w:p>
        </w:tc>
        <w:tc>
          <w:tcPr>
            <w:tcW w:w="110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8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Comcast</w:t>
            </w:r>
          </w:p>
        </w:tc>
        <w:tc>
          <w:tcPr>
            <w:tcW w:w="8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CCCL</w:t>
            </w:r>
          </w:p>
        </w:tc>
        <w:tc>
          <w:tcPr>
            <w:tcW w:w="8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CCCH</w:t>
            </w:r>
          </w:p>
        </w:tc>
        <w:tc>
          <w:tcPr>
            <w:tcW w:w="1060" w:type="dxa"/>
            <w:vAlign w:val="bottom"/>
            <w:gridSpan w:val="3"/>
          </w:tcPr>
          <w:p>
            <w:pPr>
              <w:jc w:val="right"/>
              <w:ind w:right="5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CCHMO</w:t>
            </w:r>
          </w:p>
        </w:tc>
        <w:tc>
          <w:tcPr>
            <w:tcW w:w="7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Comcast</w:t>
            </w:r>
          </w:p>
        </w:tc>
        <w:tc>
          <w:tcPr>
            <w:tcW w:w="220" w:type="dxa"/>
            <w:vAlign w:val="bottom"/>
          </w:tcPr>
          <w:p>
            <w:pPr>
              <w:spacing w:after="0"/>
              <w:rPr>
                <w:sz w:val="12"/>
                <w:szCs w:val="12"/>
                <w:color w:val="auto"/>
              </w:rPr>
            </w:pPr>
          </w:p>
        </w:tc>
        <w:tc>
          <w:tcPr>
            <w:tcW w:w="1160" w:type="dxa"/>
            <w:vAlign w:val="bottom"/>
            <w:gridSpan w:val="3"/>
          </w:tcPr>
          <w:p>
            <w:pPr>
              <w:jc w:val="right"/>
              <w:ind w:right="5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Guarantor</w:t>
            </w:r>
          </w:p>
        </w:tc>
        <w:tc>
          <w:tcPr>
            <w:tcW w:w="128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Consolidation</w:t>
            </w:r>
          </w:p>
        </w:tc>
        <w:tc>
          <w:tcPr>
            <w:tcW w:w="10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Comcast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80" w:type="dxa"/>
            <w:vAlign w:val="bottom"/>
          </w:tcPr>
          <w:p>
            <w:pPr>
              <w:spacing w:after="0"/>
              <w:rPr>
                <w:sz w:val="15"/>
                <w:szCs w:val="15"/>
                <w:color w:val="auto"/>
              </w:rPr>
            </w:pPr>
          </w:p>
        </w:tc>
        <w:tc>
          <w:tcPr>
            <w:tcW w:w="9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w w:val="91"/>
              </w:rPr>
              <w:t>Parents</w:t>
            </w: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Holdings</w:t>
            </w:r>
          </w:p>
        </w:tc>
        <w:tc>
          <w:tcPr>
            <w:tcW w:w="220" w:type="dxa"/>
            <w:vAlign w:val="bottom"/>
          </w:tcPr>
          <w:p>
            <w:pPr>
              <w:spacing w:after="0"/>
              <w:rPr>
                <w:sz w:val="15"/>
                <w:szCs w:val="15"/>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28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7"/>
              </w:rPr>
              <w:t>Adjustments</w:t>
            </w: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Corporation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REVENUES</w:t>
            </w: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Service revenues</w:t>
            </w:r>
          </w:p>
        </w:tc>
        <w:tc>
          <w:tcPr>
            <w:tcW w:w="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5,098</w:t>
            </w:r>
          </w:p>
        </w:tc>
        <w:tc>
          <w:tcPr>
            <w:tcW w:w="460" w:type="dxa"/>
            <w:vAlign w:val="bottom"/>
          </w:tcPr>
          <w:p>
            <w:pPr>
              <w:spacing w:after="0"/>
              <w:rPr>
                <w:sz w:val="12"/>
                <w:szCs w:val="12"/>
                <w:color w:val="auto"/>
              </w:rPr>
            </w:pPr>
          </w:p>
        </w:tc>
        <w:tc>
          <w:tcPr>
            <w:tcW w:w="180" w:type="dxa"/>
            <w:vAlign w:val="bottom"/>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5,098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Management fee revenue</w:t>
            </w: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105</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(272)</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105</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5,098</w:t>
            </w: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(272)</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5,098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COSTS AND EXPENSES</w:t>
            </w: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Operating (excluding depreciation)</w:t>
            </w:r>
          </w:p>
        </w:tc>
        <w:tc>
          <w:tcPr>
            <w:tcW w:w="180" w:type="dxa"/>
            <w:vAlign w:val="bottom"/>
          </w:tcPr>
          <w:p>
            <w:pPr>
              <w:spacing w:after="0"/>
              <w:rPr>
                <w:sz w:val="12"/>
                <w:szCs w:val="12"/>
                <w:color w:val="auto"/>
              </w:rPr>
            </w:pPr>
          </w:p>
        </w:tc>
        <w:tc>
          <w:tcPr>
            <w:tcW w:w="78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4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5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1,837</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1,837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Selling, general and administrative</w:t>
            </w: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1,466</w:t>
            </w: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(272)</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1,401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Depreciation</w:t>
            </w:r>
          </w:p>
        </w:tc>
        <w:tc>
          <w:tcPr>
            <w:tcW w:w="18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867</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869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Amortization</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303</w:t>
            </w: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4,473</w:t>
            </w: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(272)</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4,412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shd w:val="clear" w:color="auto" w:fill="CCEEFF"/>
          </w:tcPr>
          <w:p>
            <w:pPr>
              <w:ind w:left="860"/>
              <w:spacing w:after="0" w:line="149" w:lineRule="exact"/>
              <w:rPr>
                <w:sz w:val="20"/>
                <w:szCs w:val="20"/>
                <w:color w:val="auto"/>
              </w:rPr>
            </w:pPr>
            <w:r>
              <w:rPr>
                <w:rFonts w:ascii="Times New Roman" w:cs="Times New Roman" w:eastAsia="Times New Roman" w:hAnsi="Times New Roman"/>
                <w:sz w:val="14"/>
                <w:szCs w:val="14"/>
                <w:color w:val="auto"/>
              </w:rPr>
              <w:t>OPERATING INCOME</w:t>
            </w: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625</w:t>
            </w: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OTHER INCOME (EXPENSE)</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w w:val="98"/>
              </w:rPr>
              <w:t>(115)</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(109)</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Investment income, net</w:t>
            </w:r>
          </w:p>
        </w:tc>
        <w:tc>
          <w:tcPr>
            <w:tcW w:w="180" w:type="dxa"/>
            <w:vAlign w:val="bottom"/>
          </w:tcPr>
          <w:p>
            <w:pPr>
              <w:spacing w:after="0"/>
              <w:rPr>
                <w:sz w:val="12"/>
                <w:szCs w:val="12"/>
                <w:color w:val="auto"/>
              </w:rPr>
            </w:pPr>
          </w:p>
        </w:tc>
        <w:tc>
          <w:tcPr>
            <w:tcW w:w="78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4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Equity in net income (losses) of affiliates</w:t>
            </w: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221</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267</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166</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204</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(947)</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Other income</w:t>
            </w:r>
          </w:p>
        </w:tc>
        <w:tc>
          <w:tcPr>
            <w:tcW w:w="180" w:type="dxa"/>
            <w:vAlign w:val="bottom"/>
          </w:tcPr>
          <w:p>
            <w:pPr>
              <w:spacing w:after="0"/>
              <w:rPr>
                <w:sz w:val="15"/>
                <w:szCs w:val="15"/>
                <w:color w:val="auto"/>
              </w:rPr>
            </w:pPr>
          </w:p>
        </w:tc>
        <w:tc>
          <w:tcPr>
            <w:tcW w:w="7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338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155</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152</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262</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w:t>
            </w: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(947)</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0" w:type="dxa"/>
            <w:vAlign w:val="bottom"/>
            <w:vMerge w:val="continue"/>
          </w:tcPr>
          <w:p>
            <w:pPr>
              <w:spacing w:after="0"/>
              <w:rPr>
                <w:sz w:val="11"/>
                <w:szCs w:val="11"/>
                <w:color w:val="auto"/>
              </w:rPr>
            </w:pPr>
          </w:p>
        </w:tc>
        <w:tc>
          <w:tcPr>
            <w:tcW w:w="3400" w:type="dxa"/>
            <w:vAlign w:val="bottom"/>
            <w:gridSpan w:val="2"/>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INCOME (LOSS) BEFORE INCOME TAXES AND</w:t>
            </w: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MINORITY INTEREST</w:t>
            </w: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w:t>
            </w: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(947)</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180" w:type="dxa"/>
            <w:vAlign w:val="bottom"/>
          </w:tcPr>
          <w:p>
            <w:pPr>
              <w:spacing w:after="0"/>
              <w:rPr>
                <w:sz w:val="15"/>
                <w:szCs w:val="15"/>
                <w:color w:val="auto"/>
              </w:rPr>
            </w:pPr>
          </w:p>
        </w:tc>
        <w:tc>
          <w:tcPr>
            <w:tcW w:w="7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(19)</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(251)</w:t>
            </w:r>
          </w:p>
        </w:tc>
        <w:tc>
          <w:tcPr>
            <w:tcW w:w="180" w:type="dxa"/>
            <w:vAlign w:val="bottom"/>
          </w:tcPr>
          <w:p>
            <w:pPr>
              <w:spacing w:after="0"/>
              <w:rPr>
                <w:sz w:val="15"/>
                <w:szCs w:val="15"/>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338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INCOME (LOSS) BEFORE MINORITY INTEREST</w:t>
            </w: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220</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192</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239</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383</w:t>
            </w: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(947)</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MINORITY INTEREST</w:t>
            </w:r>
          </w:p>
        </w:tc>
        <w:tc>
          <w:tcPr>
            <w:tcW w:w="180" w:type="dxa"/>
            <w:vAlign w:val="bottom"/>
          </w:tcPr>
          <w:p>
            <w:pPr>
              <w:spacing w:after="0"/>
              <w:rPr>
                <w:sz w:val="15"/>
                <w:szCs w:val="15"/>
                <w:color w:val="auto"/>
              </w:rPr>
            </w:pPr>
          </w:p>
        </w:tc>
        <w:tc>
          <w:tcPr>
            <w:tcW w:w="7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338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220</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192</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239</w:t>
            </w:r>
          </w:p>
        </w:tc>
        <w:tc>
          <w:tcPr>
            <w:tcW w:w="24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385</w:t>
            </w: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(947)</w:t>
            </w: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2164080</wp:posOffset>
            </wp:positionH>
            <wp:positionV relativeFrom="paragraph">
              <wp:posOffset>-29210</wp:posOffset>
            </wp:positionV>
            <wp:extent cx="12700"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2232660</wp:posOffset>
            </wp:positionH>
            <wp:positionV relativeFrom="paragraph">
              <wp:posOffset>-29210</wp:posOffset>
            </wp:positionV>
            <wp:extent cx="21590"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-29210</wp:posOffset>
            </wp:positionV>
            <wp:extent cx="38735"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-29210</wp:posOffset>
            </wp:positionV>
            <wp:extent cx="12700"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-29210</wp:posOffset>
            </wp:positionV>
            <wp:extent cx="21590"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3021965</wp:posOffset>
            </wp:positionH>
            <wp:positionV relativeFrom="paragraph">
              <wp:posOffset>-29210</wp:posOffset>
            </wp:positionV>
            <wp:extent cx="38735"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-29210</wp:posOffset>
            </wp:positionV>
            <wp:extent cx="12700"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-29210</wp:posOffset>
            </wp:positionV>
            <wp:extent cx="21590"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-29210</wp:posOffset>
            </wp:positionV>
            <wp:extent cx="38735"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-29210</wp:posOffset>
            </wp:positionV>
            <wp:extent cx="12700"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-29210</wp:posOffset>
            </wp:positionV>
            <wp:extent cx="21590"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-29210</wp:posOffset>
            </wp:positionV>
            <wp:extent cx="38735"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-29210</wp:posOffset>
            </wp:positionV>
            <wp:extent cx="12700"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-29210</wp:posOffset>
            </wp:positionV>
            <wp:extent cx="21590"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-29210</wp:posOffset>
            </wp:positionV>
            <wp:extent cx="38735"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-29210</wp:posOffset>
            </wp:positionV>
            <wp:extent cx="484505"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484505"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-29210</wp:posOffset>
            </wp:positionV>
            <wp:extent cx="12700"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-29210</wp:posOffset>
            </wp:positionV>
            <wp:extent cx="21590"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-29210</wp:posOffset>
            </wp:positionV>
            <wp:extent cx="38735"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12700"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-29210</wp:posOffset>
            </wp:positionV>
            <wp:extent cx="21590"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272" w:right="2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CORPORATION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 ENDED SEPTEMBER 30, 2005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2005</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90" w:type="dxa"/>
            <w:vAlign w:val="bottom"/>
          </w:tcPr>
          <w:p>
            <w:pPr>
              <w:spacing w:after="0"/>
              <w:rPr>
                <w:sz w:val="13"/>
                <w:szCs w:val="13"/>
                <w:color w:val="auto"/>
              </w:rPr>
            </w:pPr>
          </w:p>
        </w:tc>
        <w:tc>
          <w:tcPr>
            <w:tcW w:w="43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5"/>
              </w:rPr>
              <w:t>Elimination</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43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Combined</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3"/>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Non-</w:t>
            </w:r>
          </w:p>
        </w:tc>
        <w:tc>
          <w:tcPr>
            <w:tcW w:w="180" w:type="dxa"/>
            <w:vAlign w:val="bottom"/>
          </w:tcPr>
          <w:p>
            <w:pPr>
              <w:spacing w:after="0"/>
              <w:rPr>
                <w:sz w:val="12"/>
                <w:szCs w:val="12"/>
                <w:color w:val="auto"/>
              </w:rPr>
            </w:pPr>
          </w:p>
        </w:tc>
        <w:tc>
          <w:tcPr>
            <w:tcW w:w="110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8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Comcast</w:t>
            </w:r>
          </w:p>
        </w:tc>
        <w:tc>
          <w:tcPr>
            <w:tcW w:w="84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CCCL</w:t>
            </w:r>
          </w:p>
        </w:tc>
        <w:tc>
          <w:tcPr>
            <w:tcW w:w="8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CCCH</w:t>
            </w:r>
          </w:p>
        </w:tc>
        <w:tc>
          <w:tcPr>
            <w:tcW w:w="108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CCHMO</w:t>
            </w:r>
          </w:p>
        </w:tc>
        <w:tc>
          <w:tcPr>
            <w:tcW w:w="10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Comcast</w:t>
            </w:r>
          </w:p>
        </w:tc>
        <w:tc>
          <w:tcPr>
            <w:tcW w:w="1200" w:type="dxa"/>
            <w:vAlign w:val="bottom"/>
            <w:gridSpan w:val="4"/>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Guarantor</w:t>
            </w:r>
          </w:p>
        </w:tc>
        <w:tc>
          <w:tcPr>
            <w:tcW w:w="1280" w:type="dxa"/>
            <w:vAlign w:val="bottom"/>
            <w:gridSpan w:val="3"/>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Consolidation</w:t>
            </w:r>
          </w:p>
        </w:tc>
        <w:tc>
          <w:tcPr>
            <w:tcW w:w="10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Comcast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9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8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80" w:type="dxa"/>
            <w:vAlign w:val="bottom"/>
          </w:tcPr>
          <w:p>
            <w:pPr>
              <w:spacing w:after="0"/>
              <w:rPr>
                <w:sz w:val="15"/>
                <w:szCs w:val="15"/>
                <w:color w:val="auto"/>
              </w:rPr>
            </w:pPr>
          </w:p>
        </w:tc>
        <w:tc>
          <w:tcPr>
            <w:tcW w:w="10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w w:val="91"/>
              </w:rPr>
              <w:t>Parents</w:t>
            </w: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Holdings</w:t>
            </w:r>
          </w:p>
        </w:tc>
        <w:tc>
          <w:tcPr>
            <w:tcW w:w="12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28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4"/>
              </w:rPr>
              <w:t>Adjustments</w:t>
            </w: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Corporation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43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20" w:type="dxa"/>
            <w:vAlign w:val="bottom"/>
          </w:tcPr>
          <w:p>
            <w:pPr>
              <w:spacing w:after="0"/>
              <w:rPr>
                <w:sz w:val="8"/>
                <w:szCs w:val="8"/>
                <w:color w:val="auto"/>
              </w:rPr>
            </w:pPr>
          </w:p>
        </w:tc>
        <w:tc>
          <w:tcPr>
            <w:tcW w:w="90" w:type="dxa"/>
            <w:vAlign w:val="bottom"/>
          </w:tcPr>
          <w:p>
            <w:pPr>
              <w:spacing w:after="0"/>
              <w:rPr>
                <w:sz w:val="8"/>
                <w:szCs w:val="8"/>
                <w:color w:val="auto"/>
              </w:rPr>
            </w:pPr>
          </w:p>
        </w:tc>
        <w:tc>
          <w:tcPr>
            <w:tcW w:w="43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REVENUES</w:t>
            </w:r>
          </w:p>
        </w:tc>
        <w:tc>
          <w:tcPr>
            <w:tcW w:w="90" w:type="dxa"/>
            <w:vAlign w:val="bottom"/>
            <w:shd w:val="clear" w:color="auto" w:fill="CCEEFF"/>
          </w:tcPr>
          <w:p>
            <w:pPr>
              <w:spacing w:after="0"/>
              <w:rPr>
                <w:sz w:val="12"/>
                <w:szCs w:val="12"/>
                <w:color w:val="auto"/>
              </w:rPr>
            </w:pPr>
          </w:p>
        </w:tc>
        <w:tc>
          <w:tcPr>
            <w:tcW w:w="43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Service revenues</w:t>
            </w:r>
          </w:p>
        </w:tc>
        <w:tc>
          <w:tcPr>
            <w:tcW w:w="9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9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3"/>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16,539</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jc w:val="right"/>
              <w:ind w:right="5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16,539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Management fee revenue</w:t>
            </w:r>
          </w:p>
        </w:tc>
        <w:tc>
          <w:tcPr>
            <w:tcW w:w="90" w:type="dxa"/>
            <w:vAlign w:val="bottom"/>
            <w:shd w:val="clear" w:color="auto" w:fill="CCEEFF"/>
          </w:tcPr>
          <w:p>
            <w:pPr>
              <w:spacing w:after="0"/>
              <w:rPr>
                <w:sz w:val="12"/>
                <w:szCs w:val="12"/>
                <w:color w:val="auto"/>
              </w:rPr>
            </w:pPr>
          </w:p>
        </w:tc>
        <w:tc>
          <w:tcPr>
            <w:tcW w:w="43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339</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130</w:t>
            </w: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207</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207</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(888)</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43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90" w:type="dxa"/>
            <w:vAlign w:val="bottom"/>
          </w:tcPr>
          <w:p>
            <w:pPr>
              <w:spacing w:after="0"/>
              <w:rPr>
                <w:sz w:val="8"/>
                <w:szCs w:val="8"/>
                <w:color w:val="auto"/>
              </w:rPr>
            </w:pPr>
          </w:p>
        </w:tc>
        <w:tc>
          <w:tcPr>
            <w:tcW w:w="43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43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339</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130</w:t>
            </w: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207</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207</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16,539</w:t>
            </w: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(888)</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16,539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43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20" w:type="dxa"/>
            <w:vAlign w:val="bottom"/>
          </w:tcPr>
          <w:p>
            <w:pPr>
              <w:spacing w:after="0"/>
              <w:rPr>
                <w:sz w:val="8"/>
                <w:szCs w:val="8"/>
                <w:color w:val="auto"/>
              </w:rPr>
            </w:pPr>
          </w:p>
        </w:tc>
        <w:tc>
          <w:tcPr>
            <w:tcW w:w="90" w:type="dxa"/>
            <w:vAlign w:val="bottom"/>
          </w:tcPr>
          <w:p>
            <w:pPr>
              <w:spacing w:after="0"/>
              <w:rPr>
                <w:sz w:val="8"/>
                <w:szCs w:val="8"/>
                <w:color w:val="auto"/>
              </w:rPr>
            </w:pPr>
          </w:p>
        </w:tc>
        <w:tc>
          <w:tcPr>
            <w:tcW w:w="43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COSTS AND EXPENSES</w:t>
            </w:r>
          </w:p>
        </w:tc>
        <w:tc>
          <w:tcPr>
            <w:tcW w:w="90" w:type="dxa"/>
            <w:vAlign w:val="bottom"/>
            <w:shd w:val="clear" w:color="auto" w:fill="CCEEFF"/>
          </w:tcPr>
          <w:p>
            <w:pPr>
              <w:spacing w:after="0"/>
              <w:rPr>
                <w:sz w:val="12"/>
                <w:szCs w:val="12"/>
                <w:color w:val="auto"/>
              </w:rPr>
            </w:pPr>
          </w:p>
        </w:tc>
        <w:tc>
          <w:tcPr>
            <w:tcW w:w="43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Operating (excluding depreciation)</w:t>
            </w:r>
          </w:p>
        </w:tc>
        <w:tc>
          <w:tcPr>
            <w:tcW w:w="90" w:type="dxa"/>
            <w:vAlign w:val="bottom"/>
          </w:tcPr>
          <w:p>
            <w:pPr>
              <w:spacing w:after="0"/>
              <w:rPr>
                <w:sz w:val="12"/>
                <w:szCs w:val="12"/>
                <w:color w:val="auto"/>
              </w:rPr>
            </w:pPr>
          </w:p>
        </w:tc>
        <w:tc>
          <w:tcPr>
            <w:tcW w:w="89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60" w:type="dxa"/>
            <w:vAlign w:val="bottom"/>
            <w:gridSpan w:val="3"/>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5,908</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Selling, general and administrative</w:t>
            </w:r>
          </w:p>
        </w:tc>
        <w:tc>
          <w:tcPr>
            <w:tcW w:w="90" w:type="dxa"/>
            <w:vAlign w:val="bottom"/>
            <w:shd w:val="clear" w:color="auto" w:fill="CCEEFF"/>
          </w:tcPr>
          <w:p>
            <w:pPr>
              <w:spacing w:after="0"/>
              <w:rPr>
                <w:sz w:val="12"/>
                <w:szCs w:val="12"/>
                <w:color w:val="auto"/>
              </w:rPr>
            </w:pPr>
          </w:p>
        </w:tc>
        <w:tc>
          <w:tcPr>
            <w:tcW w:w="43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144</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130</w:t>
            </w: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207</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207</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4,484</w:t>
            </w: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(888)</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4,293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Depreciation</w:t>
            </w:r>
          </w:p>
        </w:tc>
        <w:tc>
          <w:tcPr>
            <w:tcW w:w="90" w:type="dxa"/>
            <w:vAlign w:val="bottom"/>
          </w:tcPr>
          <w:p>
            <w:pPr>
              <w:spacing w:after="0"/>
              <w:rPr>
                <w:sz w:val="12"/>
                <w:szCs w:val="12"/>
                <w:color w:val="auto"/>
              </w:rPr>
            </w:pPr>
          </w:p>
        </w:tc>
        <w:tc>
          <w:tcPr>
            <w:tcW w:w="43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2,675</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2,679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Amortization</w:t>
            </w:r>
          </w:p>
        </w:tc>
        <w:tc>
          <w:tcPr>
            <w:tcW w:w="90" w:type="dxa"/>
            <w:vAlign w:val="bottom"/>
            <w:shd w:val="clear" w:color="auto" w:fill="CCEEFF"/>
          </w:tcPr>
          <w:p>
            <w:pPr>
              <w:spacing w:after="0"/>
              <w:rPr>
                <w:sz w:val="12"/>
                <w:szCs w:val="12"/>
                <w:color w:val="auto"/>
              </w:rPr>
            </w:pPr>
          </w:p>
        </w:tc>
        <w:tc>
          <w:tcPr>
            <w:tcW w:w="89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854</w:t>
            </w: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862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43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90" w:type="dxa"/>
            <w:vAlign w:val="bottom"/>
          </w:tcPr>
          <w:p>
            <w:pPr>
              <w:spacing w:after="0"/>
              <w:rPr>
                <w:sz w:val="8"/>
                <w:szCs w:val="8"/>
                <w:color w:val="auto"/>
              </w:rPr>
            </w:pPr>
          </w:p>
        </w:tc>
        <w:tc>
          <w:tcPr>
            <w:tcW w:w="43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43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146</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130</w:t>
            </w: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207</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207</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13,921</w:t>
            </w: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(888)</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13,742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43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90" w:type="dxa"/>
            <w:vAlign w:val="bottom"/>
          </w:tcPr>
          <w:p>
            <w:pPr>
              <w:spacing w:after="0"/>
              <w:rPr>
                <w:sz w:val="8"/>
                <w:szCs w:val="8"/>
                <w:color w:val="auto"/>
              </w:rPr>
            </w:pPr>
          </w:p>
        </w:tc>
        <w:tc>
          <w:tcPr>
            <w:tcW w:w="43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ind w:left="860"/>
              <w:spacing w:after="0" w:line="149" w:lineRule="exact"/>
              <w:rPr>
                <w:sz w:val="20"/>
                <w:szCs w:val="20"/>
                <w:color w:val="auto"/>
              </w:rPr>
            </w:pPr>
            <w:r>
              <w:rPr>
                <w:rFonts w:ascii="Times New Roman" w:cs="Times New Roman" w:eastAsia="Times New Roman" w:hAnsi="Times New Roman"/>
                <w:sz w:val="14"/>
                <w:szCs w:val="14"/>
                <w:color w:val="auto"/>
              </w:rPr>
              <w:t>OPERATING INCOME</w:t>
            </w:r>
          </w:p>
        </w:tc>
        <w:tc>
          <w:tcPr>
            <w:tcW w:w="90" w:type="dxa"/>
            <w:vAlign w:val="bottom"/>
            <w:shd w:val="clear" w:color="auto" w:fill="CCEEFF"/>
          </w:tcPr>
          <w:p>
            <w:pPr>
              <w:spacing w:after="0"/>
              <w:rPr>
                <w:sz w:val="12"/>
                <w:szCs w:val="12"/>
                <w:color w:val="auto"/>
              </w:rPr>
            </w:pPr>
          </w:p>
        </w:tc>
        <w:tc>
          <w:tcPr>
            <w:tcW w:w="43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193</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2,618</w:t>
            </w: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2,797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INCOME (EXPENSE)</w:t>
            </w:r>
          </w:p>
        </w:tc>
        <w:tc>
          <w:tcPr>
            <w:tcW w:w="90" w:type="dxa"/>
            <w:vAlign w:val="bottom"/>
          </w:tcPr>
          <w:p>
            <w:pPr>
              <w:spacing w:after="0"/>
              <w:rPr>
                <w:sz w:val="12"/>
                <w:szCs w:val="12"/>
                <w:color w:val="auto"/>
              </w:rPr>
            </w:pPr>
          </w:p>
        </w:tc>
        <w:tc>
          <w:tcPr>
            <w:tcW w:w="43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90" w:type="dxa"/>
            <w:vAlign w:val="bottom"/>
            <w:shd w:val="clear" w:color="auto" w:fill="CCEEFF"/>
          </w:tcPr>
          <w:p>
            <w:pPr>
              <w:spacing w:after="0"/>
              <w:rPr>
                <w:sz w:val="12"/>
                <w:szCs w:val="12"/>
                <w:color w:val="auto"/>
              </w:rPr>
            </w:pPr>
          </w:p>
        </w:tc>
        <w:tc>
          <w:tcPr>
            <w:tcW w:w="89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(249)</w:t>
            </w:r>
          </w:p>
        </w:tc>
        <w:tc>
          <w:tcPr>
            <w:tcW w:w="8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(364)</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(247)</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(233)</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(77)</w:t>
            </w: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(164)</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Investment income, net</w:t>
            </w:r>
          </w:p>
        </w:tc>
        <w:tc>
          <w:tcPr>
            <w:tcW w:w="90" w:type="dxa"/>
            <w:vAlign w:val="bottom"/>
          </w:tcPr>
          <w:p>
            <w:pPr>
              <w:spacing w:after="0"/>
              <w:rPr>
                <w:sz w:val="12"/>
                <w:szCs w:val="12"/>
                <w:color w:val="auto"/>
              </w:rPr>
            </w:pPr>
          </w:p>
        </w:tc>
        <w:tc>
          <w:tcPr>
            <w:tcW w:w="89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60" w:type="dxa"/>
            <w:vAlign w:val="bottom"/>
            <w:gridSpan w:val="3"/>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Equity in net income (losses) of affiliates</w:t>
            </w:r>
          </w:p>
        </w:tc>
        <w:tc>
          <w:tcPr>
            <w:tcW w:w="90" w:type="dxa"/>
            <w:vAlign w:val="bottom"/>
            <w:shd w:val="clear" w:color="auto" w:fill="CCEEFF"/>
          </w:tcPr>
          <w:p>
            <w:pPr>
              <w:spacing w:after="0"/>
              <w:rPr>
                <w:sz w:val="12"/>
                <w:szCs w:val="12"/>
                <w:color w:val="auto"/>
              </w:rPr>
            </w:pPr>
          </w:p>
        </w:tc>
        <w:tc>
          <w:tcPr>
            <w:tcW w:w="43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831</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8"/>
              </w:rPr>
              <w:t>1,020</w:t>
            </w: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519</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670</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771</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(3,823)</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Other income (expense)</w:t>
            </w:r>
          </w:p>
        </w:tc>
        <w:tc>
          <w:tcPr>
            <w:tcW w:w="90" w:type="dxa"/>
            <w:vAlign w:val="bottom"/>
          </w:tcPr>
          <w:p>
            <w:pPr>
              <w:spacing w:after="0"/>
              <w:rPr>
                <w:sz w:val="15"/>
                <w:szCs w:val="15"/>
                <w:color w:val="auto"/>
              </w:rPr>
            </w:pPr>
          </w:p>
        </w:tc>
        <w:tc>
          <w:tcPr>
            <w:tcW w:w="89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76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(61)</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3320" w:type="dxa"/>
            <w:vAlign w:val="bottom"/>
          </w:tcPr>
          <w:p>
            <w:pPr>
              <w:spacing w:after="0"/>
              <w:rPr>
                <w:sz w:val="7"/>
                <w:szCs w:val="7"/>
                <w:color w:val="auto"/>
              </w:rPr>
            </w:pPr>
          </w:p>
        </w:tc>
        <w:tc>
          <w:tcPr>
            <w:tcW w:w="90" w:type="dxa"/>
            <w:vAlign w:val="bottom"/>
            <w:tcBorders>
              <w:bottom w:val="single" w:sz="8" w:color="auto"/>
            </w:tcBorders>
          </w:tcPr>
          <w:p>
            <w:pPr>
              <w:spacing w:after="0"/>
              <w:rPr>
                <w:sz w:val="7"/>
                <w:szCs w:val="7"/>
                <w:color w:val="auto"/>
              </w:rPr>
            </w:pPr>
          </w:p>
        </w:tc>
        <w:tc>
          <w:tcPr>
            <w:tcW w:w="43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90" w:type="dxa"/>
            <w:vAlign w:val="bottom"/>
          </w:tcPr>
          <w:p>
            <w:pPr>
              <w:spacing w:after="0"/>
              <w:rPr>
                <w:sz w:val="8"/>
                <w:szCs w:val="8"/>
                <w:color w:val="auto"/>
              </w:rPr>
            </w:pPr>
          </w:p>
        </w:tc>
        <w:tc>
          <w:tcPr>
            <w:tcW w:w="43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43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582</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656</w:t>
            </w: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272</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437</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659</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(164)</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(3,823)</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(1,381)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43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20" w:type="dxa"/>
            <w:vAlign w:val="bottom"/>
          </w:tcPr>
          <w:p>
            <w:pPr>
              <w:spacing w:after="0"/>
              <w:rPr>
                <w:sz w:val="8"/>
                <w:szCs w:val="8"/>
                <w:color w:val="auto"/>
              </w:rPr>
            </w:pPr>
          </w:p>
        </w:tc>
        <w:tc>
          <w:tcPr>
            <w:tcW w:w="90" w:type="dxa"/>
            <w:vAlign w:val="bottom"/>
          </w:tcPr>
          <w:p>
            <w:pPr>
              <w:spacing w:after="0"/>
              <w:rPr>
                <w:sz w:val="8"/>
                <w:szCs w:val="8"/>
                <w:color w:val="auto"/>
              </w:rPr>
            </w:pPr>
          </w:p>
        </w:tc>
        <w:tc>
          <w:tcPr>
            <w:tcW w:w="43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0" w:type="dxa"/>
            <w:vAlign w:val="bottom"/>
            <w:vMerge w:val="continue"/>
          </w:tcPr>
          <w:p>
            <w:pPr>
              <w:spacing w:after="0"/>
              <w:rPr>
                <w:sz w:val="11"/>
                <w:szCs w:val="11"/>
                <w:color w:val="auto"/>
              </w:rPr>
            </w:pPr>
          </w:p>
        </w:tc>
        <w:tc>
          <w:tcPr>
            <w:tcW w:w="332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INCOME (LOSS) BEFORE INCOME TAXES AND</w:t>
            </w:r>
          </w:p>
        </w:tc>
        <w:tc>
          <w:tcPr>
            <w:tcW w:w="90" w:type="dxa"/>
            <w:vAlign w:val="bottom"/>
            <w:shd w:val="clear" w:color="auto" w:fill="CCEEFF"/>
          </w:tcPr>
          <w:p>
            <w:pPr>
              <w:spacing w:after="0"/>
              <w:rPr>
                <w:sz w:val="11"/>
                <w:szCs w:val="11"/>
                <w:color w:val="auto"/>
              </w:rPr>
            </w:pPr>
          </w:p>
        </w:tc>
        <w:tc>
          <w:tcPr>
            <w:tcW w:w="43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MINORITY INTEREST</w:t>
            </w:r>
          </w:p>
        </w:tc>
        <w:tc>
          <w:tcPr>
            <w:tcW w:w="90" w:type="dxa"/>
            <w:vAlign w:val="bottom"/>
            <w:shd w:val="clear" w:color="auto" w:fill="CCEEFF"/>
          </w:tcPr>
          <w:p>
            <w:pPr>
              <w:spacing w:after="0"/>
              <w:rPr>
                <w:sz w:val="14"/>
                <w:szCs w:val="14"/>
                <w:color w:val="auto"/>
              </w:rPr>
            </w:pPr>
          </w:p>
        </w:tc>
        <w:tc>
          <w:tcPr>
            <w:tcW w:w="43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w:t>
            </w: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w:t>
            </w: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w:t>
            </w: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2,454</w:t>
            </w:r>
          </w:p>
        </w:tc>
        <w:tc>
          <w:tcPr>
            <w:tcW w:w="4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(3,823)</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1,416</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90" w:type="dxa"/>
            <w:vAlign w:val="bottom"/>
          </w:tcPr>
          <w:p>
            <w:pPr>
              <w:spacing w:after="0"/>
              <w:rPr>
                <w:sz w:val="15"/>
                <w:szCs w:val="15"/>
                <w:color w:val="auto"/>
              </w:rPr>
            </w:pPr>
          </w:p>
        </w:tc>
        <w:tc>
          <w:tcPr>
            <w:tcW w:w="43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(973)</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(614)</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3320" w:type="dxa"/>
            <w:vAlign w:val="bottom"/>
          </w:tcPr>
          <w:p>
            <w:pPr>
              <w:spacing w:after="0"/>
              <w:rPr>
                <w:sz w:val="7"/>
                <w:szCs w:val="7"/>
                <w:color w:val="auto"/>
              </w:rPr>
            </w:pPr>
          </w:p>
        </w:tc>
        <w:tc>
          <w:tcPr>
            <w:tcW w:w="90" w:type="dxa"/>
            <w:vAlign w:val="bottom"/>
            <w:tcBorders>
              <w:bottom w:val="single" w:sz="8" w:color="auto"/>
            </w:tcBorders>
          </w:tcPr>
          <w:p>
            <w:pPr>
              <w:spacing w:after="0"/>
              <w:rPr>
                <w:sz w:val="7"/>
                <w:szCs w:val="7"/>
                <w:color w:val="auto"/>
              </w:rPr>
            </w:pPr>
          </w:p>
        </w:tc>
        <w:tc>
          <w:tcPr>
            <w:tcW w:w="43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20" w:type="dxa"/>
            <w:vAlign w:val="bottom"/>
          </w:tcPr>
          <w:p>
            <w:pPr>
              <w:spacing w:after="0"/>
              <w:rPr>
                <w:sz w:val="8"/>
                <w:szCs w:val="8"/>
                <w:color w:val="auto"/>
              </w:rPr>
            </w:pPr>
          </w:p>
        </w:tc>
        <w:tc>
          <w:tcPr>
            <w:tcW w:w="90" w:type="dxa"/>
            <w:vAlign w:val="bottom"/>
          </w:tcPr>
          <w:p>
            <w:pPr>
              <w:spacing w:after="0"/>
              <w:rPr>
                <w:sz w:val="8"/>
                <w:szCs w:val="8"/>
                <w:color w:val="auto"/>
              </w:rPr>
            </w:pPr>
          </w:p>
        </w:tc>
        <w:tc>
          <w:tcPr>
            <w:tcW w:w="43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0" w:type="dxa"/>
            <w:vAlign w:val="bottom"/>
            <w:vMerge w:val="continue"/>
          </w:tcPr>
          <w:p>
            <w:pPr>
              <w:spacing w:after="0"/>
              <w:rPr>
                <w:sz w:val="11"/>
                <w:szCs w:val="11"/>
                <w:color w:val="auto"/>
              </w:rPr>
            </w:pPr>
          </w:p>
        </w:tc>
        <w:tc>
          <w:tcPr>
            <w:tcW w:w="332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INCOME (LOSS) BEFORE MINORITY</w:t>
            </w:r>
          </w:p>
        </w:tc>
        <w:tc>
          <w:tcPr>
            <w:tcW w:w="90" w:type="dxa"/>
            <w:vAlign w:val="bottom"/>
            <w:shd w:val="clear" w:color="auto" w:fill="CCEEFF"/>
          </w:tcPr>
          <w:p>
            <w:pPr>
              <w:spacing w:after="0"/>
              <w:rPr>
                <w:sz w:val="11"/>
                <w:szCs w:val="11"/>
                <w:color w:val="auto"/>
              </w:rPr>
            </w:pPr>
          </w:p>
        </w:tc>
        <w:tc>
          <w:tcPr>
            <w:tcW w:w="43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INTEREST</w:t>
            </w:r>
          </w:p>
        </w:tc>
        <w:tc>
          <w:tcPr>
            <w:tcW w:w="90" w:type="dxa"/>
            <w:vAlign w:val="bottom"/>
            <w:shd w:val="clear" w:color="auto" w:fill="CCEEFF"/>
          </w:tcPr>
          <w:p>
            <w:pPr>
              <w:spacing w:after="0"/>
              <w:rPr>
                <w:sz w:val="14"/>
                <w:szCs w:val="14"/>
                <w:color w:val="auto"/>
              </w:rPr>
            </w:pPr>
          </w:p>
        </w:tc>
        <w:tc>
          <w:tcPr>
            <w:tcW w:w="43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795</w:t>
            </w: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w:t>
            </w: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w:t>
            </w: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w:t>
            </w: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1,481</w:t>
            </w:r>
          </w:p>
        </w:tc>
        <w:tc>
          <w:tcPr>
            <w:tcW w:w="4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(3,823)</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MINORITY INTEREST</w:t>
            </w:r>
          </w:p>
        </w:tc>
        <w:tc>
          <w:tcPr>
            <w:tcW w:w="90" w:type="dxa"/>
            <w:vAlign w:val="bottom"/>
          </w:tcPr>
          <w:p>
            <w:pPr>
              <w:spacing w:after="0"/>
              <w:rPr>
                <w:sz w:val="15"/>
                <w:szCs w:val="15"/>
                <w:color w:val="auto"/>
              </w:rPr>
            </w:pPr>
          </w:p>
        </w:tc>
        <w:tc>
          <w:tcPr>
            <w:tcW w:w="89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76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(7)</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3320" w:type="dxa"/>
            <w:vAlign w:val="bottom"/>
          </w:tcPr>
          <w:p>
            <w:pPr>
              <w:spacing w:after="0"/>
              <w:rPr>
                <w:sz w:val="7"/>
                <w:szCs w:val="7"/>
                <w:color w:val="auto"/>
              </w:rPr>
            </w:pPr>
          </w:p>
        </w:tc>
        <w:tc>
          <w:tcPr>
            <w:tcW w:w="90" w:type="dxa"/>
            <w:vAlign w:val="bottom"/>
            <w:tcBorders>
              <w:bottom w:val="single" w:sz="8" w:color="auto"/>
            </w:tcBorders>
          </w:tcPr>
          <w:p>
            <w:pPr>
              <w:spacing w:after="0"/>
              <w:rPr>
                <w:sz w:val="7"/>
                <w:szCs w:val="7"/>
                <w:color w:val="auto"/>
              </w:rPr>
            </w:pPr>
          </w:p>
        </w:tc>
        <w:tc>
          <w:tcPr>
            <w:tcW w:w="43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20" w:type="dxa"/>
            <w:vAlign w:val="bottom"/>
          </w:tcPr>
          <w:p>
            <w:pPr>
              <w:spacing w:after="0"/>
              <w:rPr>
                <w:sz w:val="8"/>
                <w:szCs w:val="8"/>
                <w:color w:val="auto"/>
              </w:rPr>
            </w:pPr>
          </w:p>
        </w:tc>
        <w:tc>
          <w:tcPr>
            <w:tcW w:w="90" w:type="dxa"/>
            <w:vAlign w:val="bottom"/>
          </w:tcPr>
          <w:p>
            <w:pPr>
              <w:spacing w:after="0"/>
              <w:rPr>
                <w:sz w:val="8"/>
                <w:szCs w:val="8"/>
                <w:color w:val="auto"/>
              </w:rPr>
            </w:pPr>
          </w:p>
        </w:tc>
        <w:tc>
          <w:tcPr>
            <w:tcW w:w="43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9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43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795</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783</w:t>
            </w: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358</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519</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689</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1,474</w:t>
            </w: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(3,823)</w:t>
            </w: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795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43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2121535</wp:posOffset>
            </wp:positionH>
            <wp:positionV relativeFrom="paragraph">
              <wp:posOffset>-29210</wp:posOffset>
            </wp:positionV>
            <wp:extent cx="12700"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2172970</wp:posOffset>
            </wp:positionH>
            <wp:positionV relativeFrom="paragraph">
              <wp:posOffset>-29210</wp:posOffset>
            </wp:positionV>
            <wp:extent cx="21590"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2438400</wp:posOffset>
            </wp:positionH>
            <wp:positionV relativeFrom="paragraph">
              <wp:posOffset>-29210</wp:posOffset>
            </wp:positionV>
            <wp:extent cx="38735"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2738755</wp:posOffset>
            </wp:positionH>
            <wp:positionV relativeFrom="paragraph">
              <wp:posOffset>-29210</wp:posOffset>
            </wp:positionV>
            <wp:extent cx="12700"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-29210</wp:posOffset>
            </wp:positionV>
            <wp:extent cx="21590"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-29210</wp:posOffset>
            </wp:positionV>
            <wp:extent cx="38735"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-29210</wp:posOffset>
            </wp:positionV>
            <wp:extent cx="12700"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-29210</wp:posOffset>
            </wp:positionV>
            <wp:extent cx="21590"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-29210</wp:posOffset>
            </wp:positionV>
            <wp:extent cx="38735"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-29210</wp:posOffset>
            </wp:positionV>
            <wp:extent cx="12700"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-29210</wp:posOffset>
            </wp:positionV>
            <wp:extent cx="21590"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-29210</wp:posOffset>
            </wp:positionV>
            <wp:extent cx="38735"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-29210</wp:posOffset>
            </wp:positionV>
            <wp:extent cx="12700"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-29210</wp:posOffset>
            </wp:positionV>
            <wp:extent cx="21590"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-29210</wp:posOffset>
            </wp:positionV>
            <wp:extent cx="38735"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-29210</wp:posOffset>
            </wp:positionV>
            <wp:extent cx="12700"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-29210</wp:posOffset>
            </wp:positionV>
            <wp:extent cx="21590"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-29210</wp:posOffset>
            </wp:positionV>
            <wp:extent cx="38735"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-29210</wp:posOffset>
            </wp:positionV>
            <wp:extent cx="12700"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-29210</wp:posOffset>
            </wp:positionV>
            <wp:extent cx="21590"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-29210</wp:posOffset>
            </wp:positionV>
            <wp:extent cx="38735"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12700"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-29210</wp:posOffset>
            </wp:positionV>
            <wp:extent cx="21590"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272" w:right="2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CORPORATION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 ENDED SEPTEMBER 30, 2005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2004</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5"/>
              </w:rPr>
              <w:t>Elimination</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Combined</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3"/>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Non-</w:t>
            </w:r>
          </w:p>
        </w:tc>
        <w:tc>
          <w:tcPr>
            <w:tcW w:w="180" w:type="dxa"/>
            <w:vAlign w:val="bottom"/>
          </w:tcPr>
          <w:p>
            <w:pPr>
              <w:spacing w:after="0"/>
              <w:rPr>
                <w:sz w:val="12"/>
                <w:szCs w:val="12"/>
                <w:color w:val="auto"/>
              </w:rPr>
            </w:pPr>
          </w:p>
        </w:tc>
        <w:tc>
          <w:tcPr>
            <w:tcW w:w="110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8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Comcast</w:t>
            </w:r>
          </w:p>
        </w:tc>
        <w:tc>
          <w:tcPr>
            <w:tcW w:w="840" w:type="dxa"/>
            <w:vAlign w:val="bottom"/>
            <w:gridSpan w:val="4"/>
          </w:tcPr>
          <w:p>
            <w:pPr>
              <w:jc w:val="right"/>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0"/>
              </w:rPr>
              <w:t>CCCL</w:t>
            </w:r>
          </w:p>
        </w:tc>
        <w:tc>
          <w:tcPr>
            <w:tcW w:w="8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CCCH</w:t>
            </w:r>
          </w:p>
        </w:tc>
        <w:tc>
          <w:tcPr>
            <w:tcW w:w="108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CCHMO</w:t>
            </w:r>
          </w:p>
        </w:tc>
        <w:tc>
          <w:tcPr>
            <w:tcW w:w="10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Comcast</w:t>
            </w:r>
          </w:p>
        </w:tc>
        <w:tc>
          <w:tcPr>
            <w:tcW w:w="1200" w:type="dxa"/>
            <w:vAlign w:val="bottom"/>
            <w:gridSpan w:val="4"/>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Guarantor</w:t>
            </w:r>
          </w:p>
        </w:tc>
        <w:tc>
          <w:tcPr>
            <w:tcW w:w="1280" w:type="dxa"/>
            <w:vAlign w:val="bottom"/>
            <w:gridSpan w:val="3"/>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Consolidation</w:t>
            </w:r>
          </w:p>
        </w:tc>
        <w:tc>
          <w:tcPr>
            <w:tcW w:w="10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Comcast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9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840" w:type="dxa"/>
            <w:vAlign w:val="bottom"/>
            <w:gridSpan w:val="4"/>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w w:val="88"/>
              </w:rPr>
              <w:t>Parent</w:t>
            </w: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80" w:type="dxa"/>
            <w:vAlign w:val="bottom"/>
          </w:tcPr>
          <w:p>
            <w:pPr>
              <w:spacing w:after="0"/>
              <w:rPr>
                <w:sz w:val="15"/>
                <w:szCs w:val="15"/>
                <w:color w:val="auto"/>
              </w:rPr>
            </w:pPr>
          </w:p>
        </w:tc>
        <w:tc>
          <w:tcPr>
            <w:tcW w:w="10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w w:val="91"/>
              </w:rPr>
              <w:t>Parents</w:t>
            </w: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Holdings</w:t>
            </w:r>
          </w:p>
        </w:tc>
        <w:tc>
          <w:tcPr>
            <w:tcW w:w="12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28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4"/>
              </w:rPr>
              <w:t>Adjustments</w:t>
            </w: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Corporation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REVENUES</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Service revenues</w:t>
            </w:r>
          </w:p>
        </w:tc>
        <w:tc>
          <w:tcPr>
            <w:tcW w:w="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3"/>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15,072</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jc w:val="right"/>
              <w:ind w:right="5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15,072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Management fee revenue</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307</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120</w:t>
            </w: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187</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187</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(807)</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307</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120</w:t>
            </w: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187</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187</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15,072</w:t>
            </w: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(807)</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15,072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COSTS AND EXPENSES</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Operating (excluding depreciation)</w:t>
            </w:r>
          </w:p>
        </w:tc>
        <w:tc>
          <w:tcPr>
            <w:tcW w:w="180" w:type="dxa"/>
            <w:vAlign w:val="bottom"/>
          </w:tcPr>
          <w:p>
            <w:pPr>
              <w:spacing w:after="0"/>
              <w:rPr>
                <w:sz w:val="12"/>
                <w:szCs w:val="12"/>
                <w:color w:val="auto"/>
              </w:rPr>
            </w:pPr>
          </w:p>
        </w:tc>
        <w:tc>
          <w:tcPr>
            <w:tcW w:w="80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40" w:type="dxa"/>
            <w:vAlign w:val="bottom"/>
            <w:gridSpan w:val="3"/>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5,500</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Selling, general and administrative</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132</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120</w:t>
            </w: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187</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187</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4,200</w:t>
            </w: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(807)</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4,027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Depreciation</w:t>
            </w:r>
          </w:p>
        </w:tc>
        <w:tc>
          <w:tcPr>
            <w:tcW w:w="1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2,476</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2,480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Amortization</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860</w:t>
            </w: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868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133</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120</w:t>
            </w: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187</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187</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13,036</w:t>
            </w: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(807)</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12,875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ind w:left="860"/>
              <w:spacing w:after="0" w:line="149" w:lineRule="exact"/>
              <w:rPr>
                <w:sz w:val="20"/>
                <w:szCs w:val="20"/>
                <w:color w:val="auto"/>
              </w:rPr>
            </w:pPr>
            <w:r>
              <w:rPr>
                <w:rFonts w:ascii="Times New Roman" w:cs="Times New Roman" w:eastAsia="Times New Roman" w:hAnsi="Times New Roman"/>
                <w:sz w:val="14"/>
                <w:szCs w:val="14"/>
                <w:color w:val="auto"/>
              </w:rPr>
              <w:t>OPERATING INCOME</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174</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2,036</w:t>
            </w: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2,197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INCOME (EXPENSE)</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(229)</w:t>
            </w:r>
          </w:p>
        </w:tc>
        <w:tc>
          <w:tcPr>
            <w:tcW w:w="10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(357)</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(262)</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(302)</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(73)</w:t>
            </w: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(196)</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Investment income, net</w:t>
            </w:r>
          </w:p>
        </w:tc>
        <w:tc>
          <w:tcPr>
            <w:tcW w:w="180" w:type="dxa"/>
            <w:vAlign w:val="bottom"/>
          </w:tcPr>
          <w:p>
            <w:pPr>
              <w:spacing w:after="0"/>
              <w:rPr>
                <w:sz w:val="12"/>
                <w:szCs w:val="12"/>
                <w:color w:val="auto"/>
              </w:rPr>
            </w:pPr>
          </w:p>
        </w:tc>
        <w:tc>
          <w:tcPr>
            <w:tcW w:w="80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40" w:type="dxa"/>
            <w:vAlign w:val="bottom"/>
            <w:gridSpan w:val="3"/>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139</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92</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Equity in net income (losses) of affiliates</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583</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874</w:t>
            </w: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271</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467</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617</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(2,837)</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Other income</w:t>
            </w:r>
          </w:p>
        </w:tc>
        <w:tc>
          <w:tcPr>
            <w:tcW w:w="180" w:type="dxa"/>
            <w:vAlign w:val="bottom"/>
          </w:tcPr>
          <w:p>
            <w:pPr>
              <w:spacing w:after="0"/>
              <w:rPr>
                <w:sz w:val="15"/>
                <w:szCs w:val="15"/>
                <w:color w:val="auto"/>
              </w:rPr>
            </w:pPr>
          </w:p>
        </w:tc>
        <w:tc>
          <w:tcPr>
            <w:tcW w:w="8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4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332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354</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517</w:t>
            </w: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165</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683</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(63)</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(2,837)</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(1,172)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0" w:type="dxa"/>
            <w:vAlign w:val="bottom"/>
            <w:vMerge w:val="continue"/>
          </w:tcPr>
          <w:p>
            <w:pPr>
              <w:spacing w:after="0"/>
              <w:rPr>
                <w:sz w:val="11"/>
                <w:szCs w:val="11"/>
                <w:color w:val="auto"/>
              </w:rPr>
            </w:pPr>
          </w:p>
        </w:tc>
        <w:tc>
          <w:tcPr>
            <w:tcW w:w="332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INCOME (LOSS) BEFORE INCOME TAXES AND</w:t>
            </w: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MINORITY INTEREST</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w:t>
            </w: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1,973</w:t>
            </w:r>
          </w:p>
        </w:tc>
        <w:tc>
          <w:tcPr>
            <w:tcW w:w="4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(2,837)</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1,025</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1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(19)</w:t>
            </w:r>
          </w:p>
        </w:tc>
        <w:tc>
          <w:tcPr>
            <w:tcW w:w="140" w:type="dxa"/>
            <w:vAlign w:val="bottom"/>
          </w:tcPr>
          <w:p>
            <w:pPr>
              <w:spacing w:after="0"/>
              <w:rPr>
                <w:sz w:val="15"/>
                <w:szCs w:val="15"/>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(789)</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(466)</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332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0" w:type="dxa"/>
            <w:vAlign w:val="bottom"/>
            <w:vMerge w:val="continue"/>
          </w:tcPr>
          <w:p>
            <w:pPr>
              <w:spacing w:after="0"/>
              <w:rPr>
                <w:sz w:val="11"/>
                <w:szCs w:val="11"/>
                <w:color w:val="auto"/>
              </w:rPr>
            </w:pPr>
          </w:p>
        </w:tc>
        <w:tc>
          <w:tcPr>
            <w:tcW w:w="332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INCOME (LOSS) BEFORE MINORITY</w:t>
            </w: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INTEREST</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w:t>
            </w: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w:t>
            </w: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1,184</w:t>
            </w:r>
          </w:p>
        </w:tc>
        <w:tc>
          <w:tcPr>
            <w:tcW w:w="4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(2,837)</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MINORITY INTEREST</w:t>
            </w:r>
          </w:p>
        </w:tc>
        <w:tc>
          <w:tcPr>
            <w:tcW w:w="180" w:type="dxa"/>
            <w:vAlign w:val="bottom"/>
          </w:tcPr>
          <w:p>
            <w:pPr>
              <w:spacing w:after="0"/>
              <w:rPr>
                <w:sz w:val="15"/>
                <w:szCs w:val="15"/>
                <w:color w:val="auto"/>
              </w:rPr>
            </w:pPr>
          </w:p>
        </w:tc>
        <w:tc>
          <w:tcPr>
            <w:tcW w:w="8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4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(12)</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332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547</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642</w:t>
            </w: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271</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651</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1,172</w:t>
            </w: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(2,837)</w:t>
            </w: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2121535</wp:posOffset>
            </wp:positionH>
            <wp:positionV relativeFrom="paragraph">
              <wp:posOffset>-29210</wp:posOffset>
            </wp:positionV>
            <wp:extent cx="12700"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2172970</wp:posOffset>
            </wp:positionH>
            <wp:positionV relativeFrom="paragraph">
              <wp:posOffset>-29210</wp:posOffset>
            </wp:positionV>
            <wp:extent cx="21590"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2438400</wp:posOffset>
            </wp:positionH>
            <wp:positionV relativeFrom="paragraph">
              <wp:posOffset>-29210</wp:posOffset>
            </wp:positionV>
            <wp:extent cx="38735"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2738755</wp:posOffset>
            </wp:positionH>
            <wp:positionV relativeFrom="paragraph">
              <wp:posOffset>-29210</wp:posOffset>
            </wp:positionV>
            <wp:extent cx="12700"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-29210</wp:posOffset>
            </wp:positionV>
            <wp:extent cx="21590"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-29210</wp:posOffset>
            </wp:positionV>
            <wp:extent cx="38735"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-29210</wp:posOffset>
            </wp:positionV>
            <wp:extent cx="12700"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-29210</wp:posOffset>
            </wp:positionV>
            <wp:extent cx="21590"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-29210</wp:posOffset>
            </wp:positionV>
            <wp:extent cx="38735"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-29210</wp:posOffset>
            </wp:positionV>
            <wp:extent cx="12700"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-29210</wp:posOffset>
            </wp:positionV>
            <wp:extent cx="21590"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-29210</wp:posOffset>
            </wp:positionV>
            <wp:extent cx="38735"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-29210</wp:posOffset>
            </wp:positionV>
            <wp:extent cx="12700"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-29210</wp:posOffset>
            </wp:positionV>
            <wp:extent cx="21590"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-29210</wp:posOffset>
            </wp:positionV>
            <wp:extent cx="38735" cy="298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-29210</wp:posOffset>
            </wp:positionV>
            <wp:extent cx="12700"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-29210</wp:posOffset>
            </wp:positionV>
            <wp:extent cx="21590"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-29210</wp:posOffset>
            </wp:positionV>
            <wp:extent cx="38735"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-29210</wp:posOffset>
            </wp:positionV>
            <wp:extent cx="12700"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-29210</wp:posOffset>
            </wp:positionV>
            <wp:extent cx="21590"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-29210</wp:posOffset>
            </wp:positionV>
            <wp:extent cx="38735"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12700"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-29210</wp:posOffset>
            </wp:positionV>
            <wp:extent cx="21590"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272" w:right="2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CORPORATION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 ENDED SEPTEMBER 30, 2005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2005</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Elimination</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Combined</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Non-</w:t>
            </w:r>
          </w:p>
        </w:tc>
        <w:tc>
          <w:tcPr>
            <w:tcW w:w="180" w:type="dxa"/>
            <w:vAlign w:val="bottom"/>
          </w:tcPr>
          <w:p>
            <w:pPr>
              <w:spacing w:after="0"/>
              <w:rPr>
                <w:sz w:val="12"/>
                <w:szCs w:val="12"/>
                <w:color w:val="auto"/>
              </w:rPr>
            </w:pPr>
          </w:p>
        </w:tc>
        <w:tc>
          <w:tcPr>
            <w:tcW w:w="620" w:type="dxa"/>
            <w:vAlign w:val="bottom"/>
          </w:tcPr>
          <w:p>
            <w:pPr>
              <w:jc w:val="center"/>
              <w:ind w:right="112"/>
              <w:spacing w:after="0" w:line="149" w:lineRule="exact"/>
              <w:rPr>
                <w:sz w:val="20"/>
                <w:szCs w:val="20"/>
                <w:color w:val="auto"/>
              </w:rPr>
            </w:pPr>
            <w:r>
              <w:rPr>
                <w:rFonts w:ascii="Times New Roman" w:cs="Times New Roman" w:eastAsia="Times New Roman" w:hAnsi="Times New Roman"/>
                <w:sz w:val="14"/>
                <w:szCs w:val="14"/>
                <w:b w:val="1"/>
                <w:bCs w:val="1"/>
                <w:color w:val="auto"/>
                <w:w w:val="88"/>
              </w:rPr>
              <w:t>and</w:t>
            </w:r>
          </w:p>
        </w:tc>
        <w:tc>
          <w:tcPr>
            <w:tcW w:w="280" w:type="dxa"/>
            <w:vAlign w:val="bottom"/>
          </w:tcPr>
          <w:p>
            <w:pPr>
              <w:spacing w:after="0"/>
              <w:rPr>
                <w:sz w:val="12"/>
                <w:szCs w:val="12"/>
                <w:color w:val="auto"/>
              </w:rPr>
            </w:pPr>
          </w:p>
        </w:tc>
        <w:tc>
          <w:tcPr>
            <w:tcW w:w="8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Comcast</w:t>
            </w:r>
          </w:p>
        </w:tc>
        <w:tc>
          <w:tcPr>
            <w:tcW w:w="140" w:type="dxa"/>
            <w:vAlign w:val="bottom"/>
          </w:tcPr>
          <w:p>
            <w:pPr>
              <w:spacing w:after="0"/>
              <w:rPr>
                <w:sz w:val="12"/>
                <w:szCs w:val="12"/>
                <w:color w:val="auto"/>
              </w:rPr>
            </w:pPr>
          </w:p>
        </w:tc>
        <w:tc>
          <w:tcPr>
            <w:tcW w:w="7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CCCL</w:t>
            </w:r>
          </w:p>
        </w:tc>
        <w:tc>
          <w:tcPr>
            <w:tcW w:w="740" w:type="dxa"/>
            <w:vAlign w:val="bottom"/>
            <w:gridSpan w:val="4"/>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2"/>
              </w:rPr>
              <w:t>CCCH</w:t>
            </w:r>
          </w:p>
        </w:tc>
        <w:tc>
          <w:tcPr>
            <w:tcW w:w="920" w:type="dxa"/>
            <w:vAlign w:val="bottom"/>
            <w:gridSpan w:val="4"/>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CCHMO</w:t>
            </w:r>
          </w:p>
        </w:tc>
        <w:tc>
          <w:tcPr>
            <w:tcW w:w="7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Comcast</w:t>
            </w:r>
          </w:p>
        </w:tc>
        <w:tc>
          <w:tcPr>
            <w:tcW w:w="140" w:type="dxa"/>
            <w:vAlign w:val="bottom"/>
          </w:tcPr>
          <w:p>
            <w:pPr>
              <w:spacing w:after="0"/>
              <w:rPr>
                <w:sz w:val="12"/>
                <w:szCs w:val="12"/>
                <w:color w:val="auto"/>
              </w:rPr>
            </w:pPr>
          </w:p>
        </w:tc>
        <w:tc>
          <w:tcPr>
            <w:tcW w:w="1040" w:type="dxa"/>
            <w:vAlign w:val="bottom"/>
            <w:gridSpan w:val="3"/>
          </w:tcPr>
          <w:p>
            <w:pPr>
              <w:jc w:val="right"/>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Guarantor</w:t>
            </w: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3"/>
              </w:rPr>
              <w:t>Consolidation</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Comcast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40" w:type="dxa"/>
            <w:vAlign w:val="bottom"/>
          </w:tcPr>
          <w:p>
            <w:pPr>
              <w:spacing w:after="0"/>
              <w:rPr>
                <w:sz w:val="15"/>
                <w:szCs w:val="15"/>
                <w:color w:val="auto"/>
              </w:rPr>
            </w:pPr>
          </w:p>
        </w:tc>
        <w:tc>
          <w:tcPr>
            <w:tcW w:w="7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74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3"/>
              </w:rPr>
              <w:t>Parent</w:t>
            </w:r>
          </w:p>
        </w:tc>
        <w:tc>
          <w:tcPr>
            <w:tcW w:w="60" w:type="dxa"/>
            <w:vAlign w:val="bottom"/>
          </w:tcPr>
          <w:p>
            <w:pPr>
              <w:spacing w:after="0"/>
              <w:rPr>
                <w:sz w:val="15"/>
                <w:szCs w:val="15"/>
                <w:color w:val="auto"/>
              </w:rPr>
            </w:pPr>
          </w:p>
        </w:tc>
        <w:tc>
          <w:tcPr>
            <w:tcW w:w="86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5"/>
              </w:rPr>
              <w:t>Parents</w:t>
            </w:r>
          </w:p>
        </w:tc>
        <w:tc>
          <w:tcPr>
            <w:tcW w:w="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Holdings</w:t>
            </w:r>
          </w:p>
        </w:tc>
        <w:tc>
          <w:tcPr>
            <w:tcW w:w="140" w:type="dxa"/>
            <w:vAlign w:val="bottom"/>
          </w:tcPr>
          <w:p>
            <w:pPr>
              <w:spacing w:after="0"/>
              <w:rPr>
                <w:sz w:val="15"/>
                <w:szCs w:val="15"/>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Adjustments</w:t>
            </w:r>
          </w:p>
        </w:tc>
        <w:tc>
          <w:tcPr>
            <w:tcW w:w="280" w:type="dxa"/>
            <w:vAlign w:val="bottom"/>
          </w:tcPr>
          <w:p>
            <w:pPr>
              <w:spacing w:after="0"/>
              <w:rPr>
                <w:sz w:val="15"/>
                <w:szCs w:val="15"/>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Corporation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ACTIVITIES</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80" w:type="dxa"/>
            <w:vAlign w:val="bottom"/>
          </w:tcPr>
          <w:p>
            <w:pPr>
              <w:spacing w:after="0"/>
              <w:rPr>
                <w:sz w:val="15"/>
                <w:szCs w:val="15"/>
                <w:color w:val="auto"/>
              </w:rPr>
            </w:pP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(175)</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(175)</w:t>
            </w: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(374)</w:t>
            </w:r>
          </w:p>
        </w:tc>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(114)</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4,626</w:t>
            </w:r>
          </w:p>
        </w:tc>
        <w:tc>
          <w:tcPr>
            <w:tcW w:w="180" w:type="dxa"/>
            <w:vAlign w:val="bottom"/>
          </w:tcPr>
          <w:p>
            <w:pPr>
              <w:jc w:val="right"/>
              <w:ind w:right="57"/>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43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FINANCING ACTIVITIES</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Proceeds from borrowings</w:t>
            </w: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2,332</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20" w:type="dxa"/>
            <w:vAlign w:val="bottom"/>
            <w:gridSpan w:val="3"/>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5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2,333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Retirements and repayments of debt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(1,590)</w:t>
            </w: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(340)</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Issuances of common stock</w:t>
            </w: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20" w:type="dxa"/>
            <w:vAlign w:val="bottom"/>
            <w:gridSpan w:val="3"/>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5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Repurchases of common stock</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(1,291)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(1,291)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Other</w:t>
            </w:r>
          </w:p>
        </w:tc>
        <w:tc>
          <w:tcPr>
            <w:tcW w:w="8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2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27</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43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1,116</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(1,590)</w:t>
            </w: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(312)</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(797)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INVESTING ACTIVITIES</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Net transactions with affiliates</w:t>
            </w:r>
          </w:p>
        </w:tc>
        <w:tc>
          <w:tcPr>
            <w:tcW w:w="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(1,268)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175</w:t>
            </w:r>
          </w:p>
        </w:tc>
        <w:tc>
          <w:tcPr>
            <w:tcW w:w="12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175</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1,964</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(1,171)</w:t>
            </w: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Capital expenditures</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(2,753)</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Proceeds from sales of investments</w:t>
            </w:r>
          </w:p>
        </w:tc>
        <w:tc>
          <w:tcPr>
            <w:tcW w:w="8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20" w:type="dxa"/>
            <w:vAlign w:val="bottom"/>
            <w:gridSpan w:val="3"/>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5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626</w:t>
            </w: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Purchases of investments</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(310)</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Acquisitions, net of cash acquired</w:t>
            </w:r>
          </w:p>
        </w:tc>
        <w:tc>
          <w:tcPr>
            <w:tcW w:w="8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20" w:type="dxa"/>
            <w:vAlign w:val="bottom"/>
            <w:gridSpan w:val="3"/>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5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(196)</w:t>
            </w: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Additions to intangible and other noncurrent assets</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(317)</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Purchases of short-term investments, net</w:t>
            </w:r>
          </w:p>
        </w:tc>
        <w:tc>
          <w:tcPr>
            <w:tcW w:w="8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20" w:type="dxa"/>
            <w:vAlign w:val="bottom"/>
            <w:gridSpan w:val="3"/>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5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Proceeds from settlement of contract of acquired company</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Net cash (used in) provided by investing activities</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(1,268)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175</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175</w:t>
            </w: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1,964</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125</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(4,187)</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(3,016)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(DECREASE) INCREASE IN CASH AND CASH EQUIVALENTS</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127</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8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2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452</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43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end of period</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3"/>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579</w:t>
            </w:r>
          </w:p>
        </w:tc>
        <w:tc>
          <w:tcPr>
            <w:tcW w:w="1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2798445</wp:posOffset>
            </wp:positionH>
            <wp:positionV relativeFrom="paragraph">
              <wp:posOffset>-29210</wp:posOffset>
            </wp:positionV>
            <wp:extent cx="12700"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-29210</wp:posOffset>
            </wp:positionV>
            <wp:extent cx="21590"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3115945</wp:posOffset>
            </wp:positionH>
            <wp:positionV relativeFrom="paragraph">
              <wp:posOffset>-29210</wp:posOffset>
            </wp:positionV>
            <wp:extent cx="38735"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-29210</wp:posOffset>
            </wp:positionV>
            <wp:extent cx="278765"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78765" cy="2984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-29210</wp:posOffset>
            </wp:positionV>
            <wp:extent cx="12700"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-29210</wp:posOffset>
            </wp:positionV>
            <wp:extent cx="21590" cy="298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-29210</wp:posOffset>
            </wp:positionV>
            <wp:extent cx="38735" cy="298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-29210</wp:posOffset>
            </wp:positionV>
            <wp:extent cx="415925"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415925"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-29210</wp:posOffset>
            </wp:positionV>
            <wp:extent cx="12700" cy="298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-29210</wp:posOffset>
            </wp:positionV>
            <wp:extent cx="21590" cy="298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-29210</wp:posOffset>
            </wp:positionV>
            <wp:extent cx="2079625"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079625" cy="29845"/>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272" w:right="2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CORPORATION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 ENDED SEPTEMBER 30, 2005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2004</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6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5"/>
              </w:rPr>
              <w:t>Elimination</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Combined</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Non-</w:t>
            </w:r>
          </w:p>
        </w:tc>
        <w:tc>
          <w:tcPr>
            <w:tcW w:w="200" w:type="dxa"/>
            <w:vAlign w:val="bottom"/>
          </w:tcPr>
          <w:p>
            <w:pPr>
              <w:spacing w:after="0"/>
              <w:rPr>
                <w:sz w:val="12"/>
                <w:szCs w:val="12"/>
                <w:color w:val="auto"/>
              </w:rPr>
            </w:pPr>
          </w:p>
        </w:tc>
        <w:tc>
          <w:tcPr>
            <w:tcW w:w="96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8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Comcast</w:t>
            </w:r>
          </w:p>
        </w:tc>
        <w:tc>
          <w:tcPr>
            <w:tcW w:w="7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CCCL</w:t>
            </w:r>
          </w:p>
        </w:tc>
        <w:tc>
          <w:tcPr>
            <w:tcW w:w="8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CCCH</w:t>
            </w:r>
          </w:p>
        </w:tc>
        <w:tc>
          <w:tcPr>
            <w:tcW w:w="100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CCHMO</w:t>
            </w:r>
          </w:p>
        </w:tc>
        <w:tc>
          <w:tcPr>
            <w:tcW w:w="92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Comcast</w:t>
            </w:r>
          </w:p>
        </w:tc>
        <w:tc>
          <w:tcPr>
            <w:tcW w:w="1100" w:type="dxa"/>
            <w:vAlign w:val="bottom"/>
            <w:gridSpan w:val="3"/>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1160" w:type="dxa"/>
            <w:vAlign w:val="bottom"/>
            <w:gridSpan w:val="3"/>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Consolidation</w:t>
            </w:r>
          </w:p>
        </w:tc>
        <w:tc>
          <w:tcPr>
            <w:tcW w:w="10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Comcast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9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80" w:type="dxa"/>
            <w:vAlign w:val="bottom"/>
          </w:tcPr>
          <w:p>
            <w:pPr>
              <w:spacing w:after="0"/>
              <w:rPr>
                <w:sz w:val="15"/>
                <w:szCs w:val="15"/>
                <w:color w:val="auto"/>
              </w:rPr>
            </w:pPr>
          </w:p>
        </w:tc>
        <w:tc>
          <w:tcPr>
            <w:tcW w:w="9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w w:val="91"/>
              </w:rPr>
              <w:t>Parents</w:t>
            </w:r>
          </w:p>
        </w:tc>
        <w:tc>
          <w:tcPr>
            <w:tcW w:w="9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Holdings</w:t>
            </w: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16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Adjustments</w:t>
            </w: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Corporation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ACTIVITIES</w:t>
            </w: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380" w:type="dxa"/>
            <w:vAlign w:val="bottom"/>
          </w:tcPr>
          <w:p>
            <w:pPr>
              <w:spacing w:after="0"/>
              <w:rPr>
                <w:sz w:val="15"/>
                <w:szCs w:val="15"/>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380" w:type="dxa"/>
            <w:vAlign w:val="bottom"/>
          </w:tcPr>
          <w:p>
            <w:pPr>
              <w:spacing w:after="0"/>
              <w:rPr>
                <w:sz w:val="15"/>
                <w:szCs w:val="15"/>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(58)</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(419)</w:t>
            </w:r>
          </w:p>
        </w:tc>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41</w:t>
            </w:r>
          </w:p>
        </w:tc>
        <w:tc>
          <w:tcPr>
            <w:tcW w:w="38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4,784</w:t>
            </w:r>
          </w:p>
        </w:tc>
        <w:tc>
          <w:tcPr>
            <w:tcW w:w="38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39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FINANCING ACTIVITIES</w:t>
            </w: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Proceeds from borrowings</w:t>
            </w:r>
          </w:p>
        </w:tc>
        <w:tc>
          <w:tcPr>
            <w:tcW w:w="1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948</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400</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20" w:type="dxa"/>
            <w:vAlign w:val="bottom"/>
            <w:gridSpan w:val="3"/>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1,354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Retirements and repayments of debt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(300)</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(561)</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(400)</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(306)</w:t>
            </w:r>
          </w:p>
        </w:tc>
        <w:tc>
          <w:tcPr>
            <w:tcW w:w="2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(722)</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Issuances of common stock</w:t>
            </w:r>
          </w:p>
        </w:tc>
        <w:tc>
          <w:tcPr>
            <w:tcW w:w="1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20" w:type="dxa"/>
            <w:vAlign w:val="bottom"/>
            <w:gridSpan w:val="3"/>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9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Repurchases of common stock</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(1,007)</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spacing w:after="0"/>
              <w:rPr>
                <w:sz w:val="15"/>
                <w:szCs w:val="15"/>
                <w:color w:val="auto"/>
              </w:rPr>
            </w:pP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7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2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39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(309)</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(561)</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(306)</w:t>
            </w:r>
          </w:p>
        </w:tc>
        <w:tc>
          <w:tcPr>
            <w:tcW w:w="2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(702)</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(1,878)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INVESTING ACTIVITIES</w:t>
            </w: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Net transactions with affiliates</w:t>
            </w:r>
          </w:p>
        </w:tc>
        <w:tc>
          <w:tcPr>
            <w:tcW w:w="1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252</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531</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725</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3"/>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140" w:type="dxa"/>
            <w:vAlign w:val="bottom"/>
          </w:tcPr>
          <w:p>
            <w:pPr>
              <w:spacing w:after="0"/>
              <w:rPr>
                <w:sz w:val="12"/>
                <w:szCs w:val="12"/>
                <w:color w:val="auto"/>
              </w:rPr>
            </w:pPr>
          </w:p>
        </w:tc>
        <w:tc>
          <w:tcPr>
            <w:tcW w:w="9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(1,525)</w:t>
            </w:r>
          </w:p>
        </w:tc>
        <w:tc>
          <w:tcPr>
            <w:tcW w:w="200" w:type="dxa"/>
            <w:vAlign w:val="bottom"/>
          </w:tcPr>
          <w:p>
            <w:pPr>
              <w:spacing w:after="0"/>
              <w:rPr>
                <w:sz w:val="12"/>
                <w:szCs w:val="12"/>
                <w:color w:val="auto"/>
              </w:rPr>
            </w:pPr>
          </w:p>
        </w:tc>
        <w:tc>
          <w:tcPr>
            <w:tcW w:w="9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Capital expenditures</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(2,610)</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Proceeds from sales of investments</w:t>
            </w:r>
          </w:p>
        </w:tc>
        <w:tc>
          <w:tcPr>
            <w:tcW w:w="120" w:type="dxa"/>
            <w:vAlign w:val="bottom"/>
          </w:tcPr>
          <w:p>
            <w:pPr>
              <w:spacing w:after="0"/>
              <w:rPr>
                <w:sz w:val="12"/>
                <w:szCs w:val="12"/>
                <w:color w:val="auto"/>
              </w:rPr>
            </w:pPr>
          </w:p>
        </w:tc>
        <w:tc>
          <w:tcPr>
            <w:tcW w:w="78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20" w:type="dxa"/>
            <w:vAlign w:val="bottom"/>
            <w:gridSpan w:val="3"/>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Purchases of investments</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(118)</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Acquisitions, net of cash acquired</w:t>
            </w:r>
          </w:p>
        </w:tc>
        <w:tc>
          <w:tcPr>
            <w:tcW w:w="120" w:type="dxa"/>
            <w:vAlign w:val="bottom"/>
          </w:tcPr>
          <w:p>
            <w:pPr>
              <w:spacing w:after="0"/>
              <w:rPr>
                <w:sz w:val="12"/>
                <w:szCs w:val="12"/>
                <w:color w:val="auto"/>
              </w:rPr>
            </w:pPr>
          </w:p>
        </w:tc>
        <w:tc>
          <w:tcPr>
            <w:tcW w:w="78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20" w:type="dxa"/>
            <w:vAlign w:val="bottom"/>
            <w:gridSpan w:val="3"/>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(296)</w:t>
            </w:r>
          </w:p>
        </w:tc>
        <w:tc>
          <w:tcPr>
            <w:tcW w:w="200" w:type="dxa"/>
            <w:vAlign w:val="bottom"/>
          </w:tcPr>
          <w:p>
            <w:pPr>
              <w:spacing w:after="0"/>
              <w:rPr>
                <w:sz w:val="12"/>
                <w:szCs w:val="12"/>
                <w:color w:val="auto"/>
              </w:rPr>
            </w:pPr>
          </w:p>
        </w:tc>
        <w:tc>
          <w:tcPr>
            <w:tcW w:w="9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Additions to intangible and other noncurrent assets</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(572)</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Purchases of short-term investments, net</w:t>
            </w:r>
          </w:p>
        </w:tc>
        <w:tc>
          <w:tcPr>
            <w:tcW w:w="120" w:type="dxa"/>
            <w:vAlign w:val="bottom"/>
          </w:tcPr>
          <w:p>
            <w:pPr>
              <w:spacing w:after="0"/>
              <w:rPr>
                <w:sz w:val="12"/>
                <w:szCs w:val="12"/>
                <w:color w:val="auto"/>
              </w:rPr>
            </w:pPr>
          </w:p>
        </w:tc>
        <w:tc>
          <w:tcPr>
            <w:tcW w:w="78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20" w:type="dxa"/>
            <w:vAlign w:val="bottom"/>
            <w:gridSpan w:val="3"/>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200" w:type="dxa"/>
            <w:vAlign w:val="bottom"/>
          </w:tcPr>
          <w:p>
            <w:pPr>
              <w:spacing w:after="0"/>
              <w:rPr>
                <w:sz w:val="12"/>
                <w:szCs w:val="12"/>
                <w:color w:val="auto"/>
              </w:rPr>
            </w:pPr>
          </w:p>
        </w:tc>
        <w:tc>
          <w:tcPr>
            <w:tcW w:w="9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Proceeds from settlement of contract of acquired company</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Net cash (used in) provided by investing activities</w:t>
            </w: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252</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531</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725</w:t>
            </w: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(4,915)</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(3,390)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0" w:type="dxa"/>
            <w:vAlign w:val="bottom"/>
            <w:vMerge w:val="continue"/>
          </w:tcPr>
          <w:p>
            <w:pPr>
              <w:spacing w:after="0"/>
              <w:rPr>
                <w:sz w:val="11"/>
                <w:szCs w:val="11"/>
                <w:color w:val="auto"/>
              </w:rPr>
            </w:pPr>
          </w:p>
        </w:tc>
        <w:tc>
          <w:tcPr>
            <w:tcW w:w="392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(DECREASE) INCREASE IN CASH AND CASH</w:t>
            </w: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EQUIVALENTS</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(833)</w:t>
            </w: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120" w:type="dxa"/>
            <w:vAlign w:val="bottom"/>
          </w:tcPr>
          <w:p>
            <w:pPr>
              <w:spacing w:after="0"/>
              <w:rPr>
                <w:sz w:val="15"/>
                <w:szCs w:val="15"/>
                <w:color w:val="auto"/>
              </w:rPr>
            </w:pP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7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2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1,550</w:t>
            </w: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39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end of period</w:t>
            </w:r>
          </w:p>
        </w:tc>
        <w:tc>
          <w:tcPr>
            <w:tcW w:w="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717</w:t>
            </w: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2498725</wp:posOffset>
            </wp:positionH>
            <wp:positionV relativeFrom="paragraph">
              <wp:posOffset>-29210</wp:posOffset>
            </wp:positionV>
            <wp:extent cx="12700" cy="298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2541270</wp:posOffset>
            </wp:positionH>
            <wp:positionV relativeFrom="paragraph">
              <wp:posOffset>-29210</wp:posOffset>
            </wp:positionV>
            <wp:extent cx="21590"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-29210</wp:posOffset>
            </wp:positionV>
            <wp:extent cx="38735" cy="298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-29210</wp:posOffset>
            </wp:positionV>
            <wp:extent cx="12700"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3115945</wp:posOffset>
            </wp:positionH>
            <wp:positionV relativeFrom="paragraph">
              <wp:posOffset>-29210</wp:posOffset>
            </wp:positionV>
            <wp:extent cx="21590"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-29210</wp:posOffset>
            </wp:positionV>
            <wp:extent cx="38735" cy="298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-29210</wp:posOffset>
            </wp:positionV>
            <wp:extent cx="12700" cy="298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-29210</wp:posOffset>
            </wp:positionV>
            <wp:extent cx="21590" cy="298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-29210</wp:posOffset>
            </wp:positionV>
            <wp:extent cx="38735" cy="298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-29210</wp:posOffset>
            </wp:positionV>
            <wp:extent cx="12700"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-29210</wp:posOffset>
            </wp:positionV>
            <wp:extent cx="21590" cy="298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-29210</wp:posOffset>
            </wp:positionV>
            <wp:extent cx="38735" cy="298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-29210</wp:posOffset>
            </wp:positionV>
            <wp:extent cx="12700" cy="298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-29210</wp:posOffset>
            </wp:positionV>
            <wp:extent cx="21590" cy="298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-29210</wp:posOffset>
            </wp:positionV>
            <wp:extent cx="38735" cy="298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-29210</wp:posOffset>
            </wp:positionV>
            <wp:extent cx="12700" cy="298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-29210</wp:posOffset>
            </wp:positionV>
            <wp:extent cx="21590" cy="298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-29210</wp:posOffset>
            </wp:positionV>
            <wp:extent cx="38735" cy="298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12700" cy="298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-29210</wp:posOffset>
            </wp:positionV>
            <wp:extent cx="12700" cy="298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-29210</wp:posOffset>
            </wp:positionV>
            <wp:extent cx="21590" cy="298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12700" cy="29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-29210</wp:posOffset>
            </wp:positionV>
            <wp:extent cx="21590" cy="298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272" w:right="239" w:bottom="1440" w:gutter="0" w:footer="0" w:header="0"/>
        </w:sectPr>
      </w:pPr>
    </w:p>
    <w:bookmarkStart w:id="30" w:name="page31"/>
    <w:bookmarkEnd w:id="3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CORPORATION AND SUBSIDIARIES</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QUARTER ENDED SEPTEMBER 30, 2005</w:t>
      </w:r>
    </w:p>
    <w:p>
      <w:pPr>
        <w:spacing w:after="0" w:line="143"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MANAGEMENT’S DISCUSSION AND ANALYSIS OF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are principally involved in the management and operation of broadband communications networks (our cable segment) and in the management of programming content that is distributed over national cable television networks (our content segment). During the nine months ended September 30, 2005, we received over 95% of our revenue from our cable segment, primarily through monthly subscriptions to our video, high-speed Internet and phone services, as well as from advertising. Subscribers typically pay us monthly, based on rates and related charges that vary according to their chosen level of service and the type of equipment they use. Revenue from our content segment is derived from the sale of advertising time and affiliation agreements with cable and satellite television companies.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Highlights for the nine months ended September 30, 2005, include the following:</w:t>
      </w:r>
    </w:p>
    <w:p>
      <w:pPr>
        <w:spacing w:after="0" w:line="158" w:lineRule="exact"/>
        <w:rPr>
          <w:sz w:val="20"/>
          <w:szCs w:val="20"/>
          <w:color w:val="auto"/>
        </w:rPr>
      </w:pPr>
    </w:p>
    <w:p>
      <w:pPr>
        <w:ind w:left="780" w:right="420" w:hanging="326"/>
        <w:spacing w:after="0" w:line="275" w:lineRule="auto"/>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growth of 9.9% and operating income before depreciation and amortization growth of 14.4% in our cable segment compared to the same period in 2004, driven by continued growth in our digital cable and high-speed Internet services and rate increases in our video services</w:t>
      </w:r>
    </w:p>
    <w:p>
      <w:pPr>
        <w:spacing w:after="0" w:line="25"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repurchases of approximately 45.2 million shares of our Class A Special common stock pursuant to our Board-authorized share repurchase program</w:t>
      </w:r>
    </w:p>
    <w:p>
      <w:pPr>
        <w:spacing w:after="0" w:line="208"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The following provides the details of these highlights and insights into our financial statements, including discussion of our results of operations and our liquidity and capital resources.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Developments</w:t>
      </w:r>
    </w:p>
    <w:p>
      <w:pPr>
        <w:spacing w:after="0" w:line="160"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6"/>
          <w:szCs w:val="16"/>
          <w:color w:val="auto"/>
        </w:rPr>
        <w:t>On April 20, 2005, we and Time Warner reached definitive agreements to acquire substantially all the assets of Adelphia Communications Corporation for a total of $12.7 billion in cash and 16% of the common stock of Time Warner’s cable subsidiary, Time Warner Cable Inc. (“TWC”). We also will exchange certain of our cable systems with TWC for certain TWC cable systems. In addition, TWC will redeem our 17.9% interest in TWC, and Time Warner Entertainment Company, L.P. (“TWE”) will redeem our 4.7% interest in TWE (together an effective 21% economic ownership of TWC). As a result of these transactions, we will add approximately 1.8 million basic subscribers for a net cash investment of approximately $1.5 billion. Following these transactions, we will serve a total of approximately 23.2 million basic subscribers. These transactions are subject to customary regulatory review and approvals, including Hart-Scott-Rodino, Federal Communications Commission and local franchise approvals, as well as the Adelphia bankruptcy process, which involves approvals by the bankruptcy court having jurisdiction of Adelphia’s Chapter 11 case and Adelphia’s creditors. Closing is expected to occur in the first half of 2006.</w:t>
      </w:r>
    </w:p>
    <w:p>
      <w:pPr>
        <w:spacing w:after="0" w:line="99" w:lineRule="exact"/>
        <w:rPr>
          <w:sz w:val="20"/>
          <w:szCs w:val="20"/>
          <w:color w:val="auto"/>
        </w:rPr>
      </w:pPr>
    </w:p>
    <w:p>
      <w:pPr>
        <w:ind w:right="840"/>
        <w:spacing w:after="0" w:line="422" w:lineRule="auto"/>
        <w:rPr>
          <w:sz w:val="20"/>
          <w:szCs w:val="20"/>
          <w:color w:val="auto"/>
        </w:rPr>
      </w:pPr>
      <w:r>
        <w:rPr>
          <w:rFonts w:ascii="Times New Roman" w:cs="Times New Roman" w:eastAsia="Times New Roman" w:hAnsi="Times New Roman"/>
          <w:sz w:val="18"/>
          <w:szCs w:val="18"/>
          <w:color w:val="auto"/>
        </w:rPr>
        <w:t xml:space="preserve">Refer to Note 4 to our condensed consolidated financial statements included in Item 1 for a discussion of our acquisitions and other significant events. </w:t>
      </w:r>
      <w:r>
        <w:rPr>
          <w:rFonts w:ascii="Times New Roman" w:cs="Times New Roman" w:eastAsia="Times New Roman" w:hAnsi="Times New Roman"/>
          <w:sz w:val="18"/>
          <w:szCs w:val="18"/>
          <w:b w:val="1"/>
          <w:bCs w:val="1"/>
          <w:color w:val="auto"/>
        </w:rPr>
        <w:t>Critical Accounting Judgments and Estimates</w:t>
      </w:r>
    </w:p>
    <w:p>
      <w:pPr>
        <w:spacing w:after="0" w:line="1"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generally accepted accounting principles (“GAAP”) requires us to make judgments and estimates that affect the reported amounts of assets, liabilities, revenue and expenses, as well as the disclosure of contingent assets and liabilities. We base our estimates and judgments on</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00"/>
          </w:cols>
          <w:pgMar w:left="240" w:top="272" w:right="259"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QUARTER ENDED SEPTEMBER 30, 2005</w:t>
      </w:r>
    </w:p>
    <w:p>
      <w:pPr>
        <w:spacing w:after="0" w:line="145"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auto"/>
        </w:rPr>
        <w:t>historical experience and other factors that are believed to be reasonable under the circumstances. Actual results may differ from these estimates under different assumptions or conditions.</w:t>
      </w:r>
    </w:p>
    <w:p>
      <w:pPr>
        <w:spacing w:after="0" w:line="106" w:lineRule="exact"/>
        <w:rPr>
          <w:sz w:val="20"/>
          <w:szCs w:val="20"/>
          <w:color w:val="auto"/>
        </w:rPr>
      </w:pPr>
    </w:p>
    <w:p>
      <w:pPr>
        <w:ind w:right="840"/>
        <w:spacing w:after="0" w:line="275" w:lineRule="auto"/>
        <w:rPr>
          <w:sz w:val="20"/>
          <w:szCs w:val="20"/>
          <w:color w:val="auto"/>
        </w:rPr>
      </w:pPr>
      <w:r>
        <w:rPr>
          <w:rFonts w:ascii="Times New Roman" w:cs="Times New Roman" w:eastAsia="Times New Roman" w:hAnsi="Times New Roman"/>
          <w:sz w:val="18"/>
          <w:szCs w:val="18"/>
          <w:color w:val="auto"/>
        </w:rPr>
        <w:t>For a discussion of the critical accounting judgments and estimates we identified that we believe require significant judgment in the preparation of our consolidated financial statements, please refer to our 2004 Form 10-K.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Consolidated revenues for the three and nine month interim periods in 2005 increased $480 million and $1.467 billion, or 9.4% and 9.7%, respectively, from the same periods in 2004. Of these increases, $475 million and $1.421 billion relate to our cable segment and $30 million and $102 million relate to our content segment, which are discussed separately below. The remaining changes relate to our other business activities, primarily Comcast-Spectacor, whose revenues were negatively affected by the National Hockey League (“NHL”) lockout in the first half of 2005.</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selling, general and administrative expenses</w:t>
      </w:r>
    </w:p>
    <w:p>
      <w:pPr>
        <w:spacing w:after="0" w:line="162"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Consolidated operating, selling, general and administrative expenses for the three and nine month interim periods in 2005 increased $241 million and $674 million, or 7.4% and 7.1%, respectively, from the same periods in 2004. Of these increases, $217 million and $632 million relate to our cable segment and $18 million and $62 million relate to our content segment, which are discussed separately below. The remaining changes relate to our other business activities, primarily Comcast-Spectacor, whose operating expenses were positively affected by the NHL lockout in the first half of 2005 and negatively affected by certain player contract terminations in the third quarter of 2005.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w:t>
      </w:r>
    </w:p>
    <w:p>
      <w:pPr>
        <w:spacing w:after="0" w:line="162"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Depreciation expense for the three and nine month interim periods in 2005 increased $45 million and $199 million, or 5.2% and 8% respectively. The increases are primarily attributable to our cable segment and are principally due to our recent capital expenditures.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Amortization expense for the three and nine month interim periods in 2005 remained essentially unchanged from the same periods in 2004. This reflects an ongoing reduction in amortization of approximately $100 million in 2005 associated with intangibles acquired in the Broadband acquisition and a non-recurring adjustment reducing our intangible amortization associated with obtaining updated valuation reports for certain recent acquisitions, partially offset by the effects of the write off in the first quarter of 2005 of approximately $20 million of acquired in-process research and development from our transaction with Motorola (see Note 4) and other additions to intangible assets. The acquired in-process research and development was immediately expensed since the related technology had not reached technological feasibility as of the transaction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157480</wp:posOffset>
            </wp:positionV>
            <wp:extent cx="1534795"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00"/>
          </w:cols>
          <w:pgMar w:left="240" w:top="272" w:right="259" w:bottom="1440" w:gutter="0" w:footer="0" w:header="0"/>
        </w:sectPr>
      </w:pPr>
    </w:p>
    <w:bookmarkStart w:id="32" w:name="page33"/>
    <w:bookmarkEnd w:id="3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CORPORATION AND SUBSIDIARIES</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QUARTER ENDED SEPTEMBER 30, 2005</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Operating Results</w:t>
      </w:r>
    </w:p>
    <w:p>
      <w:pPr>
        <w:spacing w:after="0" w:line="16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Operating income before depreciation and amortization is the primary basis we use to measure the operational strength and performance of our segments. Operating income before depreciation and amortization is defined as operating income before depreciation and amortization, impairment charges, if any, related to fixed and intangible assets, and gains or losses from the sale of assets, if any. As such, it eliminates the significant level of non-cash depreciation and amortization expense that results from the capital intensive nature of our businesses and intangible assets recognized in business combinations, and is unaffected by our capital structure or investment activities. Our management and Board of Directors use this measure in evaluating our consolidated operating performance and the operating performance of all of our operating segments. This metric is used to allocate resources and capital to our operating segments and is a significant component of our annual incentive compensation programs. We believe that this measure is also useful to investors as it is one of the bases for comparing our operating performance with other companies in our industries, although our measure may not be directly comparable to similar measures used by other companies. Because we use operating income before depreciation and amortization as the measure of our segment profit or loss, we reconcile it to operating income, the most directly comparable financial measure calculated and presented in accordance with GAAP, in the business segment footnote to our condensed consolidated financial statements. This measure should not be considered a substitute for operating income (loss), net income (loss), net cash provided by operating activities or other measures of performance or liquidity reported in accordance with GAAP.</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percentages are calculated based on actual amounts. Minor differences may exist due to rounding.</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Cable Segment Operating Results</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following tables present our cable segment operating results (dollars in millions):</w:t>
      </w:r>
    </w:p>
    <w:p>
      <w:pPr>
        <w:spacing w:after="0" w:line="14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Three Months</w:t>
            </w: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w w:val="92"/>
              </w:rPr>
              <w:t>Ended</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4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60" w:type="dxa"/>
            <w:vAlign w:val="bottom"/>
          </w:tcPr>
          <w:p>
            <w:pPr>
              <w:spacing w:after="0"/>
              <w:rPr>
                <w:sz w:val="8"/>
                <w:szCs w:val="8"/>
                <w:color w:val="auto"/>
              </w:rPr>
            </w:pPr>
          </w:p>
        </w:tc>
        <w:tc>
          <w:tcPr>
            <w:tcW w:w="19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460" w:type="dxa"/>
            <w:vAlign w:val="bottom"/>
          </w:tcPr>
          <w:p>
            <w:pPr>
              <w:spacing w:after="0"/>
              <w:rPr>
                <w:sz w:val="22"/>
                <w:szCs w:val="22"/>
                <w:color w:val="auto"/>
              </w:rPr>
            </w:pPr>
          </w:p>
        </w:tc>
        <w:tc>
          <w:tcPr>
            <w:tcW w:w="2480" w:type="dxa"/>
            <w:vAlign w:val="bottom"/>
            <w:gridSpan w:val="3"/>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2005</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2004</w:t>
            </w: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spacing w:after="0"/>
              <w:rPr>
                <w:sz w:val="22"/>
                <w:szCs w:val="22"/>
                <w:color w:val="auto"/>
              </w:rPr>
            </w:pPr>
          </w:p>
        </w:tc>
        <w:tc>
          <w:tcPr>
            <w:tcW w:w="56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60" w:type="dxa"/>
            <w:vAlign w:val="bottom"/>
          </w:tcPr>
          <w:p>
            <w:pPr>
              <w:spacing w:after="0"/>
              <w:rPr>
                <w:sz w:val="8"/>
                <w:szCs w:val="8"/>
                <w:color w:val="auto"/>
              </w:rPr>
            </w:pPr>
          </w:p>
        </w:tc>
        <w:tc>
          <w:tcPr>
            <w:tcW w:w="19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60" w:type="dxa"/>
            <w:vAlign w:val="bottom"/>
          </w:tcPr>
          <w:p>
            <w:pPr>
              <w:spacing w:after="0"/>
              <w:rPr>
                <w:sz w:val="8"/>
                <w:szCs w:val="8"/>
                <w:color w:val="auto"/>
              </w:rPr>
            </w:pPr>
          </w:p>
        </w:tc>
        <w:tc>
          <w:tcPr>
            <w:tcW w:w="19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Video</w:t>
            </w:r>
          </w:p>
        </w:tc>
        <w:tc>
          <w:tcPr>
            <w:tcW w:w="2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$3,406</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$3,222</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5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High-speed Internet</w:t>
            </w:r>
          </w:p>
        </w:tc>
        <w:tc>
          <w:tcPr>
            <w:tcW w:w="2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5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Phone</w:t>
            </w:r>
          </w:p>
        </w:tc>
        <w:tc>
          <w:tcPr>
            <w:tcW w:w="2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Advertising sales</w:t>
            </w:r>
          </w:p>
        </w:tc>
        <w:tc>
          <w:tcPr>
            <w:tcW w:w="2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5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Franchise fees</w:t>
            </w:r>
          </w:p>
        </w:tc>
        <w:tc>
          <w:tcPr>
            <w:tcW w:w="2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5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460" w:type="dxa"/>
            <w:vAlign w:val="bottom"/>
          </w:tcPr>
          <w:p>
            <w:pPr>
              <w:spacing w:after="0"/>
              <w:rPr>
                <w:sz w:val="8"/>
                <w:szCs w:val="8"/>
                <w:color w:val="auto"/>
              </w:rPr>
            </w:pPr>
          </w:p>
        </w:tc>
        <w:tc>
          <w:tcPr>
            <w:tcW w:w="19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60" w:type="dxa"/>
            <w:vAlign w:val="bottom"/>
          </w:tcPr>
          <w:p>
            <w:pPr>
              <w:spacing w:after="0"/>
              <w:rPr>
                <w:sz w:val="8"/>
                <w:szCs w:val="8"/>
                <w:color w:val="auto"/>
              </w:rPr>
            </w:pPr>
          </w:p>
        </w:tc>
        <w:tc>
          <w:tcPr>
            <w:tcW w:w="19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Revenues</w:t>
            </w:r>
          </w:p>
        </w:tc>
        <w:tc>
          <w:tcPr>
            <w:tcW w:w="2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5,319</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4,844</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5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60" w:type="dxa"/>
            <w:vAlign w:val="bottom"/>
          </w:tcPr>
          <w:p>
            <w:pPr>
              <w:spacing w:after="0"/>
              <w:rPr>
                <w:sz w:val="8"/>
                <w:szCs w:val="8"/>
                <w:color w:val="auto"/>
              </w:rPr>
            </w:pPr>
          </w:p>
        </w:tc>
        <w:tc>
          <w:tcPr>
            <w:tcW w:w="19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before depreciation and amortization</w:t>
            </w:r>
          </w:p>
        </w:tc>
        <w:tc>
          <w:tcPr>
            <w:tcW w:w="2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$ 2,116</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5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1960" w:type="dxa"/>
            <w:vAlign w:val="bottom"/>
            <w:vMerge w:val="restart"/>
          </w:tcPr>
          <w:p>
            <w:pPr>
              <w:jc w:val="right"/>
              <w:ind w:right="1134"/>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-325755</wp:posOffset>
            </wp:positionV>
            <wp:extent cx="12700" cy="298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-325755</wp:posOffset>
            </wp:positionV>
            <wp:extent cx="12700" cy="298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-325755</wp:posOffset>
            </wp:positionV>
            <wp:extent cx="21590" cy="298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-325755</wp:posOffset>
            </wp:positionV>
            <wp:extent cx="12700" cy="298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-325755</wp:posOffset>
            </wp:positionV>
            <wp:extent cx="12700" cy="298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-325755</wp:posOffset>
            </wp:positionV>
            <wp:extent cx="21590" cy="298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-325755</wp:posOffset>
            </wp:positionV>
            <wp:extent cx="12700" cy="298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-325755</wp:posOffset>
            </wp:positionV>
            <wp:extent cx="21590" cy="298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-325755</wp:posOffset>
            </wp:positionV>
            <wp:extent cx="38735" cy="298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-325755</wp:posOffset>
            </wp:positionV>
            <wp:extent cx="12700" cy="298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-325755</wp:posOffset>
            </wp:positionV>
            <wp:extent cx="38735" cy="298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380"/>
          </w:cols>
          <w:pgMar w:left="240" w:top="272" w:right="279" w:bottom="1440" w:gutter="0" w:footer="0" w:header="0"/>
        </w:sectPr>
      </w:pPr>
    </w:p>
    <w:bookmarkStart w:id="33" w:name="page34"/>
    <w:bookmarkEnd w:id="33"/>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CORPORATION AND SUBSIDIARIES</w:t>
      </w:r>
    </w:p>
    <w:p>
      <w:pPr>
        <w:spacing w:after="0" w:line="23"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QUARTER ENDED SEPTEMBER 30, 2005</w:t>
      </w:r>
    </w:p>
    <w:p>
      <w:pPr>
        <w:spacing w:after="0" w:line="34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gridSpan w:val="4"/>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gridSpan w:val="4"/>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3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2005</w:t>
            </w: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2004</w:t>
            </w: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spacing w:after="0"/>
              <w:rPr>
                <w:sz w:val="22"/>
                <w:szCs w:val="22"/>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Video</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10,209</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9,650</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44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High-speed Internet</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2,927</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44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29.0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Phone</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(14)</w:t>
            </w:r>
          </w:p>
        </w:tc>
        <w:tc>
          <w:tcPr>
            <w:tcW w:w="4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Advertising sales</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44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4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24.5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Franchise fees</w:t>
            </w: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4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Revenues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15,750</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14,329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1,421</w:t>
            </w:r>
          </w:p>
        </w:tc>
        <w:tc>
          <w:tcPr>
            <w:tcW w:w="4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5,609</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5,228</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44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3,855</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4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before depreciation and amortization</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6,286</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5,497</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44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4"/>
              </w:rPr>
              <w:t>14.4%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-29210</wp:posOffset>
            </wp:positionV>
            <wp:extent cx="372745" cy="298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372745"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-29210</wp:posOffset>
            </wp:positionV>
            <wp:extent cx="12700" cy="298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-29210</wp:posOffset>
            </wp:positionV>
            <wp:extent cx="12700" cy="298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-29210</wp:posOffset>
            </wp:positionV>
            <wp:extent cx="21590" cy="298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347345" cy="298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347345"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-29210</wp:posOffset>
            </wp:positionV>
            <wp:extent cx="12700" cy="298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-29210</wp:posOffset>
            </wp:positionV>
            <wp:extent cx="38735" cy="298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The following table presents our subscriber and monthly average revenue statistics on a pro forma basis. The pro forma adjustments reflect the addition of approximately 97,000 subscribers acquired in various small acquisitions. The impact of these acquisitions on our segment operating results was not material (subscribers in thousands).</w:t>
      </w:r>
    </w:p>
    <w:p>
      <w:pPr>
        <w:spacing w:after="0" w:line="117" w:lineRule="exact"/>
        <w:rPr>
          <w:sz w:val="20"/>
          <w:szCs w:val="20"/>
          <w:color w:val="auto"/>
        </w:rPr>
      </w:pPr>
    </w:p>
    <w:tbl>
      <w:tblPr>
        <w:tblLayout w:type="fixed"/>
        <w:tblInd w:w="58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3"/>
          </w:tcPr>
          <w:p>
            <w:pPr>
              <w:jc w:val="center"/>
              <w:ind w:left="282"/>
              <w:spacing w:after="0"/>
              <w:rPr>
                <w:sz w:val="20"/>
                <w:szCs w:val="20"/>
                <w:color w:val="auto"/>
              </w:rPr>
            </w:pPr>
            <w:r>
              <w:rPr>
                <w:rFonts w:ascii="Times New Roman" w:cs="Times New Roman" w:eastAsia="Times New Roman" w:hAnsi="Times New Roman"/>
                <w:sz w:val="14"/>
                <w:szCs w:val="14"/>
                <w:b w:val="1"/>
                <w:bCs w:val="1"/>
                <w:color w:val="auto"/>
                <w:w w:val="95"/>
              </w:rPr>
              <w:t>September 30,</w:t>
            </w: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00" w:type="dxa"/>
            <w:vAlign w:val="bottom"/>
          </w:tcPr>
          <w:p>
            <w:pPr>
              <w:spacing w:after="0"/>
              <w:rPr>
                <w:sz w:val="8"/>
                <w:szCs w:val="8"/>
                <w:color w:val="auto"/>
              </w:rPr>
            </w:pPr>
          </w:p>
        </w:tc>
        <w:tc>
          <w:tcPr>
            <w:tcW w:w="20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2005</w:t>
            </w:r>
          </w:p>
        </w:tc>
        <w:tc>
          <w:tcPr>
            <w:tcW w:w="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w w:val="92"/>
              </w:rPr>
              <w:t>2004</w:t>
            </w:r>
          </w:p>
        </w:tc>
        <w:tc>
          <w:tcPr>
            <w:tcW w:w="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spacing w:after="0"/>
              <w:rPr>
                <w:sz w:val="22"/>
                <w:szCs w:val="22"/>
                <w:color w:val="auto"/>
              </w:rPr>
            </w:pPr>
          </w:p>
        </w:tc>
        <w:tc>
          <w:tcPr>
            <w:tcW w:w="48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00" w:type="dxa"/>
            <w:vAlign w:val="bottom"/>
          </w:tcPr>
          <w:p>
            <w:pPr>
              <w:spacing w:after="0"/>
              <w:rPr>
                <w:sz w:val="8"/>
                <w:szCs w:val="8"/>
                <w:color w:val="auto"/>
              </w:rPr>
            </w:pPr>
          </w:p>
        </w:tc>
        <w:tc>
          <w:tcPr>
            <w:tcW w:w="20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00" w:type="dxa"/>
            <w:vAlign w:val="bottom"/>
          </w:tcPr>
          <w:p>
            <w:pPr>
              <w:spacing w:after="0"/>
              <w:rPr>
                <w:sz w:val="8"/>
                <w:szCs w:val="8"/>
                <w:color w:val="auto"/>
              </w:rPr>
            </w:pPr>
          </w:p>
        </w:tc>
        <w:tc>
          <w:tcPr>
            <w:tcW w:w="20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Video subscribers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21,409</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21,501</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(92)</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High-speed Internet subscribers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8,142</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6,556</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1,586</w:t>
            </w:r>
          </w:p>
        </w:tc>
        <w:tc>
          <w:tcPr>
            <w:tcW w:w="5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Phone subscribers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5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Three Months Ended</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3"/>
          </w:tcPr>
          <w:p>
            <w:pPr>
              <w:jc w:val="center"/>
              <w:ind w:left="282"/>
              <w:spacing w:after="0"/>
              <w:rPr>
                <w:sz w:val="20"/>
                <w:szCs w:val="20"/>
                <w:color w:val="auto"/>
              </w:rPr>
            </w:pPr>
            <w:r>
              <w:rPr>
                <w:rFonts w:ascii="Times New Roman" w:cs="Times New Roman" w:eastAsia="Times New Roman" w:hAnsi="Times New Roman"/>
                <w:sz w:val="14"/>
                <w:szCs w:val="14"/>
                <w:b w:val="1"/>
                <w:bCs w:val="1"/>
                <w:color w:val="auto"/>
                <w:w w:val="95"/>
              </w:rPr>
              <w:t>September 30,</w:t>
            </w: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00" w:type="dxa"/>
            <w:vAlign w:val="bottom"/>
          </w:tcPr>
          <w:p>
            <w:pPr>
              <w:spacing w:after="0"/>
              <w:rPr>
                <w:sz w:val="8"/>
                <w:szCs w:val="8"/>
                <w:color w:val="auto"/>
              </w:rPr>
            </w:pPr>
          </w:p>
        </w:tc>
        <w:tc>
          <w:tcPr>
            <w:tcW w:w="20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2005</w:t>
            </w:r>
          </w:p>
        </w:tc>
        <w:tc>
          <w:tcPr>
            <w:tcW w:w="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w w:val="92"/>
              </w:rPr>
              <w:t>2004</w:t>
            </w:r>
          </w:p>
        </w:tc>
        <w:tc>
          <w:tcPr>
            <w:tcW w:w="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spacing w:after="0"/>
              <w:rPr>
                <w:sz w:val="22"/>
                <w:szCs w:val="22"/>
                <w:color w:val="auto"/>
              </w:rPr>
            </w:pPr>
          </w:p>
        </w:tc>
        <w:tc>
          <w:tcPr>
            <w:tcW w:w="48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00" w:type="dxa"/>
            <w:vAlign w:val="bottom"/>
          </w:tcPr>
          <w:p>
            <w:pPr>
              <w:spacing w:after="0"/>
              <w:rPr>
                <w:sz w:val="8"/>
                <w:szCs w:val="8"/>
                <w:color w:val="auto"/>
              </w:rPr>
            </w:pPr>
          </w:p>
        </w:tc>
        <w:tc>
          <w:tcPr>
            <w:tcW w:w="20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00" w:type="dxa"/>
            <w:vAlign w:val="bottom"/>
          </w:tcPr>
          <w:p>
            <w:pPr>
              <w:spacing w:after="0"/>
              <w:rPr>
                <w:sz w:val="8"/>
                <w:szCs w:val="8"/>
                <w:color w:val="auto"/>
              </w:rPr>
            </w:pPr>
          </w:p>
        </w:tc>
        <w:tc>
          <w:tcPr>
            <w:tcW w:w="20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Monthly average video revenue per video subscriber</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52.98</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49.97</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$3.01</w:t>
            </w:r>
          </w:p>
        </w:tc>
        <w:tc>
          <w:tcPr>
            <w:tcW w:w="5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Monthly average high-speed Internet revenue per high-speed Internet subscriber</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42.88</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0.02)</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Monthly average phone revenue per phone subscriber</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46.03</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47.18</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1.15)</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gridSpan w:val="4"/>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6"/>
              </w:rPr>
              <w:t>Nine Months Ended</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3"/>
          </w:tcPr>
          <w:p>
            <w:pPr>
              <w:jc w:val="center"/>
              <w:ind w:left="282"/>
              <w:spacing w:after="0"/>
              <w:rPr>
                <w:sz w:val="20"/>
                <w:szCs w:val="20"/>
                <w:color w:val="auto"/>
              </w:rPr>
            </w:pPr>
            <w:r>
              <w:rPr>
                <w:rFonts w:ascii="Times New Roman" w:cs="Times New Roman" w:eastAsia="Times New Roman" w:hAnsi="Times New Roman"/>
                <w:sz w:val="14"/>
                <w:szCs w:val="14"/>
                <w:b w:val="1"/>
                <w:bCs w:val="1"/>
                <w:color w:val="auto"/>
                <w:w w:val="95"/>
              </w:rPr>
              <w:t>September 30,</w:t>
            </w: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00" w:type="dxa"/>
            <w:vAlign w:val="bottom"/>
          </w:tcPr>
          <w:p>
            <w:pPr>
              <w:spacing w:after="0"/>
              <w:rPr>
                <w:sz w:val="8"/>
                <w:szCs w:val="8"/>
                <w:color w:val="auto"/>
              </w:rPr>
            </w:pPr>
          </w:p>
        </w:tc>
        <w:tc>
          <w:tcPr>
            <w:tcW w:w="20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2005</w:t>
            </w:r>
          </w:p>
        </w:tc>
        <w:tc>
          <w:tcPr>
            <w:tcW w:w="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w w:val="92"/>
              </w:rPr>
              <w:t>2004</w:t>
            </w:r>
          </w:p>
        </w:tc>
        <w:tc>
          <w:tcPr>
            <w:tcW w:w="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spacing w:after="0"/>
              <w:rPr>
                <w:sz w:val="22"/>
                <w:szCs w:val="22"/>
                <w:color w:val="auto"/>
              </w:rPr>
            </w:pPr>
          </w:p>
        </w:tc>
        <w:tc>
          <w:tcPr>
            <w:tcW w:w="48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00" w:type="dxa"/>
            <w:vAlign w:val="bottom"/>
          </w:tcPr>
          <w:p>
            <w:pPr>
              <w:spacing w:after="0"/>
              <w:rPr>
                <w:sz w:val="8"/>
                <w:szCs w:val="8"/>
                <w:color w:val="auto"/>
              </w:rPr>
            </w:pPr>
          </w:p>
        </w:tc>
        <w:tc>
          <w:tcPr>
            <w:tcW w:w="20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00" w:type="dxa"/>
            <w:vAlign w:val="bottom"/>
          </w:tcPr>
          <w:p>
            <w:pPr>
              <w:spacing w:after="0"/>
              <w:rPr>
                <w:sz w:val="8"/>
                <w:szCs w:val="8"/>
                <w:color w:val="auto"/>
              </w:rPr>
            </w:pPr>
          </w:p>
        </w:tc>
        <w:tc>
          <w:tcPr>
            <w:tcW w:w="20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Monthly average video revenue per video subscriber</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52.80</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49.84</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$2.96</w:t>
            </w:r>
          </w:p>
        </w:tc>
        <w:tc>
          <w:tcPr>
            <w:tcW w:w="5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Monthly average high-speed Internet revenue per high-speed Internet subscriber</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42.97</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42.58</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$0.39</w:t>
            </w:r>
          </w:p>
        </w:tc>
        <w:tc>
          <w:tcPr>
            <w:tcW w:w="5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Monthly average phone revenue per phone subscriber</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46.29</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47.31</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1.02)</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20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5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60"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Video revenue consists of our basic, expanded basic, premium, pay-per-view and digital cable services, as well as equipment rentals. The increases in video revenue for the interim periods from 2004 to 2005 are primarily due</w:t>
      </w:r>
    </w:p>
    <w:p>
      <w:pPr>
        <w:spacing w:after="0" w:line="106"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80"/>
          </w:cols>
          <w:pgMar w:left="240" w:top="272" w:right="679"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QUARTER ENDED SEPTEMBER 30, 2005</w:t>
      </w:r>
    </w:p>
    <w:p>
      <w:pPr>
        <w:spacing w:after="0" w:line="145"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to rate increases and subscriber growth in our digital video service. From September 30, 2004, to September 30, 2005, we added approximately 1,041,000 digital subscribers, or a 12.4% increase in digital subscribers. We expect continued growth in our video revenue.</w:t>
      </w:r>
    </w:p>
    <w:p>
      <w:pPr>
        <w:spacing w:after="0" w:line="106" w:lineRule="exact"/>
        <w:rPr>
          <w:sz w:val="20"/>
          <w:szCs w:val="20"/>
          <w:color w:val="auto"/>
        </w:rPr>
      </w:pPr>
    </w:p>
    <w:p>
      <w:pPr>
        <w:ind w:right="200"/>
        <w:spacing w:after="0" w:line="339" w:lineRule="auto"/>
        <w:rPr>
          <w:sz w:val="20"/>
          <w:szCs w:val="20"/>
          <w:color w:val="auto"/>
        </w:rPr>
      </w:pPr>
      <w:r>
        <w:rPr>
          <w:rFonts w:ascii="Times New Roman" w:cs="Times New Roman" w:eastAsia="Times New Roman" w:hAnsi="Times New Roman"/>
          <w:sz w:val="16"/>
          <w:szCs w:val="16"/>
          <w:color w:val="auto"/>
        </w:rPr>
        <w:t>The increases in high-speed Internet revenue for the interim periods from 2004 to 2005 are due to the addition of 1,586,000, net high-speed Internet subscribers since September 30, 2004, or a 24.2% increase in high-speed Internet subscribers. We expect continued growth in our high-speed Internet revenue.</w:t>
      </w:r>
    </w:p>
    <w:p>
      <w:pPr>
        <w:spacing w:after="0" w:line="61"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18"/>
          <w:szCs w:val="18"/>
          <w:color w:val="auto"/>
        </w:rPr>
        <w:t>The decreases in phone revenue for the interim periods from 2004 to 2005 are primarily due to the decrease in the average revenue per phone subscriber. We expect to add phone subscribers as we continue to launch our Comcast Digital Voice phone service.</w:t>
      </w:r>
    </w:p>
    <w:p>
      <w:pPr>
        <w:spacing w:after="0" w:line="10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The increases in advertising sales revenue for the interim periods from 2004 to 2005 are primarily due to the effects of growth in regional/national advertising as a result of the continuing success of our regional interconnects and a stronger local advertising market, offset, in part, by a decrease in political advertising during 2005. We expect continued growth in our advertising sales revenue.</w:t>
      </w:r>
    </w:p>
    <w:p>
      <w:pPr>
        <w:spacing w:after="0" w:line="119"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8"/>
          <w:szCs w:val="18"/>
          <w:color w:val="auto"/>
        </w:rPr>
        <w:t>Other revenue includes installation revenues, revenue from our regional sports and news networks, guide revenues, commissions from electronic retailing, revenue from commercial data services and revenue from other service offerings. The increases in other revenue for the interim periods from 2004 to 2005 are primarily due to the launch of our regional sports networks in Chicago and Sacramento.</w:t>
      </w:r>
    </w:p>
    <w:p>
      <w:pPr>
        <w:spacing w:after="0" w:line="119"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8"/>
          <w:szCs w:val="18"/>
          <w:color w:val="auto"/>
        </w:rPr>
        <w:t>The increases in franchise fees collected from our cable subscribers for the interim periods from 2004 to 2005 are primarily attributable to the increases in our revenues upon which the fees apply.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60"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Operating expenses increased $168 million and $381 million, respectively, for the three and nine month interim periods in 2005, from the same periods in 2004. The increases occurred in multiple expense categories and are primarily as a result of growth in our high-speed Internet, digital cable services, the launch of Comcast Digital Voice and development activities related to new product initiatives.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60"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8"/>
          <w:szCs w:val="18"/>
          <w:color w:val="auto"/>
        </w:rPr>
        <w:t>Selling, general and administrative expenses increased $49 million and $251 million, respectively, for the three and nine month interim periods in 2005, from the same periods in 2004. The increases occurred in multiple expense categories and are primarily as a result of growth in high-speed Internet, digital cable services, the launch of Comcast Digital Voice, and our development activities related to new product initiatives.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Content Segment Operating Results</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following table presents our content segment operating results (dollars in millions):</w:t>
      </w:r>
    </w:p>
    <w:p>
      <w:pPr>
        <w:spacing w:after="0" w:line="14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4"/>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4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1530" w:type="dxa"/>
            <w:vAlign w:val="bottom"/>
            <w:gridSpan w:val="4"/>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3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5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1530" w:type="dxa"/>
            <w:vAlign w:val="bottom"/>
            <w:gridSpan w:val="4"/>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60" w:type="dxa"/>
            <w:vAlign w:val="bottom"/>
          </w:tcPr>
          <w:p>
            <w:pPr>
              <w:spacing w:after="0"/>
              <w:rPr>
                <w:sz w:val="8"/>
                <w:szCs w:val="8"/>
                <w:color w:val="auto"/>
              </w:rPr>
            </w:pPr>
          </w:p>
        </w:tc>
        <w:tc>
          <w:tcPr>
            <w:tcW w:w="19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45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41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46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w w:val="99"/>
              </w:rPr>
              <w:t>2005</w:t>
            </w:r>
          </w:p>
        </w:tc>
        <w:tc>
          <w:tcPr>
            <w:tcW w:w="560" w:type="dxa"/>
            <w:vAlign w:val="bottom"/>
          </w:tcPr>
          <w:p>
            <w:pPr>
              <w:spacing w:after="0"/>
              <w:rPr>
                <w:sz w:val="22"/>
                <w:szCs w:val="22"/>
                <w:color w:val="auto"/>
              </w:rPr>
            </w:pPr>
          </w:p>
        </w:tc>
        <w:tc>
          <w:tcPr>
            <w:tcW w:w="130" w:type="dxa"/>
            <w:vAlign w:val="bottom"/>
          </w:tcPr>
          <w:p>
            <w:pPr>
              <w:spacing w:after="0"/>
              <w:rPr>
                <w:sz w:val="22"/>
                <w:szCs w:val="22"/>
                <w:color w:val="auto"/>
              </w:rPr>
            </w:pPr>
          </w:p>
        </w:tc>
        <w:tc>
          <w:tcPr>
            <w:tcW w:w="45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w w:val="92"/>
              </w:rPr>
              <w:t>2004</w:t>
            </w:r>
          </w:p>
        </w:tc>
        <w:tc>
          <w:tcPr>
            <w:tcW w:w="540" w:type="dxa"/>
            <w:vAlign w:val="bottom"/>
          </w:tcPr>
          <w:p>
            <w:pPr>
              <w:spacing w:after="0"/>
              <w:rPr>
                <w:sz w:val="22"/>
                <w:szCs w:val="22"/>
                <w:color w:val="auto"/>
              </w:rPr>
            </w:pPr>
          </w:p>
        </w:tc>
        <w:tc>
          <w:tcPr>
            <w:tcW w:w="110" w:type="dxa"/>
            <w:vAlign w:val="bottom"/>
          </w:tcPr>
          <w:p>
            <w:pPr>
              <w:spacing w:after="0"/>
              <w:rPr>
                <w:sz w:val="22"/>
                <w:szCs w:val="22"/>
                <w:color w:val="auto"/>
              </w:rPr>
            </w:pPr>
          </w:p>
        </w:tc>
        <w:tc>
          <w:tcPr>
            <w:tcW w:w="41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w w:val="92"/>
              </w:rPr>
              <w:t>2005</w:t>
            </w: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w w:val="99"/>
              </w:rPr>
              <w:t>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60" w:type="dxa"/>
            <w:vAlign w:val="bottom"/>
          </w:tcPr>
          <w:p>
            <w:pPr>
              <w:spacing w:after="0"/>
              <w:rPr>
                <w:sz w:val="8"/>
                <w:szCs w:val="8"/>
                <w:color w:val="auto"/>
              </w:rPr>
            </w:pPr>
          </w:p>
        </w:tc>
        <w:tc>
          <w:tcPr>
            <w:tcW w:w="19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45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41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60" w:type="dxa"/>
            <w:vAlign w:val="bottom"/>
          </w:tcPr>
          <w:p>
            <w:pPr>
              <w:spacing w:after="0"/>
              <w:rPr>
                <w:sz w:val="8"/>
                <w:szCs w:val="8"/>
                <w:color w:val="auto"/>
              </w:rPr>
            </w:pPr>
          </w:p>
        </w:tc>
        <w:tc>
          <w:tcPr>
            <w:tcW w:w="19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30" w:type="dxa"/>
            <w:vAlign w:val="bottom"/>
          </w:tcPr>
          <w:p>
            <w:pPr>
              <w:spacing w:after="0"/>
              <w:rPr>
                <w:sz w:val="8"/>
                <w:szCs w:val="8"/>
                <w:color w:val="auto"/>
              </w:rPr>
            </w:pPr>
          </w:p>
        </w:tc>
        <w:tc>
          <w:tcPr>
            <w:tcW w:w="450" w:type="dxa"/>
            <w:vAlign w:val="bottom"/>
          </w:tcPr>
          <w:p>
            <w:pPr>
              <w:spacing w:after="0"/>
              <w:rPr>
                <w:sz w:val="8"/>
                <w:szCs w:val="8"/>
                <w:color w:val="auto"/>
              </w:rPr>
            </w:pPr>
          </w:p>
        </w:tc>
        <w:tc>
          <w:tcPr>
            <w:tcW w:w="540" w:type="dxa"/>
            <w:vAlign w:val="bottom"/>
          </w:tcPr>
          <w:p>
            <w:pPr>
              <w:spacing w:after="0"/>
              <w:rPr>
                <w:sz w:val="8"/>
                <w:szCs w:val="8"/>
                <w:color w:val="auto"/>
              </w:rPr>
            </w:pPr>
          </w:p>
        </w:tc>
        <w:tc>
          <w:tcPr>
            <w:tcW w:w="110" w:type="dxa"/>
            <w:vAlign w:val="bottom"/>
          </w:tcPr>
          <w:p>
            <w:pPr>
              <w:spacing w:after="0"/>
              <w:rPr>
                <w:sz w:val="8"/>
                <w:szCs w:val="8"/>
                <w:color w:val="auto"/>
              </w:rPr>
            </w:pPr>
          </w:p>
        </w:tc>
        <w:tc>
          <w:tcPr>
            <w:tcW w:w="41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69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5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65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1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Operating, selling, general and administrative expenses</w:t>
            </w:r>
          </w:p>
        </w:tc>
        <w:tc>
          <w:tcPr>
            <w:tcW w:w="1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56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45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54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41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460" w:type="dxa"/>
            <w:vAlign w:val="bottom"/>
          </w:tcPr>
          <w:p>
            <w:pPr>
              <w:spacing w:after="0"/>
              <w:rPr>
                <w:sz w:val="8"/>
                <w:szCs w:val="8"/>
                <w:color w:val="auto"/>
              </w:rPr>
            </w:pPr>
          </w:p>
        </w:tc>
        <w:tc>
          <w:tcPr>
            <w:tcW w:w="19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45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41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60" w:type="dxa"/>
            <w:vAlign w:val="bottom"/>
          </w:tcPr>
          <w:p>
            <w:pPr>
              <w:spacing w:after="0"/>
              <w:rPr>
                <w:sz w:val="8"/>
                <w:szCs w:val="8"/>
                <w:color w:val="auto"/>
              </w:rPr>
            </w:pPr>
          </w:p>
        </w:tc>
        <w:tc>
          <w:tcPr>
            <w:tcW w:w="19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30" w:type="dxa"/>
            <w:vAlign w:val="bottom"/>
          </w:tcPr>
          <w:p>
            <w:pPr>
              <w:spacing w:after="0"/>
              <w:rPr>
                <w:sz w:val="8"/>
                <w:szCs w:val="8"/>
                <w:color w:val="auto"/>
              </w:rPr>
            </w:pPr>
          </w:p>
        </w:tc>
        <w:tc>
          <w:tcPr>
            <w:tcW w:w="450" w:type="dxa"/>
            <w:vAlign w:val="bottom"/>
          </w:tcPr>
          <w:p>
            <w:pPr>
              <w:spacing w:after="0"/>
              <w:rPr>
                <w:sz w:val="8"/>
                <w:szCs w:val="8"/>
                <w:color w:val="auto"/>
              </w:rPr>
            </w:pPr>
          </w:p>
        </w:tc>
        <w:tc>
          <w:tcPr>
            <w:tcW w:w="540" w:type="dxa"/>
            <w:vAlign w:val="bottom"/>
          </w:tcPr>
          <w:p>
            <w:pPr>
              <w:spacing w:after="0"/>
              <w:rPr>
                <w:sz w:val="8"/>
                <w:szCs w:val="8"/>
                <w:color w:val="auto"/>
              </w:rPr>
            </w:pPr>
          </w:p>
        </w:tc>
        <w:tc>
          <w:tcPr>
            <w:tcW w:w="110" w:type="dxa"/>
            <w:vAlign w:val="bottom"/>
          </w:tcPr>
          <w:p>
            <w:pPr>
              <w:spacing w:after="0"/>
              <w:rPr>
                <w:sz w:val="8"/>
                <w:szCs w:val="8"/>
                <w:color w:val="auto"/>
              </w:rPr>
            </w:pPr>
          </w:p>
        </w:tc>
        <w:tc>
          <w:tcPr>
            <w:tcW w:w="41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before depreciation and amortization</w:t>
            </w:r>
          </w:p>
        </w:tc>
        <w:tc>
          <w:tcPr>
            <w:tcW w:w="2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69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5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65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1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1920" w:type="dxa"/>
            <w:vAlign w:val="bottom"/>
            <w:vMerge w:val="restart"/>
          </w:tcPr>
          <w:p>
            <w:pPr>
              <w:jc w:val="right"/>
              <w:ind w:right="1092"/>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45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41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45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41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-325755</wp:posOffset>
            </wp:positionV>
            <wp:extent cx="12700" cy="298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-325755</wp:posOffset>
            </wp:positionV>
            <wp:extent cx="12700" cy="298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-325755</wp:posOffset>
            </wp:positionV>
            <wp:extent cx="21590" cy="298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-325755</wp:posOffset>
            </wp:positionV>
            <wp:extent cx="12700" cy="298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-325755</wp:posOffset>
            </wp:positionV>
            <wp:extent cx="12700" cy="298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-325755</wp:posOffset>
            </wp:positionV>
            <wp:extent cx="21590" cy="298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-325755</wp:posOffset>
            </wp:positionV>
            <wp:extent cx="12700" cy="298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-325755</wp:posOffset>
            </wp:positionV>
            <wp:extent cx="12700" cy="298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-325755</wp:posOffset>
            </wp:positionV>
            <wp:extent cx="21590" cy="298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-325755</wp:posOffset>
            </wp:positionV>
            <wp:extent cx="12700" cy="298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-325755</wp:posOffset>
            </wp:positionV>
            <wp:extent cx="12700" cy="298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-325755</wp:posOffset>
            </wp:positionV>
            <wp:extent cx="21590" cy="298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CORPORATION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 ENDED SEPTEMBER 30, 2005</w:t>
      </w:r>
    </w:p>
    <w:p>
      <w:pPr>
        <w:spacing w:after="0" w:line="145"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auto"/>
        </w:rPr>
        <w:t>Our content segment consists of the national networks E! Entertainment and Style Network, The Golf Channel, OLN, G4 and AZN Television (formerly known as International Channel).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60"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Our content segment revenues increased $30 million and $102 million, or 14.5% and 17.5%, respectively, for the three and nine month interim periods in 2005, from the same periods in 2004. The increases reflect increases in distribution and advertising revenue for all of the networks and the effects of the acquisitions of TechTV and AZN Television in May 2004 and July 2004,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Selling, General and Administrative Expenses</w:t>
      </w:r>
    </w:p>
    <w:p>
      <w:pPr>
        <w:spacing w:after="0" w:line="16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Operating, selling, general and administrative expenses increased $18 million and $62 million, or 12.4% and 16.6%, respectively, for the three and nine month interim periods in 2005, from the same periods in 2004. Expenses increased in the 2005 interim periods as a result of higher development and marketing expenses for events and other original programming in all of our networks, as well as due to the effects of the acquisitions of TechTV and AZN Television in May 2004 and July 2004, respectively.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Income (Expense) Items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60" w:lineRule="exact"/>
        <w:rPr>
          <w:sz w:val="20"/>
          <w:szCs w:val="20"/>
          <w:color w:val="auto"/>
        </w:rPr>
      </w:pPr>
    </w:p>
    <w:p>
      <w:pPr>
        <w:ind w:right="440"/>
        <w:spacing w:after="0" w:line="275" w:lineRule="auto"/>
        <w:rPr>
          <w:sz w:val="20"/>
          <w:szCs w:val="20"/>
          <w:color w:val="auto"/>
        </w:rPr>
      </w:pPr>
      <w:r>
        <w:rPr>
          <w:rFonts w:ascii="Times New Roman" w:cs="Times New Roman" w:eastAsia="Times New Roman" w:hAnsi="Times New Roman"/>
          <w:sz w:val="18"/>
          <w:szCs w:val="18"/>
          <w:color w:val="auto"/>
        </w:rPr>
        <w:t>The decreases in interest expense for the interim periods from 2004 to 2005 are primarily due to the effects of a $46 million gain recognized in August 2005 related to the redemption of our 9.5% Senior Notes due 2013 and our net debt repayments, offset by the effects of higher interest rates in 2005.</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Income (Loss), Net</w:t>
      </w:r>
    </w:p>
    <w:p>
      <w:pPr>
        <w:spacing w:after="0" w:line="1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Investment income (loss), net for the interim periods includes the following (dollars in millions):</w:t>
      </w:r>
    </w:p>
    <w:p>
      <w:pPr>
        <w:spacing w:after="0" w:line="14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2010" w:type="dxa"/>
            <w:vAlign w:val="bottom"/>
            <w:gridSpan w:val="7"/>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gridSpan w:val="7"/>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121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43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0" w:type="dxa"/>
            <w:vAlign w:val="bottom"/>
          </w:tcPr>
          <w:p>
            <w:pPr>
              <w:spacing w:after="0"/>
              <w:rPr>
                <w:sz w:val="22"/>
                <w:szCs w:val="22"/>
                <w:color w:val="auto"/>
              </w:rPr>
            </w:pPr>
          </w:p>
        </w:tc>
        <w:tc>
          <w:tcPr>
            <w:tcW w:w="430" w:type="dxa"/>
            <w:vAlign w:val="bottom"/>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w w:val="92"/>
              </w:rPr>
              <w:t>2005</w:t>
            </w:r>
          </w:p>
        </w:tc>
        <w:tc>
          <w:tcPr>
            <w:tcW w:w="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9"/>
              </w:rPr>
              <w:t>2004</w:t>
            </w: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w w:val="92"/>
              </w:rPr>
              <w:t>2005</w:t>
            </w: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w w:val="92"/>
              </w:rPr>
              <w:t>2004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43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0" w:type="dxa"/>
            <w:vAlign w:val="bottom"/>
          </w:tcPr>
          <w:p>
            <w:pPr>
              <w:spacing w:after="0"/>
              <w:rPr>
                <w:sz w:val="8"/>
                <w:szCs w:val="8"/>
                <w:color w:val="auto"/>
              </w:rPr>
            </w:pPr>
          </w:p>
        </w:tc>
        <w:tc>
          <w:tcPr>
            <w:tcW w:w="43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51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3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6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Gains (losses) on sales and exchanges of investments, net</w:t>
            </w:r>
          </w:p>
        </w:tc>
        <w:tc>
          <w:tcPr>
            <w:tcW w:w="4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43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impairment losses</w:t>
            </w:r>
          </w:p>
        </w:tc>
        <w:tc>
          <w:tcPr>
            <w:tcW w:w="4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9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losses on trading securities and hedged items</w:t>
            </w:r>
          </w:p>
        </w:tc>
        <w:tc>
          <w:tcPr>
            <w:tcW w:w="4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79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(27)</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(112)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4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Mark to market adjustments on derivatives related to trading securities and</w:t>
            </w:r>
          </w:p>
        </w:tc>
        <w:tc>
          <w:tcPr>
            <w:tcW w:w="400" w:type="dxa"/>
            <w:vAlign w:val="bottom"/>
            <w:shd w:val="clear" w:color="auto" w:fill="CCEEFF"/>
          </w:tcPr>
          <w:p>
            <w:pPr>
              <w:spacing w:after="0"/>
              <w:rPr>
                <w:sz w:val="17"/>
                <w:szCs w:val="17"/>
                <w:color w:val="auto"/>
              </w:rPr>
            </w:pPr>
          </w:p>
        </w:tc>
        <w:tc>
          <w:tcPr>
            <w:tcW w:w="110" w:type="dxa"/>
            <w:vAlign w:val="bottom"/>
            <w:shd w:val="clear" w:color="auto" w:fill="CCEEFF"/>
          </w:tcPr>
          <w:p>
            <w:pPr>
              <w:spacing w:after="0"/>
              <w:rPr>
                <w:sz w:val="17"/>
                <w:szCs w:val="17"/>
                <w:color w:val="auto"/>
              </w:rPr>
            </w:pPr>
          </w:p>
        </w:tc>
        <w:tc>
          <w:tcPr>
            <w:tcW w:w="43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hedged items</w:t>
            </w:r>
          </w:p>
        </w:tc>
        <w:tc>
          <w:tcPr>
            <w:tcW w:w="400" w:type="dxa"/>
            <w:vAlign w:val="bottom"/>
            <w:shd w:val="clear" w:color="auto" w:fill="CCEEFF"/>
          </w:tcPr>
          <w:p>
            <w:pPr>
              <w:spacing w:after="0"/>
              <w:rPr>
                <w:sz w:val="20"/>
                <w:szCs w:val="20"/>
                <w:color w:val="auto"/>
              </w:rPr>
            </w:pPr>
          </w:p>
        </w:tc>
        <w:tc>
          <w:tcPr>
            <w:tcW w:w="110" w:type="dxa"/>
            <w:vAlign w:val="bottom"/>
            <w:shd w:val="clear" w:color="auto" w:fill="CCEEFF"/>
          </w:tcPr>
          <w:p>
            <w:pPr>
              <w:spacing w:after="0"/>
              <w:rPr>
                <w:sz w:val="20"/>
                <w:szCs w:val="20"/>
                <w:color w:val="auto"/>
              </w:rPr>
            </w:pPr>
          </w:p>
        </w:tc>
        <w:tc>
          <w:tcPr>
            <w:tcW w:w="79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(126)</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3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Mark to market adjustments on derivatives</w:t>
            </w:r>
          </w:p>
        </w:tc>
        <w:tc>
          <w:tcPr>
            <w:tcW w:w="40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79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43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0" w:type="dxa"/>
            <w:vAlign w:val="bottom"/>
          </w:tcPr>
          <w:p>
            <w:pPr>
              <w:spacing w:after="0"/>
              <w:rPr>
                <w:sz w:val="8"/>
                <w:szCs w:val="8"/>
                <w:color w:val="auto"/>
              </w:rPr>
            </w:pPr>
          </w:p>
        </w:tc>
        <w:tc>
          <w:tcPr>
            <w:tcW w:w="43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Investment income (loss), net</w:t>
            </w:r>
          </w:p>
        </w:tc>
        <w:tc>
          <w:tcPr>
            <w:tcW w:w="51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9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36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43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-29210</wp:posOffset>
            </wp:positionV>
            <wp:extent cx="12700" cy="298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-29210</wp:posOffset>
            </wp:positionV>
            <wp:extent cx="21590" cy="298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-29210</wp:posOffset>
            </wp:positionV>
            <wp:extent cx="38735" cy="298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-29210</wp:posOffset>
            </wp:positionV>
            <wp:extent cx="381635" cy="298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381635"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-29210</wp:posOffset>
            </wp:positionV>
            <wp:extent cx="12700" cy="298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-29210</wp:posOffset>
            </wp:positionV>
            <wp:extent cx="21590" cy="298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-29210</wp:posOffset>
            </wp:positionV>
            <wp:extent cx="38735" cy="298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-29210</wp:posOffset>
            </wp:positionV>
            <wp:extent cx="12700" cy="298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-29210</wp:posOffset>
            </wp:positionV>
            <wp:extent cx="21590" cy="298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38735" cy="298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jc w:val="both"/>
        <w:ind w:right="220"/>
        <w:spacing w:after="0" w:line="262" w:lineRule="auto"/>
        <w:rPr>
          <w:sz w:val="20"/>
          <w:szCs w:val="20"/>
          <w:color w:val="auto"/>
        </w:rPr>
      </w:pPr>
      <w:r>
        <w:rPr>
          <w:rFonts w:ascii="Times New Roman" w:cs="Times New Roman" w:eastAsia="Times New Roman" w:hAnsi="Times New Roman"/>
          <w:sz w:val="18"/>
          <w:szCs w:val="18"/>
          <w:color w:val="auto"/>
        </w:rPr>
        <w:t>The gains (losses) on sales and exchanges of investments for the three and nine month periods in 2005 consist principally of the gain on the sale of a portion of the Time Warner common stock in the third quarter of 2005 and the loss on the conversion of Time Warner preferred stock into Time Warner common stock on March 31, 2005.</w:t>
      </w:r>
    </w:p>
    <w:p>
      <w:pPr>
        <w:spacing w:after="0" w:line="119"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We have entered into derivative financial instruments that we account for at fair value and which economically hedge the market price fluctuations in the common stock of most (as of September 30, 2005) of our investments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272" w:right="239" w:bottom="1440" w:gutter="0" w:footer="0" w:header="0"/>
        </w:sectPr>
      </w:pPr>
    </w:p>
    <w:bookmarkStart w:id="36" w:name="page37"/>
    <w:bookmarkEnd w:id="3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QUARTER ENDED SEPTEMBER 30, 2005</w:t>
      </w:r>
    </w:p>
    <w:p>
      <w:pPr>
        <w:spacing w:after="0" w:line="145"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auto"/>
        </w:rPr>
        <w:t>accounted for as trading securities. The differences between the unrealized losses on trading securities and hedged items and the mark to market adjustments on derivatives related to trading securities and hedged items, as presented in the table above, result from one or more of the following:</w:t>
      </w:r>
    </w:p>
    <w:p>
      <w:pPr>
        <w:spacing w:after="0" w:line="25" w:lineRule="exact"/>
        <w:rPr>
          <w:sz w:val="20"/>
          <w:szCs w:val="20"/>
          <w:color w:val="auto"/>
        </w:rPr>
      </w:pPr>
    </w:p>
    <w:p>
      <w:pPr>
        <w:ind w:left="780" w:hanging="326"/>
        <w:spacing w:after="0"/>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maintain an economic hedge for our entire investment in the security during some portion or for all of the period.</w:t>
      </w:r>
    </w:p>
    <w:p>
      <w:pPr>
        <w:spacing w:after="0" w:line="17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changes in the derivative valuation assumptions such as interest rates, volatility and dividend policy.</w:t>
      </w:r>
    </w:p>
    <w:p>
      <w:pPr>
        <w:spacing w:after="0" w:line="171" w:lineRule="exact"/>
        <w:rPr>
          <w:rFonts w:ascii="Times New Roman" w:cs="Times New Roman" w:eastAsia="Times New Roman" w:hAnsi="Times New Roman"/>
          <w:sz w:val="18"/>
          <w:szCs w:val="18"/>
          <w:color w:val="auto"/>
        </w:rPr>
      </w:pPr>
    </w:p>
    <w:p>
      <w:pPr>
        <w:ind w:left="780" w:right="700" w:hanging="326"/>
        <w:spacing w:after="0" w:line="275" w:lineRule="auto"/>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magnitude of the difference between the market price of the underlying security to which the derivative relates and the strike price of the derivative.</w:t>
      </w:r>
    </w:p>
    <w:p>
      <w:pPr>
        <w:spacing w:after="0" w:line="92"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the time value component of the derivative value during the period.</w:t>
      </w:r>
    </w:p>
    <w:p>
      <w:pPr>
        <w:spacing w:after="0" w:line="171" w:lineRule="exact"/>
        <w:rPr>
          <w:rFonts w:ascii="Times New Roman" w:cs="Times New Roman" w:eastAsia="Times New Roman" w:hAnsi="Times New Roman"/>
          <w:sz w:val="18"/>
          <w:szCs w:val="18"/>
          <w:color w:val="auto"/>
        </w:rPr>
      </w:pPr>
    </w:p>
    <w:p>
      <w:pPr>
        <w:ind w:left="780" w:right="220" w:hanging="326"/>
        <w:spacing w:after="0" w:line="275" w:lineRule="auto"/>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to which the derivative relates changed due to a corporate reorganization of the issuing company to a security with a different volatility rate.</w:t>
      </w:r>
    </w:p>
    <w:p>
      <w:pPr>
        <w:spacing w:after="0" w:line="92"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issuing company paid a new or changed the dividend amount to the shareholders of the security.</w:t>
      </w:r>
    </w:p>
    <w:p>
      <w:pPr>
        <w:spacing w:after="0" w:line="185"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The mark to market adjustments on derivatives consist principally of the fair value adjustments to the derivative component of the notes exchangeable into Comcast stock. We were exposed to changes in the fair value of this derivative since the underlying shares of Comcast Class A Special common stock that we hold in treasury are carried at our historical cost and not adjusted for changes in fair value. During the three months ended September 30, 2005 we settled for cash, the remaining outstanding obligations related to the notes exchangeable into Comcast stock.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16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change in other income (expense) for the nine month period from 2004 to 2005 is primarily due to a $170 million charge in the first quarter of 2005 for our portion of the settlement agreement related to certain litigation between AT&amp;T and At Home. Refer to Note 10 to our condensed consolidated financial statements included in Item 1 for a discussion of this litigation. This charge is partially offset by a $24 million gain on the exchange of one of our equity method investments and $55 million of gains recognized on the sale or restructuring of certain investment assets in 2005.</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income tax expense differs from the statutory amount primarily due to adjustments to prior years’ income tax provisions and the effect of state income taxes.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0"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We believe that we will be able to meet our current and long-term liquidity and capital requirements, including fixed charges, through our cash flows from operating activities, existing cash, cash equivalents and investments; through available borrowings under our existing credit facilities; and through our ability to obtain external financing.</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62"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8"/>
          <w:szCs w:val="18"/>
          <w:color w:val="auto"/>
        </w:rPr>
        <w:t>Net cash provided by operating activities amounted to $3.940 billion for the nine months ended September 30, 2005, due principally to our operating income before depreciation and amortization, the effects of interest and</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00"/>
          </w:cols>
          <w:pgMar w:left="240" w:top="272" w:right="259"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QUARTER ENDED SEPTEMBER 30, 2005</w:t>
      </w:r>
    </w:p>
    <w:p>
      <w:pPr>
        <w:spacing w:after="0" w:line="145" w:lineRule="exact"/>
        <w:rPr>
          <w:sz w:val="20"/>
          <w:szCs w:val="20"/>
          <w:color w:val="auto"/>
        </w:rPr>
      </w:pPr>
    </w:p>
    <w:p>
      <w:pPr>
        <w:ind w:right="480"/>
        <w:spacing w:after="0" w:line="275" w:lineRule="auto"/>
        <w:rPr>
          <w:sz w:val="20"/>
          <w:szCs w:val="20"/>
          <w:color w:val="auto"/>
        </w:rPr>
      </w:pPr>
      <w:r>
        <w:rPr>
          <w:rFonts w:ascii="Times New Roman" w:cs="Times New Roman" w:eastAsia="Times New Roman" w:hAnsi="Times New Roman"/>
          <w:sz w:val="18"/>
          <w:szCs w:val="18"/>
          <w:color w:val="auto"/>
        </w:rPr>
        <w:t>income tax payments, the $170 million payment representing our share of the settlement amount related to AT&amp;T’s litigation with At Home and changes in operating assets and liabilities.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2005 interim period, the net change in our operating assets and liabilities was $329 million, attributable to increases in our accounts receivable of</w:t>
      </w:r>
    </w:p>
    <w:p>
      <w:pPr>
        <w:spacing w:after="0" w:line="21"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$27 million, a net reduction in accounts payable and accrued expenses related to trade creditors of $61 million, and a net reduction in other operating assets and liabilities of $241 million. The reduction in other operating assets and liabilities is attributable to payments associated with liabilities recorded as part of the Broadband acquisition of $248 million, including a $46 million pension funding in the first quarter of 2005 and a $50 million payment in the second quarter of 2005 representing our share of the settlement related to AT&amp;T’s settlement of certain of its securities litigation.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62" w:lineRule="exact"/>
        <w:rPr>
          <w:sz w:val="20"/>
          <w:szCs w:val="20"/>
          <w:color w:val="auto"/>
        </w:rPr>
      </w:pPr>
    </w:p>
    <w:p>
      <w:pPr>
        <w:ind w:right="640"/>
        <w:spacing w:after="0" w:line="339" w:lineRule="auto"/>
        <w:rPr>
          <w:sz w:val="20"/>
          <w:szCs w:val="20"/>
          <w:color w:val="auto"/>
        </w:rPr>
      </w:pPr>
      <w:r>
        <w:rPr>
          <w:rFonts w:ascii="Times New Roman" w:cs="Times New Roman" w:eastAsia="Times New Roman" w:hAnsi="Times New Roman"/>
          <w:sz w:val="16"/>
          <w:szCs w:val="16"/>
          <w:color w:val="auto"/>
        </w:rPr>
        <w:t>Net cash used in financing activities was $797 million for the nine months ended September 30, 2005, and consisted principally of our net proceeds from borrowings of $2.333 billion, repayments of debt of $1.942 billion and repurchases of common stock of $1.291 billion (on a settlement date basis).</w:t>
      </w:r>
    </w:p>
    <w:p>
      <w:pPr>
        <w:spacing w:after="0" w:line="61"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auto"/>
        </w:rPr>
        <w:t>We have made, and may, from time to time in the future, make optional repayments on our debt obligations, which may include open market repurchases of our outstanding public notes and debentures, depending on various factors, such as market conditions.</w:t>
      </w:r>
    </w:p>
    <w:p>
      <w:pPr>
        <w:spacing w:after="0" w:line="104"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Senior Notes Offering. </w:t>
      </w:r>
      <w:r>
        <w:rPr>
          <w:rFonts w:ascii="Times New Roman" w:cs="Times New Roman" w:eastAsia="Times New Roman" w:hAnsi="Times New Roman"/>
          <w:sz w:val="18"/>
          <w:szCs w:val="18"/>
          <w:color w:val="auto"/>
        </w:rPr>
        <w:t>In June 2005, we issued $1.5 billion of notes consisting of $750 million of 4.95% notes due 2016 and $750 million of 5.65% notes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2035. We used the net proceeds of this offering for working capital and general corporate purposes, including repayment of existing indebtedness.</w:t>
      </w:r>
    </w:p>
    <w:p>
      <w:pPr>
        <w:spacing w:after="0" w:line="103"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Commercial Paper Program. </w:t>
      </w:r>
      <w:r>
        <w:rPr>
          <w:rFonts w:ascii="Times New Roman" w:cs="Times New Roman" w:eastAsia="Times New Roman" w:hAnsi="Times New Roman"/>
          <w:sz w:val="18"/>
          <w:szCs w:val="18"/>
          <w:color w:val="auto"/>
        </w:rPr>
        <w:t>In June 2004, we entered into a commercial paper program to provide a lower-cost borrowing source of liquidity to fund our short-term working capital requirements. The program allows for a maximum of $2.25 billion of commercial paper to be issued at any one time. Our revolving bank credit facility supports this program. During the 2005 nine month interim period, we made net borrowings of $838 million under the program. As of September 30, 2005, amounts outstanding under the program totaled $1.156 billion with a weighted average interest rate of 3.83%.</w:t>
      </w:r>
    </w:p>
    <w:p>
      <w:pPr>
        <w:spacing w:after="0" w:line="119"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Debt Redemption. </w:t>
      </w:r>
      <w:r>
        <w:rPr>
          <w:rFonts w:ascii="Times New Roman" w:cs="Times New Roman" w:eastAsia="Times New Roman" w:hAnsi="Times New Roman"/>
          <w:sz w:val="18"/>
          <w:szCs w:val="18"/>
          <w:color w:val="auto"/>
        </w:rPr>
        <w:t>In August 2005, we redeemed our 9.5% Senior Notes due 2013 with an aggregate principal amount of $525 million at a premium of 4.75%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 par and recorded a $46 million gain on the early termination as a reduction to interest expense.</w:t>
      </w:r>
    </w:p>
    <w:p>
      <w:pPr>
        <w:spacing w:after="0" w:line="103" w:lineRule="exact"/>
        <w:rPr>
          <w:sz w:val="20"/>
          <w:szCs w:val="20"/>
          <w:color w:val="auto"/>
        </w:rPr>
      </w:pPr>
    </w:p>
    <w:p>
      <w:pPr>
        <w:jc w:val="both"/>
        <w:ind w:right="600"/>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Credit Agreement. </w:t>
      </w:r>
      <w:r>
        <w:rPr>
          <w:rFonts w:ascii="Times New Roman" w:cs="Times New Roman" w:eastAsia="Times New Roman" w:hAnsi="Times New Roman"/>
          <w:sz w:val="18"/>
          <w:szCs w:val="18"/>
          <w:color w:val="auto"/>
        </w:rPr>
        <w:t>In October 2005, we refinanced our existing $4.5 billion revolving credit facility by entering into a new 5-year, $5.0 billion revolving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facility (the “New Credit Facility”) with a syndicate of banks. The New Credit Facility provides additional flexibility under our financial covenants and expires in October 2010.</w:t>
      </w:r>
    </w:p>
    <w:p>
      <w:pPr>
        <w:spacing w:after="0" w:line="114"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Available Borrowings Under Credit Facilities. </w:t>
      </w:r>
      <w:r>
        <w:rPr>
          <w:rFonts w:ascii="Times New Roman" w:cs="Times New Roman" w:eastAsia="Times New Roman" w:hAnsi="Times New Roman"/>
          <w:sz w:val="18"/>
          <w:szCs w:val="18"/>
          <w:color w:val="auto"/>
        </w:rPr>
        <w:t>We have traditionally maintained significant availability under our lines of credit to meet our short-term liquidity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We have three lines of credit aggregating $4.576 billion and, as of September 30, 2005, amounts available under our lines of credit totaled $2.998 billion.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Stock Repurchases. </w:t>
      </w:r>
      <w:r>
        <w:rPr>
          <w:rFonts w:ascii="Times New Roman" w:cs="Times New Roman" w:eastAsia="Times New Roman" w:hAnsi="Times New Roman"/>
          <w:sz w:val="16"/>
          <w:szCs w:val="16"/>
          <w:color w:val="auto"/>
        </w:rPr>
        <w:t>During the nine months ended September 30, 2005, under our Board-authorized share repurchase program, we repurchased approximately</w:t>
      </w:r>
    </w:p>
    <w:p>
      <w:pPr>
        <w:spacing w:after="0" w:line="4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$1.291 billion (on a settlement date basis) of our Class A Special common stock. On April 27, 2005, our Board of Directors authorized a $2 billion increase to our share repurchase program. The maximum dollar value of shares that may yet be repurchased under the program is approximately $1.25 billion as of September 30, 2005. We expect such repurchases to continue from time to time in the open market or in private transactions, subject to market conditions.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00"/>
          </w:cols>
          <w:pgMar w:left="240" w:top="272" w:right="259" w:bottom="1440" w:gutter="0" w:footer="0" w:header="0"/>
        </w:sectPr>
      </w:pPr>
    </w:p>
    <w:bookmarkStart w:id="38" w:name="page39"/>
    <w:bookmarkEnd w:id="3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CORPORATION AND SUBSIDIARIES</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QUARTER ENDED SEPTEMBER 30, 2005</w:t>
      </w:r>
    </w:p>
    <w:p>
      <w:pPr>
        <w:spacing w:after="0" w:line="14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Financing. </w:t>
      </w:r>
      <w:r>
        <w:rPr>
          <w:rFonts w:ascii="Times New Roman" w:cs="Times New Roman" w:eastAsia="Times New Roman" w:hAnsi="Times New Roman"/>
          <w:sz w:val="18"/>
          <w:szCs w:val="18"/>
          <w:color w:val="auto"/>
        </w:rPr>
        <w:t>As of September 30, 2005, and December 31, 2004, our debt, including capital lease obligations, was $22.605 billion and $23.592 billion,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The $987 million decrease from December 31, 2004, to September 30, 2005, results principally from the effects of the settlements of certain of our Exchangeable Notes, repayments and redemptions of our senior notes offset by the effects of our senior notes offering in June 2005 and our borrowings under our commercial paper program. Included in our debt as of September 30, 2005, and December 31, 2004, was current portion of long-term debt of $2.498 billion and $3.499 billion, respectively.</w:t>
      </w:r>
    </w:p>
    <w:p>
      <w:pPr>
        <w:spacing w:after="0" w:line="123" w:lineRule="exact"/>
        <w:rPr>
          <w:sz w:val="20"/>
          <w:szCs w:val="20"/>
          <w:color w:val="auto"/>
        </w:rPr>
      </w:pPr>
    </w:p>
    <w:p>
      <w:pPr>
        <w:ind w:right="740"/>
        <w:spacing w:after="0" w:line="275" w:lineRule="auto"/>
        <w:rPr>
          <w:sz w:val="20"/>
          <w:szCs w:val="20"/>
          <w:color w:val="auto"/>
        </w:rPr>
      </w:pPr>
      <w:r>
        <w:rPr>
          <w:rFonts w:ascii="Times New Roman" w:cs="Times New Roman" w:eastAsia="Times New Roman" w:hAnsi="Times New Roman"/>
          <w:sz w:val="18"/>
          <w:szCs w:val="18"/>
          <w:color w:val="auto"/>
        </w:rPr>
        <w:t>Excluding the effects of interest rate risk management instruments, 5.9% and 5.8% of our total debt as of September 30, 2005, and December 31, 2004, respectively, was at variable rates.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6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Net cash used in investing activities was $3.016 billion for the nine months ended September 30, 2005, which consisted primarily of cash used for our capital expenditures, acquisitions, purchases of investments, and additions to intangible and other noncurrent assets. Our capital expenditures totaled $2.753 billion which includes the purchase of advanced digital set-top boxes, as well as capital investments, including for the launch of Comcast Digital Voice, digital simulcasting and our integrated service platform. During the period, we made acquisitions totaling $196 million primarily consisting of interactive television software developers Liberate and MetaTV and other strategic acquisitions. The Liberate and MetaTV acquisitions provide us with access to technology that will accelerate the development of new interactive products. Purchases of investments totaled $310 million and consist principally of our approximate $250 million investment in MGM for our 20% equity interest. Additions to intangibles and other noncurrent assets of $317 million primarily relate to licenses and software-related intangibles of approximately $129 million, multiple dwelling unit contracts of approximately $53 million and additions to goodwill related to acquisitions of additional ownership interests of $44 million. Proceeds from sales and restructurings of investments include $308 million in proceeds from the sale of Time Warner common stock and $213 million in proceeds from prepaid forward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158750</wp:posOffset>
            </wp:positionV>
            <wp:extent cx="1534795"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380"/>
          </w:cols>
          <w:pgMar w:left="240" w:top="272" w:right="27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CORPORATION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 ENDED SEPTEMBER 30, 2005</w:t>
      </w:r>
    </w:p>
    <w:p>
      <w:pPr>
        <w:spacing w:after="0" w:line="143"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significant changes to the information required under this Item from what was disclosed in our 2004 Form 10-K.</w:t>
      </w:r>
    </w:p>
    <w:p>
      <w:pPr>
        <w:spacing w:after="0" w:line="15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77"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Conclusions regarding disclosure controls and procedures. </w:t>
      </w:r>
      <w:r>
        <w:rPr>
          <w:rFonts w:ascii="Times New Roman" w:cs="Times New Roman" w:eastAsia="Times New Roman" w:hAnsi="Times New Roman"/>
          <w:sz w:val="18"/>
          <w:szCs w:val="18"/>
          <w:color w:val="auto"/>
        </w:rPr>
        <w:t>Our chief executive officer and our co-chief financial officers, after evaluating the effectiveness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 controls and procedures (as defined in the Securities Exchange Act of 1934 Rules 13a-15(e) or 15d-15(e)) as of the end of the period covered by this report, have concluded, based on the evaluation of these controls and procedures required by paragraph (b) of Exchange Act Rules 13a-15 or 15d-15, that our disclosure controls and procedures were effective.</w:t>
      </w:r>
    </w:p>
    <w:p>
      <w:pPr>
        <w:spacing w:after="0" w:line="119" w:lineRule="exact"/>
        <w:rPr>
          <w:sz w:val="20"/>
          <w:szCs w:val="20"/>
          <w:color w:val="auto"/>
        </w:rPr>
      </w:pPr>
    </w:p>
    <w:p>
      <w:pPr>
        <w:jc w:val="both"/>
        <w:ind w:right="380"/>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Changes in internal control over financial reporting. </w:t>
      </w:r>
      <w:r>
        <w:rPr>
          <w:rFonts w:ascii="Times New Roman" w:cs="Times New Roman" w:eastAsia="Times New Roman" w:hAnsi="Times New Roman"/>
          <w:sz w:val="18"/>
          <w:szCs w:val="18"/>
          <w:color w:val="auto"/>
        </w:rPr>
        <w:t>There were no changes in our internal control over financial reporting identified in connection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evaluation required by paragraph (d) of Exchange Act Rules 13a-15 or 15d-15 that occurred during our last fiscal quarter that have materially affected, or are reasonably likely to materially affect, our internal control over financial reporting.</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79"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Refer to Note 10 to our condensed financial statements included in Part I, Item 1 of this Quarterly Report on Form 10-Q for a discussion of recent developments related to our legal proceedings.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UNREGISTERED SALES OF EQUITY SECURITIES AND USE OF PROCEEDS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repurchases during the quarter ended September 30, 2005, principally under our Board-authorized repurchase program is as follows: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PURCHASES OF EQUITY SECURITIES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Total Number of</w:t>
            </w: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Shares Purchased as</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Dollars</w:t>
            </w:r>
          </w:p>
        </w:tc>
        <w:tc>
          <w:tcPr>
            <w:tcW w:w="620" w:type="dxa"/>
            <w:vAlign w:val="bottom"/>
          </w:tcPr>
          <w:p>
            <w:pPr>
              <w:spacing w:after="0"/>
              <w:rPr>
                <w:sz w:val="12"/>
                <w:szCs w:val="12"/>
                <w:color w:val="auto"/>
              </w:rPr>
            </w:pPr>
          </w:p>
        </w:tc>
        <w:tc>
          <w:tcPr>
            <w:tcW w:w="138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Maximum Dollar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Number</w:t>
            </w: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Part of Publicly</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center"/>
              <w:ind w:right="12"/>
              <w:spacing w:after="0" w:line="149" w:lineRule="exact"/>
              <w:rPr>
                <w:sz w:val="20"/>
                <w:szCs w:val="20"/>
                <w:color w:val="auto"/>
              </w:rPr>
            </w:pPr>
            <w:r>
              <w:rPr>
                <w:rFonts w:ascii="Times New Roman" w:cs="Times New Roman" w:eastAsia="Times New Roman" w:hAnsi="Times New Roman"/>
                <w:sz w:val="14"/>
                <w:szCs w:val="14"/>
                <w:b w:val="1"/>
                <w:bCs w:val="1"/>
                <w:color w:val="auto"/>
                <w:w w:val="95"/>
              </w:rPr>
              <w:t>Purchased</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of Shares 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of Shares</w:t>
            </w: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Average Price</w:t>
            </w: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Announced</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center"/>
              <w:ind w:right="12"/>
              <w:spacing w:after="0" w:line="149" w:lineRule="exact"/>
              <w:rPr>
                <w:sz w:val="20"/>
                <w:szCs w:val="20"/>
                <w:color w:val="auto"/>
              </w:rPr>
            </w:pPr>
            <w:r>
              <w:rPr>
                <w:rFonts w:ascii="Times New Roman" w:cs="Times New Roman" w:eastAsia="Times New Roman" w:hAnsi="Times New Roman"/>
                <w:sz w:val="14"/>
                <w:szCs w:val="14"/>
                <w:b w:val="1"/>
                <w:bCs w:val="1"/>
                <w:color w:val="auto"/>
                <w:w w:val="94"/>
              </w:rPr>
              <w:t>Under</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3"/>
              </w:rPr>
              <w:t>Yet Be Purchased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4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18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Purchased</w:t>
            </w: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Program</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the Program</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Under the Program</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18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0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July 1-31, 2005</w:t>
            </w:r>
          </w:p>
        </w:tc>
        <w:tc>
          <w:tcPr>
            <w:tcW w:w="2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76,106</w:t>
            </w:r>
          </w:p>
        </w:tc>
        <w:tc>
          <w:tcPr>
            <w:tcW w:w="740" w:type="dxa"/>
            <w:vAlign w:val="bottom"/>
            <w:gridSpan w:val="4"/>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29.89</w:t>
            </w:r>
          </w:p>
        </w:tc>
        <w:tc>
          <w:tcPr>
            <w:tcW w:w="62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2,008,784,393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August 1-31, 2005</w:t>
            </w:r>
          </w:p>
        </w:tc>
        <w:tc>
          <w:tcPr>
            <w:tcW w:w="2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7,800,750</w:t>
            </w:r>
          </w:p>
        </w:tc>
        <w:tc>
          <w:tcPr>
            <w:tcW w:w="740" w:type="dxa"/>
            <w:vAlign w:val="bottom"/>
            <w:gridSpan w:val="4"/>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31.02</w:t>
            </w:r>
          </w:p>
        </w:tc>
        <w:tc>
          <w:tcPr>
            <w:tcW w:w="62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7,800,000</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4"/>
              </w:rPr>
              <w:t>241,963,050</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1,766,821,343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September 1-30, 2005</w:t>
            </w:r>
          </w:p>
        </w:tc>
        <w:tc>
          <w:tcPr>
            <w:tcW w:w="2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17,523,337</w:t>
            </w:r>
          </w:p>
        </w:tc>
        <w:tc>
          <w:tcPr>
            <w:tcW w:w="740" w:type="dxa"/>
            <w:vAlign w:val="bottom"/>
            <w:gridSpan w:val="4"/>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29.11</w:t>
            </w:r>
          </w:p>
        </w:tc>
        <w:tc>
          <w:tcPr>
            <w:tcW w:w="62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17,521,628</w:t>
            </w: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4"/>
              </w:rPr>
              <w:t>509,973,254</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1,256,848,089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0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w:t>
            </w:r>
          </w:p>
        </w:tc>
        <w:tc>
          <w:tcPr>
            <w:tcW w:w="2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25,400,193</w:t>
            </w:r>
          </w:p>
        </w:tc>
        <w:tc>
          <w:tcPr>
            <w:tcW w:w="740" w:type="dxa"/>
            <w:vAlign w:val="bottom"/>
            <w:gridSpan w:val="4"/>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29.70</w:t>
            </w:r>
          </w:p>
        </w:tc>
        <w:tc>
          <w:tcPr>
            <w:tcW w:w="62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25,321,628</w:t>
            </w:r>
          </w:p>
        </w:tc>
        <w:tc>
          <w:tcPr>
            <w:tcW w:w="68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4"/>
              </w:rPr>
              <w:t>751,936,304</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1,256,848,089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3056255</wp:posOffset>
            </wp:positionH>
            <wp:positionV relativeFrom="paragraph">
              <wp:posOffset>-29210</wp:posOffset>
            </wp:positionV>
            <wp:extent cx="12700" cy="298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-29210</wp:posOffset>
            </wp:positionV>
            <wp:extent cx="12700" cy="298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-29210</wp:posOffset>
            </wp:positionV>
            <wp:extent cx="12700" cy="298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-29210</wp:posOffset>
            </wp:positionV>
            <wp:extent cx="12700" cy="298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-29210</wp:posOffset>
            </wp:positionV>
            <wp:extent cx="21590" cy="298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-29210</wp:posOffset>
            </wp:positionV>
            <wp:extent cx="12700" cy="298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-29210</wp:posOffset>
            </wp:positionV>
            <wp:extent cx="12700" cy="298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-29210</wp:posOffset>
            </wp:positionV>
            <wp:extent cx="12700" cy="298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-29210</wp:posOffset>
            </wp:positionV>
            <wp:extent cx="12700" cy="298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-29210</wp:posOffset>
            </wp:positionV>
            <wp:extent cx="21590" cy="298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-29210</wp:posOffset>
            </wp:positionV>
            <wp:extent cx="870585" cy="298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870585" cy="29845"/>
                    </a:xfrm>
                    <a:prstGeom prst="rect">
                      <a:avLst/>
                    </a:prstGeom>
                    <a:noFill/>
                  </pic:spPr>
                </pic:pic>
              </a:graphicData>
            </a:graphic>
          </wp:anchor>
        </w:drawing>
      </w:r>
    </w:p>
    <w:p>
      <w:pPr>
        <w:spacing w:after="0" w:line="219"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8"/>
          <w:szCs w:val="18"/>
          <w:color w:val="auto"/>
        </w:rPr>
        <w:t>The total number of shares purchased includes 78,565 shares received in the administration of employee equity compensation plans. All other shares were repurchased pursuant to a share repurchase program authorized by our Board of Directors to acquire up to $4 billion of outstanding common stock in the open market.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272" w:right="239" w:bottom="1440" w:gutter="0" w:footer="0" w:header="0"/>
        </w:sectPr>
      </w:pPr>
    </w:p>
    <w:bookmarkStart w:id="40" w:name="page41"/>
    <w:bookmarkEnd w:id="40"/>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CORPORATION AND SUBSIDIARIES</w:t>
      </w:r>
    </w:p>
    <w:p>
      <w:pPr>
        <w:spacing w:after="0" w:line="23"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QUARTER ENDED SEPTEMBER 30, 2005</w:t>
      </w:r>
    </w:p>
    <w:p>
      <w:pPr>
        <w:spacing w:after="0" w:line="143"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16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In October 2005, we refinanced our existing revolving credit facility. See “Management’s Discussion and Analysis of Financial Condition and Results of Operations — Liquidity and Capital Resources — Credit Agreement.”</w:t>
      </w:r>
    </w:p>
    <w:p>
      <w:pPr>
        <w:spacing w:after="0" w:line="104"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EXHIBITS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t>
      </w:r>
    </w:p>
    <w:p>
      <w:pPr>
        <w:spacing w:after="0" w:line="77" w:lineRule="exact"/>
        <w:rPr>
          <w:sz w:val="20"/>
          <w:szCs w:val="20"/>
          <w:color w:val="auto"/>
        </w:rPr>
      </w:pPr>
    </w:p>
    <w:p>
      <w:pPr>
        <w:ind w:left="1140" w:hanging="565"/>
        <w:spacing w:after="0"/>
        <w:tabs>
          <w:tab w:leader="none" w:pos="11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Certifications of Chief Executive Officer and Co-Chief Financial Officers pursuant to Section 302 of the Sarbanes-Oxley Act of 2002.</w:t>
      </w:r>
    </w:p>
    <w:p>
      <w:pPr>
        <w:spacing w:after="0" w:line="99" w:lineRule="exact"/>
        <w:rPr>
          <w:rFonts w:ascii="Times New Roman" w:cs="Times New Roman" w:eastAsia="Times New Roman" w:hAnsi="Times New Roman"/>
          <w:sz w:val="16"/>
          <w:szCs w:val="16"/>
          <w:color w:val="auto"/>
        </w:rPr>
      </w:pPr>
    </w:p>
    <w:p>
      <w:pPr>
        <w:ind w:left="1140" w:hanging="565"/>
        <w:spacing w:after="0"/>
        <w:tabs>
          <w:tab w:leader="none" w:pos="11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Certifications of Chief Executive Officer and Co-Chief Financial Officers pursuant to Section 906 of the Sarbanes-Oxley Act of 2002.</w:t>
      </w:r>
    </w:p>
    <w:p>
      <w:pPr>
        <w:spacing w:after="0" w:line="18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760"/>
          </w:cols>
          <w:pgMar w:left="240" w:top="272" w:right="899" w:bottom="1440" w:gutter="0" w:footer="0" w:header="0"/>
        </w:sectPr>
      </w:pPr>
    </w:p>
    <w:bookmarkStart w:id="41" w:name="page42"/>
    <w:bookmarkEnd w:id="41"/>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CORPORATION AND SUBSIDIARIES</w:t>
      </w:r>
    </w:p>
    <w:p>
      <w:pPr>
        <w:spacing w:after="0" w:line="23"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QUARTER ENDED SEPTEMBER 30, 2005</w:t>
      </w:r>
    </w:p>
    <w:p>
      <w:pPr>
        <w:spacing w:after="0" w:line="143"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0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L</w:t>
      </w:r>
      <w:r>
        <w:rPr>
          <w:rFonts w:ascii="Times New Roman" w:cs="Times New Roman" w:eastAsia="Times New Roman" w:hAnsi="Times New Roman"/>
          <w:sz w:val="14"/>
          <w:szCs w:val="14"/>
          <w:color w:val="auto"/>
        </w:rPr>
        <w:t>AWRENCE</w:t>
      </w:r>
      <w:r>
        <w:rPr>
          <w:rFonts w:ascii="Times New Roman" w:cs="Times New Roman" w:eastAsia="Times New Roman" w:hAnsi="Times New Roman"/>
          <w:sz w:val="18"/>
          <w:szCs w:val="18"/>
          <w:color w:val="auto"/>
        </w:rPr>
        <w:t xml:space="preserve"> J. S</w:t>
      </w:r>
      <w:r>
        <w:rPr>
          <w:rFonts w:ascii="Times New Roman" w:cs="Times New Roman" w:eastAsia="Times New Roman" w:hAnsi="Times New Roman"/>
          <w:sz w:val="14"/>
          <w:szCs w:val="14"/>
          <w:color w:val="auto"/>
        </w:rPr>
        <w:t>ALVA</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Senior Vice President, Chief Accounting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and Controller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1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3, 2005</w:t>
      </w:r>
    </w:p>
    <w:p>
      <w:pPr>
        <w:spacing w:after="0" w:line="158"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00"/>
          </w:cols>
          <w:pgMar w:left="240" w:top="272" w:right="65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 Brian L. Roberts, certify that:</w:t>
      </w:r>
    </w:p>
    <w:p>
      <w:pPr>
        <w:spacing w:after="0" w:line="158" w:lineRule="exact"/>
        <w:rPr>
          <w:sz w:val="20"/>
          <w:szCs w:val="20"/>
          <w:color w:val="auto"/>
        </w:rPr>
      </w:pPr>
    </w:p>
    <w:p>
      <w:pPr>
        <w:ind w:left="460" w:hanging="452"/>
        <w:spacing w:after="0"/>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Comcast Corporation;</w:t>
      </w:r>
    </w:p>
    <w:p>
      <w:pPr>
        <w:spacing w:after="0" w:line="76" w:lineRule="exact"/>
        <w:rPr>
          <w:rFonts w:ascii="Times New Roman" w:cs="Times New Roman" w:eastAsia="Times New Roman" w:hAnsi="Times New Roman"/>
          <w:sz w:val="18"/>
          <w:szCs w:val="18"/>
          <w:color w:val="auto"/>
        </w:rPr>
      </w:pPr>
    </w:p>
    <w:p>
      <w:pPr>
        <w:ind w:left="460" w:right="260" w:hanging="452"/>
        <w:spacing w:after="0" w:line="325" w:lineRule="auto"/>
        <w:tabs>
          <w:tab w:leader="none" w:pos="4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6"/>
          <w:szCs w:val="16"/>
          <w:color w:val="auto"/>
        </w:rPr>
      </w:pPr>
    </w:p>
    <w:p>
      <w:pPr>
        <w:ind w:left="460" w:right="60" w:hanging="452"/>
        <w:spacing w:after="0" w:line="275"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5" w:lineRule="exact"/>
        <w:rPr>
          <w:rFonts w:ascii="Times New Roman" w:cs="Times New Roman" w:eastAsia="Times New Roman" w:hAnsi="Times New Roman"/>
          <w:sz w:val="18"/>
          <w:szCs w:val="18"/>
          <w:color w:val="auto"/>
        </w:rPr>
      </w:pPr>
    </w:p>
    <w:p>
      <w:pPr>
        <w:ind w:left="460" w:right="140" w:hanging="452"/>
        <w:spacing w:after="0" w:line="262"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7" w:lineRule="exact"/>
        <w:rPr>
          <w:rFonts w:ascii="Times New Roman" w:cs="Times New Roman" w:eastAsia="Times New Roman" w:hAnsi="Times New Roman"/>
          <w:sz w:val="18"/>
          <w:szCs w:val="18"/>
          <w:color w:val="auto"/>
        </w:rPr>
      </w:pPr>
    </w:p>
    <w:p>
      <w:pPr>
        <w:ind w:left="900" w:right="100" w:hanging="446"/>
        <w:spacing w:after="0" w:line="262" w:lineRule="auto"/>
        <w:tabs>
          <w:tab w:leader="none" w:pos="9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7" w:lineRule="exact"/>
        <w:rPr>
          <w:rFonts w:ascii="Times New Roman" w:cs="Times New Roman" w:eastAsia="Times New Roman" w:hAnsi="Times New Roman"/>
          <w:sz w:val="18"/>
          <w:szCs w:val="18"/>
          <w:color w:val="auto"/>
        </w:rPr>
      </w:pPr>
    </w:p>
    <w:p>
      <w:pPr>
        <w:ind w:left="900" w:right="80" w:hanging="446"/>
        <w:spacing w:after="0" w:line="262" w:lineRule="auto"/>
        <w:tabs>
          <w:tab w:leader="none" w:pos="9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7" w:lineRule="exact"/>
        <w:rPr>
          <w:rFonts w:ascii="Times New Roman" w:cs="Times New Roman" w:eastAsia="Times New Roman" w:hAnsi="Times New Roman"/>
          <w:sz w:val="18"/>
          <w:szCs w:val="18"/>
          <w:color w:val="auto"/>
        </w:rPr>
      </w:pPr>
    </w:p>
    <w:p>
      <w:pPr>
        <w:ind w:left="900" w:right="120" w:hanging="446"/>
        <w:spacing w:after="0" w:line="275" w:lineRule="auto"/>
        <w:tabs>
          <w:tab w:leader="none" w:pos="9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 w:lineRule="exact"/>
        <w:rPr>
          <w:rFonts w:ascii="Times New Roman" w:cs="Times New Roman" w:eastAsia="Times New Roman" w:hAnsi="Times New Roman"/>
          <w:sz w:val="18"/>
          <w:szCs w:val="18"/>
          <w:color w:val="auto"/>
        </w:rPr>
      </w:pPr>
    </w:p>
    <w:p>
      <w:pPr>
        <w:jc w:val="both"/>
        <w:ind w:left="900" w:right="180" w:hanging="446"/>
        <w:spacing w:after="0" w:line="262" w:lineRule="auto"/>
        <w:tabs>
          <w:tab w:leader="none" w:pos="9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7" w:lineRule="exact"/>
        <w:rPr>
          <w:rFonts w:ascii="Times New Roman" w:cs="Times New Roman" w:eastAsia="Times New Roman" w:hAnsi="Times New Roman"/>
          <w:sz w:val="18"/>
          <w:szCs w:val="18"/>
          <w:color w:val="auto"/>
        </w:rPr>
      </w:pPr>
    </w:p>
    <w:p>
      <w:pPr>
        <w:ind w:left="460" w:right="580" w:hanging="452"/>
        <w:spacing w:after="0" w:line="275"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 w:lineRule="exact"/>
        <w:rPr>
          <w:rFonts w:ascii="Times New Roman" w:cs="Times New Roman" w:eastAsia="Times New Roman" w:hAnsi="Times New Roman"/>
          <w:sz w:val="18"/>
          <w:szCs w:val="18"/>
          <w:color w:val="auto"/>
        </w:rPr>
      </w:pPr>
    </w:p>
    <w:p>
      <w:pPr>
        <w:ind w:left="900" w:right="60" w:hanging="446"/>
        <w:spacing w:after="0" w:line="275" w:lineRule="auto"/>
        <w:tabs>
          <w:tab w:leader="none" w:pos="9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5" w:lineRule="exact"/>
        <w:rPr>
          <w:rFonts w:ascii="Times New Roman" w:cs="Times New Roman" w:eastAsia="Times New Roman" w:hAnsi="Times New Roman"/>
          <w:sz w:val="18"/>
          <w:szCs w:val="18"/>
          <w:color w:val="auto"/>
        </w:rPr>
      </w:pPr>
    </w:p>
    <w:p>
      <w:pPr>
        <w:ind w:left="900" w:right="120" w:hanging="446"/>
        <w:spacing w:after="0" w:line="275" w:lineRule="auto"/>
        <w:tabs>
          <w:tab w:leader="none" w:pos="9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3, 2005</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-10160</wp:posOffset>
            </wp:positionV>
            <wp:extent cx="168402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684020" cy="8890"/>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Brian L. Roberts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420"/>
          </w:cols>
          <w:pgMar w:left="240" w:top="123" w:right="239" w:bottom="1440" w:gutter="0" w:footer="0" w:header="0"/>
        </w:sectPr>
      </w:pPr>
    </w:p>
    <w:bookmarkStart w:id="43" w:name="page44"/>
    <w:bookmarkEnd w:id="43"/>
    <w:p>
      <w:pPr>
        <w:ind w:left="1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 Lawrence S. Smith, certify that:</w:t>
      </w:r>
    </w:p>
    <w:p>
      <w:pPr>
        <w:spacing w:after="0" w:line="158" w:lineRule="exact"/>
        <w:rPr>
          <w:sz w:val="20"/>
          <w:szCs w:val="20"/>
          <w:color w:val="auto"/>
        </w:rPr>
      </w:pPr>
    </w:p>
    <w:p>
      <w:pPr>
        <w:ind w:left="452" w:hanging="452"/>
        <w:spacing w:after="0"/>
        <w:tabs>
          <w:tab w:leader="none" w:pos="45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Comcast Corporation;</w:t>
      </w:r>
    </w:p>
    <w:p>
      <w:pPr>
        <w:spacing w:after="0" w:line="76" w:lineRule="exact"/>
        <w:rPr>
          <w:rFonts w:ascii="Times New Roman" w:cs="Times New Roman" w:eastAsia="Times New Roman" w:hAnsi="Times New Roman"/>
          <w:sz w:val="18"/>
          <w:szCs w:val="18"/>
          <w:color w:val="auto"/>
        </w:rPr>
      </w:pPr>
    </w:p>
    <w:p>
      <w:pPr>
        <w:ind w:left="452" w:right="200" w:hanging="452"/>
        <w:spacing w:after="0" w:line="325" w:lineRule="auto"/>
        <w:tabs>
          <w:tab w:leader="none" w:pos="452"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6"/>
          <w:szCs w:val="16"/>
          <w:color w:val="auto"/>
        </w:rPr>
      </w:pPr>
    </w:p>
    <w:p>
      <w:pPr>
        <w:ind w:left="452" w:hanging="452"/>
        <w:spacing w:after="0" w:line="275" w:lineRule="auto"/>
        <w:tabs>
          <w:tab w:leader="none" w:pos="45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5" w:lineRule="exact"/>
        <w:rPr>
          <w:rFonts w:ascii="Times New Roman" w:cs="Times New Roman" w:eastAsia="Times New Roman" w:hAnsi="Times New Roman"/>
          <w:sz w:val="18"/>
          <w:szCs w:val="18"/>
          <w:color w:val="auto"/>
        </w:rPr>
      </w:pPr>
    </w:p>
    <w:p>
      <w:pPr>
        <w:ind w:left="452" w:right="80" w:hanging="452"/>
        <w:spacing w:after="0" w:line="262" w:lineRule="auto"/>
        <w:tabs>
          <w:tab w:leader="none" w:pos="45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7" w:lineRule="exact"/>
        <w:rPr>
          <w:rFonts w:ascii="Times New Roman" w:cs="Times New Roman" w:eastAsia="Times New Roman" w:hAnsi="Times New Roman"/>
          <w:sz w:val="18"/>
          <w:szCs w:val="18"/>
          <w:color w:val="auto"/>
        </w:rPr>
      </w:pPr>
    </w:p>
    <w:p>
      <w:pPr>
        <w:ind w:left="892" w:right="40" w:hanging="446"/>
        <w:spacing w:after="0" w:line="262" w:lineRule="auto"/>
        <w:tabs>
          <w:tab w:leader="none" w:pos="89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7" w:lineRule="exact"/>
        <w:rPr>
          <w:rFonts w:ascii="Times New Roman" w:cs="Times New Roman" w:eastAsia="Times New Roman" w:hAnsi="Times New Roman"/>
          <w:sz w:val="18"/>
          <w:szCs w:val="18"/>
          <w:color w:val="auto"/>
        </w:rPr>
      </w:pPr>
    </w:p>
    <w:p>
      <w:pPr>
        <w:ind w:left="892" w:right="20" w:hanging="446"/>
        <w:spacing w:after="0" w:line="262" w:lineRule="auto"/>
        <w:tabs>
          <w:tab w:leader="none" w:pos="89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7" w:lineRule="exact"/>
        <w:rPr>
          <w:rFonts w:ascii="Times New Roman" w:cs="Times New Roman" w:eastAsia="Times New Roman" w:hAnsi="Times New Roman"/>
          <w:sz w:val="18"/>
          <w:szCs w:val="18"/>
          <w:color w:val="auto"/>
        </w:rPr>
      </w:pPr>
    </w:p>
    <w:p>
      <w:pPr>
        <w:ind w:left="892" w:right="60" w:hanging="446"/>
        <w:spacing w:after="0" w:line="275" w:lineRule="auto"/>
        <w:tabs>
          <w:tab w:leader="none" w:pos="89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 w:lineRule="exact"/>
        <w:rPr>
          <w:rFonts w:ascii="Times New Roman" w:cs="Times New Roman" w:eastAsia="Times New Roman" w:hAnsi="Times New Roman"/>
          <w:sz w:val="18"/>
          <w:szCs w:val="18"/>
          <w:color w:val="auto"/>
        </w:rPr>
      </w:pPr>
    </w:p>
    <w:p>
      <w:pPr>
        <w:jc w:val="both"/>
        <w:ind w:left="892" w:right="120" w:hanging="446"/>
        <w:spacing w:after="0" w:line="262" w:lineRule="auto"/>
        <w:tabs>
          <w:tab w:leader="none" w:pos="89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7" w:lineRule="exact"/>
        <w:rPr>
          <w:rFonts w:ascii="Times New Roman" w:cs="Times New Roman" w:eastAsia="Times New Roman" w:hAnsi="Times New Roman"/>
          <w:sz w:val="18"/>
          <w:szCs w:val="18"/>
          <w:color w:val="auto"/>
        </w:rPr>
      </w:pPr>
    </w:p>
    <w:p>
      <w:pPr>
        <w:ind w:left="452" w:right="520" w:hanging="452"/>
        <w:spacing w:after="0" w:line="275" w:lineRule="auto"/>
        <w:tabs>
          <w:tab w:leader="none" w:pos="45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 w:lineRule="exact"/>
        <w:rPr>
          <w:rFonts w:ascii="Times New Roman" w:cs="Times New Roman" w:eastAsia="Times New Roman" w:hAnsi="Times New Roman"/>
          <w:sz w:val="18"/>
          <w:szCs w:val="18"/>
          <w:color w:val="auto"/>
        </w:rPr>
      </w:pPr>
    </w:p>
    <w:p>
      <w:pPr>
        <w:ind w:left="892" w:hanging="446"/>
        <w:spacing w:after="0" w:line="275" w:lineRule="auto"/>
        <w:tabs>
          <w:tab w:leader="none" w:pos="89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5" w:lineRule="exact"/>
        <w:rPr>
          <w:rFonts w:ascii="Times New Roman" w:cs="Times New Roman" w:eastAsia="Times New Roman" w:hAnsi="Times New Roman"/>
          <w:sz w:val="18"/>
          <w:szCs w:val="18"/>
          <w:color w:val="auto"/>
        </w:rPr>
      </w:pPr>
    </w:p>
    <w:p>
      <w:pPr>
        <w:ind w:left="892" w:right="60" w:hanging="446"/>
        <w:spacing w:after="0" w:line="275" w:lineRule="auto"/>
        <w:tabs>
          <w:tab w:leader="none" w:pos="89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6"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Date: November 3, 2005</w:t>
      </w:r>
    </w:p>
    <w:p>
      <w:pPr>
        <w:spacing w:after="0" w:line="158"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/s/ LAWRENCE S.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179324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793240" cy="8890"/>
                    </a:xfrm>
                    <a:prstGeom prst="rect">
                      <a:avLst/>
                    </a:prstGeom>
                    <a:noFill/>
                  </pic:spPr>
                </pic:pic>
              </a:graphicData>
            </a:graphic>
          </wp:anchor>
        </w:drawing>
      </w:r>
    </w:p>
    <w:p>
      <w:pPr>
        <w:spacing w:after="0" w:line="1"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Name: Lawrence S. Smith</w:t>
      </w:r>
    </w:p>
    <w:p>
      <w:pPr>
        <w:spacing w:after="0" w:line="9"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Co-Chief Financial Officer</w:t>
      </w:r>
    </w:p>
    <w:p>
      <w:pPr>
        <w:sectPr>
          <w:pgSz w:w="11900" w:h="16838" w:orient="portrait"/>
          <w:cols w:equalWidth="0" w:num="1">
            <w:col w:w="11352"/>
          </w:cols>
          <w:pgMar w:left="248" w:top="274" w:right="299" w:bottom="1440" w:gutter="0" w:footer="0" w:header="0"/>
        </w:sectPr>
      </w:pPr>
    </w:p>
    <w:bookmarkStart w:id="44" w:name="page45"/>
    <w:bookmarkEnd w:id="44"/>
    <w:p>
      <w:pPr>
        <w:ind w:left="1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 John R. Alchin, certify that:</w:t>
      </w:r>
    </w:p>
    <w:p>
      <w:pPr>
        <w:spacing w:after="0" w:line="158" w:lineRule="exact"/>
        <w:rPr>
          <w:sz w:val="20"/>
          <w:szCs w:val="20"/>
          <w:color w:val="auto"/>
        </w:rPr>
      </w:pPr>
    </w:p>
    <w:p>
      <w:pPr>
        <w:ind w:left="452" w:hanging="452"/>
        <w:spacing w:after="0"/>
        <w:tabs>
          <w:tab w:leader="none" w:pos="45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Comcast Corporation;</w:t>
      </w:r>
    </w:p>
    <w:p>
      <w:pPr>
        <w:spacing w:after="0" w:line="76" w:lineRule="exact"/>
        <w:rPr>
          <w:rFonts w:ascii="Times New Roman" w:cs="Times New Roman" w:eastAsia="Times New Roman" w:hAnsi="Times New Roman"/>
          <w:sz w:val="18"/>
          <w:szCs w:val="18"/>
          <w:color w:val="auto"/>
        </w:rPr>
      </w:pPr>
    </w:p>
    <w:p>
      <w:pPr>
        <w:ind w:left="452" w:right="200" w:hanging="452"/>
        <w:spacing w:after="0" w:line="325" w:lineRule="auto"/>
        <w:tabs>
          <w:tab w:leader="none" w:pos="452"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6"/>
          <w:szCs w:val="16"/>
          <w:color w:val="auto"/>
        </w:rPr>
      </w:pPr>
    </w:p>
    <w:p>
      <w:pPr>
        <w:ind w:left="452" w:hanging="452"/>
        <w:spacing w:after="0" w:line="275" w:lineRule="auto"/>
        <w:tabs>
          <w:tab w:leader="none" w:pos="45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5" w:lineRule="exact"/>
        <w:rPr>
          <w:rFonts w:ascii="Times New Roman" w:cs="Times New Roman" w:eastAsia="Times New Roman" w:hAnsi="Times New Roman"/>
          <w:sz w:val="18"/>
          <w:szCs w:val="18"/>
          <w:color w:val="auto"/>
        </w:rPr>
      </w:pPr>
    </w:p>
    <w:p>
      <w:pPr>
        <w:ind w:left="452" w:right="80" w:hanging="452"/>
        <w:spacing w:after="0" w:line="262" w:lineRule="auto"/>
        <w:tabs>
          <w:tab w:leader="none" w:pos="45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7" w:lineRule="exact"/>
        <w:rPr>
          <w:rFonts w:ascii="Times New Roman" w:cs="Times New Roman" w:eastAsia="Times New Roman" w:hAnsi="Times New Roman"/>
          <w:sz w:val="18"/>
          <w:szCs w:val="18"/>
          <w:color w:val="auto"/>
        </w:rPr>
      </w:pPr>
    </w:p>
    <w:p>
      <w:pPr>
        <w:ind w:left="892" w:right="40" w:hanging="446"/>
        <w:spacing w:after="0" w:line="262" w:lineRule="auto"/>
        <w:tabs>
          <w:tab w:leader="none" w:pos="89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8" w:lineRule="exact"/>
        <w:rPr>
          <w:rFonts w:ascii="Times New Roman" w:cs="Times New Roman" w:eastAsia="Times New Roman" w:hAnsi="Times New Roman"/>
          <w:sz w:val="18"/>
          <w:szCs w:val="18"/>
          <w:color w:val="auto"/>
        </w:rPr>
      </w:pPr>
    </w:p>
    <w:p>
      <w:pPr>
        <w:ind w:left="892" w:right="20" w:hanging="446"/>
        <w:spacing w:after="0" w:line="262" w:lineRule="auto"/>
        <w:tabs>
          <w:tab w:leader="none" w:pos="89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7" w:lineRule="exact"/>
        <w:rPr>
          <w:rFonts w:ascii="Times New Roman" w:cs="Times New Roman" w:eastAsia="Times New Roman" w:hAnsi="Times New Roman"/>
          <w:sz w:val="18"/>
          <w:szCs w:val="18"/>
          <w:color w:val="auto"/>
        </w:rPr>
      </w:pPr>
    </w:p>
    <w:p>
      <w:pPr>
        <w:ind w:left="892" w:right="60" w:hanging="446"/>
        <w:spacing w:after="0" w:line="275" w:lineRule="auto"/>
        <w:tabs>
          <w:tab w:leader="none" w:pos="89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 w:lineRule="exact"/>
        <w:rPr>
          <w:rFonts w:ascii="Times New Roman" w:cs="Times New Roman" w:eastAsia="Times New Roman" w:hAnsi="Times New Roman"/>
          <w:sz w:val="18"/>
          <w:szCs w:val="18"/>
          <w:color w:val="auto"/>
        </w:rPr>
      </w:pPr>
    </w:p>
    <w:p>
      <w:pPr>
        <w:jc w:val="both"/>
        <w:ind w:left="892" w:right="120" w:hanging="446"/>
        <w:spacing w:after="0" w:line="262" w:lineRule="auto"/>
        <w:tabs>
          <w:tab w:leader="none" w:pos="89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7" w:lineRule="exact"/>
        <w:rPr>
          <w:rFonts w:ascii="Times New Roman" w:cs="Times New Roman" w:eastAsia="Times New Roman" w:hAnsi="Times New Roman"/>
          <w:sz w:val="18"/>
          <w:szCs w:val="18"/>
          <w:color w:val="auto"/>
        </w:rPr>
      </w:pPr>
    </w:p>
    <w:p>
      <w:pPr>
        <w:ind w:left="452" w:right="520" w:hanging="452"/>
        <w:spacing w:after="0" w:line="275" w:lineRule="auto"/>
        <w:tabs>
          <w:tab w:leader="none" w:pos="45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 w:lineRule="exact"/>
        <w:rPr>
          <w:rFonts w:ascii="Times New Roman" w:cs="Times New Roman" w:eastAsia="Times New Roman" w:hAnsi="Times New Roman"/>
          <w:sz w:val="18"/>
          <w:szCs w:val="18"/>
          <w:color w:val="auto"/>
        </w:rPr>
      </w:pPr>
    </w:p>
    <w:p>
      <w:pPr>
        <w:ind w:left="892" w:hanging="446"/>
        <w:spacing w:after="0" w:line="275" w:lineRule="auto"/>
        <w:tabs>
          <w:tab w:leader="none" w:pos="89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5" w:lineRule="exact"/>
        <w:rPr>
          <w:rFonts w:ascii="Times New Roman" w:cs="Times New Roman" w:eastAsia="Times New Roman" w:hAnsi="Times New Roman"/>
          <w:sz w:val="18"/>
          <w:szCs w:val="18"/>
          <w:color w:val="auto"/>
        </w:rPr>
      </w:pPr>
    </w:p>
    <w:p>
      <w:pPr>
        <w:ind w:left="892" w:right="60" w:hanging="446"/>
        <w:spacing w:after="0" w:line="275" w:lineRule="auto"/>
        <w:tabs>
          <w:tab w:leader="none" w:pos="89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6"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Date: November 3, 2005</w:t>
      </w:r>
    </w:p>
    <w:p>
      <w:pPr>
        <w:spacing w:after="0" w:line="158"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/s/ JOHN R. ALCHIN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1548765"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548765" cy="8890"/>
                    </a:xfrm>
                    <a:prstGeom prst="rect">
                      <a:avLst/>
                    </a:prstGeom>
                    <a:noFill/>
                  </pic:spPr>
                </pic:pic>
              </a:graphicData>
            </a:graphic>
          </wp:anchor>
        </w:drawing>
      </w:r>
    </w:p>
    <w:p>
      <w:pPr>
        <w:spacing w:after="0" w:line="1"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Name: John R. Alchin</w:t>
      </w:r>
    </w:p>
    <w:p>
      <w:pPr>
        <w:spacing w:after="0" w:line="9"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Co-Chief Financial Officer</w:t>
      </w:r>
    </w:p>
    <w:p>
      <w:pPr>
        <w:sectPr>
          <w:pgSz w:w="11900" w:h="16838" w:orient="portrait"/>
          <w:cols w:equalWidth="0" w:num="1">
            <w:col w:w="11352"/>
          </w:cols>
          <w:pgMar w:left="248" w:top="274" w:right="29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906 of the Sarbanes-Oxley Act</w:t>
      </w:r>
    </w:p>
    <w:p>
      <w:pPr>
        <w:spacing w:after="0" w:line="1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November 3, 2005</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450 Fifth Street, N.W.</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58" w:lineRule="exact"/>
        <w:rPr>
          <w:sz w:val="20"/>
          <w:szCs w:val="20"/>
          <w:color w:val="auto"/>
        </w:rPr>
      </w:pPr>
    </w:p>
    <w:p>
      <w:pPr>
        <w:jc w:val="both"/>
        <w:ind w:right="80"/>
        <w:spacing w:after="0" w:line="262" w:lineRule="auto"/>
        <w:rPr>
          <w:sz w:val="20"/>
          <w:szCs w:val="20"/>
          <w:color w:val="auto"/>
        </w:rPr>
      </w:pPr>
      <w:r>
        <w:rPr>
          <w:rFonts w:ascii="Times New Roman" w:cs="Times New Roman" w:eastAsia="Times New Roman" w:hAnsi="Times New Roman"/>
          <w:sz w:val="18"/>
          <w:szCs w:val="18"/>
          <w:color w:val="auto"/>
        </w:rPr>
        <w:t>The certification set forth below is being submitted in connection with the quarterly report on Form 10-Q of Comcast Corporation (the “Report”) for the purpose of complying with Rule 13a-14(b) or Rule 15d-14(b) of the Securities Exchange Act of 1934 (the “Exchange Act”) and Section 1350 of Chapter 63 of Title 18 of the United States Code.</w:t>
      </w:r>
    </w:p>
    <w:p>
      <w:pPr>
        <w:spacing w:after="0" w:line="119"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Brian L. Roberts, the Chief Executive Officer, Lawrence S. Smith, the Co-Chief Financial Officer and John R. Alchin, the Co-Chief Financial Officer of Comcast Corporation, each certifies that, to the best of his knowledge:</w:t>
      </w:r>
    </w:p>
    <w:p>
      <w:pPr>
        <w:spacing w:after="0" w:line="106" w:lineRule="exact"/>
        <w:rPr>
          <w:sz w:val="20"/>
          <w:szCs w:val="20"/>
          <w:color w:val="auto"/>
        </w:rPr>
      </w:pPr>
    </w:p>
    <w:p>
      <w:pPr>
        <w:ind w:left="460" w:hanging="452"/>
        <w:spacing w:after="0"/>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Exchange Act; and</w:t>
      </w:r>
    </w:p>
    <w:p>
      <w:pPr>
        <w:spacing w:after="0" w:line="76"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Comcast Corporation.</w:t>
      </w:r>
    </w:p>
    <w:p>
      <w:pPr>
        <w:spacing w:after="0" w:line="39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BRIAN L. ROBERTS</w:t>
      </w:r>
    </w:p>
    <w:p>
      <w:pPr>
        <w:spacing w:after="0" w:line="3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7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LAWRENCE S. SMITH</w:t>
      </w:r>
    </w:p>
    <w:p>
      <w:pPr>
        <w:spacing w:after="0" w:line="3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Lawrence S.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Co-Chief Financial Officer</w:t>
      </w:r>
    </w:p>
    <w:p>
      <w:pPr>
        <w:spacing w:after="0" w:line="37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JOHN R. ALCHIN</w:t>
      </w:r>
    </w:p>
    <w:p>
      <w:pPr>
        <w:spacing w:after="0" w:line="3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John R. Alchin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Co-Chief Financial Officer</w:t>
      </w:r>
    </w:p>
    <w:sectPr>
      <w:pgSz w:w="11900" w:h="16838" w:orient="portrait"/>
      <w:cols w:equalWidth="0" w:num="1">
        <w:col w:w="11420"/>
      </w:cols>
      <w:pgMar w:left="240" w:top="12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endash "/>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1)"/>
      <w:numFmt w:val="lowerRoman"/>
      <w:start w:val="3"/>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decimal"/>
      <w:start w:val="2"/>
    </w:lvl>
    <w:lvl w:ilvl="1">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1"/>
      <w:numFmt w:val="decimal"/>
      <w:start w:val="3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2019-12-15T07:02:29Z</dcterms:created>
  <dcterms:modified xsi:type="dcterms:W3CDTF">2019-12-15T07:02:29Z</dcterms:modified>
</cp:coreProperties>
</file>